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2026-03-20</w:t>
      </w:r>
    </w:p>
    <w:p>
      <w:pPr>
        <w:spacing w:before="160" w:after="120"/>
      </w:pPr>
      <w:r>
        <w:rPr>
          <w:b/>
          <w:sz w:val="28"/>
        </w:rPr>
        <w:t>【光伏】</w:t>
      </w:r>
    </w:p>
    <w:p>
      <w:pPr>
        <w:spacing w:before="160" w:after="40" w:line="240" w:lineRule="auto"/>
      </w:pPr>
      <w:r>
        <w:rPr>
          <w:b/>
        </w:rPr>
        <w:t xml:space="preserve">[1] </w:t>
      </w:r>
      <w:hyperlink r:id="rId9">
        <w:r>
          <w:rPr>
            <w:color w:val="1155CC"/>
            <w:u w:val="single"/>
          </w:rPr>
          <w:t>土地所有者对农业光伏采用的态度：来自意大利南部离散选择实验的证据</w:t>
        </w:r>
      </w:hyperlink>
    </w:p>
    <w:p>
      <w:pPr>
        <w:spacing w:before="0" w:after="80"/>
      </w:pPr>
      <w:r>
        <w:rPr>
          <w:i/>
          <w:sz w:val="20"/>
        </w:rPr>
        <w:t>EN: Landowners’ attitudes toward agrivoltaic adoption: Evidence from a discrete choice experiment in Southern Italy</w:t>
      </w:r>
    </w:p>
    <w:p>
      <w:pPr>
        <w:spacing w:before="0" w:after="120"/>
      </w:pPr>
      <w:r>
        <w:rPr>
          <w:b/>
        </w:rPr>
        <w:t xml:space="preserve">Source: </w:t>
      </w:r>
      <w:r>
        <w:t>ScienceDirect Publication: Energy Policy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通过偶极策略管理Sn-Pb钙钛矿中的晶界能量以实现全钙钛矿叠层</w:t>
        </w:r>
      </w:hyperlink>
    </w:p>
    <w:p>
      <w:pPr>
        <w:spacing w:before="0" w:after="80"/>
      </w:pPr>
      <w:r>
        <w:rPr>
          <w:i/>
          <w:sz w:val="20"/>
        </w:rPr>
        <w:t>EN: Managing Grain Boundary Energy by Dipole Strategy in Sn‐Pb Perovskite for All‐Perovskite Tandems</w:t>
      </w:r>
    </w:p>
    <w:p>
      <w:pPr>
        <w:spacing w:before="0" w:after="120"/>
      </w:pPr>
      <w:r>
        <w:rPr>
          <w:b/>
        </w:rPr>
        <w:t xml:space="preserve">Source: </w:t>
      </w:r>
      <w:r>
        <w:t>Wiley: Advanced Materials: Table of Contents</w:t>
      </w:r>
      <w:r>
        <w:t xml:space="preserve">    </w:t>
      </w:r>
      <w:r>
        <w:rPr>
          <w:b/>
        </w:rPr>
        <w:t xml:space="preserve">Pub date: </w:t>
      </w:r>
      <w:r>
        <w:t>2026-03-14 07:48:37+00:00</w:t>
      </w:r>
      <w:r>
        <w:t xml:space="preserve">    </w:t>
      </w:r>
      <w:r>
        <w:rPr>
          <w:b/>
        </w:rPr>
        <w:t xml:space="preserve">DOI: </w:t>
      </w:r>
      <w:hyperlink r:id="rId11">
        <w:r>
          <w:rPr>
            <w:color w:val="1155CC"/>
            <w:u w:val="single"/>
          </w:rPr>
          <w:t>10.1002/adma.72755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钙钛矿叠层太阳能电池（TSCs）提供了一条超越单结器件Shockley–Queisser极限的途径，但其发展受到低带隙锡铅（Sn-Pb）钙钛矿底电池效率和稳定性较差的阻碍。Sn-Pb钙钛矿中的固有晶界（GBs）具有有害的p型能态和不利的向上能带弯曲，促进了非辐射电荷复合和离子迁移引起的降解路径。在此，我们通过4-（三氟甲基）苯甲酰肼（FBH）在Sn-Pb钙钛矿的GBs进行偶极管理，有效地调节了整个薄膜的GB能量景观。偶极效应逆转了顶部表面</w:t>
      </w:r>
    </w:p>
    <w:p>
      <w:pPr>
        <w:spacing w:before="0" w:after="200" w:lineRule="auto" w:line="276"/>
      </w:pPr>
      <w:r>
        <w:rPr>
          <w:b/>
        </w:rPr>
        <w:t xml:space="preserve">Abstract (EN): </w:t>
      </w:r>
      <w:r>
        <w:t>All‐perovskite tandem solar cells (TSCs) offer a path to exceed the Shockley–Queisser limit of single‐junction devices, yet their development is hindered by the inferior efficiency and stability of low‐bandgap tin‐lead (Sn‐Pb) perovskite bottom cells. The inherent grain boundaries (GBs) in Sn‐Pb perovskites feature detrimental</w:t>
      </w:r>
      <w:r>
        <w:t xml:space="preserve"> </w:t>
      </w:r>
      <w:r>
        <w:t>p</w:t>
      </w:r>
      <w:r>
        <w:t xml:space="preserve"> </w:t>
      </w:r>
      <w:r>
        <w:t>‐type energy states and unfavorable upward energy band bending that promote non‐radiative charge recombination and pathways for ion migration‐induced degradation. Herein, we employ dipole management at GBs of Sn‐Pb perovskite by 4‐(trifluoromethyl)benzohydrazide (FBH), which effectively modulates the GB energy landscape throughout the film. The dipole effect reverses the top surface GB energy states to create downward bending of the energy band, promoting efficient charge separation at GBs. Concurrently, FBH treatment enhances perovskite film quality through grain growth regulation, defect passivation, and immobilization of FA</w:t>
      </w:r>
      <w:r>
        <w:t xml:space="preserve"> </w:t>
      </w:r>
      <w:r>
        <w:t>+</w:t>
      </w:r>
      <w:r>
        <w:t xml:space="preserve"> </w:t>
      </w:r>
      <w:r>
        <w:t>/I</w:t>
      </w:r>
      <w:r>
        <w:t xml:space="preserve"> </w:t>
      </w:r>
      <w:r>
        <w:t>−</w:t>
      </w:r>
      <w:r>
        <w:t>ions. Consequently, the optimized Sn‐Pb perovskite solar cell achieves a high efficiency of 23.25% with outstanding operation stability, i.e., keeping over 80% of its initial efficiency under 85°C thermal stress after 400 h and 90% of its original efficiency upon 1872 h in glove box. All‐perovskite TSC obtains 29.67% efficiency and retains 90% of its initial efficiency after approximately 1000 h maximum power point tracking.</w:t>
      </w:r>
    </w:p>
    <w:p>
      <w:pPr>
        <w:spacing w:before="120" w:after="120"/>
      </w:pPr>
      <w:r>
        <w:rPr>
          <w:sz w:val="18"/>
        </w:rPr>
        <w:t>——————————————————————————————————————————————————————————————————————</w:t>
      </w:r>
    </w:p>
    <w:p>
      <w:pPr>
        <w:spacing w:before="160" w:after="40" w:line="240" w:lineRule="auto"/>
      </w:pPr>
      <w:r>
        <w:rPr>
          <w:b/>
        </w:rPr>
        <w:t xml:space="preserve">[3] </w:t>
      </w:r>
      <w:hyperlink r:id="rId12">
        <w:r>
          <w:rPr>
            <w:color w:val="1155CC"/>
            <w:u w:val="single"/>
          </w:rPr>
          <w:t>[ASAP] 界面金属纳米簇导体引导电荷转移实现创纪录的无辅助太阳能水分解</w:t>
        </w:r>
      </w:hyperlink>
    </w:p>
    <w:p>
      <w:pPr>
        <w:spacing w:before="0" w:after="80"/>
      </w:pPr>
      <w:r>
        <w:rPr>
          <w:i/>
          <w:sz w:val="20"/>
        </w:rPr>
        <w:t>EN: [ASAP] Interfacial Metal Nanocluster Conduits Direct Charge Transfer for Record Unassisted Solar Water Splitting</w:t>
      </w:r>
    </w:p>
    <w:p>
      <w:pPr>
        <w:spacing w:before="0" w:after="120"/>
      </w:pPr>
      <w:r>
        <w:rPr>
          <w:b/>
        </w:rPr>
        <w:t xml:space="preserve">Source: </w:t>
      </w:r>
      <w:r>
        <w:t>Journal of the American Chemical Society: Latest Articles (ACS Publications)</w:t>
      </w:r>
      <w:r>
        <w:t xml:space="preserve">    </w:t>
      </w:r>
      <w:r>
        <w:rPr>
          <w:b/>
        </w:rPr>
        <w:t xml:space="preserve">Pub date: </w:t>
      </w:r>
      <w:r>
        <w:t>2026-03-14 13:31:51+00:00</w:t>
      </w:r>
      <w:r>
        <w:t xml:space="preserve">    </w:t>
      </w:r>
      <w:r>
        <w:rPr>
          <w:b/>
        </w:rPr>
        <w:t xml:space="preserve">DOI: </w:t>
      </w:r>
      <w:hyperlink r:id="rId13">
        <w:r>
          <w:rPr>
            <w:color w:val="1155CC"/>
            <w:u w:val="single"/>
          </w:rPr>
          <w:t>10.1021/jacs.6c01306</w:t>
        </w:r>
      </w:hyperlink>
    </w:p>
    <w:p>
      <w:pPr>
        <w:spacing w:before="0" w:after="120"/>
      </w:pPr>
      <w:r>
        <w:rPr>
          <w:b/>
        </w:rPr>
        <w:t xml:space="preserve">Notes: </w:t>
      </w:r>
      <w:r>
        <w:t>abstract_source=pubmed</w:t>
      </w:r>
    </w:p>
    <w:p>
      <w:pPr>
        <w:spacing w:before="0" w:after="80" w:lineRule="auto" w:line="276"/>
      </w:pPr>
      <w:r>
        <w:rPr>
          <w:b/>
        </w:rPr>
        <w:t xml:space="preserve">摘要（ZH）: </w:t>
      </w:r>
      <w:r>
        <w:t>光电化学（PEC）水分解提供了可持续太阳能到化学燃料转换的最有前途的解决方案之一。然而，光电极界面上的电荷迁移缓慢从根本上限制了PEC效率。在此，我们通过在助催化剂和半导体之间插入金属纳米簇设计和工程化了原子尺度的界面电荷导管。助催化剂、金属纳米簇和半导体之间的不同功函数差异引起界面能带弯曲，使光生载流子从半导体到助催化剂的选择性、定向传输成为可能。特别是，通过一种通用的激光诱导原位生长策略在29种不同的铋基半导体上合成的铋（Bi）纳米簇</w:t>
      </w:r>
    </w:p>
    <w:p>
      <w:pPr>
        <w:spacing w:before="0" w:after="200" w:lineRule="auto" w:line="276"/>
      </w:pPr>
      <w:r>
        <w:rPr>
          <w:b/>
        </w:rPr>
        <w:t xml:space="preserve">Abstract (EN): </w:t>
      </w:r>
      <w:r>
        <w:t>Photoelectrochemical (PEC) water splitting offers one of the most promising solutions for sustainable solar-to-chemical fuel conversion. However, sluggish charge migration across the photoelectrode interface fundamentally limits the PEC efficiency. Herein, we design and engineer an atomic-scale interfacial charge conduit by inserting metal nanoclusters between the cocatalyst and semiconductor. The distinct work-function differences among the cocatalyst, metal nanoclusters, and semiconductor induce interfacial band bending, enabling the selective, directional transport of photogenerated carriers from the semiconductor to the cocatalyst. Particularly, bismuth (Bi) nanoclusters synthesized through a universal laser-induced in situ growth strategy on 29 distinct bismuth-based semiconductors induce the formation of metal/semiconductor Schottky junctions and directionally steer electron migration into the semiconductor conduction band while effectively suppressing electron-hole recombination. Benefiting from the Bi nanoclusters and CoFe cocatalyst, the large-area (3 × 3 cm2) earth-abundant CoFe/Bi/BiVO4 photoanode achieves a photocurrent of 26 mA at 1.1 V versus RHE, maintaining stable performance for 600 h. For practical application, an all-oxide-semiconductor tandem PEC device combining a CoFe/Bi/BiVO4 photoanode and a Pt/TiO2/Ga2O3/Cu2O/CuO photocathode records an unassisted 4.8% solar-to-hydrogen conversion efficiency under AM 1.5G light illumination for 70 h. This work demonstrates the atomic-scale engineering of interfacial charge conduits for high-efficiency solar energy conversion.</w:t>
      </w:r>
    </w:p>
    <w:p>
      <w:pPr>
        <w:spacing w:before="120" w:after="120"/>
      </w:pPr>
      <w:r>
        <w:rPr>
          <w:sz w:val="18"/>
        </w:rPr>
        <w:t>——————————————————————————————————————————————————————————————————————</w:t>
      </w:r>
    </w:p>
    <w:p>
      <w:pPr>
        <w:spacing w:before="160" w:after="40" w:line="240" w:lineRule="auto"/>
      </w:pPr>
      <w:r>
        <w:rPr>
          <w:b/>
        </w:rPr>
        <w:t xml:space="preserve">[4] </w:t>
      </w:r>
      <w:hyperlink r:id="rId14">
        <w:r>
          <w:rPr>
            <w:color w:val="1155CC"/>
            <w:u w:val="single"/>
          </w:rPr>
          <w:t>增强风能-光伏-储能系统的随机优化：一种具有源负载匹配和时间特征的场景重构方法</w:t>
        </w:r>
      </w:hyperlink>
    </w:p>
    <w:p>
      <w:pPr>
        <w:spacing w:before="0" w:after="80"/>
      </w:pPr>
      <w:r>
        <w:rPr>
          <w:i/>
          <w:sz w:val="20"/>
        </w:rPr>
        <w:t>EN: Enhancing stochastic optimization of wind-PV-storage systems: A scenario reconstruction approach with source-load matching and temporal characteristics</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5">
        <w:r>
          <w:rPr>
            <w:color w:val="1155CC"/>
            <w:u w:val="single"/>
          </w:rPr>
          <w:t>添加剂辅助钙钛矿在工业TOPCon硅上的结晶用于提高效率的串联太阳能电池</w:t>
        </w:r>
      </w:hyperlink>
    </w:p>
    <w:p>
      <w:pPr>
        <w:spacing w:before="0" w:after="80"/>
      </w:pPr>
      <w:r>
        <w:rPr>
          <w:i/>
          <w:sz w:val="20"/>
        </w:rPr>
        <w:t>EN: Additive-assisted perovskite crystallization on industrial TOPCon silicon for tandem solar cells with improved efficiency</w:t>
      </w:r>
    </w:p>
    <w:p>
      <w:pPr>
        <w:spacing w:before="0" w:after="120"/>
      </w:pPr>
      <w:r>
        <w:rPr>
          <w:b/>
        </w:rPr>
        <w:t xml:space="preserve">Source: </w:t>
      </w:r>
      <w:r>
        <w:t>Nature Energy</w:t>
      </w:r>
      <w:r>
        <w:t xml:space="preserve">    </w:t>
      </w:r>
      <w:r>
        <w:rPr>
          <w:b/>
        </w:rPr>
        <w:t xml:space="preserve">Pub date: </w:t>
      </w:r>
      <w:r>
        <w:t>2026-03-16 00:00:00+00:00</w:t>
      </w:r>
      <w:r>
        <w:t xml:space="preserve">    </w:t>
      </w:r>
      <w:r>
        <w:rPr>
          <w:b/>
        </w:rPr>
        <w:t xml:space="preserve">DOI: </w:t>
      </w:r>
      <w:hyperlink r:id="rId16">
        <w:r>
          <w:rPr>
            <w:color w:val="1155CC"/>
            <w:u w:val="single"/>
          </w:rPr>
          <w:t>10.1038/s41560-026-02010-z</w:t>
        </w:r>
      </w:hyperlink>
    </w:p>
    <w:p>
      <w:pPr>
        <w:spacing w:before="0" w:after="120"/>
      </w:pPr>
      <w:r>
        <w:rPr>
          <w:b/>
        </w:rPr>
        <w:t xml:space="preserve">Notes: </w:t>
      </w:r>
      <w:r>
        <w:t>abstract_source=nature_html</w:t>
      </w:r>
    </w:p>
    <w:p>
      <w:pPr>
        <w:spacing w:before="0" w:after="80" w:lineRule="auto" w:line="276"/>
      </w:pPr>
      <w:r>
        <w:rPr>
          <w:b/>
        </w:rPr>
        <w:t xml:space="preserve">摘要（ZH）: </w:t>
      </w:r>
      <w:r>
        <w:t>用于隧道氧化物钝化接触串联太阳能电池的薄硅晶圆具有较低的热质量和较高的热导率，这加速了钙钛矿子电池沉积过程中的热传递。这种快速的热传递导致钙钛矿层的快速结晶，影响了薄膜质量和串联性能。在此，我们引入2-巯基苯并噻唑，它与钙钛矿有机阳离子表现出双模式结合，以调节结晶动力学。这种方法改善了形态均匀性，消除了空隙并抑制了卤化物分离，同时减少了非辐射复合并将陷阱辅助复合速率从3.2 × 105降低到4.3 × 104 cm s−1。两端单片钙钛矿/隧道氧化物钝化接触串联电池实现了</w:t>
      </w:r>
    </w:p>
    <w:p>
      <w:pPr>
        <w:spacing w:before="0" w:after="200" w:lineRule="auto" w:line="276"/>
      </w:pPr>
      <w:r>
        <w:rPr>
          <w:b/>
        </w:rPr>
        <w:t xml:space="preserve">Abstract (EN): </w:t>
      </w:r>
      <w:r>
        <w:t>Thin silicon wafers used in tunnel oxide passivated contact tandem solar cells have reduced thermal mass and higher thermal conductivity, which accelerate heat transfer during perovskite subcell deposition. This rapid heat transfer induces fast crystallization of the perovskite layer, compromising film quality and tandem performance. Here we introduce 2-mercaptobenzothiazole, which exhibits dual-mode binding with perovskite organic cations, to modulate crystallization dynamics. This approach improves morphological uniformity, eliminates voids and suppresses halide segregation, while reducing non-radiative recombination and lowering the trap-assisted recombination rate from 3.2 × 105 to 4.3 × 104 cm s−1. The two-terminal monolithic perovskite/tunnel oxide passivated contact tandem cell achieves a certified stabilized power conversion efficiency of 32.76% and retains 91% of its initial efficiency after 1,700 h of continuous operation. This work uncovers a previously overlooked perovskite crystallization issue on industrial silicon wafers, providing critical insights for integrating perovskite solar cells into mainstream silicon technology.</w:t>
      </w:r>
    </w:p>
    <w:p>
      <w:pPr>
        <w:spacing w:before="120" w:after="120"/>
      </w:pPr>
      <w:r>
        <w:rPr>
          <w:sz w:val="18"/>
        </w:rPr>
        <w:t>——————————————————————————————————————————————————————————————————————</w:t>
      </w:r>
    </w:p>
    <w:p>
      <w:pPr>
        <w:spacing w:before="160" w:after="40" w:line="240" w:lineRule="auto"/>
      </w:pPr>
      <w:r>
        <w:rPr>
          <w:b/>
        </w:rPr>
        <w:t xml:space="preserve">[6] </w:t>
      </w:r>
      <w:hyperlink r:id="rId17">
        <w:r>
          <w:rPr>
            <w:color w:val="1155CC"/>
            <w:u w:val="single"/>
          </w:rPr>
          <w:t>多位点协同调控实现高效稳定的钙钛矿太阳能电池</w:t>
        </w:r>
      </w:hyperlink>
    </w:p>
    <w:p>
      <w:pPr>
        <w:spacing w:before="0" w:after="80"/>
      </w:pPr>
      <w:r>
        <w:rPr>
          <w:i/>
          <w:sz w:val="20"/>
        </w:rPr>
        <w:t>EN: Multi‐Site Synergistic Regulation Towards Highly Efficient and Stable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2026-03-16 06:28:38+00:00</w:t>
      </w:r>
      <w:r>
        <w:t xml:space="preserve">    </w:t>
      </w:r>
      <w:r>
        <w:rPr>
          <w:b/>
        </w:rPr>
        <w:t xml:space="preserve">DOI: </w:t>
      </w:r>
      <w:hyperlink r:id="rId18">
        <w:r>
          <w:rPr>
            <w:color w:val="1155CC"/>
            <w:u w:val="single"/>
          </w:rPr>
          <w:t>10.1002/anie.3450174</w:t>
        </w:r>
      </w:hyperlink>
    </w:p>
    <w:p>
      <w:pPr>
        <w:spacing w:before="0" w:after="120"/>
      </w:pPr>
      <w:r>
        <w:rPr>
          <w:b/>
        </w:rPr>
        <w:t xml:space="preserve">Notes: </w:t>
      </w:r>
      <w:r>
        <w:t>abstract_source=crossref</w:t>
      </w:r>
    </w:p>
    <w:p>
      <w:pPr>
        <w:spacing w:before="0" w:after="80" w:lineRule="auto" w:line="276"/>
      </w:pPr>
      <w:r>
        <w:rPr>
          <w:b/>
        </w:rPr>
        <w:t xml:space="preserve">摘要（ZH）: </w:t>
      </w:r>
      <w:r>
        <w:t>摘要 钙钛矿太阳能电池（PSCs）因其显著的功率转换效率（PCE）和经济可行的制造工艺而引起了相当大的科学兴趣。然而，商业化面临着诸如有限的操作稳定性和对湿气的敏感性等障碍，这通常源于钙钛矿薄膜的质量较差。在本研究中，我们提出二对甲苯磺酰胺（D-pTSAD）作为三重功能配体，具有与钙钛矿晶格的多位点协同配位。通过这种机制，D-pTSAD同时促进定向晶体生长并减轻缺陷形成，实现了PCE为26.22%的顶级设备。综合分析表明，D-pTSAD</w:t>
      </w:r>
    </w:p>
    <w:p>
      <w:pPr>
        <w:spacing w:before="0" w:after="200" w:lineRule="auto" w:line="276"/>
      </w:pPr>
      <w:r>
        <w:rPr>
          <w:b/>
        </w:rPr>
        <w:t xml:space="preserve">Abstract (EN): </w:t>
      </w:r>
      <w:r>
        <w:t>Perovskite solar cells (PSCs) have attracted considerable scientific interest due to their remarkable power conversion efficiency (PCE) and economically viable manufacturing processes. However, the commercialization has faced obstacles such as limited operational stability and susceptibility to moisture, which usually stem from the inferior quality of perovskite film. In this study, we present Di‐p‐toluenesulfonamide (D‐pTSAD) as triple‐functional ligand featuring multi‐site synergistic coordination with the perovskite lattice. Through this mechanism, D‐pTSAD simultaneously facilitates oriented crystal growth and mitigates defect formation, achieving a top‐performing device with a PCE of 26.22%. Comprehensive analysis reveals that D‐pTSAD forms stronger coordination with both Pb</w:t>
      </w:r>
      <w:r>
        <w:rPr>
          <w:vertAlign w:val="subscript"/>
        </w:rPr>
        <w:t>2</w:t>
      </w:r>
      <w:r>
        <w:t>+</w:t>
      </w:r>
      <w:r>
        <w:t xml:space="preserve"> </w:t>
      </w:r>
      <w:r>
        <w:t>and I</w:t>
      </w:r>
      <w:r>
        <w:t xml:space="preserve"> </w:t>
      </w:r>
      <w:r>
        <w:t>−</w:t>
      </w:r>
      <w:r>
        <w:t>ions compared to bifunctional ligands, effectively passivating defects, suppressing ion migration, and reducing nonradiative recombination. After 1,000 h of continuous maximum power point tracking, PSCs with D‐pTSAD maintained 82.5% of initial PCE. This research underscores the potency of multisite coordination chemistry in elevating both performance and stability of PSCs.</w:t>
      </w:r>
    </w:p>
    <w:p>
      <w:pPr>
        <w:spacing w:before="120" w:after="120"/>
      </w:pPr>
      <w:r>
        <w:rPr>
          <w:sz w:val="18"/>
        </w:rPr>
        <w:t>——————————————————————————————————————————————————————————————————————</w:t>
      </w:r>
    </w:p>
    <w:p>
      <w:pPr>
        <w:spacing w:before="160" w:after="40" w:line="240" w:lineRule="auto"/>
      </w:pPr>
      <w:r>
        <w:rPr>
          <w:b/>
        </w:rPr>
        <w:t xml:space="preserve">[7] </w:t>
      </w:r>
      <w:hyperlink r:id="rId19">
        <w:r>
          <w:rPr>
            <w:color w:val="1155CC"/>
            <w:u w:val="single"/>
          </w:rPr>
          <w:t>调节空穴选择性材料的末端基团以抑制倒置钙钛矿太阳能电池中的非辐射复合</w:t>
        </w:r>
      </w:hyperlink>
    </w:p>
    <w:p>
      <w:pPr>
        <w:spacing w:before="0" w:after="80"/>
      </w:pPr>
      <w:r>
        <w:rPr>
          <w:i/>
          <w:sz w:val="20"/>
        </w:rPr>
        <w:t>EN: Tuning Terminal Groups of Hole‐Selective Materials to Suppress Nonradiative Recombination in Inverted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2026-03-16 06:35:57+00:00</w:t>
      </w:r>
      <w:r>
        <w:t xml:space="preserve">    </w:t>
      </w:r>
      <w:r>
        <w:rPr>
          <w:b/>
        </w:rPr>
        <w:t xml:space="preserve">DOI: </w:t>
      </w:r>
      <w:hyperlink r:id="rId20">
        <w:r>
          <w:rPr>
            <w:color w:val="1155CC"/>
            <w:u w:val="single"/>
          </w:rPr>
          <w:t>10.1002/anie.8473744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s）的性能受到钙钛矿/电荷提取界面处非辐射复合的严重限制，这限制了它们接近热力学效率极限。尽管大量努力集中在钝化表面缺陷上，但界面能级不匹配在驱动非辐射损失中的作用仍然理解不足。在这项工作中，我们通过调整空穴选择性材料（HSMs）的末端基团，研究了空穴选择性层与钙钛矿之间的价带最大值（VBM）偏移对PSCs中非辐射复合损失的影响。我们的研究结果表明，空穴选择性界面处的能量障碍最小化有助于</w:t>
      </w:r>
    </w:p>
    <w:p>
      <w:pPr>
        <w:spacing w:before="0" w:after="200" w:lineRule="auto" w:line="276"/>
      </w:pPr>
      <w:r>
        <w:rPr>
          <w:b/>
        </w:rPr>
        <w:t xml:space="preserve">Abstract (EN): </w:t>
      </w:r>
      <w:r>
        <w:t>The performance of perovskite solar cells (PSCs) is critically constrained by nonradiative recombination at the perovskite/charge‐extraction interfaces, which limits their approach to the thermodynamic efficiency limit. Although extensive efforts have focused on passivating surface defects, the role of interfacial energy‐level mismatch in driving nonradiative losses remains insufficiently understood. In this work, we investigate the impact of valence band maximum (VBM) offsets between hole‐selective layers and perovskites on the nonradiative recombination losses in PSCs by tailoring the terminal groups of hole‐selective materials (HSMs). Our findings reveal that the minimized energetic barrier at the hole‐selective interface is conducive to achieving the maximum quasi‐Fermi level splitting (QFLS) in perovskites. Through precise energy‐level alignment at the buried HSM/perovskite interface via terminal group engineering, we achieved high power conversion efficiency (PCE) of 26.88% and 21.87% for PSCs based on 1.53 and 1.72 eV perovskites, respectively, with open‐circuit voltage (</w:t>
      </w:r>
      <w:r>
        <w:t xml:space="preserve"> </w:t>
      </w:r>
      <w:r>
        <w:t>V</w:t>
      </w:r>
      <w:r>
        <w:t xml:space="preserve"> </w:t>
      </w:r>
      <w:r>
        <w:t>OC</w:t>
      </w:r>
      <w:r>
        <w:t xml:space="preserve"> </w:t>
      </w:r>
      <w:r>
        <w:t>) value reaching 95% and 91% of their Shockley‐Queisser limit, respectively. Our results provide valuable insights for designing hole‐selective molecules and elucidating the relationship between nonradiative recombination losses and energy level alignment across different perovskite compositions.</w:t>
      </w:r>
    </w:p>
    <w:p>
      <w:pPr>
        <w:spacing w:before="120" w:after="120"/>
      </w:pPr>
      <w:r>
        <w:rPr>
          <w:sz w:val="18"/>
        </w:rPr>
        <w:t>——————————————————————————————————————————————————————————————————————</w:t>
      </w:r>
    </w:p>
    <w:p>
      <w:pPr>
        <w:spacing w:before="160" w:after="40" w:line="240" w:lineRule="auto"/>
      </w:pPr>
      <w:r>
        <w:rPr>
          <w:b/>
        </w:rPr>
        <w:t xml:space="preserve">[8] </w:t>
      </w:r>
      <w:hyperlink r:id="rId21">
        <w:r>
          <w:rPr>
            <w:color w:val="1155CC"/>
            <w:u w:val="single"/>
          </w:rPr>
          <w:t>[ASAP] 协同离子工程用于宽带隙钙钛矿，使钙钛矿-有机串联太阳能电池实现创纪录的认证电压</w:t>
        </w:r>
      </w:hyperlink>
    </w:p>
    <w:p>
      <w:pPr>
        <w:spacing w:before="0" w:after="80"/>
      </w:pPr>
      <w:r>
        <w:rPr>
          <w:i/>
          <w:sz w:val="20"/>
        </w:rPr>
        <w:t>EN: [ASAP] Synergistic Ion Engineering for Wide-Bandgap Perovskite Enables Perovskite–Organic Tandem Solar Cells with a Record Certified Voltage</w:t>
      </w:r>
    </w:p>
    <w:p>
      <w:pPr>
        <w:spacing w:before="0" w:after="120"/>
      </w:pPr>
      <w:r>
        <w:rPr>
          <w:b/>
        </w:rPr>
        <w:t xml:space="preserve">Source: </w:t>
      </w:r>
      <w:r>
        <w:t>ACS Energy Letters: Latest Articles (ACS Publications)</w:t>
      </w:r>
      <w:r>
        <w:t xml:space="preserve">    </w:t>
      </w:r>
      <w:r>
        <w:rPr>
          <w:b/>
        </w:rPr>
        <w:t xml:space="preserve">Pub date: </w:t>
      </w:r>
      <w:r>
        <w:t>2026-03-16 10:51:50+00:00</w:t>
      </w:r>
      <w:r>
        <w:t xml:space="preserve">    </w:t>
      </w:r>
      <w:r>
        <w:rPr>
          <w:b/>
        </w:rPr>
        <w:t xml:space="preserve">DOI: </w:t>
      </w:r>
      <w:hyperlink r:id="rId22">
        <w:r>
          <w:rPr>
            <w:color w:val="1155CC"/>
            <w:u w:val="single"/>
          </w:rPr>
          <w:t>10.1021/acsenergylett.6c00419</w:t>
        </w:r>
      </w:hyperlink>
    </w:p>
    <w:p>
      <w:pPr>
        <w:spacing w:before="0" w:after="120"/>
      </w:pPr>
      <w:r>
        <w:rPr>
          <w:b/>
        </w:rPr>
        <w:t xml:space="preserve">Notes: </w:t>
      </w:r>
      <w:r>
        <w:t>abstract_source=openalex</w:t>
      </w:r>
    </w:p>
    <w:p>
      <w:pPr>
        <w:spacing w:before="0" w:after="80" w:lineRule="auto" w:line="276"/>
      </w:pPr>
      <w:r>
        <w:rPr>
          <w:b/>
        </w:rPr>
        <w:t xml:space="preserve">摘要（ZH）: </w:t>
      </w:r>
      <w:r>
        <w:t>混合卤化物宽带隙（WBG）钙钛矿因缺陷引起的开路电压（VOC）损失和光诱导相分离而受到影响。在此，我们引入甲酸铷（RbFa）作为单一掺杂剂，通过协同离子工程来缓解这两个挑战。Rb+阳离子进入晶格引起收缩，而甲酸根阴离子（Fa–）调节结晶动力学并钝化卤化物空位。这种协同作用最大化了残余压缩应变，热力学上提高了离子迁移障碍，而空位钝化则在动力学上阻止了迁移路径。因此，我们实现了1.371 V的高VOC和增强的光稳定性，用于1.86 eV WBG钙钛矿太阳能电池（PSCs）。单片钙钛矿-有机串联太阳能电池提供了效率</w:t>
      </w:r>
    </w:p>
    <w:p>
      <w:pPr>
        <w:spacing w:before="0" w:after="200" w:lineRule="auto" w:line="276"/>
      </w:pPr>
      <w:r>
        <w:rPr>
          <w:b/>
        </w:rPr>
        <w:t xml:space="preserve">Abstract (EN): </w:t>
      </w:r>
      <w:r>
        <w:t>Mixed-halide wide-bandgap (WBG) perovskites suffer from defect-induced open-circuit voltage (VOC) loss and photoinduced phase segregation. Herein, we introduce rubidium formate (RbFa) as a single dopant to mitigate both challenges through synergistic ion engineering. The Rb+ cation enters the lattice to induce contraction, while the formate anion (Fa–) modulates crystallization kinetics and passivates halide vacancies. This cooperative interaction maximizes residual compressive strain, thermodynamically raising the ion-migration barrier, while vacancy passivation kinetically blocks migration pathways. Consequently, we achieve a high VOC of 1.371 V and enhanced photostability for 1.86 eV WBG perovskite solar cells (PSCs). Monolithic perovskite–organic tandem solar cells deliver an efficiency of 26.03% with a record certified VOC of 2.189 V and retain over 90% of their initial efficiency after 1000 h under continuous 1-sun illumination.</w:t>
      </w:r>
    </w:p>
    <w:p>
      <w:pPr>
        <w:spacing w:before="120" w:after="120"/>
      </w:pPr>
      <w:r>
        <w:rPr>
          <w:sz w:val="18"/>
        </w:rPr>
        <w:t>——————————————————————————————————————————————————————————————————————</w:t>
      </w:r>
    </w:p>
    <w:p>
      <w:pPr>
        <w:spacing w:before="160" w:after="40" w:line="240" w:lineRule="auto"/>
      </w:pPr>
      <w:r>
        <w:rPr>
          <w:b/>
        </w:rPr>
        <w:t xml:space="preserve">[9] </w:t>
      </w:r>
      <w:hyperlink r:id="rId23">
        <w:r>
          <w:rPr>
            <w:color w:val="1155CC"/>
            <w:u w:val="single"/>
          </w:rPr>
          <w:t>[ASAP] 共沉积策略实现Sn–Pb钙钛矿太阳能电池中稳定的内建电场</w:t>
        </w:r>
      </w:hyperlink>
    </w:p>
    <w:p>
      <w:pPr>
        <w:spacing w:before="0" w:after="80"/>
      </w:pPr>
      <w:r>
        <w:rPr>
          <w:i/>
          <w:sz w:val="20"/>
        </w:rPr>
        <w:t>EN: [ASAP] Codeposition Strategy Enables Stable Built-In Electric Field in Sn–Pb Perovskite Solar Cells</w:t>
      </w:r>
    </w:p>
    <w:p>
      <w:pPr>
        <w:spacing w:before="0" w:after="120"/>
      </w:pPr>
      <w:r>
        <w:rPr>
          <w:b/>
        </w:rPr>
        <w:t xml:space="preserve">Source: </w:t>
      </w:r>
      <w:r>
        <w:t>ACS Energy Letters: Latest Articles (ACS Publications)</w:t>
      </w:r>
      <w:r>
        <w:t xml:space="preserve">    </w:t>
      </w:r>
      <w:r>
        <w:rPr>
          <w:b/>
        </w:rPr>
        <w:t xml:space="preserve">Pub date: </w:t>
      </w:r>
      <w:r>
        <w:t>2026-03-16 14:28:37+00:00</w:t>
      </w:r>
      <w:r>
        <w:t xml:space="preserve">    </w:t>
      </w:r>
      <w:r>
        <w:rPr>
          <w:b/>
        </w:rPr>
        <w:t xml:space="preserve">DOI: </w:t>
      </w:r>
      <w:hyperlink r:id="rId24">
        <w:r>
          <w:rPr>
            <w:color w:val="1155CC"/>
            <w:u w:val="single"/>
          </w:rPr>
          <w:t>10.1021/acsenergylett.6c00210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5">
        <w:r>
          <w:rPr>
            <w:color w:val="1155CC"/>
            <w:u w:val="single"/>
          </w:rPr>
          <w:t>机械化学增强的双动态共价播种实现高性能和操作稳定的钙钛矿太阳能电池</w:t>
        </w:r>
      </w:hyperlink>
    </w:p>
    <w:p>
      <w:pPr>
        <w:spacing w:before="0" w:after="80"/>
      </w:pPr>
      <w:r>
        <w:rPr>
          <w:i/>
          <w:sz w:val="20"/>
        </w:rPr>
        <w:t>EN: Mechanochemically Reinforced Dual‐Dynamic Covalent Seeding Enables High‐Performance and Operationally Stable Perovskite Solar Cells</w:t>
      </w:r>
    </w:p>
    <w:p>
      <w:pPr>
        <w:spacing w:before="0" w:after="120"/>
      </w:pPr>
      <w:r>
        <w:rPr>
          <w:b/>
        </w:rPr>
        <w:t xml:space="preserve">Source: </w:t>
      </w:r>
      <w:r>
        <w:t>Wiley: Advanced Materials: Table of Contents</w:t>
      </w:r>
      <w:r>
        <w:t xml:space="preserve">    </w:t>
      </w:r>
      <w:r>
        <w:rPr>
          <w:b/>
        </w:rPr>
        <w:t xml:space="preserve">Pub date: </w:t>
      </w:r>
      <w:r>
        <w:t>2026-03-16 15:24:41+00:00</w:t>
      </w:r>
      <w:r>
        <w:t xml:space="preserve">    </w:t>
      </w:r>
      <w:r>
        <w:rPr>
          <w:b/>
        </w:rPr>
        <w:t xml:space="preserve">DOI: </w:t>
      </w:r>
      <w:hyperlink r:id="rId26">
        <w:r>
          <w:rPr>
            <w:color w:val="1155CC"/>
            <w:u w:val="single"/>
          </w:rPr>
          <w:t>10.1002/adma.72823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s）的长期不稳定性主要由缺陷介导的离子迁移控制，成为其商业化的关键障碍。在此，我们引入了一种协同双动态支架（DDS）策略，通过在钙钛矿前驱体中进行正交Diels-Alder和肟-氨基甲酸酯反应原位构建。这个智能设计的网络作为异质成核的分子模板，指导形成致密、大晶粒和优先取向的薄膜。同时，DDS在晶界（GBs）处整合成互穿的共价网格，通过路易斯碱配位和氢键提供多模式钝化，诱导良性的压缩应变，并提供</w:t>
      </w:r>
    </w:p>
    <w:p>
      <w:pPr>
        <w:spacing w:before="0" w:after="200" w:lineRule="auto" w:line="276"/>
      </w:pPr>
      <w:r>
        <w:rPr>
          <w:b/>
        </w:rPr>
        <w:t xml:space="preserve">Abstract (EN): </w:t>
      </w:r>
      <w:r>
        <w:t>The long‐term instability of perovskite solar cells (PSCs), primarily governed by defect‐mediated ion migration, poses a critical barrier to their commercialization. Herein, we introduce a synergistic dual‐dynamic scaffold (DDS) strategy, constructed in situ via orthogonal Diels‐Alder and oxime‐carbamate reactions within the perovskite precursor. This intelligently designed network functions as a molecular template for heterogeneous nucleation, directing the formation of dense, large‐grained, and preferentially oriented films. Concurrently, the DDS consolidates into an interpenetrating covalent mesh at grain boundaries (GBs), delivering multi‐modal passivation through Lewis‐base coordination and hydrogen bonding, inducing a benign compressive strain, and serving as a robust physicochemical barrier against ion and moisture ingress. These concerted actions effectively minimize interfacial losses, mitigate energetic disorder, and suppress trap‐assisted recombination. Remarkably, the covalently anchored network underpins exceptional operational stability under thermal, environmental, and electrical stress. Consequently, this integrated strategy yields a champion power conversion efficiency (PCE) of 26.95% (certified 26.69%), along with excellent long‐term stability, retaining 97.8% of its initial efficiency after 1000 h of continuous operation under the ISOS‐L‐2I protocol, underscoring the transformative potential of in situ dual‐dynamic covalent bonding for high‐performance and operationally stable photovoltaics.</w:t>
      </w:r>
    </w:p>
    <w:p>
      <w:pPr>
        <w:spacing w:before="120" w:after="120"/>
      </w:pPr>
      <w:r>
        <w:rPr>
          <w:sz w:val="18"/>
        </w:rPr>
        <w:t>——————————————————————————————————————————————————————————————————————</w:t>
      </w:r>
    </w:p>
    <w:p>
      <w:pPr>
        <w:spacing w:before="160" w:after="40" w:line="240" w:lineRule="auto"/>
      </w:pPr>
      <w:r>
        <w:rPr>
          <w:b/>
        </w:rPr>
        <w:t xml:space="preserve">[11] </w:t>
      </w:r>
      <w:hyperlink r:id="rId27">
        <w:r>
          <w:rPr>
            <w:color w:val="1155CC"/>
            <w:u w:val="single"/>
          </w:rPr>
          <w:t>具有改进载流子和光子管理的三结太阳能电池</w:t>
        </w:r>
      </w:hyperlink>
    </w:p>
    <w:p>
      <w:pPr>
        <w:spacing w:before="0" w:after="80"/>
      </w:pPr>
      <w:r>
        <w:rPr>
          <w:i/>
          <w:sz w:val="20"/>
        </w:rPr>
        <w:t>EN: Triple-junction solar cells with improved carrier and photon management</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28">
        <w:r>
          <w:rPr>
            <w:color w:val="1155CC"/>
            <w:u w:val="single"/>
          </w:rPr>
          <w:t>10.1038/s41586-026-10385-y</w:t>
        </w:r>
      </w:hyperlink>
    </w:p>
    <w:p>
      <w:pPr>
        <w:spacing w:before="0" w:after="120"/>
      </w:pPr>
      <w:r>
        <w:rPr>
          <w:b/>
        </w:rPr>
        <w:t xml:space="preserve">Notes: </w:t>
      </w:r>
      <w:r>
        <w:t>abstract_source=nature_html</w:t>
      </w:r>
    </w:p>
    <w:p>
      <w:pPr>
        <w:spacing w:before="0" w:after="80" w:lineRule="auto" w:line="276"/>
      </w:pPr>
      <w:r>
        <w:rPr>
          <w:b/>
        </w:rPr>
        <w:t xml:space="preserve">摘要（ZH）: </w:t>
      </w:r>
      <w:r>
        <w:t>钙钛矿-硅三结光伏器件在效率上超越了双结器件，但代价是增加了复杂性(1)。在此，我们解决了基于钙钛矿-硅的三结太阳能电池的两个关键瓶颈：宽带隙顶电池的开路电压降低和中间电池的光电流生成有限(1, 2)。一种非挥发性添加剂，4-羟基苄胺，调节宽带隙钙钛矿的结晶并钝化缺陷，促进定向生长并抑制非辐射复合。结合改进的能级对齐，这产生了高达1.405 V的开路电压和增强的稳定性。为了克服中间电池的电流限制，三步沉积策略使得形成厚、低-</w:t>
      </w:r>
    </w:p>
    <w:p>
      <w:pPr>
        <w:spacing w:before="0" w:after="200" w:lineRule="auto" w:line="276"/>
      </w:pPr>
      <w:r>
        <w:rPr>
          <w:b/>
        </w:rPr>
        <w:t xml:space="preserve">Abstract (EN): </w:t>
      </w:r>
      <w:r>
        <w:t>Perovskite-silicon triple-junction photovoltaics offer efficiency gains beyond dual-junction devices, but at the expense of added complexity (1). Here, we address two key bottlenecks in perovskite-silicon-based triple-junction solar cells: reduced open-circuit voltage in the wide-bandgap top-cell and limited photocurrent generation in the middle-cell (1, 2). A non-volatile additive, 4-hydroxybenzylamine, regulates wide-bandgap perovskite crystallization and passivates defects, promoting oriented growth and suppressing non-radiative recombination. Together with improved energy-level alignment, this yields open-circuit voltages of up to 1.405 V and enhanced stability. To overcome the current limitations in the middle-cell, a three-step deposition strategy enables the formation of thick, low-bandgap perovskite absorbers while preserving microstructural integrity and enhancing electron extraction. In addition, low-refractive-index SiOx nanoparticles that accumulate in the front valleys of the textured silicon bottom-cell act as an optical middle-reflector, enhancing light absorption in the middle-cell. These advances are then combined in 1 cm² perovskite-perovskite-silicon devices, achieving a certified efficiency of 30.02%.</w:t>
      </w:r>
    </w:p>
    <w:p>
      <w:pPr>
        <w:spacing w:before="120" w:after="120"/>
      </w:pPr>
      <w:r>
        <w:rPr>
          <w:sz w:val="18"/>
        </w:rPr>
        <w:t>——————————————————————————————————————————————————————————————————————</w:t>
      </w:r>
    </w:p>
    <w:p>
      <w:pPr>
        <w:spacing w:before="160" w:after="40" w:line="240" w:lineRule="auto"/>
      </w:pPr>
      <w:r>
        <w:rPr>
          <w:b/>
        </w:rPr>
        <w:t xml:space="preserve">[12] </w:t>
      </w:r>
      <w:hyperlink r:id="rId29">
        <w:r>
          <w:rPr>
            <w:color w:val="1155CC"/>
            <w:u w:val="single"/>
          </w:rPr>
          <w:t>物性论：卤化物钙钛矿如何自愈损伤？</w:t>
        </w:r>
      </w:hyperlink>
    </w:p>
    <w:p>
      <w:pPr>
        <w:spacing w:before="0" w:after="80"/>
      </w:pPr>
      <w:r>
        <w:rPr>
          <w:i/>
          <w:sz w:val="20"/>
        </w:rPr>
        <w:t>EN: De Rerum Natura: How Do Halide Perovskites Self‐Heal From Damage?</w:t>
      </w:r>
    </w:p>
    <w:p>
      <w:pPr>
        <w:spacing w:before="0" w:after="120"/>
      </w:pPr>
      <w:r>
        <w:rPr>
          <w:b/>
        </w:rPr>
        <w:t xml:space="preserve">Source: </w:t>
      </w:r>
      <w:r>
        <w:t>Wiley: Advanced Materials: Table of Contents</w:t>
      </w:r>
      <w:r>
        <w:t xml:space="preserve">    </w:t>
      </w:r>
      <w:r>
        <w:rPr>
          <w:b/>
        </w:rPr>
        <w:t xml:space="preserve">Pub date: </w:t>
      </w:r>
      <w:r>
        <w:t>2026-03-17 07:34:19+00:00</w:t>
      </w:r>
      <w:r>
        <w:t xml:space="preserve">    </w:t>
      </w:r>
      <w:r>
        <w:rPr>
          <w:b/>
        </w:rPr>
        <w:t xml:space="preserve">DOI: </w:t>
      </w:r>
      <w:hyperlink r:id="rId30">
        <w:r>
          <w:rPr>
            <w:color w:val="1155CC"/>
            <w:u w:val="single"/>
          </w:rPr>
          <w:t>10.1002/adma.202518808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实际解决标题问题，我们对铅基卤化物钙钛矿（HaPs）中的自愈（SH）现象进行了全面而批判的回顾，这一现象对这些材料在所有应用中的稳定性具有深远影响，从光伏到光发射和辐射检测。我们强调推理作为解释HaPs在暴露于光、热、机械应力或辐射时退化与恢复之间动态平衡的指南。我们汇编并评估了我们认为最相关的、可用的损伤-愈合动态报告，区分已验证的事实和观察与解释和未解决的问题。关键主题包括损伤积累、光浸泡和光增亮。</w:t>
      </w:r>
    </w:p>
    <w:p>
      <w:pPr>
        <w:spacing w:before="0" w:after="200" w:lineRule="auto" w:line="276"/>
      </w:pPr>
      <w:r>
        <w:rPr>
          <w:b/>
        </w:rPr>
        <w:t xml:space="preserve">Abstract (EN): </w:t>
      </w:r>
      <w:r>
        <w:t>By actually addressing the title question, we provide a comprehensive and critical review of self‐healing (SH) in lead‐based halide perovskites (HaPs), a phenomenon with profound implications for the stability of these materials across all applications, from photovoltaics to light emission and radiation detection. We emphasize reasoning as a guide to interpreting the dynamic balance between degradation and recovery when HaPs are exposed to light, heat, mechanical stress, or radiation. We compile and assess what are, in our view, the most relevant, available reports of damage–healing dynamics, distinguishing verified facts and observations from interpretations and unresolved questions. Key topics include damage accumulation, light soaking, and photo‐brightening, as well as the mechanistic roles of lattice dynamics, halide migration, redox chemistry, and acid–base equilibria in the disappearance of defects on accessible time scales. Thus, we go beyond a conventional summary by providing a unifying framework to clarify contradictions in the literature and reveal the underlying principles of reversible damage. By consolidating results that are often scattered into a coherent picture, we strive to establish a foundation for predictive models of SH kinetics, while guiding strategies to stabilize devices. We anticipate that this critical synthesis will serve as an authoritative reference for the metal halide perovskite research field.</w:t>
      </w:r>
    </w:p>
    <w:p>
      <w:pPr>
        <w:spacing w:before="120" w:after="120"/>
      </w:pPr>
      <w:r>
        <w:rPr>
          <w:sz w:val="18"/>
        </w:rPr>
        <w:t>——————————————————————————————————————————————————————————————————————</w:t>
      </w:r>
    </w:p>
    <w:p>
      <w:pPr>
        <w:spacing w:before="160" w:after="40" w:line="240" w:lineRule="auto"/>
      </w:pPr>
      <w:r>
        <w:rPr>
          <w:b/>
        </w:rPr>
        <w:t xml:space="preserve">[13] </w:t>
      </w:r>
      <w:hyperlink r:id="rId31">
        <w:r>
          <w:rPr>
            <w:color w:val="1155CC"/>
            <w:u w:val="single"/>
          </w:rPr>
          <w:t>实现长期、货架稳定的钙钛矿太阳能电池：氧化铝屏障保护钙钛矿器件免受湿气和氧气侵害</w:t>
        </w:r>
      </w:hyperlink>
    </w:p>
    <w:p>
      <w:pPr>
        <w:spacing w:before="0" w:after="80"/>
      </w:pPr>
      <w:r>
        <w:rPr>
          <w:i/>
          <w:sz w:val="20"/>
        </w:rPr>
        <w:t>EN: Enabling Long Term, Shelf‐Stable Perovskite Solar Cells: Alumina Barriers to Protect Perovskite Devices from Moisture and Oxygen</w:t>
      </w:r>
    </w:p>
    <w:p>
      <w:pPr>
        <w:spacing w:before="0" w:after="120"/>
      </w:pPr>
      <w:r>
        <w:rPr>
          <w:b/>
        </w:rPr>
        <w:t xml:space="preserve">Source: </w:t>
      </w:r>
      <w:r>
        <w:t>Wiley: Advanced Energy Materials: Table of Contents</w:t>
      </w:r>
      <w:r>
        <w:t xml:space="preserve">    </w:t>
      </w:r>
      <w:r>
        <w:rPr>
          <w:b/>
        </w:rPr>
        <w:t xml:space="preserve">Pub date: </w:t>
      </w:r>
      <w:r>
        <w:t>2026-03-17 09:18:47+00:00</w:t>
      </w:r>
      <w:r>
        <w:t xml:space="preserve">    </w:t>
      </w:r>
      <w:r>
        <w:rPr>
          <w:b/>
        </w:rPr>
        <w:t xml:space="preserve">DOI: </w:t>
      </w:r>
      <w:hyperlink r:id="rId32">
        <w:r>
          <w:rPr>
            <w:color w:val="1155CC"/>
            <w:u w:val="single"/>
          </w:rPr>
          <w:t>10.1002/aenm.70834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当前用于薄膜金属卤化物钙钛矿的封装结构无法充分消除所有环境应力源。在此，我们开发了低透过率的屏障层，使用原子层沉积（ALD）直接在完成的光伏（PV）器件堆栈上生长的氧化铝，以提供额外的密封，在完全封装之前。我们研究了沉积温度和氧化剂化学对屏障生长的影响，以保护钙钛矿光伏器件。我们对各层进行单独表征，然后集成到器件中，详细说明保护与沉积兼容性之间的权衡。为了增强兼容性和不透水性，我们提出了一种在核过程中使用水作为铝氧化剂的方法。</w:t>
      </w:r>
    </w:p>
    <w:p>
      <w:pPr>
        <w:spacing w:before="0" w:after="200" w:lineRule="auto" w:line="276"/>
      </w:pPr>
      <w:r>
        <w:rPr>
          <w:b/>
        </w:rPr>
        <w:t xml:space="preserve">Abstract (EN): </w:t>
      </w:r>
      <w:r>
        <w:t>Current encapsulation architectures for thin‐film metal halide perovskite do not adequately eliminate all ambient stressors. Here, we develop low transmission rate barrier layers using atomic layer deposited (ALD) aluminum oxide grown directly on the completed photovoltaic (PV) device stack to provide an additional seal, prior to full packaging. We investigate the effect of deposition temperature and oxidant chemistries on the barrier growth for protection of perovskite photovoltaic devices. We characterize the layers individually, then integrate into devices to detail the tradeoff between protection and deposition compatibility. To enhance compatibility and impermeability, we present an approach using water as the aluminum oxidant during nucleation and switching from water to ozone for the remainder of the growth. At 50 nm, the barrier results in a water vapor transmission rate (WVTR) of 4.5·10</w:t>
      </w:r>
      <w:r>
        <w:t xml:space="preserve"> </w:t>
      </w:r>
      <w:r>
        <w:t>−4</w:t>
      </w:r>
      <w:r>
        <w:t xml:space="preserve"> </w:t>
      </w:r>
      <w:r>
        <w:t>g/m</w:t>
      </w:r>
      <w:r>
        <w:rPr>
          <w:vertAlign w:val="subscript"/>
        </w:rPr>
        <w:t>2</w:t>
      </w:r>
      <w:r>
        <w:t>/day, and 1,000‐hour device stability under 45°C with 85% relative humidity without further packaging. This barrier provides sufficient protection to enable minimal degradation of the perovskite solar cells while completely submerged in water for 140 minutes. Additionally, we characterize the oxygen transmission rate (OTR) to be 0.49 cm</w:t>
      </w:r>
      <w:r>
        <w:rPr>
          <w:vertAlign w:val="subscript"/>
        </w:rPr>
        <w:t>3</w:t>
      </w:r>
      <w:r>
        <w:t>/m</w:t>
      </w:r>
      <w:r>
        <w:rPr>
          <w:vertAlign w:val="subscript"/>
        </w:rPr>
        <w:t>2</w:t>
      </w:r>
      <w:r>
        <w:t>/day at 23°C and 0% relative humidity, which is 1.5 orders of magnitude improvement over the OTR of the current encapsulation.</w:t>
      </w:r>
    </w:p>
    <w:p>
      <w:pPr>
        <w:spacing w:before="120" w:after="120"/>
      </w:pPr>
      <w:r>
        <w:rPr>
          <w:sz w:val="18"/>
        </w:rPr>
        <w:t>——————————————————————————————————————————————————————————————————————</w:t>
      </w:r>
    </w:p>
    <w:p>
      <w:pPr>
        <w:spacing w:before="160" w:after="40" w:line="240" w:lineRule="auto"/>
      </w:pPr>
      <w:r>
        <w:rPr>
          <w:b/>
        </w:rPr>
        <w:t xml:space="preserve">[14] </w:t>
      </w:r>
      <w:hyperlink r:id="rId33">
        <w:r>
          <w:rPr>
            <w:color w:val="1155CC"/>
            <w:u w:val="single"/>
          </w:rPr>
          <w:t>自发钙钛矿钝化剂具有双功能基团</w:t>
        </w:r>
      </w:hyperlink>
    </w:p>
    <w:p>
      <w:pPr>
        <w:spacing w:before="0" w:after="80"/>
      </w:pPr>
      <w:r>
        <w:rPr>
          <w:i/>
          <w:sz w:val="20"/>
        </w:rPr>
        <w:t>EN: Spontaneous Perovskite Passivator Featuring Dual Functional Groups</w:t>
      </w:r>
    </w:p>
    <w:p>
      <w:pPr>
        <w:spacing w:before="0" w:after="120"/>
      </w:pPr>
      <w:r>
        <w:rPr>
          <w:b/>
        </w:rPr>
        <w:t xml:space="preserve">Source: </w:t>
      </w:r>
      <w:r>
        <w:t>Wiley: Advanced Energy Materials: Table of Contents</w:t>
      </w:r>
      <w:r>
        <w:t xml:space="preserve">    </w:t>
      </w:r>
      <w:r>
        <w:rPr>
          <w:b/>
        </w:rPr>
        <w:t xml:space="preserve">Pub date: </w:t>
      </w:r>
      <w:r>
        <w:t>2026-03-17 10:16:34+00:00</w:t>
      </w:r>
      <w:r>
        <w:t xml:space="preserve">    </w:t>
      </w:r>
      <w:r>
        <w:rPr>
          <w:b/>
        </w:rPr>
        <w:t xml:space="preserve">DOI: </w:t>
      </w:r>
      <w:hyperlink r:id="rId34">
        <w:r>
          <w:rPr>
            <w:color w:val="1155CC"/>
            <w:u w:val="single"/>
          </w:rPr>
          <w:t>10.1002/aenm.202506494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s）的最新进展是自发异质界面调节剂（SHMs）的出现，消除了传统异质界面修饰所需的额外处理。在SHMs中，作为空穴传输材料（HTM）添加剂的烷基-伯-铵-双（三氟甲基磺酰）亚胺（RA-TFSIs）能够自发钙钛矿钝化。在HTM沉积后，RA阳离子通过铵（NH3+）基团的强吸附钝化钙钛矿表面。然而，传统的RA-TFSIs仅钝化A位缺陷，限制了其有效性。此外，具有多种功能的RA成分...</w:t>
      </w:r>
    </w:p>
    <w:p>
      <w:pPr>
        <w:spacing w:before="0" w:after="200" w:lineRule="auto" w:line="276"/>
      </w:pPr>
      <w:r>
        <w:rPr>
          <w:b/>
        </w:rPr>
        <w:t xml:space="preserve">Abstract (EN): </w:t>
      </w:r>
      <w:r>
        <w:t>A recent advancement in perovskite solar cells (PSCs) is the emergence of spontaneous heterointerface modulators (SHMs), which eliminate the additional processing required for conventional heterointerface modification. Among SHMs, alkyl‐primary‐ammonium‐bis(trifluoromethylsulfonyl)imides (RA‐TFSIs), used as hole‐transport material (HTM) additives, enable spontaneous perovskite passivation. Upon HTM deposition, RA cations passivate the perovskite surface through strong adsorption via the ammonium (NH</w:t>
      </w:r>
      <w:r>
        <w:rPr>
          <w:vertAlign w:val="subscript"/>
        </w:rPr>
        <w:t>3</w:t>
      </w:r>
      <w:r>
        <w:t>+</w:t>
      </w:r>
      <w:r>
        <w:t xml:space="preserve"> </w:t>
      </w:r>
      <w:r>
        <w:t>) moiety. However, conventional RA‐TFSIs only passivate</w:t>
      </w:r>
      <w:r>
        <w:t xml:space="preserve"> </w:t>
      </w:r>
      <w:r>
        <w:t>A</w:t>
      </w:r>
      <w:r>
        <w:t xml:space="preserve"> </w:t>
      </w:r>
      <w:r>
        <w:t>‐site defects, limiting their effectiveness. Moreover, RA components with multiple functional groups have not been explored. Here, we propose a strategy to suppress multiple defect sites using a spontaneous passivator with dual functional groups. 2‐thiophene‐ethyl‐ammonium‐TFSI (TEA‐TFSI) is newly synthesized and verified as a spontaneous perovskite passivator for n–i–p PSCs employing thermally stable poly[bis(4‐phenyl)(2,4,6‐trimethylphenyl)amine] (PTAA) as the HTM. Spontaneous passivation using TEA‐TFSI forms a monolayer‐like overlayer, where TEA cations are adsorbed at both</w:t>
      </w:r>
      <w:r>
        <w:t xml:space="preserve"> </w:t>
      </w:r>
      <w:r>
        <w:t>A</w:t>
      </w:r>
      <w:r>
        <w:t xml:space="preserve"> </w:t>
      </w:r>
      <w:r>
        <w:t>‐ and</w:t>
      </w:r>
      <w:r>
        <w:t xml:space="preserve"> </w:t>
      </w:r>
      <w:r>
        <w:t>X</w:t>
      </w:r>
      <w:r>
        <w:t xml:space="preserve"> </w:t>
      </w:r>
      <w:r>
        <w:t>‐site defects via ammonium and thiophene moieties, respectively, overcoming the single‐site limitation of RA‐TFSIs. The TEA overlayer also improves PTAA adhesion. Consequently, PSCs achieve power conversion efficiencies of 22.2% (≈0.12 cm</w:t>
      </w:r>
      <w:r>
        <w:rPr>
          <w:vertAlign w:val="subscript"/>
        </w:rPr>
        <w:t>2</w:t>
      </w:r>
      <w:r>
        <w:t>minicells) and 21.7% (≈1.6 cm</w:t>
      </w:r>
      <w:r>
        <w:rPr>
          <w:vertAlign w:val="subscript"/>
        </w:rPr>
        <w:t>2</w:t>
      </w:r>
      <w:r>
        <w:t>minimodules, active area: 1.41 cm</w:t>
      </w:r>
      <w:r>
        <w:rPr>
          <w:vertAlign w:val="subscript"/>
        </w:rPr>
        <w:t>2</w:t>
      </w:r>
      <w:r>
        <w:t>), respectively, with thermal stability. This work establishes a general design principle for multifunctional spontaneous passivators and advances materials science.</w:t>
      </w:r>
    </w:p>
    <w:p>
      <w:pPr>
        <w:spacing w:before="120" w:after="120"/>
      </w:pPr>
      <w:r>
        <w:rPr>
          <w:sz w:val="18"/>
        </w:rPr>
        <w:t>——————————————————————————————————————————————————————————————————————</w:t>
      </w:r>
    </w:p>
    <w:p>
      <w:pPr>
        <w:spacing w:before="160" w:after="40" w:line="240" w:lineRule="auto"/>
      </w:pPr>
      <w:r>
        <w:rPr>
          <w:b/>
        </w:rPr>
        <w:t xml:space="preserve">[15] </w:t>
      </w:r>
      <w:hyperlink r:id="rId35">
        <w:r>
          <w:rPr>
            <w:color w:val="1155CC"/>
            <w:u w:val="single"/>
          </w:rPr>
          <w:t>[ASAP] 双功能 D−π–A 配体引导自组织界面钝化以提高钙钛矿光伏效率</w:t>
        </w:r>
      </w:hyperlink>
    </w:p>
    <w:p>
      <w:pPr>
        <w:spacing w:before="0" w:after="80"/>
      </w:pPr>
      <w:r>
        <w:rPr>
          <w:i/>
          <w:sz w:val="20"/>
        </w:rPr>
        <w:t>EN: [ASAP] Bifunctional D−π–A Ligand Directs Self-Organized Interface Passivation for Efficient Perovskite Photovoltaics</w:t>
      </w:r>
    </w:p>
    <w:p>
      <w:pPr>
        <w:spacing w:before="0" w:after="120"/>
      </w:pPr>
      <w:r>
        <w:rPr>
          <w:b/>
        </w:rPr>
        <w:t xml:space="preserve">Source: </w:t>
      </w:r>
      <w:r>
        <w:t>Journal of the American Chemical Society: Latest Articles (ACS Publications)</w:t>
      </w:r>
      <w:r>
        <w:t xml:space="preserve">    </w:t>
      </w:r>
      <w:r>
        <w:rPr>
          <w:b/>
        </w:rPr>
        <w:t xml:space="preserve">Pub date: </w:t>
      </w:r>
      <w:r>
        <w:t>2026-03-17 15:00:27+00:00</w:t>
      </w:r>
      <w:r>
        <w:t xml:space="preserve">    </w:t>
      </w:r>
      <w:r>
        <w:rPr>
          <w:b/>
        </w:rPr>
        <w:t xml:space="preserve">DOI: </w:t>
      </w:r>
      <w:hyperlink r:id="rId36">
        <w:r>
          <w:rPr>
            <w:color w:val="1155CC"/>
            <w:u w:val="single"/>
          </w:rPr>
          <w:t>10.1021/jacs.6c02548</w:t>
        </w:r>
      </w:hyperlink>
    </w:p>
    <w:p>
      <w:pPr>
        <w:spacing w:before="0" w:after="120"/>
      </w:pPr>
      <w:r>
        <w:rPr>
          <w:b/>
        </w:rPr>
        <w:t xml:space="preserve">Notes: </w:t>
      </w:r>
      <w:r>
        <w:t>abstract_source=pubmed</w:t>
      </w:r>
    </w:p>
    <w:p>
      <w:pPr>
        <w:spacing w:before="0" w:after="80" w:lineRule="auto" w:line="276"/>
      </w:pPr>
      <w:r>
        <w:rPr>
          <w:b/>
        </w:rPr>
        <w:t xml:space="preserve">摘要（ZH）: </w:t>
      </w:r>
      <w:r>
        <w:t>钝化工程已成为提高钙钛矿太阳能电池（PSCs）性能和稳定性的重要策略之一。然而，大多数后处理或埋入式钝化方法都是深度依赖的，分别针对体相或界面缺陷的不同试剂，使薄膜加工复杂化并限制大规模制造。在此，我们报告了一种双功能D-π-A钝化配体，三苯胺-呋喃-氰基丙烯酸（TPA-FCA），它结合了亲水锚定基团和笨重的疏水供体-π骨架。这种双功能TPA-FCA在结晶的钙钛矿薄膜中自组织，垂直分离到两个界面，同时钝化钙钛矿体相和相邻界面的缺陷。这个特征</w:t>
      </w:r>
    </w:p>
    <w:p>
      <w:pPr>
        <w:spacing w:before="0" w:after="200" w:lineRule="auto" w:line="276"/>
      </w:pPr>
      <w:r>
        <w:rPr>
          <w:b/>
        </w:rPr>
        <w:t xml:space="preserve">Abstract (EN): </w:t>
      </w:r>
      <w:r>
        <w:t>Passivating engineering has emerged as one of the most important strategies for improving the performance and stability of perovskite solar cells (PSCs). However, most post-treatment or buried-in passivation approaches are depth-dependent, where separate agents target either bulk or interfacial defects, complicating film processing and limiting large-scale fabrication. Here, we report a bifunctional D-π-A passivating ligand, triphenylamine-furan-cyanoacrylic acid (TPA-FCA), which integrates a hydrophilic anchoring group with a bulky hydrophobic donor-π scaffold. Such bifunctional TPA-FCA self-organizes within the as-crystallized perovskite film, vertically segregating to both interfaces and simultaneously passivating the defects in the perovskite bulk and at adjacent interfaces. This characteristic enables TPA-FCA to suppress both nonradiative and charge-transport losses in the complete PSCs. Consequently, PSCs incorporating TPA-FCA deliver a champion efficiency of 26.56% (26.37% certified) together with remarkable operational stability. Under continuous maximum power point tracking at 65 °C (ISOS-L-2), the unencapsulated TPA-FCA device maintains 90% of its initial efficiency after 1400 h (T90 = 1400 h). Further fabrication of large-area (30 cm × 30 cm) perovskite submodules demonstrates the passivation efficacy of the TPA-FCA, yielding a certified efficiency of 21.93%. This work provides fundamental insights into self-organized ligands and demonstrates an applicable molecular design strategy for high-performance, stable, and scalable perovskite photovoltaics.</w:t>
      </w:r>
    </w:p>
    <w:p>
      <w:pPr>
        <w:spacing w:before="120" w:after="120"/>
      </w:pPr>
      <w:r>
        <w:rPr>
          <w:sz w:val="18"/>
        </w:rPr>
        <w:t>——————————————————————————————————————————————————————————————————————</w:t>
      </w:r>
    </w:p>
    <w:p>
      <w:pPr>
        <w:spacing w:before="160" w:after="40" w:line="240" w:lineRule="auto"/>
      </w:pPr>
      <w:r>
        <w:rPr>
          <w:b/>
        </w:rPr>
        <w:t xml:space="preserve">[16] </w:t>
      </w:r>
      <w:hyperlink r:id="rId37">
        <w:r>
          <w:rPr>
            <w:color w:val="1155CC"/>
            <w:u w:val="single"/>
          </w:rPr>
          <w:t>用于缓解钙钛矿太阳能电池反向偏压的集成忆阻器</w:t>
        </w:r>
      </w:hyperlink>
    </w:p>
    <w:p>
      <w:pPr>
        <w:spacing w:before="0" w:after="80"/>
      </w:pPr>
      <w:r>
        <w:rPr>
          <w:i/>
          <w:sz w:val="20"/>
        </w:rPr>
        <w:t>EN: Integrated memristor for mitigating reverse-bias in perovskite solar cells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38">
        <w:r>
          <w:rPr>
            <w:color w:val="1155CC"/>
            <w:u w:val="single"/>
          </w:rPr>
          <w:t>10.1038/s41586-026-10275-3</w:t>
        </w:r>
      </w:hyperlink>
    </w:p>
    <w:p>
      <w:pPr>
        <w:spacing w:before="0" w:after="120"/>
      </w:pPr>
      <w:r>
        <w:rPr>
          <w:b/>
        </w:rPr>
        <w:t xml:space="preserve">Notes: </w:t>
      </w:r>
      <w:r>
        <w:t>abstract_source=nature_html</w:t>
      </w:r>
    </w:p>
    <w:p>
      <w:pPr>
        <w:spacing w:before="0" w:after="80" w:lineRule="auto" w:line="276"/>
      </w:pPr>
      <w:r>
        <w:rPr>
          <w:b/>
        </w:rPr>
        <w:t xml:space="preserve">摘要（ZH）: </w:t>
      </w:r>
      <w:r>
        <w:t>钙钛矿太阳能电池（PSCs）具有与成熟技术相当的功率转换效率，因其多功能性、低成本和节能的制造工艺而被认为是未来光伏技术的巨大希望1。然而，PSCs在中等反向偏压下不稳定2,3,4，这在实际操作中是不可避免的情况，例如，由于模块的部分遮光或与串联连接的PSCs安装造成的。解决这一问题的方法集中在工程化设备架构以提高击穿电压并减轻反向偏压的有害影响2,5,6。我们在此提出一种完全不同的方法，彻底解决了反向偏压问题。通过我们的Memsol，我们开发了一种新的太阳能电池概念。</w:t>
      </w:r>
    </w:p>
    <w:p>
      <w:pPr>
        <w:spacing w:before="0" w:after="200" w:lineRule="auto" w:line="276"/>
      </w:pPr>
      <w:r>
        <w:rPr>
          <w:b/>
        </w:rPr>
        <w:t xml:space="preserve">Abstract (EN): </w:t>
      </w:r>
      <w:r>
        <w:t>Perovskite solar cells (PSCs) with power-conversion efficiencies comparable to established technologies hold huge promise for becoming the future photovoltaic technology, also given their versatility, low-cost and energy-efficient fabrication processes1. However, PSCs are not stable under moderate reverse bias2,3,4, an unavoidable situation under real-world operation, for instance, caused by partial shading of a module or installation with PSCs connected in series. Approaches to address this issue have focused on engineering the device architecture to enhance the breakdown voltage and mitigate the detrimental effects of reverse bias2,5,6. Here we present a completely different approach that fully solves the reverse-bias issue. With our Memsol, we developed a new concept of a solar cell with an integrated memristor, which protects the solar cell and simultaneously works as a bypass element. The memristor is realized by area-selective deposition of an additional metal–insulator stack and shares the perovskite and electrodes with the solar-cell part. Reverse-bias and shading tests show that the Memsol remains stable and automatically toggles between a low-resistance bypass state and full-efficiency solar-cell operation, dependent on the illumination and bias conditions. We anticipate that our Memsol concept, which we demonstrated on a nine-cell string in the lab, will be implemented in large-scale modules, accelerating their commercialization and potentially making external bypass diodes unnecessary.</w:t>
      </w:r>
    </w:p>
    <w:p>
      <w:pPr>
        <w:spacing w:before="120" w:after="120"/>
      </w:pPr>
      <w:r>
        <w:rPr>
          <w:sz w:val="18"/>
        </w:rPr>
        <w:t>——————————————————————————————————————————————————————————————————————</w:t>
      </w:r>
    </w:p>
    <w:p>
      <w:pPr>
        <w:spacing w:before="160" w:after="40" w:line="240" w:lineRule="auto"/>
      </w:pPr>
      <w:r>
        <w:rPr>
          <w:b/>
        </w:rPr>
        <w:t xml:space="preserve">[17] </w:t>
      </w:r>
      <w:hyperlink r:id="rId39">
        <w:r>
          <w:rPr>
            <w:color w:val="1155CC"/>
            <w:u w:val="single"/>
          </w:rPr>
          <w:t>局部异质成核用于金属卤化物钙钛矿的蒸汽辅助顺序沉积</w:t>
        </w:r>
      </w:hyperlink>
    </w:p>
    <w:p>
      <w:pPr>
        <w:spacing w:before="0" w:after="80"/>
      </w:pPr>
      <w:r>
        <w:rPr>
          <w:i/>
          <w:sz w:val="20"/>
        </w:rPr>
        <w:t>EN: Localized Heterogeneous Nucleation for Vapor‐Assisted Sequential Deposition of Metal Halide Perovskites</w:t>
      </w:r>
    </w:p>
    <w:p>
      <w:pPr>
        <w:spacing w:before="0" w:after="120"/>
      </w:pPr>
      <w:r>
        <w:rPr>
          <w:b/>
        </w:rPr>
        <w:t xml:space="preserve">Source: </w:t>
      </w:r>
      <w:r>
        <w:t>Wiley: Advanced Energy Materials: Table of Contents</w:t>
      </w:r>
      <w:r>
        <w:t xml:space="preserve">    </w:t>
      </w:r>
      <w:r>
        <w:rPr>
          <w:b/>
        </w:rPr>
        <w:t xml:space="preserve">Pub date: </w:t>
      </w:r>
      <w:r>
        <w:t>2026-03-18 14:38:55+00:00</w:t>
      </w:r>
      <w:r>
        <w:t xml:space="preserve">    </w:t>
      </w:r>
      <w:r>
        <w:rPr>
          <w:b/>
        </w:rPr>
        <w:t xml:space="preserve">DOI: </w:t>
      </w:r>
      <w:hyperlink r:id="rId40">
        <w:r>
          <w:rPr>
            <w:color w:val="1155CC"/>
            <w:u w:val="single"/>
          </w:rPr>
          <w:t>10.1002/aenm.202506804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蒸汽辅助的混合两步沉积法结合了热蒸发的无机层和溶液处理的有机卤化物以形成卤化物钙钛矿，已成为一种可扩展且与工业兼容的纹理化串联光伏路线。然而，这一过程常常受到反应限制的相形成的阻碍，特别是当由热蒸发形成的致密、非多孔且高度结晶的无机层限制后续转化时，导致反应不完全和显著的深度依赖异质性。在这项研究中，我们引入了一种通过引入局部异质成核位点来调节无机前驱体层的策略。稀疏分布的亲水性金属氧化物物种作为有效的成核</w:t>
      </w:r>
    </w:p>
    <w:p>
      <w:pPr>
        <w:spacing w:before="0" w:after="200" w:lineRule="auto" w:line="276"/>
      </w:pPr>
      <w:r>
        <w:rPr>
          <w:b/>
        </w:rPr>
        <w:t xml:space="preserve">Abstract (EN): </w:t>
      </w:r>
      <w:r>
        <w:t>Vapor‐assisted hybrid two‐step deposition, which combines thermally evaporated inorganic layers with solution‐processed organic halides to form halide perovskites, has emerged as a scalable and industry‐compatible route for textured tandem photovoltaics. However, this process is often hindered by reaction‐limited phase formation, particularly when compact, non‐porous, and highly crystalline inorganic layers formed by thermal evaporation restrict subsequent conversion, resulting in incomplete reaction and pronounced depth‐dependent heterogeneity. In this study, we introduce a strategy to regulate the inorganic precursor layer by incorporating localized heterogeneous nucleation sites. Sparsely distributed hydrophilic metal oxide species serve as effective nucleation centers during vapor deposition, enabling effective control over film morphology and crystal orientation from the early stages of growth. This tailored inorganic framework facilitates the subsequent incorporation of organic halides, alleviating reaction limitations and suppressing residual unreacted precursors. Consequently, the perovskite films exhibit improved stoichiometric uniformity and enhanced optoelectronic quality, enabling wide‐bandgap perovskite solar cells with markedly improved performance and operational stability. This work provides important mechanistic insight into crystal growth engineering of vapor‐deposited perovskite thin films.</w:t>
      </w:r>
    </w:p>
    <w:p>
      <w:pPr>
        <w:spacing w:before="120" w:after="120"/>
      </w:pPr>
      <w:r>
        <w:rPr>
          <w:sz w:val="18"/>
        </w:rPr>
        <w:t>——————————————————————————————————————————————————————————————————————</w:t>
      </w:r>
    </w:p>
    <w:p>
      <w:pPr>
        <w:spacing w:before="160" w:after="40" w:line="240" w:lineRule="auto"/>
      </w:pPr>
      <w:r>
        <w:rPr>
          <w:b/>
        </w:rPr>
        <w:t xml:space="preserve">[18] </w:t>
      </w:r>
      <w:hyperlink r:id="rId41">
        <w:r>
          <w:rPr>
            <w:color w:val="1155CC"/>
            <w:u w:val="single"/>
          </w:rPr>
          <w:t>[ASAP] 无铵层状钙钛矿在层间交替阳离子用于宽带隙太阳能电池</w:t>
        </w:r>
      </w:hyperlink>
    </w:p>
    <w:p>
      <w:pPr>
        <w:spacing w:before="0" w:after="80"/>
      </w:pPr>
      <w:r>
        <w:rPr>
          <w:i/>
          <w:sz w:val="20"/>
        </w:rPr>
        <w:t>EN: [ASAP] Ammonium-Free-Layered-Perovskites with Alternating Cations in the Interlayer for Wide-Bandgap Solar Cells</w:t>
      </w:r>
    </w:p>
    <w:p>
      <w:pPr>
        <w:spacing w:before="0" w:after="120"/>
      </w:pPr>
      <w:r>
        <w:rPr>
          <w:b/>
        </w:rPr>
        <w:t xml:space="preserve">Source: </w:t>
      </w:r>
      <w:r>
        <w:t>ACS Energy Letters: Latest Articles (ACS Publications)</w:t>
      </w:r>
      <w:r>
        <w:t xml:space="preserve">    </w:t>
      </w:r>
      <w:r>
        <w:rPr>
          <w:b/>
        </w:rPr>
        <w:t xml:space="preserve">Pub date: </w:t>
      </w:r>
      <w:r>
        <w:t>2026-03-18 19:20:14+00:00</w:t>
      </w:r>
      <w:r>
        <w:t xml:space="preserve">    </w:t>
      </w:r>
      <w:r>
        <w:rPr>
          <w:b/>
        </w:rPr>
        <w:t xml:space="preserve">DOI: </w:t>
      </w:r>
      <w:hyperlink r:id="rId42">
        <w:r>
          <w:rPr>
            <w:color w:val="1155CC"/>
            <w:u w:val="single"/>
          </w:rPr>
          <w:t>10.1021/acsenergylett.5c04210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43">
        <w:r>
          <w:rPr>
            <w:color w:val="1155CC"/>
            <w:u w:val="single"/>
          </w:rPr>
          <w:t>通过平衡相演变抑制硫化铜锌锡太阳能电池中的缺陷以实现15.1%认证记录效率</w:t>
        </w:r>
      </w:hyperlink>
    </w:p>
    <w:p>
      <w:pPr>
        <w:spacing w:before="0" w:after="80"/>
      </w:pPr>
      <w:r>
        <w:rPr>
          <w:i/>
          <w:sz w:val="20"/>
        </w:rPr>
        <w:t>EN: Suppressing defects in kesterite solar cells via balanced phase evolution to enable 15.1% certified record efficiency</w:t>
      </w:r>
    </w:p>
    <w:p>
      <w:pPr>
        <w:spacing w:before="0" w:after="120"/>
      </w:pPr>
      <w:r>
        <w:rPr>
          <w:b/>
        </w:rPr>
        <w:t xml:space="preserve">Source: </w:t>
      </w:r>
      <w:r>
        <w:t>Joule</w:t>
      </w:r>
      <w:r>
        <w:t xml:space="preserve">    </w:t>
      </w:r>
      <w:r>
        <w:rPr>
          <w:b/>
        </w:rPr>
        <w:t xml:space="preserve">Pub date: </w:t>
      </w:r>
      <w:r>
        <w:t>2026-03-19 00:00:00+00:00</w:t>
      </w:r>
      <w:r>
        <w:t xml:space="preserve">    </w:t>
      </w:r>
      <w:r>
        <w:rPr>
          <w:b/>
        </w:rPr>
        <w:t xml:space="preserve">DOI: </w:t>
      </w:r>
      <w:hyperlink r:id="rId44">
        <w:r>
          <w:rPr>
            <w:color w:val="1155CC"/>
            <w:u w:val="single"/>
          </w:rPr>
          <w:t>10.1016/j.joule.2026.102345</w:t>
        </w:r>
      </w:hyperlink>
    </w:p>
    <w:p>
      <w:pPr>
        <w:spacing w:before="0" w:after="120"/>
      </w:pPr>
      <w:r>
        <w:rPr>
          <w:b/>
        </w:rPr>
        <w:t xml:space="preserve">Notes: </w:t>
      </w:r>
      <w:r>
        <w:t>abstract_source=rss_cell</w:t>
      </w:r>
    </w:p>
    <w:p>
      <w:pPr>
        <w:spacing w:before="0" w:after="80" w:lineRule="auto" w:line="276"/>
      </w:pPr>
      <w:r>
        <w:rPr>
          <w:b/>
        </w:rPr>
        <w:t xml:space="preserve">摘要（ZH）: </w:t>
      </w:r>
      <w:r>
        <w:t>黄铜矿（CZTSSe）太阳能电池使用地球丰富的无毒元素，但其效率受到复杂缺陷的限制。我们表明，在硒化过程中中间相的不平衡会引发有害的锌相关缺陷。引入反应性Na-Sex物种加速Cu2SnSe3的形成，并平衡相演变为CZTSSe，抑制缺陷形成。这种动力学控制实现了认证的15.1%器件性能，达到了可持续薄膜光伏商业化的关键基准。</w:t>
      </w:r>
    </w:p>
    <w:p>
      <w:pPr>
        <w:spacing w:before="0" w:after="200" w:lineRule="auto" w:line="276"/>
      </w:pPr>
      <w:r>
        <w:rPr>
          <w:b/>
        </w:rPr>
        <w:t xml:space="preserve">Abstract (EN): </w:t>
      </w:r>
      <w:r>
        <w:t>Kesterite (CZTSSe) solar cells use earth-abundant, non-toxic elements but their efficiency is limited by complex defects. We show that an imbalance between intermediate phases during selenization triggers harmful Zn-related defects. Introducing reactive Na-Sex species accelerates Cu2SnSe3 formation and balances phase evolution into CZTSSe, suppressing defect formation. This kinetic control enables a certified 15.1% device performance, clearing a key commercialization benchmark for sustainable thin-film photovoltaics.</w:t>
      </w:r>
    </w:p>
    <w:p>
      <w:pPr>
        <w:spacing w:before="120" w:after="120"/>
      </w:pPr>
      <w:r>
        <w:rPr>
          <w:sz w:val="18"/>
        </w:rPr>
        <w:t>——————————————————————————————————————————————————————————————————————</w:t>
      </w:r>
    </w:p>
    <w:p>
      <w:pPr>
        <w:spacing w:before="160" w:after="40" w:line="240" w:lineRule="auto"/>
      </w:pPr>
      <w:r>
        <w:rPr>
          <w:b/>
        </w:rPr>
        <w:t xml:space="preserve">[20] </w:t>
      </w:r>
      <w:hyperlink r:id="rId45">
        <w:r>
          <w:rPr>
            <w:color w:val="1155CC"/>
            <w:u w:val="single"/>
          </w:rPr>
          <w:t>通过反向顺序沉积突破倒置太阳能电池的效率瓶颈</w:t>
        </w:r>
      </w:hyperlink>
    </w:p>
    <w:p>
      <w:pPr>
        <w:spacing w:before="0" w:after="80"/>
      </w:pPr>
      <w:r>
        <w:rPr>
          <w:i/>
          <w:sz w:val="20"/>
        </w:rPr>
        <w:t>EN: Breaking the Efficiency Bottleneck of Inverted Solar Cells by Reversed Sequential Deposition</w:t>
      </w:r>
    </w:p>
    <w:p>
      <w:pPr>
        <w:spacing w:before="0" w:after="120"/>
      </w:pPr>
      <w:r>
        <w:rPr>
          <w:b/>
        </w:rPr>
        <w:t xml:space="preserve">Source: </w:t>
      </w:r>
      <w:r>
        <w:t>RSC - Energy Environ. Sci. latest articles</w:t>
      </w:r>
      <w:r>
        <w:t xml:space="preserve">    </w:t>
      </w:r>
      <w:r>
        <w:rPr>
          <w:b/>
        </w:rPr>
        <w:t xml:space="preserve">Pub date: </w:t>
      </w:r>
      <w:r>
        <w:t>2026-03-19 00:00:00+00:00</w:t>
      </w:r>
    </w:p>
    <w:p>
      <w:pPr>
        <w:spacing w:before="0" w:after="120"/>
      </w:pPr>
      <w:r>
        <w:rPr>
          <w:b/>
        </w:rPr>
        <w:t xml:space="preserve">Notes: </w:t>
      </w:r>
      <w:r>
        <w:t>abstract_source=rsc_html</w:t>
      </w:r>
    </w:p>
    <w:p>
      <w:pPr>
        <w:spacing w:before="0" w:after="80" w:lineRule="auto" w:line="276"/>
      </w:pPr>
      <w:r>
        <w:rPr>
          <w:b/>
        </w:rPr>
        <w:t xml:space="preserve">摘要（ZH）: </w:t>
      </w:r>
      <w:r>
        <w:t>倒置有机太阳能电池（OSCs）因其优越的操作稳定性而受到认可，但通过逐层（LBL）方法制造时，其效率仍远低于传统架构。这一限制源于在顺序沉积过程中初始小分子受体（SMA）层的固有溶解以及由此产生的垂直组分分布与光场之间的基本不匹配。在此，我们引入了一种反向LBL（r-LBL）策略，该策略颠倒了传统的沉积顺序。我们首先构建一个稳固的聚合物供体（PD）支架，然后进行SMA溶液的间隙渗透。此顺序策略性地将供体定位在透明电极侧，使其分布与光场对齐</w:t>
      </w:r>
    </w:p>
    <w:p>
      <w:pPr>
        <w:spacing w:before="0" w:after="200" w:lineRule="auto" w:line="276"/>
      </w:pPr>
      <w:r>
        <w:rPr>
          <w:b/>
        </w:rPr>
        <w:t xml:space="preserve">Abstract (EN): </w:t>
      </w:r>
      <w:r>
        <w:t>Inverted organic solar cells (OSCs) are recognized for their superior operational stability, yet their efficiency, when fabricated via the layer-by-layer (LBL) approach, has remained substantially behind that of conventional architectures. This limitation stems from the inherent dissolution of the initial small-molecule acceptor (SMA) layer during sequential deposition and a fundamental misalignment between the resultant vertical component distribution and the optical field. Here, we introduce a reversed LBL (r-LBL) strategy, which inverts the conventional deposition sequence. We first construct a robust polymer donor (PD) scaffold, followed by the interstitial infiltration of SMA solutions. This order strategically positions the donor at the transparent electrode side, aligning its distribution with the light intensity maximum for optimal photon harvesting. Concurrently, it prevents the dissolution of the initial layer. The resulting active layer exhibits an ideal “polymer-scaffold-with-SMA-filling” morphology, characterized by enhanced crystallinity and face-on molecular orientation. This leads to inverted OSCs with remarkable power conversion efficiencies (PCEs) of 18.44% (PM6/L8-BO), 18.71% (D18-CI/L8-BO), and 19.20% (PM6/L8-BO:BTP-eC9). These devices also demonstrate exceptional operational stability, retaining over 97% of their initial PCE after 340 hours of continuous illumination. The universality of this r-LBL strategy is further validated in small-molecule-donor:polymer-acceptor systems, establishing it as a foundational and universal processing principle to overcome the efficiency-stability trade-off in inverted OSCs.</w:t>
      </w:r>
    </w:p>
    <w:p>
      <w:pPr>
        <w:spacing w:before="120" w:after="120"/>
      </w:pPr>
      <w:r>
        <w:rPr>
          <w:sz w:val="18"/>
        </w:rPr>
        <w:t>——————————————————————————————————————————————————————————————————————</w:t>
      </w:r>
    </w:p>
    <w:p>
      <w:pPr>
        <w:spacing w:before="160" w:after="40" w:line="240" w:lineRule="auto"/>
      </w:pPr>
      <w:r>
        <w:rPr>
          <w:b/>
        </w:rPr>
        <w:t xml:space="preserve">[21] </w:t>
      </w:r>
      <w:hyperlink r:id="rId46">
        <w:r>
          <w:rPr>
            <w:color w:val="1155CC"/>
            <w:u w:val="single"/>
          </w:rPr>
          <w:t>有机和钙钛矿太阳能电池模块设计综述</w:t>
        </w:r>
      </w:hyperlink>
    </w:p>
    <w:p>
      <w:pPr>
        <w:spacing w:before="0" w:after="80"/>
      </w:pPr>
      <w:r>
        <w:rPr>
          <w:i/>
          <w:sz w:val="20"/>
        </w:rPr>
        <w:t>EN: Review of module designs for organic and perovskite solar cells</w:t>
      </w:r>
    </w:p>
    <w:p>
      <w:pPr>
        <w:spacing w:before="0" w:after="120"/>
      </w:pPr>
      <w:r>
        <w:rPr>
          <w:b/>
        </w:rPr>
        <w:t xml:space="preserve">Source: </w:t>
      </w:r>
      <w:r>
        <w:t>RSC - Energy Environ. Sci. latest articles</w:t>
      </w:r>
      <w:r>
        <w:t xml:space="preserve">    </w:t>
      </w:r>
      <w:r>
        <w:rPr>
          <w:b/>
        </w:rPr>
        <w:t xml:space="preserve">Pub date: </w:t>
      </w:r>
      <w:r>
        <w:t>2026-03-19 00:00:00+00:00</w:t>
      </w:r>
    </w:p>
    <w:p>
      <w:pPr>
        <w:spacing w:before="0" w:after="120"/>
      </w:pPr>
      <w:r>
        <w:rPr>
          <w:b/>
        </w:rPr>
        <w:t xml:space="preserve">Notes: </w:t>
      </w:r>
      <w:r>
        <w:t>abstract_source=rsc_html</w:t>
      </w:r>
    </w:p>
    <w:p>
      <w:pPr>
        <w:spacing w:before="0" w:after="80" w:lineRule="auto" w:line="276"/>
      </w:pPr>
      <w:r>
        <w:rPr>
          <w:b/>
        </w:rPr>
        <w:t xml:space="preserve">摘要（ZH）: </w:t>
      </w:r>
      <w:r>
        <w:t>有机太阳能电池（OSCs）和钙钛矿太阳能电池（PSCs）作为下一代替代传统硅太阳能电池的有前景的选择正在兴起，因为它们的光电转换效率（PCE）迅速提高；具有低成本制造的潜力；并适合多种应用，包括建筑和车辆集成光伏、基于空间的太阳能电源和便携式电源。随着OSCs和PSCs的认证PCE分别达到19.2%和27.0%，现在的重大努力是将这些电池扩大规模以实现商业化。然而，这一转变带来了一个关键挑战：与其小面积电池（~0.1 cm2）相比，大面积模块（&gt;10 cm2）的PCE通常下降20-30%，构成了一个显著的挑战。</w:t>
      </w:r>
    </w:p>
    <w:p>
      <w:pPr>
        <w:spacing w:before="0" w:after="200" w:lineRule="auto" w:line="276"/>
      </w:pPr>
      <w:r>
        <w:rPr>
          <w:b/>
        </w:rPr>
        <w:t xml:space="preserve">Abstract (EN): </w:t>
      </w:r>
      <w:r>
        <w:t>Organic solar cells (OSCs) and perovskite solar cells (PSCs) are emerging as promising next-generation alternatives to conventional silicon solar cells because of their rapidly increasing power conversion efficiency (PCE); potential for low-cost manufacturing; and suitability for diverse applications, including building- and vehicle-integrated photovoltaics, space-based solar power sources, and portable power sources. With the certified PCEs of OSCs and PSCs reaching 19.2% and 27.0%, respectively, significant effort is now directed toward upscaling these cells for commercialization. However, this transition presents a critical challenge: compared with those of their small-area cell (~ 0.1 cm2) counterparts, the PCEs of large-area modules (&gt; 10 cm2) typically decrease by 20–30%, posing a significant barrier to the replacement of silicon-based technologies. While laser scribing is a prevalent technique for producing efficient large-area modules, it frequently introduces process-induced damage and stability concerns, as well as high process costs. This review critically examines the various module designs that are used in OSC and PSC fabrication schemes, summarizes the tradeoffs among different patterning techniques, and proposes future design directions that can bridge the efficiency gap and provide enhanced long-term stability.</w:t>
      </w:r>
    </w:p>
    <w:p>
      <w:pPr>
        <w:spacing w:before="120" w:after="120"/>
      </w:pPr>
      <w:r>
        <w:rPr>
          <w:sz w:val="18"/>
        </w:rPr>
        <w:t>——————————————————————————————————————————————————————————————————————</w:t>
      </w:r>
    </w:p>
    <w:p>
      <w:pPr>
        <w:spacing w:before="160" w:after="40" w:line="240" w:lineRule="auto"/>
      </w:pPr>
      <w:r>
        <w:rPr>
          <w:b/>
        </w:rPr>
        <w:t xml:space="preserve">[22] </w:t>
      </w:r>
      <w:hyperlink r:id="rId47">
        <w:r>
          <w:rPr>
            <w:color w:val="1155CC"/>
            <w:u w:val="single"/>
          </w:rPr>
          <w:t>在非融合环电子受体中调节构象熵以实现低成本和创纪录效率的有机太阳能电池</w:t>
        </w:r>
      </w:hyperlink>
    </w:p>
    <w:p>
      <w:pPr>
        <w:spacing w:before="0" w:after="80"/>
      </w:pPr>
      <w:r>
        <w:rPr>
          <w:i/>
          <w:sz w:val="20"/>
        </w:rPr>
        <w:t>EN: Conformational entropy tuning in nonfused-ring electron acceptors for low-cost and record-efficiency organic solar cells</w:t>
      </w:r>
    </w:p>
    <w:p>
      <w:pPr>
        <w:spacing w:before="0" w:after="120"/>
      </w:pPr>
      <w:r>
        <w:rPr>
          <w:b/>
        </w:rPr>
        <w:t xml:space="preserve">Source: </w:t>
      </w:r>
      <w:r>
        <w:t>National Science Review Advance Access</w:t>
      </w:r>
      <w:r>
        <w:t xml:space="preserve">    </w:t>
      </w:r>
      <w:r>
        <w:rPr>
          <w:b/>
        </w:rPr>
        <w:t xml:space="preserve">Pub date: </w:t>
      </w:r>
      <w:r>
        <w:t>2026-03-19 00:00:00+00:00</w:t>
      </w:r>
      <w:r>
        <w:t xml:space="preserve">    </w:t>
      </w:r>
      <w:r>
        <w:rPr>
          <w:b/>
        </w:rPr>
        <w:t xml:space="preserve">DOI: </w:t>
      </w:r>
      <w:hyperlink r:id="rId48">
        <w:r>
          <w:rPr>
            <w:color w:val="1155CC"/>
            <w:u w:val="single"/>
          </w:rPr>
          <w:t>10.1093/nsr/nwag177</w:t>
        </w:r>
      </w:hyperlink>
    </w:p>
    <w:p>
      <w:pPr>
        <w:spacing w:before="0" w:after="120"/>
      </w:pPr>
      <w:r>
        <w:rPr>
          <w:b/>
        </w:rPr>
        <w:t xml:space="preserve">Notes: </w:t>
      </w:r>
      <w:r>
        <w:t>abstract_source=rss_oup</w:t>
      </w:r>
    </w:p>
    <w:p>
      <w:pPr>
        <w:spacing w:before="0" w:after="80" w:lineRule="auto" w:line="276"/>
      </w:pPr>
      <w:r>
        <w:rPr>
          <w:b/>
        </w:rPr>
        <w:t xml:space="preserve">摘要（ZH）: </w:t>
      </w:r>
      <w:r>
        <w:t>有机太阳能电池（OSCs）的商业可行性受到成本和性能之间权衡的阻碍。特别是，低成本非融合环电子受体（NFREAs）由于构象无序，限制了其光伏性能。在此，我们战略性地调节构象熵（S</w:t>
      </w:r>
    </w:p>
    <w:p>
      <w:pPr>
        <w:spacing w:before="0" w:after="200" w:lineRule="auto" w:line="276"/>
      </w:pPr>
      <w:r>
        <w:rPr>
          <w:b/>
        </w:rPr>
        <w:t xml:space="preserve">Abstract (EN): </w:t>
      </w:r>
      <w:r>
        <w:t>The commercial viability of organic solar cells (OSCs) is hindered by the trade-off between cost and performance. In particular, low-cost nonfused-ring electron acceptors (NFREAs) suffer from conformational disorder, limiting their photovoltaic performance. Herein, we strategically regulate conformational entropy (S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9">
        <w:r>
          <w:rPr>
            <w:color w:val="1155CC"/>
            <w:u w:val="single"/>
          </w:rPr>
          <w:t>由路易斯酸氯化物电解质添加剂和BiOI阴极实现的高倍率水系铝离子电池</w:t>
        </w:r>
      </w:hyperlink>
    </w:p>
    <w:p>
      <w:pPr>
        <w:spacing w:before="0" w:after="80"/>
      </w:pPr>
      <w:r>
        <w:rPr>
          <w:i/>
          <w:sz w:val="20"/>
        </w:rPr>
        <w:t>EN: High‐Rate Aqueous Aluminum‐Ion Batteries Enabled by Lewis‐Acid Chloride Electrolyte Additives and BiOI Cathodes</w:t>
      </w:r>
    </w:p>
    <w:p>
      <w:pPr>
        <w:spacing w:before="0" w:after="120"/>
      </w:pPr>
      <w:r>
        <w:rPr>
          <w:b/>
        </w:rPr>
        <w:t xml:space="preserve">Source: </w:t>
      </w:r>
      <w:r>
        <w:t>Wiley: Advanced Energy Materials: Table of Contents</w:t>
      </w:r>
      <w:r>
        <w:t xml:space="preserve">    </w:t>
      </w:r>
      <w:r>
        <w:rPr>
          <w:b/>
        </w:rPr>
        <w:t xml:space="preserve">Pub date: </w:t>
      </w:r>
      <w:r>
        <w:t>2026-03-14 08:45:29+00:00</w:t>
      </w:r>
      <w:r>
        <w:t xml:space="preserve">    </w:t>
      </w:r>
      <w:r>
        <w:rPr>
          <w:b/>
        </w:rPr>
        <w:t xml:space="preserve">DOI: </w:t>
      </w:r>
      <w:hyperlink r:id="rId50">
        <w:r>
          <w:rPr>
            <w:color w:val="1155CC"/>
            <w:u w:val="single"/>
          </w:rPr>
          <w:t>10.1002/aenm.202505262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在大多数水系铝离子电池（AAIBs）正极中实现可逆插入/提取是一个重大挑战，因为Al</w:t>
      </w:r>
      <w:r>
        <w:t xml:space="preserve"> </w:t>
      </w:r>
      <w:r>
        <w:t>3+</w:t>
      </w:r>
      <w:r>
        <w:t xml:space="preserve"> </w:t>
      </w:r>
      <w:r>
        <w:t>的高电荷密度和强静电相互作用。在此，我们首次报道了在1 м Al</w:t>
      </w:r>
      <w:r>
        <w:rPr>
          <w:vertAlign w:val="subscript"/>
        </w:rPr>
        <w:t>2</w:t>
      </w:r>
      <w:r>
        <w:t>(SO</w:t>
      </w:r>
      <w:r>
        <w:rPr>
          <w:vertAlign w:val="subscript"/>
        </w:rPr>
        <w:t>4</w:t>
      </w:r>
      <w:r>
        <w:t>)</w:t>
      </w:r>
      <w:r>
        <w:rPr>
          <w:vertAlign w:val="subscript"/>
        </w:rPr>
        <w:t>3</w:t>
      </w:r>
      <w:r>
        <w:t>+ 0.1 м NaCl电解液中，将绣球花状BiOI正极与锌负极集成用于水系可充电电池应用。实验结合密度泛函理论（DFT）分析揭示氯离子（Cl</w:t>
      </w:r>
      <w:r>
        <w:t xml:space="preserve"> </w:t>
      </w:r>
      <w:r>
        <w:t>−</w:t>
      </w:r>
      <w:r>
        <w:t>）部分替代碘离子（I</w:t>
      </w:r>
      <w:r>
        <w:t xml:space="preserve"> </w:t>
      </w:r>
      <w:r>
        <w:t>−</w:t>
      </w:r>
    </w:p>
    <w:p>
      <w:pPr>
        <w:spacing w:before="0" w:after="200" w:lineRule="auto" w:line="276"/>
      </w:pPr>
      <w:r>
        <w:rPr>
          <w:b/>
        </w:rPr>
        <w:t xml:space="preserve">Abstract (EN): </w:t>
      </w:r>
      <w:r>
        <w:t>Achieving reversible insertion/extraction in most cathodes for aqueous aluminum ion batteries (AAIBs) is a significant challenge due to the high charge density of Al</w:t>
      </w:r>
      <w:r>
        <w:t xml:space="preserve"> </w:t>
      </w:r>
      <w:r>
        <w:t>3+</w:t>
      </w:r>
      <w:r>
        <w:t xml:space="preserve"> </w:t>
      </w:r>
      <w:r>
        <w:t>and strong electrostatic interactions. Herein, we reported the first integration of a hydrangea−like BiOI cathode with zinc anode in a 1 м Al</w:t>
      </w:r>
      <w:r>
        <w:rPr>
          <w:vertAlign w:val="subscript"/>
        </w:rPr>
        <w:t>2</w:t>
      </w:r>
      <w:r>
        <w:t>(SO</w:t>
      </w:r>
      <w:r>
        <w:rPr>
          <w:vertAlign w:val="subscript"/>
        </w:rPr>
        <w:t>4</w:t>
      </w:r>
      <w:r>
        <w:t>)</w:t>
      </w:r>
      <w:r>
        <w:rPr>
          <w:vertAlign w:val="subscript"/>
        </w:rPr>
        <w:t>3</w:t>
      </w:r>
      <w:r>
        <w:t>+ 0.1 м NaCl electrolyte for aqueous rechargeable battery application. Experimental combined with density function theory (DFT) analyses reveal that chloride ion (Cl</w:t>
      </w:r>
      <w:r>
        <w:t xml:space="preserve"> </w:t>
      </w:r>
      <w:r>
        <w:t>−</w:t>
      </w:r>
      <w:r>
        <w:t>) partially substitutes iodide (I</w:t>
      </w:r>
      <w:r>
        <w:t xml:space="preserve"> </w:t>
      </w:r>
      <w:r>
        <w:t>−</w:t>
      </w:r>
      <w:r>
        <w:t>) in the BiOI lattice, forming interfaces that facilitate rapid Al</w:t>
      </w:r>
      <w:r>
        <w:t xml:space="preserve"> </w:t>
      </w:r>
      <w:r>
        <w:t>3+</w:t>
      </w:r>
      <w:r>
        <w:t xml:space="preserve"> </w:t>
      </w:r>
      <w:r>
        <w:t>ion deintercalation and intercalation kinetics. The resultant Lewis−acidic environment suppresses parasitic side reaction and mitigates anode passivation. Consequently, the fabricated Zn/AC10/BiOI cell provides a high specific capacity of 203 mAh g</w:t>
      </w:r>
      <w:r>
        <w:t xml:space="preserve"> </w:t>
      </w:r>
      <w:r>
        <w:t>−1</w:t>
      </w:r>
      <w:r>
        <w:t xml:space="preserve"> </w:t>
      </w:r>
      <w:r>
        <w:t>at a high current density of 5 A g</w:t>
      </w:r>
      <w:r>
        <w:t xml:space="preserve"> </w:t>
      </w:r>
      <w:r>
        <w:t>−1</w:t>
      </w:r>
      <w:r>
        <w:t xml:space="preserve"> </w:t>
      </w:r>
      <w:r>
        <w:t>, with a capacity retention rate of 94.1% and coulomb efficiency of nearly 100% even after 1500 cycles. Furthermore, leveraging the strong visible−light absorption of BiOI, the proposed photo‐rechargeable AAIBs exhibits a 23.1% increase in discharge capacity (from 242 mAh g</w:t>
      </w:r>
      <w:r>
        <w:t xml:space="preserve"> </w:t>
      </w:r>
      <w:r>
        <w:t>−1</w:t>
      </w:r>
      <w:r>
        <w:t xml:space="preserve"> </w:t>
      </w:r>
      <w:r>
        <w:t>to 298 mAh g</w:t>
      </w:r>
      <w:r>
        <w:t xml:space="preserve"> </w:t>
      </w:r>
      <w:r>
        <w:t>−1</w:t>
      </w:r>
      <w:r>
        <w:t xml:space="preserve"> </w:t>
      </w:r>
      <w:r>
        <w:t>at 0.5 A g</w:t>
      </w:r>
      <w:r>
        <w:t xml:space="preserve"> </w:t>
      </w:r>
      <w:r>
        <w:t>−1</w:t>
      </w:r>
      <w:r>
        <w:t xml:space="preserve"> </w:t>
      </w:r>
      <w:r>
        <w:t>) under illumination.</w:t>
      </w:r>
    </w:p>
    <w:p>
      <w:pPr>
        <w:spacing w:before="120" w:after="120"/>
      </w:pPr>
      <w:r>
        <w:rPr>
          <w:sz w:val="18"/>
        </w:rPr>
        <w:t>——————————————————————————————————————————————————————————————————————</w:t>
      </w:r>
    </w:p>
    <w:p>
      <w:pPr>
        <w:spacing w:before="160" w:after="40" w:line="240" w:lineRule="auto"/>
      </w:pPr>
      <w:r>
        <w:rPr>
          <w:b/>
        </w:rPr>
        <w:t xml:space="preserve">[2] </w:t>
      </w:r>
      <w:hyperlink r:id="rId51">
        <w:r>
          <w:rPr>
            <w:color w:val="1155CC"/>
            <w:u w:val="single"/>
          </w:rPr>
          <w:t>闪光焦耳加热诱导的富镍层状氧化物正极电极尖晶石相表面以稳定晶格氧</w:t>
        </w:r>
      </w:hyperlink>
    </w:p>
    <w:p>
      <w:pPr>
        <w:spacing w:before="0" w:after="80"/>
      </w:pPr>
      <w:r>
        <w:rPr>
          <w:i/>
          <w:sz w:val="20"/>
        </w:rPr>
        <w:t>EN: Flash joule heating-induced spinel-phase surface in Ni-rich layered oxide positive electrodes to stabilise lattice oxygen</w:t>
      </w:r>
    </w:p>
    <w:p>
      <w:pPr>
        <w:spacing w:before="0" w:after="120"/>
      </w:pPr>
      <w:r>
        <w:rPr>
          <w:b/>
        </w:rPr>
        <w:t xml:space="preserve">Source: </w:t>
      </w:r>
      <w:r>
        <w:t>Nature Communications</w:t>
      </w:r>
      <w:r>
        <w:t xml:space="preserve">    </w:t>
      </w:r>
      <w:r>
        <w:rPr>
          <w:b/>
        </w:rPr>
        <w:t xml:space="preserve">Pub date: </w:t>
      </w:r>
      <w:r>
        <w:t>2026-03-15 00:00:00+00:00</w:t>
      </w:r>
      <w:r>
        <w:t xml:space="preserve">    </w:t>
      </w:r>
      <w:r>
        <w:rPr>
          <w:b/>
        </w:rPr>
        <w:t xml:space="preserve">DOI: </w:t>
      </w:r>
      <w:hyperlink r:id="rId52">
        <w:r>
          <w:rPr>
            <w:color w:val="1155CC"/>
            <w:u w:val="single"/>
          </w:rPr>
          <w:t>10.1038/s41467-026-70616-8</w:t>
        </w:r>
      </w:hyperlink>
    </w:p>
    <w:p>
      <w:pPr>
        <w:spacing w:before="0" w:after="120"/>
      </w:pPr>
      <w:r>
        <w:rPr>
          <w:b/>
        </w:rPr>
        <w:t xml:space="preserve">Notes: </w:t>
      </w:r>
      <w:r>
        <w:t>abstract_source=nature_html</w:t>
      </w:r>
    </w:p>
    <w:p>
      <w:pPr>
        <w:spacing w:before="0" w:after="80" w:lineRule="auto" w:line="276"/>
      </w:pPr>
      <w:r>
        <w:rPr>
          <w:b/>
        </w:rPr>
        <w:t xml:space="preserve">摘要（ZH）: </w:t>
      </w:r>
      <w:r>
        <w:t>高镍层状正极因晶格氧损失和固有晶格应变而遭受渐进性结构退化。尽管表面涂层被广泛用于稳定晶格氧化还原并减轻电化学机械退化，但实现具有完全连续性、稳固界面结合和快速Li+导电性的涂层仍然具有挑战性。在此，我们提出了一种通过自衍生减法策略形成壳层的根本不同的方法，偏离传统的基于添加剂的涂层方法。通过精确施加瞬态热脉冲，选择性地从层状LiNixCoyMn1-x-yO2（x = 0.8 ~ 0.9）中提取表面锂，直接将外部区域转化为具有可调厚度的相干尖晶石相壳层</w:t>
      </w:r>
    </w:p>
    <w:p>
      <w:pPr>
        <w:spacing w:before="0" w:after="200" w:lineRule="auto" w:line="276"/>
      </w:pPr>
      <w:r>
        <w:rPr>
          <w:b/>
        </w:rPr>
        <w:t xml:space="preserve">Abstract (EN): </w:t>
      </w:r>
      <w:r>
        <w:t>High-nickel layered positive electrodes suffer from progressive structural degradation arising from lattice oxygen loss and inherent lattice strain. Although surface coatings are widely used to stabilize lattice-oxygen redox and mitigate electro-chemo-mechanical degradation, achieving coatings with full continuity, robust interfacial bonding, and fast Li+ conductivity remains challenging. Herein, we present a fundamentally different approach to shell formation via a self-derived subtractive strategy, departing from the conventional additive-based coating methods. By accurately applying transient thermal pulses, surface lithium is selectively extracted from layered LiNixCoyMn1-x-yO2 (x = 0.8 ~ 0.9), directly converting the outer region into a coherent spinel-phase shell with tunable thickness. This nanoscale spinel-phase skin forms a robust mortise-and-tenon-like interconnection with the layered bulk, enabling isotropic, high-rate Li+ extraction/insertion while maintaining electronic conductivity throughout cycling. It effectively confines active oxygen intermediates, and suppresses interfacial side reactions and strain evolution under high-potential operation. Therefore, the spinel-phase skin-encapsulated LiNi0.8Co0.1Mn0.1O2 achieves an initial Coulombic efficiency of 95.3% and enables pouch cells with 80.1% capacity retention after 2000 cycles at 180 mA g-1. This strategy is extendable to LiNi0.9Co0.05Mn0.05O2, may open new avenues for advancing nickel-rich positive electrode technologies.</w:t>
      </w:r>
    </w:p>
    <w:p>
      <w:pPr>
        <w:spacing w:before="120" w:after="120"/>
      </w:pPr>
      <w:r>
        <w:rPr>
          <w:sz w:val="18"/>
        </w:rPr>
        <w:t>——————————————————————————————————————————————————————————————————————</w:t>
      </w:r>
    </w:p>
    <w:p>
      <w:pPr>
        <w:spacing w:before="160" w:after="40" w:line="240" w:lineRule="auto"/>
      </w:pPr>
      <w:r>
        <w:rPr>
          <w:b/>
        </w:rPr>
        <w:t xml:space="preserve">[3] </w:t>
      </w:r>
      <w:hyperlink r:id="rId53">
        <w:r>
          <w:rPr>
            <w:color w:val="1155CC"/>
            <w:u w:val="single"/>
          </w:rPr>
          <w:t>磷活化羧基小分子正极用于高比容量和长寿命铁有机电池</w:t>
        </w:r>
      </w:hyperlink>
    </w:p>
    <w:p>
      <w:pPr>
        <w:spacing w:before="0" w:after="80"/>
      </w:pPr>
      <w:r>
        <w:rPr>
          <w:i/>
          <w:sz w:val="20"/>
        </w:rPr>
        <w:t>EN: Phosphorus-activated carboxyl small molecule positive electrode for high specific capacity and long-life iron-organic batteries</w:t>
      </w:r>
    </w:p>
    <w:p>
      <w:pPr>
        <w:spacing w:before="0" w:after="120"/>
      </w:pPr>
      <w:r>
        <w:rPr>
          <w:b/>
        </w:rPr>
        <w:t xml:space="preserve">Source: </w:t>
      </w:r>
      <w:r>
        <w:t>Nature Communications</w:t>
      </w:r>
      <w:r>
        <w:t xml:space="preserve">    </w:t>
      </w:r>
      <w:r>
        <w:rPr>
          <w:b/>
        </w:rPr>
        <w:t xml:space="preserve">Pub date: </w:t>
      </w:r>
      <w:r>
        <w:t>2026-03-15 00:00:00+00:00</w:t>
      </w:r>
      <w:r>
        <w:t xml:space="preserve">    </w:t>
      </w:r>
      <w:r>
        <w:rPr>
          <w:b/>
        </w:rPr>
        <w:t xml:space="preserve">DOI: </w:t>
      </w:r>
      <w:hyperlink r:id="rId54">
        <w:r>
          <w:rPr>
            <w:color w:val="1155CC"/>
            <w:u w:val="single"/>
          </w:rPr>
          <w:t>10.1038/s41467-026-70800-w</w:t>
        </w:r>
      </w:hyperlink>
    </w:p>
    <w:p>
      <w:pPr>
        <w:spacing w:before="0" w:after="120"/>
      </w:pPr>
      <w:r>
        <w:rPr>
          <w:b/>
        </w:rPr>
        <w:t xml:space="preserve">Notes: </w:t>
      </w:r>
      <w:r>
        <w:t>abstract_source=nature_html</w:t>
      </w:r>
    </w:p>
    <w:p>
      <w:pPr>
        <w:spacing w:before="0" w:after="80" w:lineRule="auto" w:line="276"/>
      </w:pPr>
      <w:r>
        <w:rPr>
          <w:b/>
        </w:rPr>
        <w:t xml:space="preserve">摘要（ZH）: </w:t>
      </w:r>
      <w:r>
        <w:t>铁离子电池由于Fe负极的成本效益、合适的氧化还原电位和高容量，代表了一种引人注目的能量存储解决方案。用于铁离子电池的聚苯胺正极已展示出有前景的电化学氧化还原特性，但面临有限的氧化还原可及基团和不稳定的−NH−位点。在此，我们展示了在羧基小分子电极中的磷氧化还原活性。通过调节电子供体P和叔N基团设计了4,4′,4″-磷三苯甲酸和4,4′,4″-氮三苯甲酸，显示出调谐的电荷分布和能级。随着电负性和能量障碍的降低（N &gt; P），4,4′,4″-磷三苯甲酸表现出与羧基位点更强的Fe2+配位，并且br</w:t>
      </w:r>
    </w:p>
    <w:p>
      <w:pPr>
        <w:spacing w:before="0" w:after="200" w:lineRule="auto" w:line="276"/>
      </w:pPr>
      <w:r>
        <w:rPr>
          <w:b/>
        </w:rPr>
        <w:t xml:space="preserve">Abstract (EN): </w:t>
      </w:r>
      <w:r>
        <w:t>Iron-ion batteries represent a compelling energy storage solution due to the cost-effectiveness, suitable redox potential, and high capacity of Fe negative electrodes. Polyaniline positive electrodes for iron-ion batteries have demonstrated promising electrochemical redox properties, but face limited redox-accessible groups and unstable −NH− sites. Here we show phosphorus redox activity in a carboxyl small molecule electrode. 4,4′,4″-phosphanetriyltribenzoic acid and 4,4′,4″-nitrilotribenzoic acid are designed via modulating the electron-donating P and tert-N motifs, showing tuned charge distributions and energy levels. With the decrease of the electronegativity and energy barrier (N &gt; P), 4,4′,4″-phosphanetriyltribenzoic acid exhibits stronger Fe2+ coordination with carboxyl sites, and brings closed CF3SO3− proximity to P centers. This feature ensures high activity of carboxyl/phosphorus sites with low activation energy (0.24 vs. 0.29 eV for 4,4′,4″-nitrilotribenzoic acid). 4,4′,4″-phosphanetriyltribenzoic acid with P-extended conjugated structure achieves low energy gap (2.28 eV) compared to its individual carboxyl or P-containing counterparts (2.71/3.16 eV), thereby enabling high utilization of carboxyl/P motifs (98.5%) and enhanced redox voltage (0.8 V). A stable 4 e− Fe2+/CF3SO3− storage of 4,4′,4″-phosphanetriyltribenzoic acid positive electrode endows Fe battery with high specific capacity (276 mAh g−1) and cycling stability (60,000 cycles). This work highlights the potential of phosphorus-active organic materials toward iron-ion batteries.</w:t>
      </w:r>
    </w:p>
    <w:p>
      <w:pPr>
        <w:spacing w:before="120" w:after="120"/>
      </w:pPr>
      <w:r>
        <w:rPr>
          <w:sz w:val="18"/>
        </w:rPr>
        <w:t>——————————————————————————————————————————————————————————————————————</w:t>
      </w:r>
    </w:p>
    <w:p>
      <w:pPr>
        <w:spacing w:before="160" w:after="40" w:line="240" w:lineRule="auto"/>
      </w:pPr>
      <w:r>
        <w:rPr>
          <w:b/>
        </w:rPr>
        <w:t xml:space="preserve">[4] </w:t>
      </w:r>
      <w:hyperlink r:id="rId55">
        <w:r>
          <w:rPr>
            <w:color w:val="1155CC"/>
            <w:u w:val="single"/>
          </w:rPr>
          <w:t>结构和界面稳定粘结剂工程实现NCM811正极在4.6 V下的高倍率能力</w:t>
        </w:r>
      </w:hyperlink>
    </w:p>
    <w:p>
      <w:pPr>
        <w:spacing w:before="0" w:after="80"/>
      </w:pPr>
      <w:r>
        <w:rPr>
          <w:i/>
          <w:sz w:val="20"/>
        </w:rPr>
        <w:t>EN: Structure and Interfacial‐Stable Binder Engineering Enables High‐Rate Capability of NCM811 Cathodes at 4.6 V</w:t>
      </w:r>
    </w:p>
    <w:p>
      <w:pPr>
        <w:spacing w:before="0" w:after="120"/>
      </w:pPr>
      <w:r>
        <w:rPr>
          <w:b/>
        </w:rPr>
        <w:t xml:space="preserve">Source: </w:t>
      </w:r>
      <w:r>
        <w:t>Wiley: Advanced Energy Materials: Table of Contents</w:t>
      </w:r>
      <w:r>
        <w:t xml:space="preserve">    </w:t>
      </w:r>
      <w:r>
        <w:rPr>
          <w:b/>
        </w:rPr>
        <w:t xml:space="preserve">Pub date: </w:t>
      </w:r>
      <w:r>
        <w:t>2026-03-16 05:37:58+00:00</w:t>
      </w:r>
      <w:r>
        <w:t xml:space="preserve">    </w:t>
      </w:r>
      <w:r>
        <w:rPr>
          <w:b/>
        </w:rPr>
        <w:t xml:space="preserve">DOI: </w:t>
      </w:r>
      <w:hyperlink r:id="rId56">
        <w:r>
          <w:rPr>
            <w:color w:val="1155CC"/>
            <w:u w:val="single"/>
          </w:rPr>
          <w:t>10.1002/aenm.70842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电压正极提高了锂金属电池（LMBs）的能量密度。然而，由高镍层状氧化物构建的正极在高电压条件下严重遭受结构退化和界面不稳定性。在此，开发了一种碱木质素交联的丙烯腈和丙烯酸共聚物作为3D正极粘结剂（PNAL），其有效清除在高电压下产生的氧自由基，抑制过渡金属离子的不可逆溶解，并稳定电极-电解质界面和正极结构。因此，基于PNAL的LiNi</w:t>
      </w:r>
      <w:r>
        <w:t xml:space="preserve"> </w:t>
      </w:r>
      <w:r>
        <w:t>0.8</w:t>
      </w:r>
      <w:r>
        <w:t xml:space="preserve"> </w:t>
      </w:r>
      <w:r>
        <w:t>Mn</w:t>
      </w:r>
      <w:r>
        <w:t xml:space="preserve"> </w:t>
      </w:r>
      <w:r>
        <w:t>0.1</w:t>
      </w:r>
      <w:r>
        <w:t xml:space="preserve"> </w:t>
      </w:r>
      <w:r>
        <w:t>Co</w:t>
      </w:r>
      <w:r>
        <w:t xml:space="preserve"> </w:t>
      </w:r>
      <w:r>
        <w:t>0.1</w:t>
      </w:r>
    </w:p>
    <w:p>
      <w:pPr>
        <w:spacing w:before="0" w:after="200" w:lineRule="auto" w:line="276"/>
      </w:pPr>
      <w:r>
        <w:rPr>
          <w:b/>
        </w:rPr>
        <w:t xml:space="preserve">Abstract (EN): </w:t>
      </w:r>
      <w:r>
        <w:t>High‐voltage cathodes improve the energy density of lithium metal batteries (LMBs). However, cathodes constructed by high‐nickel layered oxide severely suffer from structural degradation and interfacial instability under high‐voltage condition. Herein, an alkali lignin cross‐linked acrylonitrile and acrylic acid copolymer is developed as 3D cathode binder (PNAL), which effectively scavenges oxygen radicals generated under high‐voltage, suppresses the irreversible dissolution of transition metal ions, and stabilizes both the electrode‐electrolyte interface and the cathode structure. As a result, the PNAL‐based 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LMB achieve a high‐capacity retention of 75.7% after 300 cycles at 4.6 V under 3C. Furthermore, an Ah‐scale pouch cell fabricated by PNAL delivers an energy density of 376.5 Wh kg</w:t>
      </w:r>
      <w:r>
        <w:t xml:space="preserve"> </w:t>
      </w:r>
      <w:r>
        <w:t>−1</w:t>
      </w:r>
      <w:r>
        <w:t xml:space="preserve"> </w:t>
      </w:r>
      <w:r>
        <w:t>and retains 81.7% capacity after 100 cycles at 4.6 V. This work provides a promising binder strategy to construct high‐voltage cathodes for next‐generation LMBs.</w:t>
      </w:r>
    </w:p>
    <w:p>
      <w:pPr>
        <w:spacing w:before="120" w:after="120"/>
      </w:pPr>
      <w:r>
        <w:rPr>
          <w:sz w:val="18"/>
        </w:rPr>
        <w:t>——————————————————————————————————————————————————————————————————————</w:t>
      </w:r>
    </w:p>
    <w:p>
      <w:pPr>
        <w:spacing w:before="160" w:after="40" w:line="240" w:lineRule="auto"/>
      </w:pPr>
      <w:r>
        <w:rPr>
          <w:b/>
        </w:rPr>
        <w:t xml:space="preserve">[5] </w:t>
      </w:r>
      <w:hyperlink r:id="rId57">
        <w:r>
          <w:rPr>
            <w:color w:val="1155CC"/>
            <w:u w:val="single"/>
          </w:rPr>
          <w:t>基于中子的Li-S电池景观机制映射：原位方法、标准化和AI辅助数据融合</w:t>
        </w:r>
      </w:hyperlink>
    </w:p>
    <w:p>
      <w:pPr>
        <w:spacing w:before="0" w:after="80"/>
      </w:pPr>
      <w:r>
        <w:rPr>
          <w:i/>
          <w:sz w:val="20"/>
        </w:rPr>
        <w:t>EN: Neutron‐Based Mechanistic Mapping Across the Li–S Battery Landscape: Operando Methods, Standardization, and AI‐Assisted Data Fusion</w:t>
      </w:r>
    </w:p>
    <w:p>
      <w:pPr>
        <w:spacing w:before="0" w:after="120"/>
      </w:pPr>
      <w:r>
        <w:rPr>
          <w:b/>
        </w:rPr>
        <w:t xml:space="preserve">Source: </w:t>
      </w:r>
      <w:r>
        <w:t>Wiley: Advanced Energy Materials: Table of Contents</w:t>
      </w:r>
      <w:r>
        <w:t xml:space="preserve">    </w:t>
      </w:r>
      <w:r>
        <w:rPr>
          <w:b/>
        </w:rPr>
        <w:t xml:space="preserve">Pub date: </w:t>
      </w:r>
      <w:r>
        <w:t>2026-03-16 05:40:44+00:00</w:t>
      </w:r>
      <w:r>
        <w:t xml:space="preserve">    </w:t>
      </w:r>
      <w:r>
        <w:rPr>
          <w:b/>
        </w:rPr>
        <w:t xml:space="preserve">DOI: </w:t>
      </w:r>
      <w:hyperlink r:id="rId58">
        <w:r>
          <w:rPr>
            <w:color w:val="1155CC"/>
            <w:u w:val="single"/>
          </w:rPr>
          <w:t>10.1002/aenm.70803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中子技术对轻元素、埋藏界面和体传输具有卓越的灵敏度，使其特别适合探测锂硫（Li–S）电池，但其应用仍然零散且标准化不足。本综述开发了一个统一的机制映射框架，将中子可观测量与Li–S描述符在多个长度和时间尺度上联系起来，涵盖了基础和应用相关的领域。成像和断层扫描、小角散射（SANS）、衍射、反射测量、准弹性中子谱（QENS）、中子深度剖析（NDP）和瞬发伽马活化分析（PGNAA）被整合以解决硫氧化还原反应、多硫化物传输、电解质和</w:t>
      </w:r>
    </w:p>
    <w:p>
      <w:pPr>
        <w:spacing w:before="0" w:after="200" w:lineRule="auto" w:line="276"/>
      </w:pPr>
      <w:r>
        <w:rPr>
          <w:b/>
        </w:rPr>
        <w:t xml:space="preserve">Abstract (EN): </w:t>
      </w:r>
      <w:r>
        <w:t>Neutron techniques provide exceptional sensitivity to light elements, buried interfaces, and bulk transport, making them uniquely suited for probing lithium–sulfur (Li–S) batteries, yet their application remains fragmented and insufficiently standardized. This Review develops a unified mechanistic mapping framework that links neutron observables to Li–S descriptors across multiple length and time scales, spanning fundamental and application‐relevant regimes. Imaging and tomography, small‐angle scattering (SANS), diffraction, reflectometry, quasielastic neutron spectroscopy (QENS), neutron depth profiling (NDP), and prompt‐gamma activation analysis (PGNAA) are integrated to resolve sulfur redox reactions, polysulfide transport, electrolyte and separator behavior, and lithium anode degradation under operando conditions. Practical guidelines are summarized for operando cell architectures, isotopic‐contrast design using H/D and</w:t>
      </w:r>
      <w:r>
        <w:rPr>
          <w:vertAlign w:val="subscript"/>
        </w:rPr>
        <w:t>6</w:t>
      </w:r>
      <w:r>
        <w:t>Li substitution, optimization of neutron flux and q‐range, and uncertainty‐aware data treatment. To address limitations in temporal resolution, chemical selectivity, and cross‐study comparability, the Review introduces an AI‐assisted, model‐based data‐fusion framework combining physics‐informed preprocessing with Bayesian optimization and neural‐network modeling. This approach enables quantitative reconstruction of sulfur‐phase evolution, interphase growth, and Li</w:t>
      </w:r>
      <w:r>
        <w:rPr>
          <w:vertAlign w:val="subscript"/>
        </w:rPr>
        <w:t>2</w:t>
      </w:r>
      <w:r>
        <w:t>S morphology under realistic conditions. A concluding roadmap identifies priority measurements, standardized metadata schemes, and benchmarks to accelerate reproducible Li–S research across global neutron facilities.</w:t>
      </w:r>
    </w:p>
    <w:p>
      <w:pPr>
        <w:spacing w:before="120" w:after="120"/>
      </w:pPr>
      <w:r>
        <w:rPr>
          <w:sz w:val="18"/>
        </w:rPr>
        <w:t>——————————————————————————————————————————————————————————————————————</w:t>
      </w:r>
    </w:p>
    <w:p>
      <w:pPr>
        <w:spacing w:before="160" w:after="40" w:line="240" w:lineRule="auto"/>
      </w:pPr>
      <w:r>
        <w:rPr>
          <w:b/>
        </w:rPr>
        <w:t xml:space="preserve">[6] </w:t>
      </w:r>
      <w:hyperlink r:id="rId59">
        <w:r>
          <w:rPr>
            <w:color w:val="1155CC"/>
            <w:u w:val="single"/>
          </w:rPr>
          <w:t>[ASAP] 基于有机硒的高效氯固定用于3.7伏水系电池</w:t>
        </w:r>
      </w:hyperlink>
    </w:p>
    <w:p>
      <w:pPr>
        <w:spacing w:before="0" w:after="80"/>
      </w:pPr>
      <w:r>
        <w:rPr>
          <w:i/>
          <w:sz w:val="20"/>
        </w:rPr>
        <w:t>EN: [ASAP] Highly Efficient Chlorine Fixation Based on Organic Selenium for 3.7-V Aqueous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2026-03-16 15:24:42+00:00</w:t>
      </w:r>
      <w:r>
        <w:t xml:space="preserve">    </w:t>
      </w:r>
      <w:r>
        <w:rPr>
          <w:b/>
        </w:rPr>
        <w:t xml:space="preserve">DOI: </w:t>
      </w:r>
      <w:hyperlink r:id="rId60">
        <w:r>
          <w:rPr>
            <w:color w:val="1155CC"/>
            <w:u w:val="single"/>
          </w:rPr>
          <w:t>10.1021/jacs.5c16178</w:t>
        </w:r>
      </w:hyperlink>
    </w:p>
    <w:p>
      <w:pPr>
        <w:spacing w:before="0" w:after="120"/>
      </w:pPr>
      <w:r>
        <w:rPr>
          <w:b/>
        </w:rPr>
        <w:t xml:space="preserve">Notes: </w:t>
      </w:r>
      <w:r>
        <w:t>abstract_source=pubmed</w:t>
      </w:r>
    </w:p>
    <w:p>
      <w:pPr>
        <w:spacing w:before="0" w:after="80" w:lineRule="auto" w:line="276"/>
      </w:pPr>
      <w:r>
        <w:rPr>
          <w:b/>
        </w:rPr>
        <w:t xml:space="preserve">摘要（ZH）: </w:t>
      </w:r>
      <w:r>
        <w:t>水系电池的高潜力阴极材料有限，阻碍了其能量密度的提高。基于氯的电池通过Cl0到Cl-的氧化还原反应（ClRR）因其高氧化还原电位和大理论容量而在高性能水系电池中具有前景。然而，ClRR固有的气液转换特性和较差的Cl固定性可能导致Cl2泄漏，降低电池的可逆性并引发安全问题。在此，我们利用一种基于硒的有机分子，聚苯硒二唑（poly-PhSe），作为Cl锚定剂，通过硫属元素-卤素配位化学实现原子级Cl固定，实现了高度可逆的ClRR，具有极低的Cl2排放和显著的高放电电压（3.7 V，当配对</w:t>
      </w:r>
    </w:p>
    <w:p>
      <w:pPr>
        <w:spacing w:before="0" w:after="200" w:lineRule="auto" w:line="276"/>
      </w:pPr>
      <w:r>
        <w:rPr>
          <w:b/>
        </w:rPr>
        <w:t xml:space="preserve">Abstract (EN): </w:t>
      </w:r>
      <w:r>
        <w:t>The limited high-potential cathode materials for aqueous batteries have hindered their improvement in energy density improvement. Chlorine-based batteries with Cl0 to Cl- redox reaction (ClRR) are promising for high-performance aqueous batteries due to their high redox potential and large theoretical capacity. However, the inherent gas-liquid conversion feature of ClRR and poor Cl fixation can cause Cl2 leakage, reducing battery reversibility and raising safety concerns. Herein, we utilize a Se-based organic molecule, polymerized benzoselenadiazole (poly-PhSe), as the Cl-anchoring agent and realize an atomic level-Cl fixation through chalcogen-halogen coordinating chemistry, achieving a highly reversible ClRR with extra-low Cl2 emission and a notably high-discharge voltage (3.7 V when paired with a graphite anode). The promoted Cl fixation and multivalence conversion of Se contribute to a three-electron conversion process, resulting in a significantly high-discharge capacity of up to 344 mAh g-1 with an average output voltage of 1.79 V and a high Coulombic efficiency of 99.1%. Based on the superior reversibility of the developed poly-PhSe electrode with ClRR, a remarkable rate performance and cycling performance (with a capacity retention of 84.6% after 850 cycles) are achieved. Significantly, the pouch cell delivers a record areal capacity of up to 5.3 mAh cm-2, demonstrating great potential for practical applications. This chalcogen-halogen coordination chemistry between the Se electrode and Cl provides new insight for developing reversible and efficient batteries with halogen redox reactions.</w:t>
      </w:r>
    </w:p>
    <w:p>
      <w:pPr>
        <w:spacing w:before="120" w:after="120"/>
      </w:pPr>
      <w:r>
        <w:rPr>
          <w:sz w:val="18"/>
        </w:rPr>
        <w:t>——————————————————————————————————————————————————————————————————————</w:t>
      </w:r>
    </w:p>
    <w:p>
      <w:pPr>
        <w:spacing w:before="160" w:after="40" w:line="240" w:lineRule="auto"/>
      </w:pPr>
      <w:r>
        <w:rPr>
          <w:b/>
        </w:rPr>
        <w:t xml:space="preserve">[7] </w:t>
      </w:r>
      <w:hyperlink r:id="rId61">
        <w:r>
          <w:rPr>
            <w:color w:val="1155CC"/>
            <w:u w:val="single"/>
          </w:rPr>
          <w:t>通过氧空位和硼掺杂的协同效应解锁钛活性中心以加速硅-硫电池中的硫氧化还原反应</w:t>
        </w:r>
      </w:hyperlink>
    </w:p>
    <w:p>
      <w:pPr>
        <w:spacing w:before="0" w:after="80"/>
      </w:pPr>
      <w:r>
        <w:rPr>
          <w:i/>
          <w:sz w:val="20"/>
        </w:rPr>
        <w:t>EN: Unlocking Latent Titanium Active Centers Through the Synergistic Effect of Oxygen Vacancies and Boron Doping for Accelerated Sulfur Redox Reactions in Silicon‐Sulfur Batteries</w:t>
      </w:r>
    </w:p>
    <w:p>
      <w:pPr>
        <w:spacing w:before="0" w:after="120"/>
      </w:pPr>
      <w:r>
        <w:rPr>
          <w:b/>
        </w:rPr>
        <w:t xml:space="preserve">Source: </w:t>
      </w:r>
      <w:r>
        <w:t>Wiley: Angewandte Chemie International Edition: Table of Contents</w:t>
      </w:r>
      <w:r>
        <w:t xml:space="preserve">    </w:t>
      </w:r>
      <w:r>
        <w:rPr>
          <w:b/>
        </w:rPr>
        <w:t xml:space="preserve">Pub date: </w:t>
      </w:r>
      <w:r>
        <w:t>2026-03-16 15:26:53+00:00</w:t>
      </w:r>
      <w:r>
        <w:t xml:space="preserve">    </w:t>
      </w:r>
      <w:r>
        <w:rPr>
          <w:b/>
        </w:rPr>
        <w:t xml:space="preserve">DOI: </w:t>
      </w:r>
      <w:hyperlink r:id="rId62">
        <w:r>
          <w:rPr>
            <w:color w:val="1155CC"/>
            <w:u w:val="single"/>
          </w:rPr>
          <w:t>10.1002/anie.4505904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将多个缺陷引入单一电催化剂中可以精确调节活性中心的电子态，从而加速锂硫电池中的硫还原动力学。然而，这些缺陷的个体作用和协同相互作用仍不清楚。在此，我们设计了一种双缺陷TiO</w:t>
      </w:r>
      <w:r>
        <w:rPr>
          <w:vertAlign w:val="subscript"/>
        </w:rPr>
        <w:t>2</w:t>
      </w:r>
      <w:r>
        <w:t>，结合硼掺杂和氧空位以协同激活Ti中心。计算表明，在异质结结构下，这两种缺陷的共存显著增强了Ti 3d在费米能级以下的占据电子态，这在原始和单缺陷对照中是不存在的。这种转变对应于从初始</w:t>
      </w:r>
    </w:p>
    <w:p>
      <w:pPr>
        <w:spacing w:before="0" w:after="200" w:lineRule="auto" w:line="276"/>
      </w:pPr>
      <w:r>
        <w:rPr>
          <w:b/>
        </w:rPr>
        <w:t xml:space="preserve">Abstract (EN): </w:t>
      </w:r>
      <w:r>
        <w:t>The introduction of multiple defects into a single electrocatalyst enables precise modulation of active centers electronic states, thereby accelerating sulfur reduction kinetics in lithium‐sulfur batteries. However, the individual roles and cooperative interactions of such defects remain elusive. Herein, we engineered a dual‐defect TiO</w:t>
      </w:r>
      <w:r>
        <w:rPr>
          <w:vertAlign w:val="subscript"/>
        </w:rPr>
        <w:t>2</w:t>
      </w:r>
      <w:r>
        <w:t>incorporating boron doping and oxygen vacancies to synergistically activate Ti centers. Calculations reveal that the coexistence of both defects under heterojunction structure markedly enhances the Ti 3d occupied electronic states below the Fermi level, which is absent in pristine and single‐defect counterparts. Such a shift corresponds to the transition from the initial 3d</w:t>
      </w:r>
      <w:r>
        <w:rPr>
          <w:vertAlign w:val="subscript"/>
        </w:rPr>
        <w:t>0</w:t>
      </w:r>
      <w:r>
        <w:t>(Ti</w:t>
      </w:r>
      <w:r>
        <w:t xml:space="preserve"> </w:t>
      </w:r>
      <w:r>
        <w:t>4+</w:t>
      </w:r>
      <w:r>
        <w:t xml:space="preserve"> </w:t>
      </w:r>
      <w:r>
        <w:t>) to the 3d</w:t>
      </w:r>
      <w:r>
        <w:rPr>
          <w:vertAlign w:val="subscript"/>
        </w:rPr>
        <w:t>1</w:t>
      </w:r>
      <w:r>
        <w:t>(Ti</w:t>
      </w:r>
      <w:r>
        <w:t xml:space="preserve"> </w:t>
      </w:r>
      <w:r>
        <w:t>3+</w:t>
      </w:r>
      <w:r>
        <w:t xml:space="preserve"> </w:t>
      </w:r>
      <w:r>
        <w:t>) configuration, primarily introducing occupied electrons into the t</w:t>
      </w:r>
      <w:r>
        <w:t xml:space="preserve"> </w:t>
      </w:r>
      <w:r>
        <w:t>2g</w:t>
      </w:r>
      <w:r>
        <w:t xml:space="preserve"> </w:t>
      </w:r>
      <w:r>
        <w:t>orbitals. This phenomenon reflects a unique synergistic activation of Ti sites, rather than a mere additive effect of individual defects. Therefore, the dual‐defect system synergistically enhances polysulfides anchoring at Ti sites and promotes interfacial charge transfer, enabling superior lithium‐sulfur battery performance (a low decay‐rate of 0.045% over 1000 cycles under excess lithium conditions). Based on the enhanced sulfur reduction kinetics, we further assembled silicon‐sulfur full cells. This novel battery system exhibits exceptional stability and safety, maintaining stable cycling for 1000 cycles under limited lithium supply (1.5 NP ratio, 3.5 mg</w:t>
      </w:r>
      <w:r>
        <w:t xml:space="preserve"> </w:t>
      </w:r>
      <w:r>
        <w:t>s</w:t>
      </w:r>
      <w:r>
        <w:t xml:space="preserve"> </w:t>
      </w:r>
      <w:r>
        <w:t>cm</w:t>
      </w:r>
      <w:r>
        <w:t xml:space="preserve"> </w:t>
      </w:r>
      <w:r>
        <w:t>−2</w:t>
      </w:r>
      <w:r>
        <w:t xml:space="preserve"> </w:t>
      </w:r>
      <w:r>
        <w:t>).</w:t>
      </w:r>
    </w:p>
    <w:p>
      <w:pPr>
        <w:spacing w:before="120" w:after="120"/>
      </w:pPr>
      <w:r>
        <w:rPr>
          <w:sz w:val="18"/>
        </w:rPr>
        <w:t>——————————————————————————————————————————————————————————————————————</w:t>
      </w:r>
    </w:p>
    <w:p>
      <w:pPr>
        <w:spacing w:before="160" w:after="40" w:line="240" w:lineRule="auto"/>
      </w:pPr>
      <w:r>
        <w:rPr>
          <w:b/>
        </w:rPr>
        <w:t xml:space="preserve">[8] </w:t>
      </w:r>
      <w:hyperlink r:id="rId63">
        <w:r>
          <w:rPr>
            <w:color w:val="1155CC"/>
            <w:u w:val="single"/>
          </w:rPr>
          <w:t>原位聚合驱动的共价有机框架剥离：一种通用策略以实现高性能聚合物有机阴极</w:t>
        </w:r>
      </w:hyperlink>
    </w:p>
    <w:p>
      <w:pPr>
        <w:spacing w:before="0" w:after="80"/>
      </w:pPr>
      <w:r>
        <w:rPr>
          <w:i/>
          <w:sz w:val="20"/>
        </w:rPr>
        <w:t>EN: In Situ Polymerization‐Driven Exfoliation of COFs: A Universal Strategy Toward High‐Performance Polymer Organic Cathodes</w:t>
      </w:r>
    </w:p>
    <w:p>
      <w:pPr>
        <w:spacing w:before="0" w:after="120"/>
      </w:pPr>
      <w:r>
        <w:rPr>
          <w:b/>
        </w:rPr>
        <w:t xml:space="preserve">Source: </w:t>
      </w:r>
      <w:r>
        <w:t>Wiley: Angewandte Chemie International Edition: Table of Contents</w:t>
      </w:r>
      <w:r>
        <w:t xml:space="preserve">    </w:t>
      </w:r>
      <w:r>
        <w:rPr>
          <w:b/>
        </w:rPr>
        <w:t xml:space="preserve">Pub date: </w:t>
      </w:r>
      <w:r>
        <w:t>2026-03-16 15:32:36+00:00</w:t>
      </w:r>
      <w:r>
        <w:t xml:space="preserve">    </w:t>
      </w:r>
      <w:r>
        <w:rPr>
          <w:b/>
        </w:rPr>
        <w:t xml:space="preserve">DOI: </w:t>
      </w:r>
      <w:hyperlink r:id="rId64">
        <w:r>
          <w:rPr>
            <w:color w:val="1155CC"/>
            <w:u w:val="single"/>
          </w:rPr>
          <w:t>10.1002/anie.4518858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共价有机框架（COFs）是锂离子电池有前景的有机正极材料，但其紧密的层状体结构限制了离子/电子的传输，导致活性位点利用率低和速率能力差。在此，我们提出了一种原位复合策略：在COF孔中聚合电活性单体。通过利用聚合应力和聚合物-COF相互作用来减少层间键合，将块状COF转化为少层纳米片与聚合物渗透的COF（COF@Polymer）。与传统的剥离方法相比，该方法提供了更高的产率、更广泛的适用性和更好的纳米片质量。COF@Polymer正极表现出三重优势：纳米片形态增强了</w:t>
      </w:r>
    </w:p>
    <w:p>
      <w:pPr>
        <w:spacing w:before="0" w:after="200" w:lineRule="auto" w:line="276"/>
      </w:pPr>
      <w:r>
        <w:rPr>
          <w:b/>
        </w:rPr>
        <w:t xml:space="preserve">Abstract (EN): </w:t>
      </w:r>
      <w:r>
        <w:t>Although covalent organic frameworks (COFs) are promising organic cathodes for lithium‐ion batteries, their compact layered bulk structure limits ion/electron transport, which results in low active site utilization and poor rate capability. Here, we present an in situ composite strategy: polymerizing electroactive monomers within COF pores. Bulk COFs are converted into few‐layer nanosheets with polymer penetrating COFs (COF@Polymer) by taking advantage of polymerization stress and polymer‐COF interactions to reduce interlayer bonding. Compared to traditional exfoliation, this method delivers a higher yield, wider applicability, and better nanosheet quality. The COF@Polymer cathodes exhibit triple advantages: the nanosheet morphology enhances active site accessibility and shortens mass transfer distances; the penetrated polymers establish efficient and additional carrier transport pathways; and polymer‐COF interactions boost structural stability. Thus, COF@Polymer cathodes perform better than pristine COFs, conventionally exfoliated nanosheets, and COF‐carbon composites in terms of active site utilization (95% for DACOF@FS‐5, 98% for BTCOF@FS‐20 and 92% for PTCOF@FS‐10), rate performance (∼ 70% capacity retention at 10 A g</w:t>
      </w:r>
      <w:r>
        <w:t xml:space="preserve"> </w:t>
      </w:r>
      <w:r>
        <w:t>−1</w:t>
      </w:r>
      <w:r>
        <w:t xml:space="preserve"> </w:t>
      </w:r>
      <w:r>
        <w:t>comparing to the capacity at 0.2 A g</w:t>
      </w:r>
      <w:r>
        <w:t xml:space="preserve"> </w:t>
      </w:r>
      <w:r>
        <w:t>−1</w:t>
      </w:r>
      <w:r>
        <w:t xml:space="preserve"> </w:t>
      </w:r>
      <w:r>
        <w:t>for BTCOF@FS‐20 and PTCOF@FS‐10), cycle stability, energy density, and power density (30.5 kW kg</w:t>
      </w:r>
      <w:r>
        <w:t xml:space="preserve"> </w:t>
      </w:r>
      <w:r>
        <w:t>−1</w:t>
      </w:r>
      <w:r>
        <w:t xml:space="preserve"> </w:t>
      </w:r>
      <w:r>
        <w:t>with an energy density up to 336 Wh kg</w:t>
      </w:r>
      <w:r>
        <w:t xml:space="preserve"> </w:t>
      </w:r>
      <w:r>
        <w:t>−1</w:t>
      </w:r>
      <w:r>
        <w:t xml:space="preserve"> </w:t>
      </w:r>
      <w:r>
        <w:t>for BTCOF@FS‐20).</w:t>
      </w:r>
    </w:p>
    <w:p>
      <w:pPr>
        <w:spacing w:before="120" w:after="120"/>
      </w:pPr>
      <w:r>
        <w:rPr>
          <w:sz w:val="18"/>
        </w:rPr>
        <w:t>——————————————————————————————————————————————————————————————————————</w:t>
      </w:r>
    </w:p>
    <w:p>
      <w:pPr>
        <w:spacing w:before="160" w:after="40" w:line="240" w:lineRule="auto"/>
      </w:pPr>
      <w:r>
        <w:rPr>
          <w:b/>
        </w:rPr>
        <w:t xml:space="preserve">[9] </w:t>
      </w:r>
      <w:hyperlink r:id="rId65">
        <w:r>
          <w:rPr>
            <w:color w:val="1155CC"/>
            <w:u w:val="single"/>
          </w:rPr>
          <w:t>Li+嵌入化学在二维过渡金属二硫化物中的相变演化、可扩展生产和应用</w:t>
        </w:r>
      </w:hyperlink>
    </w:p>
    <w:p>
      <w:pPr>
        <w:spacing w:before="0" w:after="80"/>
      </w:pPr>
      <w:r>
        <w:rPr>
          <w:i/>
          <w:sz w:val="20"/>
        </w:rPr>
        <w:t>EN: Li+ intercalation chemistry on 2D transition metal dichalcogenides towards phase evolution, scalable production and application</w:t>
      </w:r>
    </w:p>
    <w:p>
      <w:pPr>
        <w:spacing w:before="0" w:after="120"/>
      </w:pPr>
      <w:r>
        <w:rPr>
          <w:b/>
        </w:rPr>
        <w:t xml:space="preserve">Source: </w:t>
      </w:r>
      <w:r>
        <w:t>National Science Review Advance Access</w:t>
      </w:r>
      <w:r>
        <w:t xml:space="preserve">    </w:t>
      </w:r>
      <w:r>
        <w:rPr>
          <w:b/>
        </w:rPr>
        <w:t xml:space="preserve">Pub date: </w:t>
      </w:r>
      <w:r>
        <w:t>2026-03-17 00:00:00+00:00</w:t>
      </w:r>
      <w:r>
        <w:t xml:space="preserve">    </w:t>
      </w:r>
      <w:r>
        <w:rPr>
          <w:b/>
        </w:rPr>
        <w:t xml:space="preserve">DOI: </w:t>
      </w:r>
      <w:hyperlink r:id="rId66">
        <w:r>
          <w:rPr>
            <w:color w:val="1155CC"/>
            <w:u w:val="single"/>
          </w:rPr>
          <w:t>10.1093/nsr/nwag165</w:t>
        </w:r>
      </w:hyperlink>
    </w:p>
    <w:p>
      <w:pPr>
        <w:spacing w:before="0" w:after="120"/>
      </w:pPr>
      <w:r>
        <w:rPr>
          <w:b/>
        </w:rPr>
        <w:t xml:space="preserve">Notes: </w:t>
      </w:r>
      <w:r>
        <w:t>abstract_source=rss_oup</w:t>
      </w:r>
    </w:p>
    <w:p>
      <w:pPr>
        <w:spacing w:before="0" w:after="80" w:lineRule="auto" w:line="276"/>
      </w:pPr>
      <w:r>
        <w:rPr>
          <w:b/>
        </w:rPr>
        <w:t xml:space="preserve">摘要（ZH）: </w:t>
      </w:r>
      <w:r>
        <w:t>Li+嵌入化学是一种强大的工具，可以在过渡金属二硫属化物（TMDs）中引发相变，但只有第Ⅵ族TMDs（MoS2和WS2）的2H到1T/1T'转变是众所周知的，并被广泛应用于晶体管、忆阻器、催化和电池等领域。在此，我们通过原位电化学Li+嵌入，开发了第IV-Ⅵ族TMDs相演变的完整文档化景观。</w:t>
      </w:r>
    </w:p>
    <w:p>
      <w:pPr>
        <w:spacing w:before="0" w:after="200" w:lineRule="auto" w:line="276"/>
      </w:pPr>
      <w:r>
        <w:rPr>
          <w:b/>
        </w:rPr>
        <w:t xml:space="preserve">Abstract (EN): </w:t>
      </w:r>
      <w:r>
        <w:t>Li+ intercalation chemistry is a powerful tool to induce phase transitions in transition metal dichalcogenides (TMDs), but only the transition of 2H-to-1T/1T’ in group Ⅵ TMDs (MoS2 and WS2) is well-known and widely explored for applications in areas such as transistors, memristor, catalysis, and batteries. Here, we develop a fully documented landscapes of phase evolution in group IV-Ⅵ TMDs induced by electrochemical Li+ intercalation through in-situ</w:t>
      </w:r>
    </w:p>
    <w:p>
      <w:pPr>
        <w:spacing w:before="120" w:after="120"/>
      </w:pPr>
      <w:r>
        <w:rPr>
          <w:sz w:val="18"/>
        </w:rPr>
        <w:t>——————————————————————————————————————————————————————————————————————</w:t>
      </w:r>
    </w:p>
    <w:p>
      <w:pPr>
        <w:spacing w:before="160" w:after="40" w:line="240" w:lineRule="auto"/>
      </w:pPr>
      <w:r>
        <w:rPr>
          <w:b/>
        </w:rPr>
        <w:t xml:space="preserve">[10] </w:t>
      </w:r>
      <w:hyperlink r:id="rId67">
        <w:r>
          <w:rPr>
            <w:color w:val="1155CC"/>
            <w:u w:val="single"/>
          </w:rPr>
          <w:t>分子-电极协同工程实现高容量、长循环的基于硫的p型有机阴极</w:t>
        </w:r>
      </w:hyperlink>
    </w:p>
    <w:p>
      <w:pPr>
        <w:spacing w:before="0" w:after="80"/>
      </w:pPr>
      <w:r>
        <w:rPr>
          <w:i/>
          <w:sz w:val="20"/>
        </w:rPr>
        <w:t>EN: Molecular‐Electrode Co‐Engineering Enables High‐Capacity, Long‐Cycling Sulfur‐Based p‑Type Organic Cathodes</w:t>
      </w:r>
    </w:p>
    <w:p>
      <w:pPr>
        <w:spacing w:before="0" w:after="120"/>
      </w:pPr>
      <w:r>
        <w:rPr>
          <w:b/>
        </w:rPr>
        <w:t xml:space="preserve">Source: </w:t>
      </w:r>
      <w:r>
        <w:t>Wiley: Advanced Energy Materials: Table of Contents</w:t>
      </w:r>
      <w:r>
        <w:t xml:space="preserve">    </w:t>
      </w:r>
      <w:r>
        <w:rPr>
          <w:b/>
        </w:rPr>
        <w:t xml:space="preserve">Pub date: </w:t>
      </w:r>
      <w:r>
        <w:t>2026-03-17 09:17:03+00:00</w:t>
      </w:r>
      <w:r>
        <w:t xml:space="preserve">    </w:t>
      </w:r>
      <w:r>
        <w:rPr>
          <w:b/>
        </w:rPr>
        <w:t xml:space="preserve">DOI: </w:t>
      </w:r>
      <w:hyperlink r:id="rId68">
        <w:r>
          <w:rPr>
            <w:color w:val="1155CC"/>
            <w:u w:val="single"/>
          </w:rPr>
          <w:t>10.1002/aenm.70848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以硫为中心的p型有机阴极材料，特别是基于硫蒽的材料，由于其固有的高氧化还原电位和多样的分子设计能力，已引起对高电压锂离子电池的极大兴趣。然而，其实际应用仍然受到低可逆容量和差的循环耐久性的阻碍，主要是由于在有机电解质中的严重溶解或不满意的聚合物电极结构。在此，我们将重点从传统的硫蒽转向高容量的苯并[b]噻吩单元，并合理设计了两个非融合且刚性的单体，1,4-二(苯并噻吩-2-基)苯(DBTB)和2,5-二(苯并噻吩-2-基)吡嗪(DBTP)，它们协同整合m</w:t>
      </w:r>
    </w:p>
    <w:p>
      <w:pPr>
        <w:spacing w:before="0" w:after="200" w:lineRule="auto" w:line="276"/>
      </w:pPr>
      <w:r>
        <w:rPr>
          <w:b/>
        </w:rPr>
        <w:t xml:space="preserve">Abstract (EN): </w:t>
      </w:r>
      <w:r>
        <w:t>Sulfur‐centered p‐type organic cathode materials, particularly those based on thianthrene, have attracted significant interest for high‐voltage lithium‐ion batteries due to their intrinsically high redox potentials and versatile molecular designability. Nevertheless, their practical application remains hindered by low reversible capacity and poor cycling durability, mainly arising from severe dissolution in organic electrolytes or unsatisfied polymer electrode architecture. Herein, we shift focus from conventional thianthrene to the high‐capacity benzo[b]thiophene unit and rationally design two non‐fused and rigid monomers, 1,4‐di(benzothiophen‐2‐yl)benzene (DBTB) and 2,5‐di(benzothiophen‐2‐yl)pyrazine (DBTP), that synergistically integrate molecular enlargement, enhanced planarity, and improved van der Waals forces to suppress dissolution. Crucially, subsequent in situ electropolymerization during charging within the assembled cell directly forms morphology‐optimized polymer electrode architecture. This integrated strategy overcomes the fundamental capacity‐stability trade‐off that has plagued sulfur‐based cathodes. As a result, DBTP‐based cathode delivers a high capacity of 155.1 mAh g</w:t>
      </w:r>
      <w:r>
        <w:t xml:space="preserve"> </w:t>
      </w:r>
      <w:r>
        <w:t>−</w:t>
      </w:r>
      <w:r>
        <w:rPr>
          <w:vertAlign w:val="subscript"/>
        </w:rPr>
        <w:t>1</w:t>
      </w:r>
      <w:r>
        <w:t>(99.6% of theoretical capacity) with exceptional cycling stability (82.1% retention after 5000 cycles at 5 C), surpassing all reported thianthrene‐based polymer cathodes (&amp;lt;110 mAh g</w:t>
      </w:r>
      <w:r>
        <w:t xml:space="preserve"> </w:t>
      </w:r>
      <w:r>
        <w:t>−</w:t>
      </w:r>
      <w:r>
        <w:rPr>
          <w:vertAlign w:val="subscript"/>
        </w:rPr>
        <w:t>1</w:t>
      </w:r>
      <w:r>
        <w:t>, ≤500 cycles) and small molecule cathodes (&amp;lt;100 mAh g</w:t>
      </w:r>
      <w:r>
        <w:t xml:space="preserve"> </w:t>
      </w:r>
      <w:r>
        <w:t>−</w:t>
      </w:r>
      <w:r>
        <w:rPr>
          <w:vertAlign w:val="subscript"/>
        </w:rPr>
        <w:t>1</w:t>
      </w:r>
      <w:r>
        <w:t>, ≤450 cycles). The molecular‐electrode co‐engineering strategy demonstrated here provides a new pathway to high‐capacity, long‐life sulfur‐based p‐type cathodes.</w:t>
      </w:r>
    </w:p>
    <w:p>
      <w:pPr>
        <w:spacing w:before="120" w:after="120"/>
      </w:pPr>
      <w:r>
        <w:rPr>
          <w:sz w:val="18"/>
        </w:rPr>
        <w:t>——————————————————————————————————————————————————————————————————————</w:t>
      </w:r>
    </w:p>
    <w:p>
      <w:pPr>
        <w:spacing w:before="160" w:after="40" w:line="240" w:lineRule="auto"/>
      </w:pPr>
      <w:r>
        <w:rPr>
          <w:b/>
        </w:rPr>
        <w:t xml:space="preserve">[11] </w:t>
      </w:r>
      <w:hyperlink r:id="rId69">
        <w:r>
          <w:rPr>
            <w:color w:val="1155CC"/>
            <w:u w:val="single"/>
          </w:rPr>
          <w:t>通过电子-离子协同定制实现超高功率密度和长寿命的粘贴式柔性钾离子微电池</w:t>
        </w:r>
      </w:hyperlink>
    </w:p>
    <w:p>
      <w:pPr>
        <w:spacing w:before="0" w:after="80"/>
      </w:pPr>
      <w:r>
        <w:rPr>
          <w:i/>
          <w:sz w:val="20"/>
        </w:rPr>
        <w:t>EN: Stick‐and‐Use Flexible K‐Ion Microbatteries with Ultrahigh Power Density and Long Lifespan Via Electron‐Ion Synergistic Tailoring</w:t>
      </w:r>
    </w:p>
    <w:p>
      <w:pPr>
        <w:spacing w:before="0" w:after="120"/>
      </w:pPr>
      <w:r>
        <w:rPr>
          <w:b/>
        </w:rPr>
        <w:t xml:space="preserve">Source: </w:t>
      </w:r>
      <w:r>
        <w:t>Wiley: Advanced Energy Materials: Table of Contents</w:t>
      </w:r>
      <w:r>
        <w:t xml:space="preserve">    </w:t>
      </w:r>
      <w:r>
        <w:rPr>
          <w:b/>
        </w:rPr>
        <w:t xml:space="preserve">Pub date: </w:t>
      </w:r>
      <w:r>
        <w:t>2026-03-17 09:51:46+00:00</w:t>
      </w:r>
      <w:r>
        <w:t xml:space="preserve">    </w:t>
      </w:r>
      <w:r>
        <w:rPr>
          <w:b/>
        </w:rPr>
        <w:t xml:space="preserve">DOI: </w:t>
      </w:r>
      <w:hyperlink r:id="rId70">
        <w:r>
          <w:rPr>
            <w:color w:val="1155CC"/>
            <w:u w:val="single"/>
          </w:rPr>
          <w:t>10.1002/aenm.202506432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兼容尺寸、高集成度和巨大能量存储潜力的可充电微型电池（MBs）已成为未来微电子和微型机器人的迫切需求。然而，当前的MBs在高能量和高功率之间难以平衡，同时缺乏适用的便利性。因此，在这项工作中，通过可扩展的增材制造设计了一种新型的即插即用软K离子3D MBs。在电聚合的帮助下，MBs中的3D打印微阴极实现了超过10,000次循环的出色循环稳定性。对于完整的MB设备，同时展示了50.2 mW cm−2的超高功率密度和超过3,000次充放电循环的长寿命。通过理论</w:t>
      </w:r>
    </w:p>
    <w:p>
      <w:pPr>
        <w:spacing w:before="0" w:after="200" w:lineRule="auto" w:line="276"/>
      </w:pPr>
      <w:r>
        <w:rPr>
          <w:b/>
        </w:rPr>
        <w:t xml:space="preserve">Abstract (EN): </w:t>
      </w:r>
      <w:r>
        <w:t>Rechargeable micro batteries (MBs) with compatible sizes, high integration, and great energy storage potential have become a pressing need for future microelectronics and microrobots. However, current MBs struggle to balance high energy and high power while lacking applicable convenience. Hence, in this work, a novel kind of stick‐and‐use soft K‐ion 3D MBs is designed via a scalable additive manufacturing. Aided by electropolymerization, as‐3D‐printed micro‐cathode in MBs achieves an outstanding cycling stability over 10 000 cycles. For full MB devices, an ultrahigh power density of 50.2 mW cm</w:t>
      </w:r>
      <w:r>
        <w:t xml:space="preserve"> </w:t>
      </w:r>
      <w:r>
        <w:t>−2</w:t>
      </w:r>
      <w:r>
        <w:t xml:space="preserve"> </w:t>
      </w:r>
      <w:r>
        <w:t>along with a long lifespan over 3 000 charge‐discharge cycles is simultaneously exhibited. Through theoretical and experimental analysis, the obtained excellent performance is attributed to the rational surface modification and 3D microstructure advance, resulting in stabilized interfacial electrochemistry and tailored ion‐electron transport, respectively. Notably, through a unique 3D stacking, our MBs reach an exceptional areal capacity of 7.01 mAh cm</w:t>
      </w:r>
      <w:r>
        <w:t xml:space="preserve"> </w:t>
      </w:r>
      <w:r>
        <w:t>−2</w:t>
      </w:r>
      <w:r>
        <w:t xml:space="preserve"> </w:t>
      </w:r>
      <w:r>
        <w:t>and energy density of 5.9 mWh cm</w:t>
      </w:r>
      <w:r>
        <w:t xml:space="preserve"> </w:t>
      </w:r>
      <w:r>
        <w:t>−2</w:t>
      </w:r>
      <w:r>
        <w:t xml:space="preserve"> </w:t>
      </w:r>
      <w:r>
        <w:t>. With the soft and miniature characteristics, these MBs can be easily stuck onto various microelectronic devices for direct use, where ensuring a stable and enduring operation. These results demonstrate a strong potential of MBs as a reliable microscale power source for next‐generation microsystems with high energy demands.</w:t>
      </w:r>
    </w:p>
    <w:p>
      <w:pPr>
        <w:spacing w:before="120" w:after="120"/>
      </w:pPr>
      <w:r>
        <w:rPr>
          <w:sz w:val="18"/>
        </w:rPr>
        <w:t>——————————————————————————————————————————————————————————————————————</w:t>
      </w:r>
    </w:p>
    <w:p>
      <w:pPr>
        <w:spacing w:before="160" w:after="40" w:line="240" w:lineRule="auto"/>
      </w:pPr>
      <w:r>
        <w:rPr>
          <w:b/>
        </w:rPr>
        <w:t xml:space="preserve">[12] </w:t>
      </w:r>
      <w:hyperlink r:id="rId71">
        <w:r>
          <w:rPr>
            <w:color w:val="1155CC"/>
            <w:u w:val="single"/>
          </w:rPr>
          <w:t>一种通用的化学预钾化策略，用于提升多晶型MnO2正极的锌储存性能</w:t>
        </w:r>
      </w:hyperlink>
    </w:p>
    <w:p>
      <w:pPr>
        <w:spacing w:before="0" w:after="80"/>
      </w:pPr>
      <w:r>
        <w:rPr>
          <w:i/>
          <w:sz w:val="20"/>
        </w:rPr>
        <w:t>EN: A General Chemical Prepotassiation Strategy for Boosting the Zn‐Storage Performance of Polymorphic MnO2 Cathodes</w:t>
      </w:r>
    </w:p>
    <w:p>
      <w:pPr>
        <w:spacing w:before="0" w:after="120"/>
      </w:pPr>
      <w:r>
        <w:rPr>
          <w:b/>
        </w:rPr>
        <w:t xml:space="preserve">Source: </w:t>
      </w:r>
      <w:r>
        <w:t>Wiley: Angewandte Chemie International Edition: Table of Contents</w:t>
      </w:r>
      <w:r>
        <w:t xml:space="preserve">    </w:t>
      </w:r>
      <w:r>
        <w:rPr>
          <w:b/>
        </w:rPr>
        <w:t xml:space="preserve">Pub date: </w:t>
      </w:r>
      <w:r>
        <w:t>2026-03-17 11:54:49+00:00</w:t>
      </w:r>
      <w:r>
        <w:t xml:space="preserve">    </w:t>
      </w:r>
      <w:r>
        <w:rPr>
          <w:b/>
        </w:rPr>
        <w:t xml:space="preserve">DOI: </w:t>
      </w:r>
      <w:hyperlink r:id="rId72">
        <w:r>
          <w:rPr>
            <w:color w:val="1155CC"/>
            <w:u w:val="single"/>
          </w:rPr>
          <w:t>10.1002/anie.3957939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离子预嵌入工程，特别是使用大半径的K+</w:t>
      </w:r>
      <w:r>
        <w:t xml:space="preserve"> </w:t>
      </w:r>
      <w:r>
        <w:t>阳离子，是克服Zn2+</w:t>
      </w:r>
      <w:r>
        <w:t xml:space="preserve"> </w:t>
      </w:r>
      <w:r>
        <w:t>扩散动力学缓慢和严重结构不稳定性问题的关键，这些问题限制了AZIBs中MnO2</w:t>
      </w:r>
      <w:r>
        <w:t xml:space="preserve"> </w:t>
      </w:r>
      <w:r>
        <w:t>正极的性能。然而，传统的预嵌入方法通常依赖于在苛刻的高温/高压条件下进行的水热或煅烧，这会影响可扩展性、相纯度和化学计量控制。在此，我们提出了一种温和的化学预钾化策略，使用9-芴酮钾（FL-K）作为高反应性的K+</w:t>
      </w:r>
      <w:r>
        <w:t xml:space="preserve"> </w:t>
      </w:r>
      <w:r>
        <w:t>/e−</w:t>
      </w:r>
    </w:p>
    <w:p>
      <w:pPr>
        <w:spacing w:before="0" w:after="200" w:lineRule="auto" w:line="276"/>
      </w:pPr>
      <w:r>
        <w:rPr>
          <w:b/>
        </w:rPr>
        <w:t xml:space="preserve">Abstract (EN): </w:t>
      </w:r>
      <w:r>
        <w:t>Ion pre‐intercalation engineering, particularly using large‐radius K</w:t>
      </w:r>
      <w:r>
        <w:t xml:space="preserve"> </w:t>
      </w:r>
      <w:r>
        <w:t>+</w:t>
      </w:r>
      <w:r>
        <w:t xml:space="preserve"> </w:t>
      </w:r>
      <w:r>
        <w:t>cations, is pivotal to overcome the sluggish Zn</w:t>
      </w:r>
      <w:r>
        <w:t xml:space="preserve"> </w:t>
      </w:r>
      <w:r>
        <w:t>2+</w:t>
      </w:r>
      <w:r>
        <w:t xml:space="preserve"> </w:t>
      </w:r>
      <w:r>
        <w:t>diffusion kinetics and severe structural instability issues that limit MnO</w:t>
      </w:r>
      <w:r>
        <w:rPr>
          <w:vertAlign w:val="subscript"/>
        </w:rPr>
        <w:t>2</w:t>
      </w:r>
      <w:r>
        <w:t>cathodes for AZIBs. However, conventional pre‐intercalation methods typically rely on hydrothermal or calcination under harsh high‐temperature/pressure conditions, which compromise scalability, phase purity, and stoichiometric control. Herein, we propose a mild chemical prepotassiation strategy, that employs 9‐fluorenone potassium (FL‐K) as a highly reactive K</w:t>
      </w:r>
      <w:r>
        <w:t xml:space="preserve"> </w:t>
      </w:r>
      <w:r>
        <w:t>+</w:t>
      </w:r>
      <w:r>
        <w:t xml:space="preserve"> </w:t>
      </w:r>
      <w:r>
        <w:t>/e</w:t>
      </w:r>
      <w:r>
        <w:t xml:space="preserve"> </w:t>
      </w:r>
      <w:r>
        <w:t>−</w:t>
      </w:r>
      <w:r>
        <w:t>donor, to enable rapid and quantitative K</w:t>
      </w:r>
      <w:r>
        <w:t xml:space="preserve"> </w:t>
      </w:r>
      <w:r>
        <w:t>+</w:t>
      </w:r>
      <w:r>
        <w:t xml:space="preserve"> </w:t>
      </w:r>
      <w:r>
        <w:t>insertion into diverse MnO</w:t>
      </w:r>
      <w:r>
        <w:rPr>
          <w:vertAlign w:val="subscript"/>
        </w:rPr>
        <w:t>2</w:t>
      </w:r>
      <w:r>
        <w:t>polymorphs (</w:t>
      </w:r>
      <w:r>
        <w:t xml:space="preserve"> </w:t>
      </w:r>
      <w:r>
        <w:t>α</w:t>
      </w:r>
      <w:r>
        <w:t xml:space="preserve"> </w:t>
      </w:r>
      <w:r>
        <w:t>‐,</w:t>
      </w:r>
      <w:r>
        <w:t xml:space="preserve"> </w:t>
      </w:r>
      <w:r>
        <w:t>γ</w:t>
      </w:r>
      <w:r>
        <w:t xml:space="preserve"> </w:t>
      </w:r>
      <w:r>
        <w:t>‐, and</w:t>
      </w:r>
      <w:r>
        <w:t xml:space="preserve"> </w:t>
      </w:r>
      <w:r>
        <w:t>δ</w:t>
      </w:r>
      <w:r>
        <w:t xml:space="preserve"> </w:t>
      </w:r>
      <w:r>
        <w:t>‐phases) in just 30 s under ambient conditions. The pre‐intercalated K</w:t>
      </w:r>
      <w:r>
        <w:t xml:space="preserve"> </w:t>
      </w:r>
      <w:r>
        <w:t>+</w:t>
      </w:r>
      <w:r>
        <w:t xml:space="preserve"> </w:t>
      </w:r>
      <w:r>
        <w:t>ions act as robust structural pillars that simultaneously enlarge the tunnel/interlayer spacing and enhance electronic conductivity, thereby dramatically accelerating Zn</w:t>
      </w:r>
      <w:r>
        <w:t xml:space="preserve"> </w:t>
      </w:r>
      <w:r>
        <w:t>2+</w:t>
      </w:r>
      <w:r>
        <w:t xml:space="preserve"> </w:t>
      </w:r>
      <w:r>
        <w:t>transport kinetics and reinforcing the MnO</w:t>
      </w:r>
      <w:r>
        <w:rPr>
          <w:vertAlign w:val="subscript"/>
        </w:rPr>
        <w:t>2</w:t>
      </w:r>
      <w:r>
        <w:t>framework stability. Consequently, the optimized</w:t>
      </w:r>
      <w:r>
        <w:t xml:space="preserve"> </w:t>
      </w:r>
      <w:r>
        <w:t>α</w:t>
      </w:r>
      <w:r>
        <w:t xml:space="preserve"> </w:t>
      </w:r>
      <w:r>
        <w:t>‐K</w:t>
      </w:r>
      <w:r>
        <w:t xml:space="preserve"> </w:t>
      </w:r>
      <w:r>
        <w:t>0.05</w:t>
      </w:r>
      <w:r>
        <w:t xml:space="preserve"> </w:t>
      </w:r>
      <w:r>
        <w:t>MnO</w:t>
      </w:r>
      <w:r>
        <w:rPr>
          <w:vertAlign w:val="subscript"/>
        </w:rPr>
        <w:t>2</w:t>
      </w:r>
      <w:r>
        <w:t>cathode delivers superior rate capability (97.5 mAh g</w:t>
      </w:r>
      <w:r>
        <w:t xml:space="preserve"> </w:t>
      </w:r>
      <w:r>
        <w:t>−1</w:t>
      </w:r>
      <w:r>
        <w:t xml:space="preserve"> </w:t>
      </w:r>
      <w:r>
        <w:t>at 10C) and cycling durability (64.5% retention after 300 cycles at 3C), far surpassing pristine</w:t>
      </w:r>
      <w:r>
        <w:t xml:space="preserve"> </w:t>
      </w:r>
      <w:r>
        <w:t>α</w:t>
      </w:r>
      <w:r>
        <w:t xml:space="preserve"> </w:t>
      </w:r>
      <w:r>
        <w:t>‐MnO</w:t>
      </w:r>
      <w:r>
        <w:rPr>
          <w:vertAlign w:val="subscript"/>
        </w:rPr>
        <w:t>2</w:t>
      </w:r>
      <w:r>
        <w:t>(merely 25.6 mAh g</w:t>
      </w:r>
      <w:r>
        <w:t xml:space="preserve"> </w:t>
      </w:r>
      <w:r>
        <w:t>−1</w:t>
      </w:r>
      <w:r>
        <w:t xml:space="preserve"> </w:t>
      </w:r>
      <w:r>
        <w:t>and 38.5% retention). This efficient strategy, characterized by near‐100% atomic utilization and full reagent recyclability, establishes a sustainable and universal prepotassiation protocol for engineering high‐performance intercalation‐type electrode materials.</w:t>
      </w:r>
    </w:p>
    <w:p>
      <w:pPr>
        <w:spacing w:before="120" w:after="120"/>
      </w:pPr>
      <w:r>
        <w:rPr>
          <w:sz w:val="18"/>
        </w:rPr>
        <w:t>——————————————————————————————————————————————————————————————————————</w:t>
      </w:r>
    </w:p>
    <w:p>
      <w:pPr>
        <w:spacing w:before="160" w:after="40" w:line="240" w:lineRule="auto"/>
      </w:pPr>
      <w:r>
        <w:rPr>
          <w:b/>
        </w:rPr>
        <w:t xml:space="preserve">[13] </w:t>
      </w:r>
      <w:hyperlink r:id="rId73">
        <w:r>
          <w:rPr>
            <w:color w:val="1155CC"/>
            <w:u w:val="single"/>
          </w:rPr>
          <w:t>早期商业钠离子电池的特性和性能评估</w:t>
        </w:r>
      </w:hyperlink>
    </w:p>
    <w:p>
      <w:pPr>
        <w:spacing w:before="0" w:after="80"/>
      </w:pPr>
      <w:r>
        <w:rPr>
          <w:i/>
          <w:sz w:val="20"/>
        </w:rPr>
        <w:t>EN: Characterisation and performance evaluation of early-generation commercial sodium-ion batteries</w:t>
      </w:r>
    </w:p>
    <w:p>
      <w:pPr>
        <w:spacing w:before="0" w:after="120"/>
      </w:pPr>
      <w:r>
        <w:rPr>
          <w:b/>
        </w:rPr>
        <w:t xml:space="preserve">Source: </w:t>
      </w:r>
      <w:r>
        <w:t>ScienceDirect Publication: Applied Energy</w:t>
      </w:r>
      <w:r>
        <w:t xml:space="preserve">    </w:t>
      </w:r>
      <w:r>
        <w:rPr>
          <w:b/>
        </w:rPr>
        <w:t xml:space="preserve">Pub date: </w:t>
      </w:r>
      <w:r>
        <w:t>2026-03-18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74">
        <w:r>
          <w:rPr>
            <w:color w:val="1155CC"/>
            <w:u w:val="single"/>
          </w:rPr>
          <w:t>交替边缘和面共享八面体与部分超交换实现高电压层状阴极</w:t>
        </w:r>
      </w:hyperlink>
    </w:p>
    <w:p>
      <w:pPr>
        <w:spacing w:before="0" w:after="80"/>
      </w:pPr>
      <w:r>
        <w:rPr>
          <w:i/>
          <w:sz w:val="20"/>
        </w:rPr>
        <w:t>EN: Alternating Edge‐ and Face‐Sharing Octahedra with Partial Super‐Exchange Enabling High‐Voltage Layered Cathodes</w:t>
      </w:r>
    </w:p>
    <w:p>
      <w:pPr>
        <w:spacing w:before="0" w:after="120"/>
      </w:pPr>
      <w:r>
        <w:rPr>
          <w:b/>
        </w:rPr>
        <w:t xml:space="preserve">Source: </w:t>
      </w:r>
      <w:r>
        <w:t>Wiley: Advanced Materials: Table of Contents</w:t>
      </w:r>
      <w:r>
        <w:t xml:space="preserve">    </w:t>
      </w:r>
      <w:r>
        <w:rPr>
          <w:b/>
        </w:rPr>
        <w:t xml:space="preserve">Pub date: </w:t>
      </w:r>
      <w:r>
        <w:t>2026-03-18 14:33:22+00:00</w:t>
      </w:r>
      <w:r>
        <w:t xml:space="preserve">    </w:t>
      </w:r>
      <w:r>
        <w:rPr>
          <w:b/>
        </w:rPr>
        <w:t xml:space="preserve">DOI: </w:t>
      </w:r>
      <w:hyperlink r:id="rId75">
        <w:r>
          <w:rPr>
            <w:color w:val="1155CC"/>
            <w:u w:val="single"/>
          </w:rPr>
          <w:t>10.1002/adma.72851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O3型层状氧化物与边共享（ES）八面体在高电压操作下存在结构不稳定性。为了解决这一问题，我们提出了一种稳定的边共享共面（ESC）O2型层状结构。在这种结构中，Li–O八面体在一侧与Co–O八面体共享边，在另一侧共享面。该ESC配置有效抑制了Co迁移并增强了内在结构稳定性。此外，引入了沿边共享方向的180°Ni–O–TM（TM=顺磁性过渡金属）超交换相互作用，以提高高电压循环稳定性。通过优化Ni的含量，单元格体积膨胀，降低了Li离子扩散的活化能。结果，改进的</w:t>
      </w:r>
    </w:p>
    <w:p>
      <w:pPr>
        <w:spacing w:before="0" w:after="200" w:lineRule="auto" w:line="276"/>
      </w:pPr>
      <w:r>
        <w:rPr>
          <w:b/>
        </w:rPr>
        <w:t xml:space="preserve">Abstract (EN): </w:t>
      </w:r>
      <w:r>
        <w:t>Traditional O3‐type layered oxides with edge‐sharing (ES) octahedra suffer from structural instability under high‐voltage operation. To address this, we propose a stable edge‐sharing coplanar (ESC) O2‐type layered structure. In this structure, Li–O octahedra share edges on one side and faces on the other with Co–O octahedra. This ESC‐configuration effectively suppresses Co migration and enhances intrinsic structural stability. Furthermore, the 180°Ni–O–TM (TM = paramagnetic transition metal) super‐exchange interactions along the edge‐sharing directions are introduced to improve high‐voltage cycling stability. With an optimal amount of Ni, the unit‐cell volume expands, reducing the activation energy for Li‐ion diffusion. As a result, the modified ESC‐cathode delivers a high discharge capacity of 247 mAh g</w:t>
      </w:r>
      <w:r>
        <w:t xml:space="preserve"> </w:t>
      </w:r>
      <w:r>
        <w:t>−1</w:t>
      </w:r>
      <w:r>
        <w:t xml:space="preserve"> </w:t>
      </w:r>
      <w:r>
        <w:t>and a capacity retention of 79% at 1 C after 100 cycles between 3.0 and 4.65 V, far exceeding that of conventional edge‐sharing LiCoO</w:t>
      </w:r>
      <w:r>
        <w:rPr>
          <w:vertAlign w:val="subscript"/>
        </w:rPr>
        <w:t>2</w:t>
      </w:r>
      <w:r>
        <w:t>(210 mAh g</w:t>
      </w:r>
      <w:r>
        <w:t xml:space="preserve"> </w:t>
      </w:r>
      <w:r>
        <w:t>−1</w:t>
      </w:r>
      <w:r>
        <w:t xml:space="preserve"> </w:t>
      </w:r>
      <w:r>
        <w:t>, 26%). Interestingly, unlike in conventional edge‐sharing layered cathodes, where Ni contributes directly to capacity, increasing Ni content in ESC cathodes leads to a decrease in capacity because additional Ni ions enter the Li layer and obstruct Li‐ion diffusion pathways. Overall, this work presents an effective strategy for regulating the local coordination environment of layered oxide cathodes to achieve high performance.</w:t>
      </w:r>
    </w:p>
    <w:p>
      <w:pPr>
        <w:spacing w:before="120" w:after="120"/>
      </w:pPr>
      <w:r>
        <w:rPr>
          <w:sz w:val="18"/>
        </w:rPr>
        <w:t>——————————————————————————————————————————————————————————————————————</w:t>
      </w:r>
    </w:p>
    <w:p>
      <w:pPr>
        <w:spacing w:before="160" w:after="40" w:line="240" w:lineRule="auto"/>
      </w:pPr>
      <w:r>
        <w:rPr>
          <w:b/>
        </w:rPr>
        <w:t xml:space="preserve">[15] </w:t>
      </w:r>
      <w:hyperlink r:id="rId76">
        <w:r>
          <w:rPr>
            <w:color w:val="1155CC"/>
            <w:u w:val="single"/>
          </w:rPr>
          <w:t>减弱的界面杂化解锁商业尖晶石阴极的高容量操作</w:t>
        </w:r>
      </w:hyperlink>
    </w:p>
    <w:p>
      <w:pPr>
        <w:spacing w:before="0" w:after="80"/>
      </w:pPr>
      <w:r>
        <w:rPr>
          <w:i/>
          <w:sz w:val="20"/>
        </w:rPr>
        <w:t>EN: Weakened Interfacial Hybridization Unlocks High‐Capacity Operation of Commercial Spinel Cathodes</w:t>
      </w:r>
    </w:p>
    <w:p>
      <w:pPr>
        <w:spacing w:before="0" w:after="120"/>
      </w:pPr>
      <w:r>
        <w:rPr>
          <w:b/>
        </w:rPr>
        <w:t xml:space="preserve">Source: </w:t>
      </w:r>
      <w:r>
        <w:t>Wiley: Advanced Materials: Table of Contents</w:t>
      </w:r>
      <w:r>
        <w:t xml:space="preserve">    </w:t>
      </w:r>
      <w:r>
        <w:rPr>
          <w:b/>
        </w:rPr>
        <w:t xml:space="preserve">Pub date: </w:t>
      </w:r>
      <w:r>
        <w:t>2026-03-18 14:40:49+00:00</w:t>
      </w:r>
      <w:r>
        <w:t xml:space="preserve">    </w:t>
      </w:r>
      <w:r>
        <w:rPr>
          <w:b/>
        </w:rPr>
        <w:t xml:space="preserve">DOI: </w:t>
      </w:r>
      <w:hyperlink r:id="rId77">
        <w:r>
          <w:rPr>
            <w:color w:val="1155CC"/>
            <w:u w:val="single"/>
          </w:rPr>
          <w:t>10.1002/adma.202520303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在阴极和电解质设计方面取得了显著进展，但界面降解仍然限制了高能量二次电池的实际容量。在此，我们引入了一种热力学指导的策略，通过对齐阴极和电解质的电子能带结构来调节界面杂化。作为概念验证，我们在商业化的LiNi</w:t>
      </w:r>
      <w:r>
        <w:t xml:space="preserve"> </w:t>
      </w:r>
      <w:r>
        <w:t>0.5</w:t>
      </w:r>
      <w:r>
        <w:t xml:space="preserve"> </w:t>
      </w:r>
      <w:r>
        <w:t>Mn</w:t>
      </w:r>
      <w:r>
        <w:t xml:space="preserve"> </w:t>
      </w:r>
      <w:r>
        <w:t>1.5</w:t>
      </w:r>
      <w:r>
        <w:t xml:space="preserve"> </w:t>
      </w:r>
      <w:r>
        <w:t>O</w:t>
      </w:r>
      <w:r>
        <w:rPr>
          <w:vertAlign w:val="subscript"/>
        </w:rPr>
        <w:t>4</w:t>
      </w:r>
      <w:r>
        <w:t>(LNMO)上构建了一个弱杂化的内亥姆霍兹平面（IHP）层，并解锁了前所未有的实际比容量333.0 mA h g</w:t>
      </w:r>
      <w:r>
        <w:t xml:space="preserve"> </w:t>
      </w:r>
      <w:r>
        <w:t>−1</w:t>
      </w:r>
      <w:r>
        <w:t xml:space="preserve"> </w:t>
      </w:r>
      <w:r>
        <w:t>和比能量1097.0 Wh kg</w:t>
      </w:r>
    </w:p>
    <w:p>
      <w:pPr>
        <w:spacing w:before="0" w:after="200" w:lineRule="auto" w:line="276"/>
      </w:pPr>
      <w:r>
        <w:rPr>
          <w:b/>
        </w:rPr>
        <w:t xml:space="preserve">Abstract (EN): </w:t>
      </w:r>
      <w:r>
        <w:t>Despite significant progress in cathode and electrolyte design, interfacial degradation continues to limit the practical capacity of high‐energy secondary batteries. Here, we introduce a thermodynamics‐guided strategy to modulate the interfacial hybridization by aligning the electronic band structures of the cathode and electrolyte. As a proof of concept, we construct a weakly hybridized inner Helmholtz plane (IHP) layer on commercial LiNi</w:t>
      </w:r>
      <w:r>
        <w:t xml:space="preserve"> </w:t>
      </w:r>
      <w:r>
        <w:t>0.5</w:t>
      </w:r>
      <w:r>
        <w:t xml:space="preserve"> </w:t>
      </w:r>
      <w:r>
        <w:t>Mn</w:t>
      </w:r>
      <w:r>
        <w:t xml:space="preserve"> </w:t>
      </w:r>
      <w:r>
        <w:t>1.5</w:t>
      </w:r>
      <w:r>
        <w:t xml:space="preserve"> </w:t>
      </w:r>
      <w:r>
        <w:t>O</w:t>
      </w:r>
      <w:r>
        <w:rPr>
          <w:vertAlign w:val="subscript"/>
        </w:rPr>
        <w:t>4</w:t>
      </w:r>
      <w:r>
        <w:t>(LNMO), and unlock an unprecedented practical specific capacity of 333.0 mA h g</w:t>
      </w:r>
      <w:r>
        <w:t xml:space="preserve"> </w:t>
      </w:r>
      <w:r>
        <w:t>−1</w:t>
      </w:r>
      <w:r>
        <w:t xml:space="preserve"> </w:t>
      </w:r>
      <w:r>
        <w:t>and a specific energy of 1097.0 Wh kg</w:t>
      </w:r>
      <w:r>
        <w:t xml:space="preserve"> </w:t>
      </w:r>
      <w:r>
        <w:t>−1</w:t>
      </w:r>
      <w:r>
        <w:t xml:space="preserve"> </w:t>
      </w:r>
      <w:r>
        <w:t>, far exceeding the conventional operational thresholds (&amp;lt;150 mA h g</w:t>
      </w:r>
      <w:r>
        <w:t xml:space="preserve"> </w:t>
      </w:r>
      <w:r>
        <w:t>−1</w:t>
      </w:r>
      <w:r>
        <w:t xml:space="preserve"> </w:t>
      </w:r>
      <w:r>
        <w:t>). Theoretical calculations and in/ex situ spectroscopic investigations reveal that attenuated hybridization between the cathode and electrolyte anions/solvents suppresses transition metal dissolution and mitigates structural degradation during extended deep cycling. Implemented in commercial Al‐coated electrodes, our approach enables stable long‐term cycling at 300 mA g</w:t>
      </w:r>
      <w:r>
        <w:t xml:space="preserve"> </w:t>
      </w:r>
      <w:r>
        <w:t>−1</w:t>
      </w:r>
      <w:r>
        <w:t xml:space="preserve"> </w:t>
      </w:r>
      <w:r>
        <w:t>with 212.5 mA h g</w:t>
      </w:r>
      <w:r>
        <w:t xml:space="preserve"> </w:t>
      </w:r>
      <w:r>
        <w:t>−1</w:t>
      </w:r>
      <w:r>
        <w:t xml:space="preserve"> </w:t>
      </w:r>
      <w:r>
        <w:t>specific capacity retained after 300 cycles. These findings establish interfacial hybridization modulation as a universal and scalable design principle for overcoming intrinsic capacity limitations, offering a viable pathway toward practical high‐energy‐density, long‐life lithium‐ion batteries.</w:t>
      </w:r>
    </w:p>
    <w:p>
      <w:pPr>
        <w:spacing w:before="120" w:after="120"/>
      </w:pPr>
      <w:r>
        <w:rPr>
          <w:sz w:val="18"/>
        </w:rPr>
        <w:t>——————————————————————————————————————————————————————————————————————</w:t>
      </w:r>
    </w:p>
    <w:p>
      <w:pPr>
        <w:spacing w:before="160" w:after="40" w:line="240" w:lineRule="auto"/>
      </w:pPr>
      <w:r>
        <w:rPr>
          <w:b/>
        </w:rPr>
        <w:t xml:space="preserve">[16] </w:t>
      </w:r>
      <w:hyperlink r:id="rId78">
        <w:r>
          <w:rPr>
            <w:color w:val="1155CC"/>
            <w:u w:val="single"/>
          </w:rPr>
          <w:t>[ASAP] 通过定制化合价化学缓解锰基无序岩盐阴极的容量衰减</w:t>
        </w:r>
      </w:hyperlink>
    </w:p>
    <w:p>
      <w:pPr>
        <w:spacing w:before="0" w:after="80"/>
      </w:pPr>
      <w:r>
        <w:rPr>
          <w:i/>
          <w:sz w:val="20"/>
        </w:rPr>
        <w:t>EN: [ASAP] Tailored Valence Chemistry Mitigating Capacity Fading in Mn-Based Disordered Rocksalt Cathodes</w:t>
      </w:r>
    </w:p>
    <w:p>
      <w:pPr>
        <w:spacing w:before="0" w:after="120"/>
      </w:pPr>
      <w:r>
        <w:rPr>
          <w:b/>
        </w:rPr>
        <w:t xml:space="preserve">Source: </w:t>
      </w:r>
      <w:r>
        <w:t>ACS Energy Letters: Latest Articles (ACS Publications)</w:t>
      </w:r>
      <w:r>
        <w:t xml:space="preserve">    </w:t>
      </w:r>
      <w:r>
        <w:rPr>
          <w:b/>
        </w:rPr>
        <w:t xml:space="preserve">Pub date: </w:t>
      </w:r>
      <w:r>
        <w:t>2026-03-18 14:51:43+00:00</w:t>
      </w:r>
      <w:r>
        <w:t xml:space="preserve">    </w:t>
      </w:r>
      <w:r>
        <w:rPr>
          <w:b/>
        </w:rPr>
        <w:t xml:space="preserve">DOI: </w:t>
      </w:r>
      <w:hyperlink r:id="rId79">
        <w:r>
          <w:rPr>
            <w:color w:val="1155CC"/>
            <w:u w:val="single"/>
          </w:rPr>
          <w:t>10.1021/acsenergylett.6c00417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80">
        <w:r>
          <w:rPr>
            <w:color w:val="1155CC"/>
            <w:u w:val="single"/>
          </w:rPr>
          <w:t>[ASAP] 液滴状钠/空位有序化使超高钠含量的P2型氧化物阴极成为可能</w:t>
        </w:r>
      </w:hyperlink>
    </w:p>
    <w:p>
      <w:pPr>
        <w:spacing w:before="0" w:after="80"/>
      </w:pPr>
      <w:r>
        <w:rPr>
          <w:i/>
          <w:sz w:val="20"/>
        </w:rPr>
        <w:t>EN: [ASAP] Droplet-like Na/Vacancy Ordering Enables Ultrahigh-Na-Content P2-Type Oxide Cathodes</w:t>
      </w:r>
    </w:p>
    <w:p>
      <w:pPr>
        <w:spacing w:before="0" w:after="120"/>
      </w:pPr>
      <w:r>
        <w:rPr>
          <w:b/>
        </w:rPr>
        <w:t xml:space="preserve">Source: </w:t>
      </w:r>
      <w:r>
        <w:t>Journal of the American Chemical Society: Latest Articles (ACS Publications)</w:t>
      </w:r>
      <w:r>
        <w:t xml:space="preserve">    </w:t>
      </w:r>
      <w:r>
        <w:rPr>
          <w:b/>
        </w:rPr>
        <w:t xml:space="preserve">Pub date: </w:t>
      </w:r>
      <w:r>
        <w:t>2026-03-18 15:07:04+00:00</w:t>
      </w:r>
      <w:r>
        <w:t xml:space="preserve">    </w:t>
      </w:r>
      <w:r>
        <w:rPr>
          <w:b/>
        </w:rPr>
        <w:t xml:space="preserve">DOI: </w:t>
      </w:r>
      <w:hyperlink r:id="rId81">
        <w:r>
          <w:rPr>
            <w:color w:val="1155CC"/>
            <w:u w:val="single"/>
          </w:rPr>
          <w:t>10.1021/jacs.5c23270</w:t>
        </w:r>
      </w:hyperlink>
    </w:p>
    <w:p>
      <w:pPr>
        <w:spacing w:before="0" w:after="120"/>
      </w:pPr>
      <w:r>
        <w:rPr>
          <w:b/>
        </w:rPr>
        <w:t xml:space="preserve">Notes: </w:t>
      </w:r>
      <w:r>
        <w:t>abstract_source=pubmed</w:t>
      </w:r>
    </w:p>
    <w:p>
      <w:pPr>
        <w:spacing w:before="0" w:after="80" w:lineRule="auto" w:line="276"/>
      </w:pPr>
      <w:r>
        <w:rPr>
          <w:b/>
        </w:rPr>
        <w:t xml:space="preserve">摘要（ZH）: </w:t>
      </w:r>
      <w:r>
        <w:t>层状P2型过渡金属氧化物由于其高比容量和快速的Na+扩散而成为钠离子电池（SIBs）的有前途的正极材料，但其缺钠特性会引发高电压相变并限制全电池中活性钠离子的数量，阻碍了此类材料的实际应用。在此，我们报告了一种P2-Na0.91Ni0.18Cu0.08Mn0.74O2（H-Ni0.18）正极，其超高钠含量为0.91，由“液滴状”Na/空位有序化实现。这种在如此高钠水平下的Na层超结构有序化，通过同步辐射X射线技术、中子衍射和理论计算系统地证实，有效地最小化了Na离子之间的静电排斥并降低了总系统能量，从而稳定</w:t>
      </w:r>
    </w:p>
    <w:p>
      <w:pPr>
        <w:spacing w:before="0" w:after="200" w:lineRule="auto" w:line="276"/>
      </w:pPr>
      <w:r>
        <w:rPr>
          <w:b/>
        </w:rPr>
        <w:t xml:space="preserve">Abstract (EN): </w:t>
      </w:r>
      <w:r>
        <w:t>Layered P2-type transition-metal oxides are promising cathode materials for sodium-ion batteries (SIBs) due to their high specific capacity and rapid Na+ diffusion, but their Na-deficient nature would induce high-voltage phase transitions and limit the quantity of active sodium ions in full cells, impeding the practical implementation of such materials. Herein, we report a P2-Na0.91Ni0.18Cu0.08Mn0.74O2 (H-Ni0.18) cathode with an ultrahigh Na content of 0.91 enabled by a "droplet-like" Na/vacancy ordering. This Na-layer superstructure ordering at such a high Na level, systematically confirmed by synchrotron X-ray techniques, neutron diffraction, and theoretical computations, effectively minimizes the electrostatic repulsion among Na ions and lowers the total system energy, thereby stabilizing the P2 framework during synthesis. Benefiting from this high-Na configuration, the H-Ni0.18 cathode demonstrates pure solid-solution reaction behavior within 2.0-4.3 V and excellent cycling performance in half-cells. More impressively, the H-Ni0.18 cathode can also act as an intrinsic self-sacrificial Na reservoir, enabling the assembled H-Ni0.18//hard carbon full cell to achieve a respectable cycling stability (82.8% capacity retention after 150 cycles), superior to its low-Na analogue. This unique ordering-structure engineering provides a new design paradigm for developing ultrahigh-Na-content P2-type cathode materials for high-performance SIBs.</w:t>
      </w:r>
    </w:p>
    <w:p>
      <w:pPr>
        <w:spacing w:before="120" w:after="120"/>
      </w:pPr>
      <w:r>
        <w:rPr>
          <w:sz w:val="18"/>
        </w:rPr>
        <w:t>——————————————————————————————————————————————————————————————————————</w:t>
      </w:r>
    </w:p>
    <w:p>
      <w:pPr>
        <w:spacing w:before="160" w:after="40" w:line="240" w:lineRule="auto"/>
      </w:pPr>
      <w:r>
        <w:rPr>
          <w:b/>
        </w:rPr>
        <w:t xml:space="preserve">[18] </w:t>
      </w:r>
      <w:hyperlink r:id="rId82">
        <w:r>
          <w:rPr>
            <w:color w:val="1155CC"/>
            <w:u w:val="single"/>
          </w:rPr>
          <w:t>解锁高压无阳极钠-硫电池</w:t>
        </w:r>
      </w:hyperlink>
    </w:p>
    <w:p>
      <w:pPr>
        <w:spacing w:before="0" w:after="80"/>
      </w:pPr>
      <w:r>
        <w:rPr>
          <w:i/>
          <w:sz w:val="20"/>
        </w:rPr>
        <w:t>EN: Unlocking high-voltage anode-free sodium–sulfur batteries</w:t>
      </w:r>
    </w:p>
    <w:p>
      <w:pPr>
        <w:spacing w:before="0" w:after="120"/>
      </w:pPr>
      <w:r>
        <w:rPr>
          <w:b/>
        </w:rPr>
        <w:t xml:space="preserve">Source: </w:t>
      </w:r>
      <w:r>
        <w:t>National Science Review Advance Access</w:t>
      </w:r>
      <w:r>
        <w:t xml:space="preserve">    </w:t>
      </w:r>
      <w:r>
        <w:rPr>
          <w:b/>
        </w:rPr>
        <w:t xml:space="preserve">Pub date: </w:t>
      </w:r>
      <w:r>
        <w:t>2026-03-19 00:00:00+00:00</w:t>
      </w:r>
      <w:r>
        <w:t xml:space="preserve">    </w:t>
      </w:r>
      <w:r>
        <w:rPr>
          <w:b/>
        </w:rPr>
        <w:t xml:space="preserve">DOI: </w:t>
      </w:r>
      <w:hyperlink r:id="rId83">
        <w:r>
          <w:rPr>
            <w:color w:val="1155CC"/>
            <w:u w:val="single"/>
          </w:rPr>
          <w:t>10.1093/nsr/nwag180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84">
        <w:r>
          <w:rPr>
            <w:color w:val="1155CC"/>
            <w:u w:val="single"/>
          </w:rPr>
          <w:t>[ASAP] 层间超结构稳定的无镍钴氧化还原阴极</w:t>
        </w:r>
      </w:hyperlink>
    </w:p>
    <w:p>
      <w:pPr>
        <w:spacing w:before="0" w:after="80"/>
      </w:pPr>
      <w:r>
        <w:rPr>
          <w:i/>
          <w:sz w:val="20"/>
        </w:rPr>
        <w:t>EN: [ASAP] Interlayer Superstructure Stabilized Oxygen-Redox Ni- and Co-Free Cathodes</w:t>
      </w:r>
    </w:p>
    <w:p>
      <w:pPr>
        <w:spacing w:before="0" w:after="120"/>
      </w:pPr>
      <w:r>
        <w:rPr>
          <w:b/>
        </w:rPr>
        <w:t xml:space="preserve">Source: </w:t>
      </w:r>
      <w:r>
        <w:t>Journal of the American Chemical Society: Latest Articles (ACS Publications)</w:t>
      </w:r>
      <w:r>
        <w:t xml:space="preserve">    </w:t>
      </w:r>
      <w:r>
        <w:rPr>
          <w:b/>
        </w:rPr>
        <w:t xml:space="preserve">Pub date: </w:t>
      </w:r>
      <w:r>
        <w:t>2026-03-19 10:22:55+00:00</w:t>
      </w:r>
      <w:r>
        <w:t xml:space="preserve">    </w:t>
      </w:r>
      <w:r>
        <w:rPr>
          <w:b/>
        </w:rPr>
        <w:t xml:space="preserve">DOI: </w:t>
      </w:r>
      <w:hyperlink r:id="rId85">
        <w:r>
          <w:rPr>
            <w:color w:val="1155CC"/>
            <w:u w:val="single"/>
          </w:rPr>
          <w:t>10.1021/jacs.6c00236</w:t>
        </w:r>
      </w:hyperlink>
    </w:p>
    <w:p>
      <w:pPr>
        <w:spacing w:before="0" w:after="120"/>
      </w:pPr>
      <w:r>
        <w:rPr>
          <w:b/>
        </w:rPr>
        <w:t xml:space="preserve">Notes: </w:t>
      </w:r>
      <w:r>
        <w:t>abstract_source=pubmed</w:t>
      </w:r>
    </w:p>
    <w:p>
      <w:pPr>
        <w:spacing w:before="0" w:after="80" w:lineRule="auto" w:line="276"/>
      </w:pPr>
      <w:r>
        <w:rPr>
          <w:b/>
        </w:rPr>
        <w:t xml:space="preserve">摘要（ZH）: </w:t>
      </w:r>
      <w:r>
        <w:t>氧化还原是一种提供额外电荷补偿的机制，提升了可充电电池中金属氧化物阴极的容量。然而，O2-离子易于过度氧化，并且在放电过程中不总是恢复，特别是在高电压充电操作期间，导致结构不可逆性和快速电化学降解。在此，我们揭示了影响氧化还原可逆性的重要因素，超越其固有的热力学理论：层间超结构的作用。通过全面的表征，我们发现具有带状有序超结构和O-□Mn-O结构基序的P3-R-NMO在钠离子电池中表现出高度可逆的氧化还原反应。氧化还原的显著增强可以</w:t>
      </w:r>
    </w:p>
    <w:p>
      <w:pPr>
        <w:spacing w:before="0" w:after="200" w:lineRule="auto" w:line="276"/>
      </w:pPr>
      <w:r>
        <w:rPr>
          <w:b/>
        </w:rPr>
        <w:t xml:space="preserve">Abstract (EN): </w:t>
      </w:r>
      <w:r>
        <w:t>Oxygen redox is a mechanism that offers additional charge compensation, boosting the capacity of metal oxide cathodes in rechargeable batteries. However, the O2- ions are susceptible to overoxidation and do not always recover during discharge, particularly during high-voltage charge operation, leading to structural irreversibility and fast electrochemical degradation. Herein, we unveil a critical factor influencing O-redox reversibility beyond its intrinsic thermodynamic theory: the role of interlayer superstructure. Leveraging comprehensive characterizations, we have discovered that P3-R-NMO that features a ribbon-ordered superstructure with O-□Mn-O structural motifs exhibits highly reversible O-redox reactions for sodium-ion batteries. The remarkable enhancement in oxygen redox can be primarily attributed to the -A-B-C-interlayered superstructure. It introduces a substantial spatial separation between the interlayer O-□Mn-O motifs that are essential for oxygen redox, consequently reinforcing the chemomechanical strength against interlayer planar gliding and effectively mitigating the two-phase transition and Mn migration during cycling. In a strict comparison, when the same ribbon superstructure adopts an -A-B- stacking sequence in P2-R-NMO, the {002} planar gliding is more readily activated, leading to the detrimental P2-to-O2 phase transition, severe Mn migration, and ultimately, the destruction of the O-□Mn-O motifs and irreversible oxygen loss. Our findings suggest that achieving highly stable oxygen redox can be made feasible through the thoughtful design of an interlayer superstructure, where the elastic strength of the lattice against irreversible gliding can be significantly enhanced.</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86">
        <w:r>
          <w:rPr>
            <w:color w:val="1155CC"/>
            <w:u w:val="single"/>
          </w:rPr>
          <w:t>锌离子电池中阳极/电解质界面调控的原位策略研究进展</w:t>
        </w:r>
      </w:hyperlink>
    </w:p>
    <w:p>
      <w:pPr>
        <w:spacing w:before="0" w:after="80"/>
      </w:pPr>
      <w:r>
        <w:rPr>
          <w:i/>
          <w:sz w:val="20"/>
        </w:rPr>
        <w:t>EN: Research progress on in-situ strategies for modulating the anode/electrolyte interface in zinc-ion batteries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87">
        <w:r>
          <w:rPr>
            <w:color w:val="1155CC"/>
            <w:u w:val="single"/>
          </w:rPr>
          <w:t>通过工艺结构优化策略研究硅基圆柱电池的循环性能</w:t>
        </w:r>
      </w:hyperlink>
    </w:p>
    <w:p>
      <w:pPr>
        <w:spacing w:before="0" w:after="80"/>
      </w:pPr>
      <w:r>
        <w:rPr>
          <w:i/>
          <w:sz w:val="20"/>
        </w:rPr>
        <w:t>EN: Study on the cycling performance of silicon-based cylindrical batteries via process-structure optimization strategy</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88">
        <w:r>
          <w:rPr>
            <w:color w:val="1155CC"/>
            <w:u w:val="single"/>
          </w:rPr>
          <w:t>二维六元环基底作为稳定锌(002)外延电沉积的界面晶格锁定层</w:t>
        </w:r>
      </w:hyperlink>
    </w:p>
    <w:p>
      <w:pPr>
        <w:spacing w:before="0" w:after="80"/>
      </w:pPr>
      <w:r>
        <w:rPr>
          <w:i/>
          <w:sz w:val="20"/>
        </w:rPr>
        <w:t>EN: Two‐Dimensional Six‐Membered‐Ring Substrates as Interfacial Lattice Locking Layer for Stable Zinc (002) Epitaxial Electrodeposition</w:t>
      </w:r>
    </w:p>
    <w:p>
      <w:pPr>
        <w:spacing w:before="0" w:after="120"/>
      </w:pPr>
      <w:r>
        <w:rPr>
          <w:b/>
        </w:rPr>
        <w:t xml:space="preserve">Source: </w:t>
      </w:r>
      <w:r>
        <w:t>Wiley: Advanced Energy Materials: Table of Contents</w:t>
      </w:r>
      <w:r>
        <w:t xml:space="preserve">    </w:t>
      </w:r>
      <w:r>
        <w:rPr>
          <w:b/>
        </w:rPr>
        <w:t xml:space="preserve">Pub date: </w:t>
      </w:r>
      <w:r>
        <w:t>2026-03-14 05:14:41+00:00</w:t>
      </w:r>
      <w:r>
        <w:t xml:space="preserve">    </w:t>
      </w:r>
      <w:r>
        <w:rPr>
          <w:b/>
        </w:rPr>
        <w:t xml:space="preserve">DOI: </w:t>
      </w:r>
      <w:hyperlink r:id="rId89">
        <w:r>
          <w:rPr>
            <w:color w:val="1155CC"/>
            <w:u w:val="single"/>
          </w:rPr>
          <w:t>10.1002/aenm.70831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调节锌金属的晶体结构以促进低表面能锌(002)平面的生长已被认为是增强锌可逆性的有效策略。然而，基底与锌金属之间的晶格失配阻碍了外延电沉积过程。在此，提出了一类具有六元环（SMR）结构的二维材料作为低晶格失配基底，以诱导锌(002)异质外延沉积。以氢化硼烯为模型系统，证明了独特的SMR结构选择性地锁定锌沉积物的晶格取向，从而实现(002)织构锌金属的密堆积晶体生长。同时，有序的开放通道和结构</w:t>
      </w:r>
    </w:p>
    <w:p>
      <w:pPr>
        <w:spacing w:before="0" w:after="200" w:lineRule="auto" w:line="276"/>
      </w:pPr>
      <w:r>
        <w:rPr>
          <w:b/>
        </w:rPr>
        <w:t xml:space="preserve">Abstract (EN): </w:t>
      </w:r>
      <w:r>
        <w:t>Modulating the crystallography of Zn metal to promote the growth of the low‐surface‐energy Zn (002) plane has been recognized as an effective strategy for enhancing Zn reversibility. However, the lattice mismatch between the substrate and Zn metal has hampered the epitaxial electrodeposition process. Herein, a class of 2D materials with a six‐membered‐ring (SMR) structure is presented as a low‐lattice‐mismatch substrate to induce Zn (002) heteroepitaxial deposition. Using hydrogenated borophene as a model system, it is demonstrated that the unique SMR structure selectively locks the lattice orientation of the Zn deposits, enabling the close‐packed crystallographic growth of (002)‐textured Zn metal. Meanwhile, the orderly open channels and strong zincophilicity of borophene promote Zn</w:t>
      </w:r>
      <w:r>
        <w:t xml:space="preserve"> </w:t>
      </w:r>
      <w:r>
        <w:t>2+</w:t>
      </w:r>
      <w:r>
        <w:t xml:space="preserve"> </w:t>
      </w:r>
      <w:r>
        <w:t>migration and homogenize the Zn</w:t>
      </w:r>
      <w:r>
        <w:t xml:space="preserve"> </w:t>
      </w:r>
      <w:r>
        <w:t>2+</w:t>
      </w:r>
      <w:r>
        <w:t xml:space="preserve"> </w:t>
      </w:r>
      <w:r>
        <w:t>flux to achieve uniform Zn deposition. These combined advantages of borophene enable the Zn||Zn pouch cell to exhibit a cumulative capacity of 4625 mAh cm</w:t>
      </w:r>
      <w:r>
        <w:t xml:space="preserve"> </w:t>
      </w:r>
      <w:r>
        <w:t>−2</w:t>
      </w:r>
      <w:r>
        <w:t xml:space="preserve"> </w:t>
      </w:r>
      <w:r>
        <w:t>. Additionally, the Zn||V</w:t>
      </w:r>
      <w:r>
        <w:rPr>
          <w:vertAlign w:val="subscript"/>
        </w:rPr>
        <w:t>2</w:t>
      </w:r>
      <w:r>
        <w:t>O</w:t>
      </w:r>
      <w:r>
        <w:rPr>
          <w:vertAlign w:val="subscript"/>
        </w:rPr>
        <w:t>3</w:t>
      </w:r>
      <w:r>
        <w:t>pouch cell operates stably over 200 cycles with a low negative/positive capacity ratio of 2.1. Furthermore, a series of 2D SMR materials is demonstrated to act as an interfacial lattice locking layer through both theoretical and experimental verification. This study provides new insights into the design of heteroepitaxial substrates for highly reversible Zn deposition.</w:t>
      </w:r>
    </w:p>
    <w:p>
      <w:pPr>
        <w:spacing w:before="120" w:after="120"/>
      </w:pPr>
      <w:r>
        <w:rPr>
          <w:sz w:val="18"/>
        </w:rPr>
        <w:t>——————————————————————————————————————————————————————————————————————</w:t>
      </w:r>
    </w:p>
    <w:p>
      <w:pPr>
        <w:spacing w:before="160" w:after="40" w:line="240" w:lineRule="auto"/>
      </w:pPr>
      <w:r>
        <w:rPr>
          <w:b/>
        </w:rPr>
        <w:t xml:space="preserve">[4] </w:t>
      </w:r>
      <w:hyperlink r:id="rId90">
        <w:r>
          <w:rPr>
            <w:color w:val="1155CC"/>
            <w:u w:val="single"/>
          </w:rPr>
          <w:t>电沉积锂的微观结构及其在使用金属中间层的“无阳极”固态电池循环过程中的演变</w:t>
        </w:r>
      </w:hyperlink>
    </w:p>
    <w:p>
      <w:pPr>
        <w:spacing w:before="0" w:after="80"/>
      </w:pPr>
      <w:r>
        <w:rPr>
          <w:i/>
          <w:sz w:val="20"/>
        </w:rPr>
        <w:t>EN: Microstructure of Electrodeposited Lithium and its Evolution During Cycling when Using Metal Interlayers in "Anode-Free" Solid-State Batteries</w:t>
      </w:r>
    </w:p>
    <w:p>
      <w:pPr>
        <w:spacing w:before="0" w:after="120"/>
      </w:pPr>
      <w:r>
        <w:rPr>
          <w:b/>
        </w:rPr>
        <w:t xml:space="preserve">Source: </w:t>
      </w:r>
      <w:r>
        <w:t>RSC - Energy Environ. Sci. latest articles</w:t>
      </w:r>
      <w:r>
        <w:t xml:space="preserve">    </w:t>
      </w:r>
      <w:r>
        <w:rPr>
          <w:b/>
        </w:rPr>
        <w:t xml:space="preserve">Pub date: </w:t>
      </w:r>
      <w:r>
        <w:t>2026-03-16 00:00:00+00:00</w:t>
      </w:r>
    </w:p>
    <w:p>
      <w:pPr>
        <w:spacing w:before="0" w:after="120"/>
      </w:pPr>
      <w:r>
        <w:rPr>
          <w:b/>
        </w:rPr>
        <w:t xml:space="preserve">Notes: </w:t>
      </w:r>
      <w:r>
        <w:t>abstract_source=rsc_html</w:t>
      </w:r>
    </w:p>
    <w:p>
      <w:pPr>
        <w:spacing w:before="0" w:after="80" w:lineRule="auto" w:line="276"/>
      </w:pPr>
      <w:r>
        <w:rPr>
          <w:b/>
        </w:rPr>
        <w:t xml:space="preserve">摘要（ZH）: </w:t>
      </w:r>
      <w:r>
        <w:t>“无储层”固态电池的构建可以避免处理活性锂金属箔，并进一步提高能量密度。金属中间层可以通过增加沉积物的覆盖率并进一步减少锂晶粒的尺寸，在沉积锂层的均匀化中发挥重要作用。迄今为止，不同中间层的影响以及剥离对锂微观结构的影响仍然未知。这项工作使用电子背散射衍射（EBSD）分析了金、银和铋中间层对电沉积锂层微观结构的影响，样品通过宽离子研磨制备的横截面。此外，部分剥离的锂层以及剥离对</w:t>
      </w:r>
    </w:p>
    <w:p>
      <w:pPr>
        <w:spacing w:before="0" w:after="200" w:lineRule="auto" w:line="276"/>
      </w:pPr>
      <w:r>
        <w:rPr>
          <w:b/>
        </w:rPr>
        <w:t xml:space="preserve">Abstract (EN): </w:t>
      </w:r>
      <w:r>
        <w:t>"Reservoir-free" construction of solid state batteries could circumvent the handling of reactive lithium metal foils and further increase the energy density. Metallic interlayers could play an important role in the homogenization of the deposited lithium layer by increasing the coverage of the deposit and additionally reducing the size of the lithium grains. To date, the influence of different interlayers and the influence of stripping on the lithium microstructure is still unknown. This work analyzes the influence of gold, silver and bismuth interlayers on the microstructure of electrodeposited lithium layers using electron backscatter diffraction (EBSD) on cross-sections prepared by broad ion-milling. In addition, partially stripped lithium layers and thus the influence of stripping on the lithium microstructure are analyzed using the mentioned interlayers. Our findings reveal that different interlayer materials result in different lithium microstructures. In addition, stripping also causes a significant change in the lithium microstructure, both in terms of grain size and grain orientation, gaining a deeper understanding of the lithium microstructure and its impact.</w:t>
      </w:r>
    </w:p>
    <w:p>
      <w:pPr>
        <w:spacing w:before="120" w:after="120"/>
      </w:pPr>
      <w:r>
        <w:rPr>
          <w:sz w:val="18"/>
        </w:rPr>
        <w:t>——————————————————————————————————————————————————————————————————————</w:t>
      </w:r>
    </w:p>
    <w:p>
      <w:pPr>
        <w:spacing w:before="160" w:after="40" w:line="240" w:lineRule="auto"/>
      </w:pPr>
      <w:r>
        <w:rPr>
          <w:b/>
        </w:rPr>
        <w:t xml:space="preserve">[5] </w:t>
      </w:r>
      <w:hyperlink r:id="rId65">
        <w:r>
          <w:rPr>
            <w:color w:val="1155CC"/>
            <w:u w:val="single"/>
          </w:rPr>
          <w:t>Li+嵌入化学在二维过渡金属二硫化物中的相变演化、可扩展生产和应用</w:t>
        </w:r>
      </w:hyperlink>
    </w:p>
    <w:p>
      <w:pPr>
        <w:spacing w:before="0" w:after="80"/>
      </w:pPr>
      <w:r>
        <w:rPr>
          <w:i/>
          <w:sz w:val="20"/>
        </w:rPr>
        <w:t>EN: Li+ intercalation chemistry on 2D transition metal dichalcogenides towards phase evolution, scalable production and application</w:t>
      </w:r>
    </w:p>
    <w:p>
      <w:pPr>
        <w:spacing w:before="0" w:after="120"/>
      </w:pPr>
      <w:r>
        <w:rPr>
          <w:b/>
        </w:rPr>
        <w:t xml:space="preserve">Source: </w:t>
      </w:r>
      <w:r>
        <w:t>National Science Review Advance Access</w:t>
      </w:r>
      <w:r>
        <w:t xml:space="preserve">    </w:t>
      </w:r>
      <w:r>
        <w:rPr>
          <w:b/>
        </w:rPr>
        <w:t xml:space="preserve">Pub date: </w:t>
      </w:r>
      <w:r>
        <w:t>2026-03-17 00:00:00+00:00</w:t>
      </w:r>
      <w:r>
        <w:t xml:space="preserve">    </w:t>
      </w:r>
      <w:r>
        <w:rPr>
          <w:b/>
        </w:rPr>
        <w:t xml:space="preserve">DOI: </w:t>
      </w:r>
      <w:hyperlink r:id="rId66">
        <w:r>
          <w:rPr>
            <w:color w:val="1155CC"/>
            <w:u w:val="single"/>
          </w:rPr>
          <w:t>10.1093/nsr/nwag165</w:t>
        </w:r>
      </w:hyperlink>
    </w:p>
    <w:p>
      <w:pPr>
        <w:spacing w:before="0" w:after="120"/>
      </w:pPr>
      <w:r>
        <w:rPr>
          <w:b/>
        </w:rPr>
        <w:t xml:space="preserve">Notes: </w:t>
      </w:r>
      <w:r>
        <w:t>abstract_source=rss_oup</w:t>
      </w:r>
    </w:p>
    <w:p>
      <w:pPr>
        <w:spacing w:before="0" w:after="80" w:lineRule="auto" w:line="276"/>
      </w:pPr>
      <w:r>
        <w:rPr>
          <w:b/>
        </w:rPr>
        <w:t xml:space="preserve">摘要（ZH）: </w:t>
      </w:r>
      <w:r>
        <w:t>Li+嵌入化学是一种强大的工具，可以在过渡金属二硫属化物（TMDs）中引发相变，但只有第Ⅵ族TMDs（MoS2和WS2）的2H到1T/1T'转变是众所周知的，并被广泛应用于晶体管、忆阻器、催化和电池等领域。在此，我们通过原位电化学Li+嵌入，开发了第IV-Ⅵ族TMDs相演变的完整文档化景观。</w:t>
      </w:r>
    </w:p>
    <w:p>
      <w:pPr>
        <w:spacing w:before="0" w:after="200" w:lineRule="auto" w:line="276"/>
      </w:pPr>
      <w:r>
        <w:rPr>
          <w:b/>
        </w:rPr>
        <w:t xml:space="preserve">Abstract (EN): </w:t>
      </w:r>
      <w:r>
        <w:t>Li+ intercalation chemistry is a powerful tool to induce phase transitions in transition metal dichalcogenides (TMDs), but only the transition of 2H-to-1T/1T’ in group Ⅵ TMDs (MoS2 and WS2) is well-known and widely explored for applications in areas such as transistors, memristor, catalysis, and batteries. Here, we develop a fully documented landscapes of phase evolution in group IV-Ⅵ TMDs induced by electrochemical Li+ intercalation through in-situ</w:t>
      </w:r>
    </w:p>
    <w:p>
      <w:pPr>
        <w:spacing w:before="120" w:after="120"/>
      </w:pPr>
      <w:r>
        <w:rPr>
          <w:sz w:val="18"/>
        </w:rPr>
        <w:t>——————————————————————————————————————————————————————————————————————</w:t>
      </w:r>
    </w:p>
    <w:p>
      <w:pPr>
        <w:spacing w:before="160" w:after="40" w:line="240" w:lineRule="auto"/>
      </w:pPr>
      <w:r>
        <w:rPr>
          <w:b/>
        </w:rPr>
        <w:t xml:space="preserve">[6] </w:t>
      </w:r>
      <w:hyperlink r:id="rId91">
        <w:r>
          <w:rPr>
            <w:color w:val="1155CC"/>
            <w:u w:val="single"/>
          </w:rPr>
          <w:t>解码锌阳极的电沉积：用于可充电电池的动态混合成核模型</w:t>
        </w:r>
      </w:hyperlink>
    </w:p>
    <w:p>
      <w:pPr>
        <w:spacing w:before="0" w:after="80"/>
      </w:pPr>
      <w:r>
        <w:rPr>
          <w:i/>
          <w:sz w:val="20"/>
        </w:rPr>
        <w:t>EN: Decoding the Electrodeposition of Zinc Anode With Dynamic Mixed Nucleation Model for Rechargeable Batteries</w:t>
      </w:r>
    </w:p>
    <w:p>
      <w:pPr>
        <w:spacing w:before="0" w:after="120"/>
      </w:pPr>
      <w:r>
        <w:rPr>
          <w:b/>
        </w:rPr>
        <w:t xml:space="preserve">Source: </w:t>
      </w:r>
      <w:r>
        <w:t>Wiley: Advanced Materials: Table of Contents</w:t>
      </w:r>
      <w:r>
        <w:t xml:space="preserve">    </w:t>
      </w:r>
      <w:r>
        <w:rPr>
          <w:b/>
        </w:rPr>
        <w:t xml:space="preserve">Pub date: </w:t>
      </w:r>
      <w:r>
        <w:t>2026-03-17 09:31:23+00:00</w:t>
      </w:r>
      <w:r>
        <w:t xml:space="preserve">    </w:t>
      </w:r>
      <w:r>
        <w:rPr>
          <w:b/>
        </w:rPr>
        <w:t xml:space="preserve">DOI: </w:t>
      </w:r>
      <w:hyperlink r:id="rId92">
        <w:r>
          <w:rPr>
            <w:color w:val="1155CC"/>
            <w:u w:val="single"/>
          </w:rPr>
          <w:t>10.1002/adma.72783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枝晶对有机电解质中锌（Zn）金属电池的循环寿命构成了重大威胁。Zn的沉积行为在很大程度上受到电沉积动力学的影响，对其更好的理解至关重要但常被忽视。在本研究中，我们提供了更精细的电沉积分类，并建立了一种新的混合成核模型。通过基于混合成核模型拟合不同偏压下阳极的计时电流曲线，可以清晰地分类阳极成核模式随时间的动态演变。此外，混合成核模型拟合证明了锑（Sb）的引入改变了Zn阳极的电化学动力学，增加了</w:t>
      </w:r>
    </w:p>
    <w:p>
      <w:pPr>
        <w:spacing w:before="0" w:after="200" w:lineRule="auto" w:line="276"/>
      </w:pPr>
      <w:r>
        <w:rPr>
          <w:b/>
        </w:rPr>
        <w:t xml:space="preserve">Abstract (EN): </w:t>
      </w:r>
      <w:r>
        <w:t>Dendrites have posed a significant threat to the cycling life of zinc (Zn) metal batteries in organic electrolyte. The deposition behavior of Zn is largely influenced by the kinetics of electrodeposition, a better understanding of which is crucial but often neglected. In this study, we provide a more refined classification of the electrodeposition and establish a novel mixed nucleation model. By fitting the chronoamperometric curves of the anode under different bias potentials based on mixed nucleation model, the dynamic evolution of the anode nucleation mode over time can be clearly classified. Also, the mixed nucleation model fitting proved that the introduction of antimony (Sb) transformed the electrochemical kinetics of the Zn anode, increasing the nucleation site density and shifting zinc deposition from mostly 3D instantaneous nucleation to uniform progressive nucleation. Consequently, the alloyed Zn exhibits a quasi‐2D deposition with predominantly exposed (002) nanocrystalline crystallographic plane. The flat and regular deposition enables excellent performance: steady cycling over 2600 h life at 5 mA cm</w:t>
      </w:r>
      <w:r>
        <w:t xml:space="preserve"> </w:t>
      </w:r>
      <w:r>
        <w:t>−2</w:t>
      </w:r>
      <w:r>
        <w:t xml:space="preserve"> </w:t>
      </w:r>
      <w:r>
        <w:t>, 5 mAh cm</w:t>
      </w:r>
      <w:r>
        <w:t xml:space="preserve"> </w:t>
      </w:r>
      <w:r>
        <w:t>−2</w:t>
      </w:r>
      <w:r>
        <w:t xml:space="preserve"> </w:t>
      </w:r>
      <w:r>
        <w:t>in Zn||Zn symmetric cells; dendrite‐free zinc plating/stripping at 99.94% coulombic efficiency in SS||Zn asymmetric cell. The mixed nucleation model may provide new insights for the electrodeposition behavior of metal anodes.</w:t>
      </w:r>
    </w:p>
    <w:p>
      <w:pPr>
        <w:spacing w:before="120" w:after="120"/>
      </w:pPr>
      <w:r>
        <w:rPr>
          <w:sz w:val="18"/>
        </w:rPr>
        <w:t>——————————————————————————————————————————————————————————————————————</w:t>
      </w:r>
    </w:p>
    <w:p>
      <w:pPr>
        <w:spacing w:before="160" w:after="40" w:line="240" w:lineRule="auto"/>
      </w:pPr>
      <w:r>
        <w:rPr>
          <w:b/>
        </w:rPr>
        <w:t xml:space="preserve">[7] </w:t>
      </w:r>
      <w:hyperlink r:id="rId93">
        <w:r>
          <w:rPr>
            <w:color w:val="1155CC"/>
            <w:u w:val="single"/>
          </w:rPr>
          <w:t>通过电子带工程实现聚四氟乙烯（PTFE）的电化学稳定化，支持长寿命、高能量密度锂离子电池</w:t>
        </w:r>
      </w:hyperlink>
    </w:p>
    <w:p>
      <w:pPr>
        <w:spacing w:before="0" w:after="80"/>
      </w:pPr>
      <w:r>
        <w:rPr>
          <w:i/>
          <w:sz w:val="20"/>
        </w:rPr>
        <w:t>EN: Electrochemical Stabilization of Polytetrafluoroethylene (PTFE) via Electronic Band Engineering Enables Long‐Life, High‐Energy‐Density Li‐Ion Batteries</w:t>
      </w:r>
    </w:p>
    <w:p>
      <w:pPr>
        <w:spacing w:before="0" w:after="120"/>
      </w:pPr>
      <w:r>
        <w:rPr>
          <w:b/>
        </w:rPr>
        <w:t xml:space="preserve">Source: </w:t>
      </w:r>
      <w:r>
        <w:t>Wiley: Advanced Energy Materials: Table of Contents</w:t>
      </w:r>
      <w:r>
        <w:t xml:space="preserve">    </w:t>
      </w:r>
      <w:r>
        <w:rPr>
          <w:b/>
        </w:rPr>
        <w:t xml:space="preserve">Pub date: </w:t>
      </w:r>
      <w:r>
        <w:t>2026-03-17 09:45:50+00:00</w:t>
      </w:r>
      <w:r>
        <w:t xml:space="preserve">    </w:t>
      </w:r>
      <w:r>
        <w:rPr>
          <w:b/>
        </w:rPr>
        <w:t xml:space="preserve">DOI: </w:t>
      </w:r>
      <w:hyperlink r:id="rId94">
        <w:r>
          <w:rPr>
            <w:color w:val="1155CC"/>
            <w:u w:val="single"/>
          </w:rPr>
          <w:t>10.1002/aenm.70845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聚四氟乙烯（PTFE）粘合剂的干涂工艺已成为制造高能量密度锂离子电池（LIBs）厚电极的有前途技术。然而，其实际应用受到PTFE在阳极处电化学稳定性差的限制。PTFE固有的低最低未占分子轨道（LUMO）能量使其在阳极处极易受到还原诱导的副反应影响，导致初始库仑效率（ICE）低和电极微结构在循环过程中退化。为克服这一限制，通过引入弱电子吸引的含氧和氮的功能团，合理设计PTFE的前沿轨道能级。</w:t>
      </w:r>
    </w:p>
    <w:p>
      <w:pPr>
        <w:spacing w:before="0" w:after="200" w:lineRule="auto" w:line="276"/>
      </w:pPr>
      <w:r>
        <w:rPr>
          <w:b/>
        </w:rPr>
        <w:t xml:space="preserve">Abstract (EN): </w:t>
      </w:r>
      <w:r>
        <w:t>The dry‐coating process with polytetrafluoroethylene (PTFE) binder has emerged as a promising technology for fabricating thick electrodes toward high‐energy‐density lithium‐ion batteries (LIBs). However, its practical application is limited by the poor electrochemical stability of PTFE at the anode. The intrinsically low lowest unoccupied molecular orbital (LUMO) energy of PTFE renders it highly susceptible to reduction‐induced side reactions at the anode, leading to low initial Coulombic efficiency (ICE) and degradation of electrode microstructure during cycling. To overcome this limitation, the frontier orbital energy level of PTFE is rationally engineered by incorporating weakly electron‐withdrawing oxygen‐ and nitrogen‐containing functional groups via O</w:t>
      </w:r>
      <w:r>
        <w:rPr>
          <w:vertAlign w:val="subscript"/>
        </w:rPr>
        <w:t>2</w:t>
      </w:r>
      <w:r>
        <w:t>plasma treatment and gas‐phase nitridation. This molecular modification strategy induces an increase in LUMO energy, which enhances the electrochemical stability of PTFE under anodic environments. The dry‐processed anode employing modified PTFE exhibits a high ICE of 92.8%, compared with 87.8% for the anode with pristine PTFE. Furthermore, full‐cells exhibit outstanding long‐term cycling stability with negligible electrode swelling with a practical areal capacity of 7 mAh cm</w:t>
      </w:r>
      <w:r>
        <w:t xml:space="preserve"> </w:t>
      </w:r>
      <w:r>
        <w:t>−2</w:t>
      </w:r>
      <w:r>
        <w:t xml:space="preserve"> </w:t>
      </w:r>
      <w:r>
        <w:t>over 600 cycles. This finding highlight that the molecular engineering of the PTFE fiber network offers straightforward and effective strategy to suppress PTFE reduction, enabling practical high–energy–density LIBs with long‐term cycling stability.</w:t>
      </w:r>
    </w:p>
    <w:p>
      <w:pPr>
        <w:spacing w:before="120" w:after="120"/>
      </w:pPr>
      <w:r>
        <w:rPr>
          <w:sz w:val="18"/>
        </w:rPr>
        <w:t>——————————————————————————————————————————————————————————————————————</w:t>
      </w:r>
    </w:p>
    <w:p>
      <w:pPr>
        <w:spacing w:before="160" w:after="40" w:line="240" w:lineRule="auto"/>
      </w:pPr>
      <w:r>
        <w:rPr>
          <w:b/>
        </w:rPr>
        <w:t xml:space="preserve">[8] </w:t>
      </w:r>
      <w:hyperlink r:id="rId95">
        <w:r>
          <w:rPr>
            <w:color w:val="1155CC"/>
            <w:u w:val="single"/>
          </w:rPr>
          <w:t>通过快速微波蚀刻结合聚多巴胺保护实现锌阳极的秒级表面重构，用于实际长寿命水系锌离子电池</w:t>
        </w:r>
      </w:hyperlink>
    </w:p>
    <w:p>
      <w:pPr>
        <w:spacing w:before="0" w:after="80"/>
      </w:pPr>
      <w:r>
        <w:rPr>
          <w:i/>
          <w:sz w:val="20"/>
        </w:rPr>
        <w:t>EN: Second‐Scale Surface Reconstruction of Zn Anodes via Rapid Microwave Etching Coupled With Polydopamine Protection for Practical Long‐Life Aqueous Zinc‐Ion Batteries</w:t>
      </w:r>
    </w:p>
    <w:p>
      <w:pPr>
        <w:spacing w:before="0" w:after="120"/>
      </w:pPr>
      <w:r>
        <w:rPr>
          <w:b/>
        </w:rPr>
        <w:t xml:space="preserve">Source: </w:t>
      </w:r>
      <w:r>
        <w:t>Wiley: Advanced Energy Materials: Table of Contents</w:t>
      </w:r>
      <w:r>
        <w:t xml:space="preserve">    </w:t>
      </w:r>
      <w:r>
        <w:rPr>
          <w:b/>
        </w:rPr>
        <w:t xml:space="preserve">Pub date: </w:t>
      </w:r>
      <w:r>
        <w:t>2026-03-17 10:17:08+00:00</w:t>
      </w:r>
      <w:r>
        <w:t xml:space="preserve">    </w:t>
      </w:r>
      <w:r>
        <w:rPr>
          <w:b/>
        </w:rPr>
        <w:t xml:space="preserve">DOI: </w:t>
      </w:r>
      <w:hyperlink r:id="rId96">
        <w:r>
          <w:rPr>
            <w:color w:val="1155CC"/>
            <w:u w:val="single"/>
          </w:rPr>
          <w:t>10.1002/aenm.202506688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水系锌离子电池（ZIBs）具有内在的安全性、低成本和高理论容量（820 mAh g−1和5855 mAh cm−3），但锌负极上的枝晶形成和寄生副反应阻碍了其实际应用。本文提出了一种协同表面工程策略，结合快速微波辅助蚀刻和一致的聚多巴胺（PDA）涂层。微波辐射产生分级阶梯孔，暴露（101）晶面，为Zn2+提供丰富的成核位点，并引导Zn的定向生长，分子动力学模拟支持这一点。PDA层捕获H</w:t>
      </w:r>
    </w:p>
    <w:p>
      <w:pPr>
        <w:spacing w:before="0" w:after="200" w:lineRule="auto" w:line="276"/>
      </w:pPr>
      <w:r>
        <w:rPr>
          <w:b/>
        </w:rPr>
        <w:t xml:space="preserve">Abstract (EN): </w:t>
      </w:r>
      <w:r>
        <w:t>Aqueous zinc‐ion batteries (ZIBs) offer intrinsic safety, low cost, and high theoretical capacity (820 mAh g</w:t>
      </w:r>
      <w:r>
        <w:t xml:space="preserve"> </w:t>
      </w:r>
      <w:r>
        <w:t>−1</w:t>
      </w:r>
      <w:r>
        <w:t xml:space="preserve"> </w:t>
      </w:r>
      <w:r>
        <w:t>, and 5855 mAh cm</w:t>
      </w:r>
      <w:r>
        <w:t xml:space="preserve"> </w:t>
      </w:r>
      <w:r>
        <w:t>−3</w:t>
      </w:r>
      <w:r>
        <w:t xml:space="preserve"> </w:t>
      </w:r>
      <w:r>
        <w:t>), yet dendrite formation and parasitic side reactions on Zn anodes hinder practical application. Here, a synergistic surface engineering strategy combining rapid microwave‐assisted etching with a conformal polydopamine (PDA) coating is presented. Microwave irradiation creates hierarchical stepwise pores that expose (101) facets, providing abundant nucleation sites for Zn</w:t>
      </w:r>
      <w:r>
        <w:t xml:space="preserve"> </w:t>
      </w:r>
      <w:r>
        <w:t>2+</w:t>
      </w:r>
      <w:r>
        <w:t xml:space="preserve"> </w:t>
      </w:r>
      <w:r>
        <w:t>and guiding the directional growth of Zn, as supported by molecular dynamics simulations. The PDA layer captures H</w:t>
      </w:r>
      <w:r>
        <w:rPr>
          <w:vertAlign w:val="subscript"/>
        </w:rPr>
        <w:t>2</w:t>
      </w:r>
      <w:r>
        <w:t>O molecules near hydrated Zn</w:t>
      </w:r>
      <w:r>
        <w:t xml:space="preserve"> </w:t>
      </w:r>
      <w:r>
        <w:t>2+</w:t>
      </w:r>
      <w:r>
        <w:t xml:space="preserve"> </w:t>
      </w:r>
      <w:r>
        <w:t>, suppressing hydrogen evolution, corrosion, and byproduct formation. Consequently, PDA‐coated eZn (PDA‐eZn) symmetric cells exhibit stable cycling over 526 h at 10 mA cm</w:t>
      </w:r>
      <w:r>
        <w:t xml:space="preserve"> </w:t>
      </w:r>
      <w:r>
        <w:t>−2</w:t>
      </w:r>
      <w:r>
        <w:t xml:space="preserve"> </w:t>
      </w:r>
      <w:r>
        <w:t>and 5 mAh cm</w:t>
      </w:r>
      <w:r>
        <w:t xml:space="preserve"> </w:t>
      </w:r>
      <w:r>
        <w:t>−2</w:t>
      </w:r>
      <w:r>
        <w:t xml:space="preserve"> </w:t>
      </w:r>
      <w:r>
        <w:t>, while PDA‐eZn//V</w:t>
      </w:r>
      <w:r>
        <w:rPr>
          <w:vertAlign w:val="subscript"/>
        </w:rPr>
        <w:t>2</w:t>
      </w:r>
      <w:r>
        <w:t>O</w:t>
      </w:r>
      <w:r>
        <w:rPr>
          <w:vertAlign w:val="subscript"/>
        </w:rPr>
        <w:t>5</w:t>
      </w:r>
      <w:r>
        <w:t>full cells retain 73.6% capacity after 1500 cycles at 3 A g</w:t>
      </w:r>
      <w:r>
        <w:t xml:space="preserve"> </w:t>
      </w:r>
      <w:r>
        <w:t>−1</w:t>
      </w:r>
      <w:r>
        <w:t xml:space="preserve"> </w:t>
      </w:r>
      <w:r>
        <w:t>, with robust rate performance across a wide current density range. This scalable and generalizable approach establishes a clear design principle for dendrite‐free, high‐performance Zn anodes and can be extended to other metal anodes, advancing safe, durable, and high‐power aqueous energy storage systems.</w:t>
      </w:r>
    </w:p>
    <w:p>
      <w:pPr>
        <w:spacing w:before="120" w:after="120"/>
      </w:pPr>
      <w:r>
        <w:rPr>
          <w:sz w:val="18"/>
        </w:rPr>
        <w:t>——————————————————————————————————————————————————————————————————————</w:t>
      </w:r>
    </w:p>
    <w:p>
      <w:pPr>
        <w:spacing w:before="160" w:after="40" w:line="240" w:lineRule="auto"/>
      </w:pPr>
      <w:r>
        <w:rPr>
          <w:b/>
        </w:rPr>
        <w:t xml:space="preserve">[9] </w:t>
      </w:r>
      <w:hyperlink r:id="rId97">
        <w:r>
          <w:rPr>
            <w:color w:val="1155CC"/>
            <w:u w:val="single"/>
          </w:rPr>
          <w:t>通过不可还原的固体电解质诱导的动态界面实现接近100%初始库仑效率的硅阳极</w:t>
        </w:r>
      </w:hyperlink>
    </w:p>
    <w:p>
      <w:pPr>
        <w:spacing w:before="0" w:after="80"/>
      </w:pPr>
      <w:r>
        <w:rPr>
          <w:i/>
          <w:sz w:val="20"/>
        </w:rPr>
        <w:t>EN: Toward near-100% initial Coulombic efficiency of Si anodes through irreducible solid electrolyte-induced dynamic interphases</w:t>
      </w:r>
    </w:p>
    <w:p>
      <w:pPr>
        <w:spacing w:before="0" w:after="120"/>
      </w:pPr>
      <w:r>
        <w:rPr>
          <w:b/>
        </w:rPr>
        <w:t xml:space="preserve">Source: </w:t>
      </w:r>
      <w:r>
        <w:t>Joule</w:t>
      </w:r>
      <w:r>
        <w:t xml:space="preserve">    </w:t>
      </w:r>
      <w:r>
        <w:rPr>
          <w:b/>
        </w:rPr>
        <w:t xml:space="preserve">Pub date: </w:t>
      </w:r>
      <w:r>
        <w:t>2026-03-18 00:00:00+00:00</w:t>
      </w:r>
      <w:r>
        <w:t xml:space="preserve">    </w:t>
      </w:r>
      <w:r>
        <w:rPr>
          <w:b/>
        </w:rPr>
        <w:t xml:space="preserve">DOI: </w:t>
      </w:r>
      <w:hyperlink r:id="rId98">
        <w:r>
          <w:rPr>
            <w:color w:val="1155CC"/>
            <w:u w:val="single"/>
          </w:rPr>
          <w:t>10.1016/j.joule.2026.102322</w:t>
        </w:r>
      </w:hyperlink>
    </w:p>
    <w:p>
      <w:pPr>
        <w:spacing w:before="0" w:after="120"/>
      </w:pPr>
      <w:r>
        <w:rPr>
          <w:b/>
        </w:rPr>
        <w:t xml:space="preserve">Notes: </w:t>
      </w:r>
      <w:r>
        <w:t>abstract_source=rss_cell</w:t>
      </w:r>
    </w:p>
    <w:p>
      <w:pPr>
        <w:spacing w:before="0" w:after="80" w:lineRule="auto" w:line="276"/>
      </w:pPr>
      <w:r>
        <w:rPr>
          <w:b/>
        </w:rPr>
        <w:t xml:space="preserve">摘要（ZH）: </w:t>
      </w:r>
      <w:r>
        <w:t>硅阳极为全固态电池（ASSBs）提供了高能量密度的可能性，但在首次循环中受到严重锂损失的限制。该研究揭示了通过不可还原固体电解质Li2.45S0.55N0.45实现的受控界面反应如何补充锂、提高初始库仑效率并保持快速离子传输。通过揭示潜在的界面反应机制，该研究展示了合理的界面设计如何同时提高效率和电化学性能，为实现更安全的高能量ASSBs提供了实用途径。</w:t>
      </w:r>
    </w:p>
    <w:p>
      <w:pPr>
        <w:spacing w:before="0" w:after="200" w:lineRule="auto" w:line="276"/>
      </w:pPr>
      <w:r>
        <w:rPr>
          <w:b/>
        </w:rPr>
        <w:t xml:space="preserve">Abstract (EN): </w:t>
      </w:r>
      <w:r>
        <w:t>Silicon anodes promise high energy density for all-solid-state batteries (ASSBs) but are limited by severe lithium loss during the first cycle. This work reveals how controlled interfacial reactions enabled by an irreducible solid electrolyte Li2.45S0.55N0.45 can replenish lithium, enhance initial Coulombic efficiency, and maintain fast ion transport. By uncovering the underlying interfacial reaction mechanism, the study demonstrates how rational interface design can simultaneously improve efficiency and electrochemical performance, offering a practical pathway toward safer, high-energy ASSBs.</w:t>
      </w:r>
    </w:p>
    <w:p>
      <w:pPr>
        <w:spacing w:before="120" w:after="120"/>
      </w:pPr>
      <w:r>
        <w:rPr>
          <w:sz w:val="18"/>
        </w:rPr>
        <w:t>——————————————————————————————————————————————————————————————————————</w:t>
      </w:r>
    </w:p>
    <w:p>
      <w:pPr>
        <w:spacing w:before="160" w:after="40" w:line="240" w:lineRule="auto"/>
      </w:pPr>
      <w:r>
        <w:rPr>
          <w:b/>
        </w:rPr>
        <w:t xml:space="preserve">[10] </w:t>
      </w:r>
      <w:hyperlink r:id="rId73">
        <w:r>
          <w:rPr>
            <w:color w:val="1155CC"/>
            <w:u w:val="single"/>
          </w:rPr>
          <w:t>早期商业钠离子电池的特性和性能评估</w:t>
        </w:r>
      </w:hyperlink>
    </w:p>
    <w:p>
      <w:pPr>
        <w:spacing w:before="0" w:after="80"/>
      </w:pPr>
      <w:r>
        <w:rPr>
          <w:i/>
          <w:sz w:val="20"/>
        </w:rPr>
        <w:t>EN: Characterisation and performance evaluation of early-generation commercial sodium-ion batteries</w:t>
      </w:r>
    </w:p>
    <w:p>
      <w:pPr>
        <w:spacing w:before="0" w:after="120"/>
      </w:pPr>
      <w:r>
        <w:rPr>
          <w:b/>
        </w:rPr>
        <w:t xml:space="preserve">Source: </w:t>
      </w:r>
      <w:r>
        <w:t>ScienceDirect Publication: Applied Energy</w:t>
      </w:r>
      <w:r>
        <w:t xml:space="preserve">    </w:t>
      </w:r>
      <w:r>
        <w:rPr>
          <w:b/>
        </w:rPr>
        <w:t xml:space="preserve">Pub date: </w:t>
      </w:r>
      <w:r>
        <w:t>2026-03-18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99">
        <w:r>
          <w:rPr>
            <w:color w:val="1155CC"/>
            <w:u w:val="single"/>
          </w:rPr>
          <w:t>[ASAP] 稳定活性锂金属负极的界面化学序列</w:t>
        </w:r>
      </w:hyperlink>
    </w:p>
    <w:p>
      <w:pPr>
        <w:spacing w:before="0" w:after="80"/>
      </w:pPr>
      <w:r>
        <w:rPr>
          <w:i/>
          <w:sz w:val="20"/>
        </w:rPr>
        <w:t>EN: [ASAP] Sequenced Interfacial Chemistry for Stabilizing Reactive Lithium Metal Anodes</w:t>
      </w:r>
    </w:p>
    <w:p>
      <w:pPr>
        <w:spacing w:before="0" w:after="120"/>
      </w:pPr>
      <w:r>
        <w:rPr>
          <w:b/>
        </w:rPr>
        <w:t xml:space="preserve">Source: </w:t>
      </w:r>
      <w:r>
        <w:t>Journal of the American Chemical Society: Latest Articles (ACS Publications)</w:t>
      </w:r>
      <w:r>
        <w:t xml:space="preserve">    </w:t>
      </w:r>
      <w:r>
        <w:rPr>
          <w:b/>
        </w:rPr>
        <w:t xml:space="preserve">Pub date: </w:t>
      </w:r>
      <w:r>
        <w:t>2026-03-18 08:19:11+00:00</w:t>
      </w:r>
      <w:r>
        <w:t xml:space="preserve">    </w:t>
      </w:r>
      <w:r>
        <w:rPr>
          <w:b/>
        </w:rPr>
        <w:t xml:space="preserve">DOI: </w:t>
      </w:r>
      <w:hyperlink r:id="rId100">
        <w:r>
          <w:rPr>
            <w:color w:val="1155CC"/>
            <w:u w:val="single"/>
          </w:rPr>
          <w:t>10.1021/jacs.5c21643</w:t>
        </w:r>
      </w:hyperlink>
    </w:p>
    <w:p>
      <w:pPr>
        <w:spacing w:before="0" w:after="120"/>
      </w:pPr>
      <w:r>
        <w:rPr>
          <w:b/>
        </w:rPr>
        <w:t xml:space="preserve">Notes: </w:t>
      </w:r>
      <w:r>
        <w:t>abstract_source=pubmed</w:t>
      </w:r>
    </w:p>
    <w:p>
      <w:pPr>
        <w:spacing w:before="0" w:after="80" w:lineRule="auto" w:line="276"/>
      </w:pPr>
      <w:r>
        <w:rPr>
          <w:b/>
        </w:rPr>
        <w:t xml:space="preserve">摘要（ZH）: </w:t>
      </w:r>
      <w:r>
        <w:t>锂金属（Li0）阳极所持有的显著能量在纸面上已保持近一个世纪的前景，因其极端的反应性和随之而来的严重界面不稳定性。在此，我们报告了顺序界面电化学在调节Li0反应性方面的效果，这种反应性使Li+传输、Li0沉积和固体电解质界面（SEI）形成复杂化。结合实验观察和理论计算，我们揭示了晶态氧化物协调界面阳离子-阴离子相互作用，并在Li0-电解质界面上强制结构和化学秩序。该有序的微环境将原本混乱的多步反应重新组织成时间和空间上连贯的序列，协调溶剂化调控、Li0核</w:t>
      </w:r>
    </w:p>
    <w:p>
      <w:pPr>
        <w:spacing w:before="0" w:after="200" w:lineRule="auto" w:line="276"/>
      </w:pPr>
      <w:r>
        <w:rPr>
          <w:b/>
        </w:rPr>
        <w:t xml:space="preserve">Abstract (EN): </w:t>
      </w:r>
      <w:r>
        <w:t>The significant power held by lithium metal (Li0) anodes has remained promising on paper for nearly a century owing to its extreme reactivity and the consequent severe interfacial instability. Here we report the effect of sequential interfacial electrochemistry in regulating the Li0-reactivity that convolutes Li+ transport, Li0 deposition, and solid-electrolyte interphase (SEI) formation. Combining experimental observations and theoretical calculations, we reveal that crystalline oxides coordinate interfacial cation-anion interactions and enforce structural and chemical orders at the Li0-electrolyte interface. The ordered microenvironment reorganizes the otherwise chaotic, multistep reactions into a temporally and spatially coherent sequence that orchestrates solvation regulation, Li0 nucleation and growth, and SEI assembly, thereby markedly enhancing the stability of the Li0 electrodes. The dual-regulation principle thus established exerts energetic and spatial control through sequenced interfacial chemistry that could offer a universal strategy for stabilizing reactive metal anodes across diverse battery chemistries.</w:t>
      </w:r>
    </w:p>
    <w:p>
      <w:pPr>
        <w:spacing w:before="120" w:after="120"/>
      </w:pPr>
      <w:r>
        <w:rPr>
          <w:sz w:val="18"/>
        </w:rPr>
        <w:t>——————————————————————————————————————————————————————————————————————</w:t>
      </w:r>
    </w:p>
    <w:p>
      <w:pPr>
        <w:spacing w:before="160" w:after="40" w:line="240" w:lineRule="auto"/>
      </w:pPr>
      <w:r>
        <w:rPr>
          <w:b/>
        </w:rPr>
        <w:t xml:space="preserve">[12] </w:t>
      </w:r>
      <w:hyperlink r:id="rId101">
        <w:r>
          <w:rPr>
            <w:color w:val="1155CC"/>
            <w:u w:val="single"/>
          </w:rPr>
          <w:t>[ASAP] 共价量子桥接在硬碳中实现双连续电子-离子高速通道以实现超快钠存储</w:t>
        </w:r>
      </w:hyperlink>
    </w:p>
    <w:p>
      <w:pPr>
        <w:spacing w:before="0" w:after="80"/>
      </w:pPr>
      <w:r>
        <w:rPr>
          <w:i/>
          <w:sz w:val="20"/>
        </w:rPr>
        <w:t>EN: [ASAP] Covalent Quantum Bridging Enables Bicontinuous Electron–Ion Highways in Hard Carbon for Ultrafast Sodium Storage</w:t>
      </w:r>
    </w:p>
    <w:p>
      <w:pPr>
        <w:spacing w:before="0" w:after="120"/>
      </w:pPr>
      <w:r>
        <w:rPr>
          <w:b/>
        </w:rPr>
        <w:t xml:space="preserve">Source: </w:t>
      </w:r>
      <w:r>
        <w:t>Journal of the American Chemical Society: Latest Articles (ACS Publications)</w:t>
      </w:r>
      <w:r>
        <w:t xml:space="preserve">    </w:t>
      </w:r>
      <w:r>
        <w:rPr>
          <w:b/>
        </w:rPr>
        <w:t xml:space="preserve">Pub date: </w:t>
      </w:r>
      <w:r>
        <w:t>2026-03-18 09:52:44+00:00</w:t>
      </w:r>
      <w:r>
        <w:t xml:space="preserve">    </w:t>
      </w:r>
      <w:r>
        <w:rPr>
          <w:b/>
        </w:rPr>
        <w:t xml:space="preserve">DOI: </w:t>
      </w:r>
      <w:hyperlink r:id="rId102">
        <w:r>
          <w:rPr>
            <w:color w:val="1155CC"/>
            <w:u w:val="single"/>
          </w:rPr>
          <w:t>10.1021/jacs.5c21030</w:t>
        </w:r>
      </w:hyperlink>
    </w:p>
    <w:p>
      <w:pPr>
        <w:spacing w:before="0" w:after="120"/>
      </w:pPr>
      <w:r>
        <w:rPr>
          <w:b/>
        </w:rPr>
        <w:t xml:space="preserve">Notes: </w:t>
      </w:r>
      <w:r>
        <w:t>abstract_source=pubmed</w:t>
      </w:r>
    </w:p>
    <w:p>
      <w:pPr>
        <w:spacing w:before="0" w:after="80" w:lineRule="auto" w:line="276"/>
      </w:pPr>
      <w:r>
        <w:rPr>
          <w:b/>
        </w:rPr>
        <w:t xml:space="preserve">摘要（ZH）: </w:t>
      </w:r>
      <w:r>
        <w:t>作为钠离子电池阳极的最佳替代品之一，硬碳在商业应用中具有强大的潜力。然而，其固有的离子扩散缓慢和电子导电性差从根本上限制了速率能力和循环稳定性。在此，受生物血管束的启发，我们通过使用竹粉（BP）和碳量子点（CQDs）的桥接策略在碳框架内设计了一个双连续网络，实现了从类石墨域（层间吸附/转化）到闭孔（填充）的电子和离子的超快速传输。具体而言，通过逐步热解，CQDs作为“传输高速公路”共价接枝到BP上，所得的“量子桥”前体被拓扑重构为</w:t>
      </w:r>
    </w:p>
    <w:p>
      <w:pPr>
        <w:spacing w:before="0" w:after="200" w:lineRule="auto" w:line="276"/>
      </w:pPr>
      <w:r>
        <w:rPr>
          <w:b/>
        </w:rPr>
        <w:t xml:space="preserve">Abstract (EN): </w:t>
      </w:r>
      <w:r>
        <w:t>As one of the best alternatives to anodes for sodium-ion batteries, hard carbon holds strong promise for commercial application. However, its inherently slow ion diffusion and poor electronic conductivity fundamentally limit the rate capability and cycling stability. Herein, inspired by biological vascular bundles, we design a bicontinuous network within a carbon framework via a bridging strategy using bamboo powder (BP) and carbon quantum dots (CQDs), which achieves the ultrafast transfer of electrons and ions from graphite-like domains (interlayer adsorption/conversion) to closed-pore (filling). Specifically, through stepwise pyrolysis, CQDs acting as "transport highways" were covalently grafted onto BP, and the resulting "quantum-bridge" precursor was topologically reconstructed into a bicontinuous carbon framework. This process generates interconnected graphene nanodomains (GNDs) that facilitate electron transport, while concurrently creating topological defects and sites for pyridinic/pyrrolic N to enable efficient Na+ adsorption and surface migration. The designed hard carbon achieves a high specific capacity (391.1 mAh g-1 at 0.1 C), excellent initial Coulombic efficiency (92%), outstanding rate capability (83.5% capacity retention after 15,000 cycles at 20 C), and remarkable low-temperature performance (90.2% capacity retention after 400 cycles at 1 C and -20 °C). This work establishes a general design principle for energy storage materials requiring simultaneous, rapid electron-ion migration.</w:t>
      </w:r>
    </w:p>
    <w:p>
      <w:pPr>
        <w:spacing w:before="120" w:after="120"/>
      </w:pPr>
      <w:r>
        <w:rPr>
          <w:sz w:val="18"/>
        </w:rPr>
        <w:t>——————————————————————————————————————————————————————————————————————</w:t>
      </w:r>
    </w:p>
    <w:p>
      <w:pPr>
        <w:spacing w:before="160" w:after="40" w:line="240" w:lineRule="auto"/>
      </w:pPr>
      <w:r>
        <w:rPr>
          <w:b/>
        </w:rPr>
        <w:t xml:space="preserve">[13] </w:t>
      </w:r>
      <w:hyperlink r:id="rId103">
        <w:r>
          <w:rPr>
            <w:color w:val="1155CC"/>
            <w:u w:val="single"/>
          </w:rPr>
          <w:t>[ASAP] 通过微量磷掺杂修复碳缺陷以增强钠离子存储</w:t>
        </w:r>
      </w:hyperlink>
    </w:p>
    <w:p>
      <w:pPr>
        <w:spacing w:before="0" w:after="80"/>
      </w:pPr>
      <w:r>
        <w:rPr>
          <w:i/>
          <w:sz w:val="20"/>
        </w:rPr>
        <w:t>EN: [ASAP] Repairing Carbon Defects Via Trace Phosphorus Doping for Enhanced Sodium-Ion Storage</w:t>
      </w:r>
    </w:p>
    <w:p>
      <w:pPr>
        <w:spacing w:before="0" w:after="120"/>
      </w:pPr>
      <w:r>
        <w:rPr>
          <w:b/>
        </w:rPr>
        <w:t xml:space="preserve">Source: </w:t>
      </w:r>
      <w:r>
        <w:t>ACS Energy Letters: Latest Articles (ACS Publications)</w:t>
      </w:r>
      <w:r>
        <w:t xml:space="preserve">    </w:t>
      </w:r>
      <w:r>
        <w:rPr>
          <w:b/>
        </w:rPr>
        <w:t xml:space="preserve">Pub date: </w:t>
      </w:r>
      <w:r>
        <w:t>2026-03-18 15:08:14+00:00</w:t>
      </w:r>
      <w:r>
        <w:t xml:space="preserve">    </w:t>
      </w:r>
      <w:r>
        <w:rPr>
          <w:b/>
        </w:rPr>
        <w:t xml:space="preserve">DOI: </w:t>
      </w:r>
      <w:hyperlink r:id="rId104">
        <w:r>
          <w:rPr>
            <w:color w:val="1155CC"/>
            <w:u w:val="single"/>
          </w:rPr>
          <w:t>10.1021/acsenergylett.5c03902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86">
        <w:r>
          <w:rPr>
            <w:color w:val="1155CC"/>
            <w:u w:val="single"/>
          </w:rPr>
          <w:t>锌离子电池中阳极/电解质界面调控的原位策略研究进展</w:t>
        </w:r>
      </w:hyperlink>
    </w:p>
    <w:p>
      <w:pPr>
        <w:spacing w:before="0" w:after="80"/>
      </w:pPr>
      <w:r>
        <w:rPr>
          <w:i/>
          <w:sz w:val="20"/>
        </w:rPr>
        <w:t>EN: Research progress on in-situ strategies for modulating the anode/electrolyte interface in zinc-ion batteries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5">
        <w:r>
          <w:rPr>
            <w:color w:val="1155CC"/>
            <w:u w:val="single"/>
          </w:rPr>
          <w:t>AI筛选的小分子模板效应启用二维结构用于无枝晶锂金属电池</w:t>
        </w:r>
      </w:hyperlink>
    </w:p>
    <w:p>
      <w:pPr>
        <w:spacing w:before="0" w:after="80"/>
      </w:pPr>
      <w:r>
        <w:rPr>
          <w:i/>
          <w:sz w:val="20"/>
        </w:rPr>
        <w:t>EN: AI-screened small-molecule templating effect enabling 2D architectures for dendrite-free lithium metal batteries</w:t>
      </w:r>
    </w:p>
    <w:p>
      <w:pPr>
        <w:spacing w:before="0" w:after="120"/>
      </w:pPr>
      <w:r>
        <w:rPr>
          <w:b/>
        </w:rPr>
        <w:t xml:space="preserve">Source: </w:t>
      </w:r>
      <w:r>
        <w:t>Matter</w:t>
      </w:r>
      <w:r>
        <w:t xml:space="preserve">    </w:t>
      </w:r>
      <w:r>
        <w:rPr>
          <w:b/>
        </w:rPr>
        <w:t xml:space="preserve">Pub date: </w:t>
      </w:r>
      <w:r>
        <w:t>2026-03-16 00:00:00+00:00</w:t>
      </w:r>
      <w:r>
        <w:t xml:space="preserve">    </w:t>
      </w:r>
      <w:r>
        <w:rPr>
          <w:b/>
        </w:rPr>
        <w:t xml:space="preserve">DOI: </w:t>
      </w:r>
      <w:hyperlink r:id="rId106">
        <w:r>
          <w:rPr>
            <w:color w:val="1155CC"/>
            <w:u w:val="single"/>
          </w:rPr>
          <w:t>10.1016/j.matt.2026.102716</w:t>
        </w:r>
      </w:hyperlink>
    </w:p>
    <w:p>
      <w:pPr>
        <w:spacing w:before="0" w:after="120"/>
      </w:pPr>
      <w:r>
        <w:rPr>
          <w:b/>
        </w:rPr>
        <w:t xml:space="preserve">Notes: </w:t>
      </w:r>
      <w:r>
        <w:t>abstract_source=rss_cell</w:t>
      </w:r>
    </w:p>
    <w:p>
      <w:pPr>
        <w:spacing w:before="0" w:after="80" w:lineRule="auto" w:line="276"/>
      </w:pPr>
      <w:r>
        <w:rPr>
          <w:b/>
        </w:rPr>
        <w:t xml:space="preserve">摘要（ZH）: </w:t>
      </w:r>
      <w:r>
        <w:t>为了克服复合聚合物电解质的安全性和导电性限制，Zhou等人开发了一种AI筛选的溶胶-凝胶策略来合成2D LALZO纳米片。这些高纵横比填料创建了一个砖墙结构，增强了聚合物基体并建立了连续的离子传输网络。所得电解质有效抑制锂枝晶，支持长寿命、高性能的全固态锂金属电池，具有卓越的机械韧性和电化学稳定性。</w:t>
      </w:r>
    </w:p>
    <w:p>
      <w:pPr>
        <w:spacing w:before="0" w:after="200" w:lineRule="auto" w:line="276"/>
      </w:pPr>
      <w:r>
        <w:rPr>
          <w:b/>
        </w:rPr>
        <w:t xml:space="preserve">Abstract (EN): </w:t>
      </w:r>
      <w:r>
        <w:t>To overcome the safety and conductivity limitations of composite polymer electrolytes, Zhou et al. developed an AI-screened sol-gel strategy to synthesize 2D LALZO nanosheets. These high-aspect-ratio fillers create a brick-and-mortar skeleton that reinforces the polymer matrix and establishes continuous ion-transport networks. The resulting electrolytes effectively suppress lithium dendrites, enabling long-life, high-performance all-solid-state lithium metal batteries with exceptional mechanical resilience and electrochemical stability.</w:t>
      </w:r>
    </w:p>
    <w:p>
      <w:pPr>
        <w:spacing w:before="120" w:after="120"/>
      </w:pPr>
      <w:r>
        <w:rPr>
          <w:sz w:val="18"/>
        </w:rPr>
        <w:t>——————————————————————————————————————————————————————————————————————</w:t>
      </w:r>
    </w:p>
    <w:p>
      <w:pPr>
        <w:spacing w:before="160" w:after="40" w:line="240" w:lineRule="auto"/>
      </w:pPr>
      <w:r>
        <w:rPr>
          <w:b/>
        </w:rPr>
        <w:t xml:space="preserve">[3] </w:t>
      </w:r>
      <w:hyperlink r:id="rId107">
        <w:r>
          <w:rPr>
            <w:color w:val="1155CC"/>
            <w:u w:val="single"/>
          </w:rPr>
          <w:t>微量水驱动的氧结构重组促进可塑固态电解质中快速锂离子传输</w:t>
        </w:r>
      </w:hyperlink>
    </w:p>
    <w:p>
      <w:pPr>
        <w:spacing w:before="0" w:after="80"/>
      </w:pPr>
      <w:r>
        <w:rPr>
          <w:i/>
          <w:sz w:val="20"/>
        </w:rPr>
        <w:t>EN: Oxygen‐Driven Structural Reorganization by Trace Water Enabling Fast Li‐Ion Transport in a Pliable Solid Electrolyte</w:t>
      </w:r>
    </w:p>
    <w:p>
      <w:pPr>
        <w:spacing w:before="0" w:after="120"/>
      </w:pPr>
      <w:r>
        <w:rPr>
          <w:b/>
        </w:rPr>
        <w:t xml:space="preserve">Source: </w:t>
      </w:r>
      <w:r>
        <w:t>Wiley: Advanced Energy Materials: Table of Contents</w:t>
      </w:r>
      <w:r>
        <w:t xml:space="preserve">    </w:t>
      </w:r>
      <w:r>
        <w:rPr>
          <w:b/>
        </w:rPr>
        <w:t xml:space="preserve">Pub date: </w:t>
      </w:r>
      <w:r>
        <w:t>2026-03-16 05:24:56+00:00</w:t>
      </w:r>
      <w:r>
        <w:t xml:space="preserve">    </w:t>
      </w:r>
      <w:r>
        <w:rPr>
          <w:b/>
        </w:rPr>
        <w:t xml:space="preserve">DOI: </w:t>
      </w:r>
      <w:hyperlink r:id="rId108">
        <w:r>
          <w:rPr>
            <w:color w:val="1155CC"/>
            <w:u w:val="single"/>
          </w:rPr>
          <w:t>10.1002/aenm.202506748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电解质的吸湿性长期以来被视为一个关键弱点，因为暴露在环境湿度中通常会导致分解和离子电导率的损失。在这项研究中，我们揭示了微量水在增强基于镓的可塑卤化物固体电解质中离子传输的反直觉但具有建设性的作用。将2LiCl–GaF</w:t>
      </w:r>
      <w:r>
        <w:rPr>
          <w:vertAlign w:val="subscript"/>
        </w:rPr>
        <w:t>3</w:t>
      </w:r>
      <w:r>
        <w:t>暴露于微量水中会将氧引入结构中，并重新组织镓和锂周围的局部环境。这种氧驱动的结构重组形成了Ga–O和Li–O键，并通过将镓的配位从六配位转变为四配位来多样化镓的局部环境。它减少了</w:t>
      </w:r>
    </w:p>
    <w:p>
      <w:pPr>
        <w:spacing w:before="0" w:after="200" w:lineRule="auto" w:line="276"/>
      </w:pPr>
      <w:r>
        <w:rPr>
          <w:b/>
        </w:rPr>
        <w:t xml:space="preserve">Abstract (EN): </w:t>
      </w:r>
      <w:r>
        <w:t>The hygroscopic property of solid electrolytes has long been regarded as a critical weakness, as exposure to ambient humidity typically induces decomposition and a loss of ionic conductivity. In this study, we reveal a counterintuitive yet constructive role of trace water in enhancing ion transport in a gallium‐based pliable halide solid electrolyte. Controlled exposure of 2LiCl–GaF</w:t>
      </w:r>
      <w:r>
        <w:rPr>
          <w:vertAlign w:val="subscript"/>
        </w:rPr>
        <w:t>3</w:t>
      </w:r>
      <w:r>
        <w:t>to trace amounts of water introduces oxygen into the structure and reorganizes the local environments around gallium and lithium. This oxygen‐driven structural reconfiguration forms Ga–O and Li–O linkages and diversifies the local environment of gallium by converting its coordination from sixfold to fourfold. It reduces the average Li–anion binding strength and flattens the Li‐ion migration energy landscape, resulting in enhanced Li‐ion transport. These changes collectively increase the ionic conductivity by more than two orders of magnitude, from 10</w:t>
      </w:r>
      <w:r>
        <w:t xml:space="preserve"> </w:t>
      </w:r>
      <w:r>
        <w:t>−2</w:t>
      </w:r>
      <w:r>
        <w:t xml:space="preserve"> </w:t>
      </w:r>
      <w:r>
        <w:t>mS cm</w:t>
      </w:r>
      <w:r>
        <w:t xml:space="preserve"> </w:t>
      </w:r>
      <w:r>
        <w:t>−1</w:t>
      </w:r>
      <w:r>
        <w:t xml:space="preserve"> </w:t>
      </w:r>
      <w:r>
        <w:t>to over 3 mS cm</w:t>
      </w:r>
      <w:r>
        <w:t xml:space="preserve"> </w:t>
      </w:r>
      <w:r>
        <w:t>−1</w:t>
      </w:r>
      <w:r>
        <w:t xml:space="preserve"> </w:t>
      </w:r>
      <w:r>
        <w:t>, while imparting amorphous and deformable characteristics to the 2LiCl‐GaF</w:t>
      </w:r>
      <w:r>
        <w:rPr>
          <w:vertAlign w:val="subscript"/>
        </w:rPr>
        <w:t>3</w:t>
      </w:r>
      <w:r>
        <w:t>electrolyte. This study demonstrates that the interaction between trace water and complex anion frameworks can be harnessed to simultaneously tailor structural and transport properties, offering a new design strategy for high‐performance oxyhalide solid electrolytes.</w:t>
      </w:r>
    </w:p>
    <w:p>
      <w:pPr>
        <w:spacing w:before="120" w:after="120"/>
      </w:pPr>
      <w:r>
        <w:rPr>
          <w:sz w:val="18"/>
        </w:rPr>
        <w:t>——————————————————————————————————————————————————————————————————————</w:t>
      </w:r>
    </w:p>
    <w:p>
      <w:pPr>
        <w:spacing w:before="160" w:after="40" w:line="240" w:lineRule="auto"/>
      </w:pPr>
      <w:r>
        <w:rPr>
          <w:b/>
        </w:rPr>
        <w:t xml:space="preserve">[4] </w:t>
      </w:r>
      <w:hyperlink r:id="rId109">
        <w:r>
          <w:rPr>
            <w:color w:val="1155CC"/>
            <w:u w:val="single"/>
          </w:rPr>
          <w:t>[ASAP] 通过多阳离子调制的自适应超离子电解质用于全固态锂金属电池</w:t>
        </w:r>
      </w:hyperlink>
    </w:p>
    <w:p>
      <w:pPr>
        <w:spacing w:before="0" w:after="80"/>
      </w:pPr>
      <w:r>
        <w:rPr>
          <w:i/>
          <w:sz w:val="20"/>
        </w:rPr>
        <w:t>EN: [ASAP] Self-Adaptive Superionic Electrolytes via Multiple-Cation Modulation for All-Solid-State Lithium–Metal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2026-03-16 19:01:22+00:00</w:t>
      </w:r>
      <w:r>
        <w:t xml:space="preserve">    </w:t>
      </w:r>
      <w:r>
        <w:rPr>
          <w:b/>
        </w:rPr>
        <w:t xml:space="preserve">DOI: </w:t>
      </w:r>
      <w:hyperlink r:id="rId110">
        <w:r>
          <w:rPr>
            <w:color w:val="1155CC"/>
            <w:u w:val="single"/>
          </w:rPr>
          <w:t>10.1021/jacs.5c20920</w:t>
        </w:r>
      </w:hyperlink>
    </w:p>
    <w:p>
      <w:pPr>
        <w:spacing w:before="0" w:after="120"/>
      </w:pPr>
      <w:r>
        <w:rPr>
          <w:b/>
        </w:rPr>
        <w:t xml:space="preserve">Notes: </w:t>
      </w:r>
      <w:r>
        <w:t>abstract_source=pubmed</w:t>
      </w:r>
    </w:p>
    <w:p>
      <w:pPr>
        <w:spacing w:before="0" w:after="80" w:lineRule="auto" w:line="276"/>
      </w:pPr>
      <w:r>
        <w:rPr>
          <w:b/>
        </w:rPr>
        <w:t xml:space="preserve">摘要（ZH）: </w:t>
      </w:r>
      <w:r>
        <w:t>全固态锂金属电池为设备提供高比能量和内在安全性，但其实际应用受到锂金属/电解质界面不稳定性的阻碍，尤其是在高电流密度下。传统的界面稳定化方法需要复杂且昂贵的界面工程，限制了其实用性，突显出简单而有效的电解质设计策略的迫切需求。在此，开发了一种多阳离子预设（Ag和W）硫化物电解质，以同时实现超离子导电性（超过10 mS cm-1）和优越的界面稳定性，并具有更柔软的质地。在循环过程中，Ag+可以从电解质层中提取，减少为Ag金属，并扩散到锂金属中。</w:t>
      </w:r>
    </w:p>
    <w:p>
      <w:pPr>
        <w:spacing w:before="0" w:after="200" w:lineRule="auto" w:line="276"/>
      </w:pPr>
      <w:r>
        <w:rPr>
          <w:b/>
        </w:rPr>
        <w:t xml:space="preserve">Abstract (EN): </w:t>
      </w:r>
      <w:r>
        <w:t>All-solid-state lithium-metal batteries offer devices with high specific energy and intrinsic safety, yet their practical implementation is impeded by interfacial instability at the lithium metal/electrolyte interface, especially under high current densities. Conventional interfacial stabilization approaches require complex and costly interfacial engineering, limiting their practicality, highlighting the urgent need for a simple yet effective electrolyte design strategy. Here, a multiple-cation-presetting (Ag and W) argyrodite electrolyte is developed to simultaneously achieve superionic conductivity (over 10 mS cm-1) and superior interfacial stability with softer texture. During cycling, Ag+ can be extracted from the electrolyte layer, reduced to Ag metal, and diffused into the lithium-metal anode to form a uniform Li-Ag alloy, while W can convert into minor conductive LiWS2 in the solid electrolyte interface. Benefiting from in situ anodic and interfacial modification by the SSE, it facilitates accelerated interfacial kinetics and homogeneous Li+ flux. As a result, the Li symmetric cells exhibit sustainable cycling over 4000 h at 0.5 mA cm-2 and beyond 1000 h at 1 mA cm-2. The Li//LiNi0.8Co0.1Mn0.1O2 cells demonstrate excellent rate capability and extended cycle life, maintaining 82.7% capacity retention after 1100 cycles at 2C. Moreover, the electrolyte sustains stable operation at high areal loading (3 mAh cm-2) and low temperature (-30 °C). Besides, such solid-state electrolytes can be extended to other all-solid-state lithium-metal rechargeable batteries. This scalable dual-cation modulation strategy provides a general and practical route to construct superionic electrolytes with compatibility with an anode by in situ interfacial and lithium metal decoration, advancing the realistic application of next-generation all-solid-state lithium-metal batteries.</w:t>
      </w:r>
    </w:p>
    <w:p>
      <w:pPr>
        <w:spacing w:before="120" w:after="120"/>
      </w:pPr>
      <w:r>
        <w:rPr>
          <w:sz w:val="18"/>
        </w:rPr>
        <w:t>——————————————————————————————————————————————————————————————————————</w:t>
      </w:r>
    </w:p>
    <w:p>
      <w:pPr>
        <w:spacing w:before="160" w:after="40" w:line="240" w:lineRule="auto"/>
      </w:pPr>
      <w:r>
        <w:rPr>
          <w:b/>
        </w:rPr>
        <w:t xml:space="preserve">[5] </w:t>
      </w:r>
      <w:hyperlink r:id="rId111">
        <w:r>
          <w:rPr>
            <w:color w:val="1155CC"/>
            <w:u w:val="single"/>
          </w:rPr>
          <w:t>平面锂沉积和溶解实现实用的无阳极软包电池</w:t>
        </w:r>
      </w:hyperlink>
    </w:p>
    <w:p>
      <w:pPr>
        <w:spacing w:before="0" w:after="80"/>
      </w:pPr>
      <w:r>
        <w:rPr>
          <w:i/>
          <w:sz w:val="20"/>
        </w:rPr>
        <w:t>EN: Planar Li deposition and dissolution enable practical anode-free pouch cells</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112">
        <w:r>
          <w:rPr>
            <w:color w:val="1155CC"/>
            <w:u w:val="single"/>
          </w:rPr>
          <w:t>10.1038/s41586-026-10402-0</w:t>
        </w:r>
      </w:hyperlink>
    </w:p>
    <w:p>
      <w:pPr>
        <w:spacing w:before="0" w:after="120"/>
      </w:pPr>
      <w:r>
        <w:rPr>
          <w:b/>
        </w:rPr>
        <w:t xml:space="preserve">Notes: </w:t>
      </w:r>
      <w:r>
        <w:t>abstract_source=nature_html</w:t>
      </w:r>
    </w:p>
    <w:p>
      <w:pPr>
        <w:spacing w:before="0" w:after="80" w:lineRule="auto" w:line="276"/>
      </w:pPr>
      <w:r>
        <w:rPr>
          <w:b/>
        </w:rPr>
        <w:t xml:space="preserve">摘要（ZH）: </w:t>
      </w:r>
      <w:r>
        <w:t>无阳极锂金属电池（AFLMBs）在制造时不使用阳极活性材料，提供了高能量密度、低成本储能的巨大潜力。然而，由于缺乏过量锂资源和阳极宿主的苛刻条件，AFLMBs面临着寿命短的长期挑战。这个问题与不均匀的锂沉积/溶解有关，根源在于固体电解质界面（SEI）的微观异质性和机械脆弱性。我们在此报告了一种实用的500 Wh kg–1级AFLMB，其寿命得到了增强，通过使用交叉耦合电解质实现。该电解质触发交叉耦合界面反应，在阳极生成富含B–F基的聚合物SEI，同时抑制阴极的气体演化。生成的SEI表现出</w:t>
      </w:r>
    </w:p>
    <w:p>
      <w:pPr>
        <w:spacing w:before="0" w:after="200" w:lineRule="auto" w:line="276"/>
      </w:pPr>
      <w:r>
        <w:rPr>
          <w:b/>
        </w:rPr>
        <w:t xml:space="preserve">Abstract (EN): </w:t>
      </w:r>
      <w:r>
        <w:t>Anode-free lithium metal batteries (AFLMBs), which are manufactured without anode active material, offer great potential for high-energy-density, low-cost energy storage. However, AFLMBs face a long-standing challenge of short lifespan due to the harsh conditions of lacking excess Li-resource and an anode host1-8. This issue is associated with uneven Li deposition/dissolution, rooted in the micro-heterogeneity and mechanical fragility of solid electrolyte interphase (SEI)9. Here we report a practical 500 Wh kg–1-level AFLMB with enhanced lifespan, achieved using a crossover-coupled electrolyte. The electrolyte triggers crossover-coupled interfacial reactions that generate a B–F-based polymer-rich SEI at the anode while suppressing gas evolution at the cathode. The resulting SEI exhibits sub-nanometer homogeneity, high flexibility, and rapid Li-ion transport, and it spontaneously develops a self-adaptive mesh-film structure that ensures uniform ion flux and large-volume-change accommodation, thereby realizing reversible planar Li deposition/dissolution of 5.6 mAh cm–2. Consequently, a 2.7 Ah AFLMB (508 Wh kg–1, 1668 Wh L–1) without any host-material coating demonstrates stable cycling for 100 cycles at 100% depth of discharge (DoD) and 250 cycles at 80% DoD, with 80% capacity retention and a high-power output of 2650 W kg–1 at 96 Wh kg–1. These findings establish crossover-coupled interphase chemistry and address the inherent structural instability of host-free electrodes, advancing the practical implementation of AFLMBs.</w:t>
      </w:r>
    </w:p>
    <w:p>
      <w:pPr>
        <w:spacing w:before="120" w:after="120"/>
      </w:pPr>
      <w:r>
        <w:rPr>
          <w:sz w:val="18"/>
        </w:rPr>
        <w:t>——————————————————————————————————————————————————————————————————————</w:t>
      </w:r>
    </w:p>
    <w:p>
      <w:pPr>
        <w:spacing w:before="160" w:after="40" w:line="240" w:lineRule="auto"/>
      </w:pPr>
      <w:r>
        <w:rPr>
          <w:b/>
        </w:rPr>
        <w:t xml:space="preserve">[6] </w:t>
      </w:r>
      <w:hyperlink r:id="rId113">
        <w:r>
          <w:rPr>
            <w:color w:val="1155CC"/>
            <w:u w:val="single"/>
          </w:rPr>
          <w:t>双描述符引导设计电场敏感溶解添加剂以稳定锂金属电池</w:t>
        </w:r>
      </w:hyperlink>
    </w:p>
    <w:p>
      <w:pPr>
        <w:spacing w:before="0" w:after="80"/>
      </w:pPr>
      <w:r>
        <w:rPr>
          <w:i/>
          <w:sz w:val="20"/>
        </w:rPr>
        <w:t>EN: Dual-descriptor-guided design of electric field-sensitive solubilizing additive for stable lithium metal batteries</w:t>
      </w:r>
    </w:p>
    <w:p>
      <w:pPr>
        <w:spacing w:before="0" w:after="120"/>
      </w:pPr>
      <w:r>
        <w:rPr>
          <w:b/>
        </w:rPr>
        <w:t xml:space="preserve">Source: </w:t>
      </w:r>
      <w:r>
        <w:t>RSC - Energy Environ. Sci. latest articles</w:t>
      </w:r>
      <w:r>
        <w:t xml:space="preserve">    </w:t>
      </w:r>
      <w:r>
        <w:rPr>
          <w:b/>
        </w:rPr>
        <w:t xml:space="preserve">Pub date: </w:t>
      </w:r>
      <w:r>
        <w:t>2026-03-17 00:00:00+00:00</w:t>
      </w:r>
    </w:p>
    <w:p>
      <w:pPr>
        <w:spacing w:before="0" w:after="120"/>
      </w:pPr>
      <w:r>
        <w:rPr>
          <w:b/>
        </w:rPr>
        <w:t xml:space="preserve">Notes: </w:t>
      </w:r>
      <w:r>
        <w:t>abstract_source=rsc_html</w:t>
      </w:r>
    </w:p>
    <w:p>
      <w:pPr>
        <w:spacing w:before="0" w:after="80" w:lineRule="auto" w:line="276"/>
      </w:pPr>
      <w:r>
        <w:rPr>
          <w:b/>
        </w:rPr>
        <w:t xml:space="preserve">摘要（ZH）: </w:t>
      </w:r>
      <w:r>
        <w:t>电解质添加剂在提高锂金属电池的稳定性方面显示出巨大潜力。然而，添加剂在碳酸酯电解质中的弱离子解离和在正极侧的有限修饰效果严重阻碍了其在全电池中的实际应用。在此，我们提出了一种“电场敏感溶解添加剂（EFSSA）”策略用于合理的电解质设计，采用立方亲电指数（CEPI）和Mulliken电荷作为添加剂筛选的双重描述符。作为一个典型例子，碳酸酯电解质中硝酸锂（LiNO3）的离子解离通过采用高CEPI的三（三甲基硅基）硼酸酯（TMSB）作为次级溶解添加剂得到了大幅增强。此外，具有高Mulliken电荷的TMSB促进了重建</w:t>
      </w:r>
    </w:p>
    <w:p>
      <w:pPr>
        <w:spacing w:before="0" w:after="200" w:lineRule="auto" w:line="276"/>
      </w:pPr>
      <w:r>
        <w:rPr>
          <w:b/>
        </w:rPr>
        <w:t xml:space="preserve">Abstract (EN): </w:t>
      </w:r>
      <w:r>
        <w:t>Electrolyte additive has shown great power for improving the stability of lithium metal batteries.However, the weak ion dissociation of additives in carbonate electrolytes and the limited modification effect at cathode side, severely hinder their practical use in full cells. Herein, we present an "electric field-sensitive solubilizing additive (EFSSA)" strategy for rational electrolyte design, employing cubic electrophilicity index (CEPI) and Mulliken charge as dual descriptors for additive screening. As a typical example, the ion dissociation of lithium nitrate (LiNO3) in carbonate electrolyte is largely enhanced by employing tris(trimethylsilyl) borate (TMSB) as a secondary solubilizing additive with a high CEPI. Moreover, TMSB with a high Mulliken charge facilitates the reconstruction of a beneficial anion-dominated solvation structure at the cathode electric double layer via electric field-induced repulsion. Through this synergistic interaction between LiNO3 and TMSB, the ionic conductivity and stability of electrode-electrolyte interface are significantly improved both at anode and cathode sides.The designed LiNO3 -TMSB/carbonate electrolyte enables stable, long-term cycling in Li||Cu cell for &gt; 700 cycles and enables Li||NCM811 full cell to retain 84.6% of its capacity after 600 cycles, with its feasibility further validated in Ah-level pouch cells. This EFSSA strategy and dual descriptors provide conceptual advances for high-performance electrolyte design and propel the practical application of high-energy lithium metal batteries.</w:t>
      </w:r>
    </w:p>
    <w:p>
      <w:pPr>
        <w:spacing w:before="120" w:after="120"/>
      </w:pPr>
      <w:r>
        <w:rPr>
          <w:sz w:val="18"/>
        </w:rPr>
        <w:t>——————————————————————————————————————————————————————————————————————</w:t>
      </w:r>
    </w:p>
    <w:p>
      <w:pPr>
        <w:spacing w:before="160" w:after="40" w:line="240" w:lineRule="auto"/>
      </w:pPr>
      <w:r>
        <w:rPr>
          <w:b/>
        </w:rPr>
        <w:t xml:space="preserve">[7] </w:t>
      </w:r>
      <w:hyperlink r:id="rId114">
        <w:r>
          <w:rPr>
            <w:color w:val="1155CC"/>
            <w:u w:val="single"/>
          </w:rPr>
          <w:t>在电池电解质研究中讨论浓度的误解</w:t>
        </w:r>
      </w:hyperlink>
    </w:p>
    <w:p>
      <w:pPr>
        <w:spacing w:before="0" w:after="80"/>
      </w:pPr>
      <w:r>
        <w:rPr>
          <w:i/>
          <w:sz w:val="20"/>
        </w:rPr>
        <w:t>EN: Misconceptions in discussing concentration in battery electrolyte research</w:t>
      </w:r>
    </w:p>
    <w:p>
      <w:pPr>
        <w:spacing w:before="0" w:after="120"/>
      </w:pPr>
      <w:r>
        <w:rPr>
          <w:b/>
        </w:rPr>
        <w:t xml:space="preserve">Source: </w:t>
      </w:r>
      <w:r>
        <w:t>Joule</w:t>
      </w:r>
      <w:r>
        <w:t xml:space="preserve">    </w:t>
      </w:r>
      <w:r>
        <w:rPr>
          <w:b/>
        </w:rPr>
        <w:t xml:space="preserve">Pub date: </w:t>
      </w:r>
      <w:r>
        <w:t>2026-03-17 00:00:00+00:00</w:t>
      </w:r>
      <w:r>
        <w:t xml:space="preserve">    </w:t>
      </w:r>
      <w:r>
        <w:rPr>
          <w:b/>
        </w:rPr>
        <w:t xml:space="preserve">DOI: </w:t>
      </w:r>
      <w:hyperlink r:id="rId115">
        <w:r>
          <w:rPr>
            <w:color w:val="1155CC"/>
            <w:u w:val="single"/>
          </w:rPr>
          <w:t>10.1016/j.joule.2026.102351</w:t>
        </w:r>
      </w:hyperlink>
    </w:p>
    <w:p>
      <w:pPr>
        <w:spacing w:before="0" w:after="120"/>
      </w:pPr>
      <w:r>
        <w:rPr>
          <w:b/>
        </w:rPr>
        <w:t xml:space="preserve">Notes: </w:t>
      </w:r>
      <w:r>
        <w:t>abstract_source=rss_cell</w:t>
      </w:r>
    </w:p>
    <w:p>
      <w:pPr>
        <w:spacing w:before="0" w:after="80" w:lineRule="auto" w:line="276"/>
      </w:pPr>
      <w:r>
        <w:rPr>
          <w:b/>
        </w:rPr>
        <w:t xml:space="preserve">摘要（ZH）: </w:t>
      </w:r>
      <w:r>
        <w:t>这篇评论强调了电池研究中电解质浓度的频繁误用和误定义，这可能导致对电化学行为的误导性解释。通过澄清浓度的概念基础，它为设计电解质和提高电池研究的可靠性提供了一个更准确的框架。</w:t>
      </w:r>
    </w:p>
    <w:p>
      <w:pPr>
        <w:spacing w:before="0" w:after="200" w:lineRule="auto" w:line="276"/>
      </w:pPr>
      <w:r>
        <w:rPr>
          <w:b/>
        </w:rPr>
        <w:t xml:space="preserve">Abstract (EN): </w:t>
      </w:r>
      <w:r>
        <w:t>This commentary highlights the frequent misuse and misdefinition of electrolyte concentration in battery research, which can lead to misleading interpretations of electrochemical behavior. By clarifying the conceptual foundations of concentration, it provides a more accurate framework for designing electrolytes and improving the reliability of battery studies.</w:t>
      </w:r>
    </w:p>
    <w:p>
      <w:pPr>
        <w:spacing w:before="120" w:after="120"/>
      </w:pPr>
      <w:r>
        <w:rPr>
          <w:sz w:val="18"/>
        </w:rPr>
        <w:t>——————————————————————————————————————————————————————————————————————</w:t>
      </w:r>
    </w:p>
    <w:p>
      <w:pPr>
        <w:spacing w:before="160" w:after="40" w:line="240" w:lineRule="auto"/>
      </w:pPr>
      <w:r>
        <w:rPr>
          <w:b/>
        </w:rPr>
        <w:t xml:space="preserve">[8] </w:t>
      </w:r>
      <w:hyperlink r:id="rId116">
        <w:r>
          <w:rPr>
            <w:color w:val="1155CC"/>
            <w:u w:val="single"/>
          </w:rPr>
          <w:t>利用氢析出反应：仿生pH敏感电解质用于高温下超稳定锌离子电池</w:t>
        </w:r>
      </w:hyperlink>
    </w:p>
    <w:p>
      <w:pPr>
        <w:spacing w:before="0" w:after="80"/>
      </w:pPr>
      <w:r>
        <w:rPr>
          <w:i/>
          <w:sz w:val="20"/>
        </w:rPr>
        <w:t>EN: Utilizing hydrogen evolution reaction: bio-inspired pH-sensitive electrolyte for ultra-stable zinc-ion batteries at high temperatures</w:t>
      </w:r>
    </w:p>
    <w:p>
      <w:pPr>
        <w:spacing w:before="0" w:after="120"/>
      </w:pPr>
      <w:r>
        <w:rPr>
          <w:b/>
        </w:rPr>
        <w:t xml:space="preserve">Source: </w:t>
      </w:r>
      <w:r>
        <w:t>RSC - Energy Environ. Sci. latest articles</w:t>
      </w:r>
      <w:r>
        <w:t xml:space="preserve">    </w:t>
      </w:r>
      <w:r>
        <w:rPr>
          <w:b/>
        </w:rPr>
        <w:t xml:space="preserve">Pub date: </w:t>
      </w:r>
      <w:r>
        <w:t>2026-03-17 00:00:00+00:00</w:t>
      </w:r>
    </w:p>
    <w:p>
      <w:pPr>
        <w:spacing w:before="0" w:after="120"/>
      </w:pPr>
      <w:r>
        <w:rPr>
          <w:b/>
        </w:rPr>
        <w:t xml:space="preserve">Notes: </w:t>
      </w:r>
      <w:r>
        <w:t>abstract_source=rsc_html</w:t>
      </w:r>
    </w:p>
    <w:p>
      <w:pPr>
        <w:spacing w:before="0" w:after="80" w:lineRule="auto" w:line="276"/>
      </w:pPr>
      <w:r>
        <w:rPr>
          <w:b/>
        </w:rPr>
        <w:t xml:space="preserve">摘要（ZH）: </w:t>
      </w:r>
      <w:r>
        <w:t>更广泛的背景实用的高温（&gt; 80 °C）锌离子电池具有高能量密度和稳定的循环性能，对于可持续能源存储是非常理想的，但它们仍然受到臭名昭著的氢气析出反应（HER）的限制。这种不需要的反应不仅降低了锌阳极的可逆性，还加速了电池膨胀，甚至导致电池爆炸。抑制HER是提高电池性能的广泛采用的策略。然而，由于HER在高温下被严重夸大，该策略未能从根本上防止HER，锌电极仅在低放电深度（DOD）和低电流密度/容量下表现良好。在此，与常用的HER抑制路线相反，一种新颖的HER利用策略是p</w:t>
      </w:r>
    </w:p>
    <w:p>
      <w:pPr>
        <w:spacing w:before="0" w:after="200" w:lineRule="auto" w:line="276"/>
      </w:pPr>
      <w:r>
        <w:rPr>
          <w:b/>
        </w:rPr>
        <w:t xml:space="preserve">Abstract (EN): </w:t>
      </w:r>
      <w:r>
        <w:t>Broader contextPractical high temperature (&gt; 80 °C) zinc-ion batteries with high energy density and stable cycling performance are greatly desirable for sustainable energy storage, but they remain constrained by the notorious hydrogen evolution reaction (HER). Such unwanted reaction not only reduces the reversibility of Zn anode, but also accelerates battery swelling and even causes battery explosion.Inhibiting HER is a widely adopted strategy to enhance battery performance. However, since HER is severely exaggerated at high temperatures, the strategy fails to intrinsically prevent HER and Zn electrodes only work well with low depth of discharge (DOD) and low current densities/capacities.Herein, contrary to the commonly utilized HER suppression routes, a novel HER utilization strategy is proposed by introducing pH-sensitive electrolyte that harness the HER process to in situ form a unique ZrO 2 /ZnF 2 interface on Zn anode. The bio-inspired interface significantly shields H 2 O molecules, homogenizes Zn 2+ flux and optimizes ionic and thermal fields, thus mitigating further side reactions and prohibiting Zn dendrites growth. With the pH-sensitive electrolyte design, the stability of Zn anode is drastically enhanced with high DOD at high current densities/capacities, which also boards the tactics for the development of stable metal batteries with high energy densities at high temperatures.</w:t>
      </w:r>
    </w:p>
    <w:p>
      <w:pPr>
        <w:spacing w:before="120" w:after="120"/>
      </w:pPr>
      <w:r>
        <w:rPr>
          <w:sz w:val="18"/>
        </w:rPr>
        <w:t>——————————————————————————————————————————————————————————————————————</w:t>
      </w:r>
    </w:p>
    <w:p>
      <w:pPr>
        <w:spacing w:before="160" w:after="40" w:line="240" w:lineRule="auto"/>
      </w:pPr>
      <w:r>
        <w:rPr>
          <w:b/>
        </w:rPr>
        <w:t xml:space="preserve">[9] </w:t>
      </w:r>
      <w:hyperlink r:id="rId117">
        <w:r>
          <w:rPr>
            <w:color w:val="1155CC"/>
            <w:u w:val="single"/>
          </w:rPr>
          <w:t>基于苯腈的电解质具有更紧密的聚集溶剂化结构，可实现超长循环和高倍率4.5 V锂金属电池</w:t>
        </w:r>
      </w:hyperlink>
    </w:p>
    <w:p>
      <w:pPr>
        <w:spacing w:before="0" w:after="80"/>
      </w:pPr>
      <w:r>
        <w:rPr>
          <w:i/>
          <w:sz w:val="20"/>
        </w:rPr>
        <w:t>EN: Benzonitrile‐Based Electrolyte with Tighter Aggregate Solvation Structure Enables Ultralong Cycling and High‐Rate 4.5 V Lithium Metal Batteries</w:t>
      </w:r>
    </w:p>
    <w:p>
      <w:pPr>
        <w:spacing w:before="0" w:after="120"/>
      </w:pPr>
      <w:r>
        <w:rPr>
          <w:b/>
        </w:rPr>
        <w:t xml:space="preserve">Source: </w:t>
      </w:r>
      <w:r>
        <w:t>Wiley: Advanced Materials: Table of Contents</w:t>
      </w:r>
      <w:r>
        <w:t xml:space="preserve">    </w:t>
      </w:r>
      <w:r>
        <w:rPr>
          <w:b/>
        </w:rPr>
        <w:t xml:space="preserve">Pub date: </w:t>
      </w:r>
      <w:r>
        <w:t>2026-03-17 07:45:13+00:00</w:t>
      </w:r>
      <w:r>
        <w:t xml:space="preserve">    </w:t>
      </w:r>
      <w:r>
        <w:rPr>
          <w:b/>
        </w:rPr>
        <w:t xml:space="preserve">DOI: </w:t>
      </w:r>
      <w:hyperlink r:id="rId118">
        <w:r>
          <w:rPr>
            <w:color w:val="1155CC"/>
            <w:u w:val="single"/>
          </w:rPr>
          <w:t>10.1002/adma.72819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腈的电解质为高电压阴极提供了卓越的氧化稳定性，但在锂金属阳极（LMA）上表现出还原不稳定性和较差的倍率性能。在此，我们报告了一种分子工程策略，通过引入苯腈基电解质（BNE）来克服这些限制，实现长循环、高电压和高倍率的锂金属电池（LMB）。我们利用苯腈（BN）的独特分子特征，其中氰基动态协调锂离子（Li</w:t>
      </w:r>
      <w:r>
        <w:t xml:space="preserve"> </w:t>
      </w:r>
      <w:r>
        <w:t>+</w:t>
      </w:r>
      <w:r>
        <w:t xml:space="preserve"> </w:t>
      </w:r>
      <w:r>
        <w:t>），电子缺乏的苯基与阴离子弱相互作用，关键是，体积庞大的BN分子通过空间位阻压缩Li</w:t>
      </w:r>
      <w:r>
        <w:t xml:space="preserve"> </w:t>
      </w:r>
      <w:r>
        <w:t>+</w:t>
      </w:r>
      <w:r>
        <w:t xml:space="preserve"> </w:t>
      </w:r>
      <w:r>
        <w:t>溶剂化鞘。</w:t>
      </w:r>
    </w:p>
    <w:p>
      <w:pPr>
        <w:spacing w:before="0" w:after="200" w:lineRule="auto" w:line="276"/>
      </w:pPr>
      <w:r>
        <w:rPr>
          <w:b/>
        </w:rPr>
        <w:t xml:space="preserve">Abstract (EN): </w:t>
      </w:r>
      <w:r>
        <w:t>Nitrile‐based electrolytes offer exceptional oxidative stability for high‐voltage cathodes but suffer from reductive instability at lithium metal anodes (LMAs) and poor rate capability. Herein, we report a molecular engineering strategy to overcome these limitations by introducing a benzonitrile‐based electrolyte (BNE) to realize long‐cycling, high‐voltage, and high‐rate LMBs. We leverage the unique molecular features of benzonitrile (BN), where the cyano groups dynamically coordinate lithium ions (Li</w:t>
      </w:r>
      <w:r>
        <w:t xml:space="preserve"> </w:t>
      </w:r>
      <w:r>
        <w:t>+</w:t>
      </w:r>
      <w:r>
        <w:t xml:space="preserve"> </w:t>
      </w:r>
      <w:r>
        <w:t>), the electron‐deficient phenyl groups interact weakly with anions, and crucially, the bulky BN molecules compress the Li</w:t>
      </w:r>
      <w:r>
        <w:t xml:space="preserve"> </w:t>
      </w:r>
      <w:r>
        <w:t>+</w:t>
      </w:r>
      <w:r>
        <w:t xml:space="preserve"> </w:t>
      </w:r>
      <w:r>
        <w:t>solvation sheath through a spatial site‐blocking effect. The steric demand imposed by BN during Li</w:t>
      </w:r>
      <w:r>
        <w:t xml:space="preserve"> </w:t>
      </w:r>
      <w:r>
        <w:t>+</w:t>
      </w:r>
      <w:r>
        <w:t xml:space="preserve"> </w:t>
      </w:r>
      <w:r>
        <w:t>solvation, coupled with its ability to simultaneously coordinate Li</w:t>
      </w:r>
      <w:r>
        <w:t xml:space="preserve"> </w:t>
      </w:r>
      <w:r>
        <w:t>+</w:t>
      </w:r>
      <w:r>
        <w:t xml:space="preserve"> </w:t>
      </w:r>
      <w:r>
        <w:t>and interact with anions, induces a tighter aggregate (t‐AGG) solvation structure, which is confirmed by various spectroscopic techniques and molecular dynamics simulations. Mechanistically, the t‐AGG solvation structure eliminates most free BN molecules for enhanced stability at LMAs, accelerates Li</w:t>
      </w:r>
      <w:r>
        <w:t xml:space="preserve"> </w:t>
      </w:r>
      <w:r>
        <w:t>+</w:t>
      </w:r>
      <w:r>
        <w:t xml:space="preserve"> </w:t>
      </w:r>
      <w:r>
        <w:t>transport kinetics via increased hopping frequency, and promotes an anion‐derived solid‐electrolyte interphase. Consequently, BNE enables a 4.5 V NCM811||Li cell to achieve 500 cycles with 80% capacity retention at 5C, setting a benchmark for nitrile‐based LMBs. This work provides fundamental insights for designing high‐performance nitrile‐based electrolytes via precise solvation structure engineering for LMBs.</w:t>
      </w:r>
    </w:p>
    <w:p>
      <w:pPr>
        <w:spacing w:before="120" w:after="120"/>
      </w:pPr>
      <w:r>
        <w:rPr>
          <w:sz w:val="18"/>
        </w:rPr>
        <w:t>——————————————————————————————————————————————————————————————————————</w:t>
      </w:r>
    </w:p>
    <w:p>
      <w:pPr>
        <w:spacing w:before="160" w:after="40" w:line="240" w:lineRule="auto"/>
      </w:pPr>
      <w:r>
        <w:rPr>
          <w:b/>
        </w:rPr>
        <w:t xml:space="preserve">[10] </w:t>
      </w:r>
      <w:hyperlink r:id="rId119">
        <w:r>
          <w:rPr>
            <w:color w:val="1155CC"/>
            <w:u w:val="single"/>
          </w:rPr>
          <w:t>用于长循环可充电镁电池的协同双电解质添加剂</w:t>
        </w:r>
      </w:hyperlink>
    </w:p>
    <w:p>
      <w:pPr>
        <w:spacing w:before="0" w:after="80"/>
      </w:pPr>
      <w:r>
        <w:rPr>
          <w:i/>
          <w:sz w:val="20"/>
        </w:rPr>
        <w:t>EN: Synergistic Dual Electrolyte Additives for Long‐Cycle Rechargeable Magnesium Batteries</w:t>
      </w:r>
    </w:p>
    <w:p>
      <w:pPr>
        <w:spacing w:before="0" w:after="120"/>
      </w:pPr>
      <w:r>
        <w:rPr>
          <w:b/>
        </w:rPr>
        <w:t xml:space="preserve">Source: </w:t>
      </w:r>
      <w:r>
        <w:t>Wiley: Advanced Energy Materials: Table of Contents</w:t>
      </w:r>
      <w:r>
        <w:t xml:space="preserve">    </w:t>
      </w:r>
      <w:r>
        <w:rPr>
          <w:b/>
        </w:rPr>
        <w:t xml:space="preserve">Pub date: </w:t>
      </w:r>
      <w:r>
        <w:t>2026-03-17 10:05:33+00:00</w:t>
      </w:r>
      <w:r>
        <w:t xml:space="preserve">    </w:t>
      </w:r>
      <w:r>
        <w:rPr>
          <w:b/>
        </w:rPr>
        <w:t xml:space="preserve">DOI: </w:t>
      </w:r>
      <w:hyperlink r:id="rId120">
        <w:r>
          <w:rPr>
            <w:color w:val="1155CC"/>
            <w:u w:val="single"/>
          </w:rPr>
          <w:t>10.1002/aenm.70844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镁离子在电解质-镁阳极界面的界面动力学仍然是可充电镁电池（RMBs）的一个关键挑战。开发先进的电解质添加剂是缓解这一问题的最有前途的策略之一。这项工作系统地研究了通过InBr3和Tris(hexafluoroisopropyl) Borate (BHFP)作为双添加剂增强的Mg(OTf)2/G2电解质在RMBs镁金属阳极的界面化学。由双添加剂电解质原位形成的有机-无机混合界面提高了亲镁性并降低了Mg2+</w:t>
      </w:r>
    </w:p>
    <w:p>
      <w:pPr>
        <w:spacing w:before="0" w:after="200" w:lineRule="auto" w:line="276"/>
      </w:pPr>
      <w:r>
        <w:rPr>
          <w:b/>
        </w:rPr>
        <w:t xml:space="preserve">Abstract (EN): </w:t>
      </w:r>
      <w:r>
        <w:t>The interfacial kinetics of magnesium ions at the electrolyte‐magnesium anode interface remains a critical challenge for rechargeable magnesium batteries (RMBs). Developing advanced electrolyte additives represents one of the most promising strategies to mitigate this issue. This work systematically investigates the interfacial chemistry of a Mg(OTf)</w:t>
      </w:r>
      <w:r>
        <w:rPr>
          <w:vertAlign w:val="subscript"/>
        </w:rPr>
        <w:t>2</w:t>
      </w:r>
      <w:r>
        <w:t>/G2 electrolyte enhanced by InBr</w:t>
      </w:r>
      <w:r>
        <w:rPr>
          <w:vertAlign w:val="subscript"/>
        </w:rPr>
        <w:t>3</w:t>
      </w:r>
      <w:r>
        <w:t>and Tris(hexafluoroisopropyl) Borate (BHFP) as dual additives at the Mg metal anode for RMBs. The in situ‐formed organic–inorganic hybrid interphase derived from the dual‐additive electrolyte improves the magnesiophilicity and lowers the Mg</w:t>
      </w:r>
      <w:r>
        <w:t xml:space="preserve"> </w:t>
      </w:r>
      <w:r>
        <w:t>2+</w:t>
      </w:r>
      <w:r>
        <w:t xml:space="preserve"> </w:t>
      </w:r>
      <w:r>
        <w:t>diffusion energy barrier. Furthermore, the chain reaction between the additives and the anode yields weakly coordinating [B(HFIP)</w:t>
      </w:r>
      <w:r>
        <w:rPr>
          <w:vertAlign w:val="subscript"/>
        </w:rPr>
        <w:t>4</w:t>
      </w:r>
      <w:r>
        <w:t>]</w:t>
      </w:r>
      <w:r>
        <w:t xml:space="preserve"> </w:t>
      </w:r>
      <w:r>
        <w:t>−</w:t>
      </w:r>
      <w:r>
        <w:t>anions and highly migrating [Mg(Br)(G2)</w:t>
      </w:r>
      <w:r>
        <w:rPr>
          <w:vertAlign w:val="subscript"/>
        </w:rPr>
        <w:t>2</w:t>
      </w:r>
      <w:r>
        <w:t>]</w:t>
      </w:r>
      <w:r>
        <w:t xml:space="preserve"> </w:t>
      </w:r>
      <w:r>
        <w:t>+</w:t>
      </w:r>
      <w:r>
        <w:t xml:space="preserve"> </w:t>
      </w:r>
      <w:r>
        <w:t>cations. As a result, the dual‐additive electrolyte demonstrated superior electrochemical performance, characterized by high rate performance and cycling stability of 1000 h at 0.5 mA cm</w:t>
      </w:r>
      <w:r>
        <w:t xml:space="preserve"> </w:t>
      </w:r>
      <w:r>
        <w:t>−2</w:t>
      </w:r>
      <w:r>
        <w:t xml:space="preserve"> </w:t>
      </w:r>
      <w:r>
        <w:t>. Furthermore, the Mg//MIB//Mo</w:t>
      </w:r>
      <w:r>
        <w:rPr>
          <w:vertAlign w:val="subscript"/>
        </w:rPr>
        <w:t>6</w:t>
      </w:r>
      <w:r>
        <w:t>S</w:t>
      </w:r>
      <w:r>
        <w:rPr>
          <w:vertAlign w:val="subscript"/>
        </w:rPr>
        <w:t>8</w:t>
      </w:r>
      <w:r>
        <w:t>full cell exhibited a capacity retention of 83.7% even after 1700 cycles at a high current density of 500 mA g</w:t>
      </w:r>
      <w:r>
        <w:t xml:space="preserve"> </w:t>
      </w:r>
      <w:r>
        <w:t>−1</w:t>
      </w:r>
      <w:r>
        <w:t xml:space="preserve"> </w:t>
      </w:r>
      <w:r>
        <w:t>. Crucially, the study proved that the reaction of the metal halide and BHFP with the metal anode provides a vital pathway for the optimization of both the electrolyte and the interface in multivalent metal batteries.</w:t>
      </w:r>
    </w:p>
    <w:p>
      <w:pPr>
        <w:spacing w:before="120" w:after="120"/>
      </w:pPr>
      <w:r>
        <w:rPr>
          <w:sz w:val="18"/>
        </w:rPr>
        <w:t>——————————————————————————————————————————————————————————————————————</w:t>
      </w:r>
    </w:p>
    <w:p>
      <w:pPr>
        <w:spacing w:before="160" w:after="40" w:line="240" w:lineRule="auto"/>
      </w:pPr>
      <w:r>
        <w:rPr>
          <w:b/>
        </w:rPr>
        <w:t xml:space="preserve">[11] </w:t>
      </w:r>
      <w:hyperlink r:id="rId121">
        <w:r>
          <w:rPr>
            <w:color w:val="1155CC"/>
            <w:u w:val="single"/>
          </w:rPr>
          <w:t>基于碳化物的反应性合成和NASICON钠金属全固态电解质的微观结构（Adv. Mater. 16/2026）</w:t>
        </w:r>
      </w:hyperlink>
    </w:p>
    <w:p>
      <w:pPr>
        <w:spacing w:before="0" w:after="80"/>
      </w:pPr>
      <w:r>
        <w:rPr>
          <w:i/>
          <w:sz w:val="20"/>
        </w:rPr>
        <w:t>EN: Reactive Carbide‐Based Synthesis and Microstructure of NASICON Sodium Metal All Solid‐State Electrolyte (Adv. Mater. 16/2026)</w:t>
      </w:r>
    </w:p>
    <w:p>
      <w:pPr>
        <w:spacing w:before="0" w:after="120"/>
      </w:pPr>
      <w:r>
        <w:rPr>
          <w:b/>
        </w:rPr>
        <w:t xml:space="preserve">Source: </w:t>
      </w:r>
      <w:r>
        <w:t>Wiley: Advanced Materials: Table of Contents</w:t>
      </w:r>
      <w:r>
        <w:t xml:space="preserve">    </w:t>
      </w:r>
      <w:r>
        <w:rPr>
          <w:b/>
        </w:rPr>
        <w:t xml:space="preserve">Pub date: </w:t>
      </w:r>
      <w:r>
        <w:t>2026-03-17 12:16:50+00:00</w:t>
      </w:r>
      <w:r>
        <w:t xml:space="preserve">    </w:t>
      </w:r>
      <w:r>
        <w:rPr>
          <w:b/>
        </w:rPr>
        <w:t xml:space="preserve">DOI: </w:t>
      </w:r>
      <w:hyperlink r:id="rId122">
        <w:r>
          <w:rPr>
            <w:color w:val="1155CC"/>
            <w:u w:val="single"/>
          </w:rPr>
          <w:t>10.1002/adma.72669</w:t>
        </w:r>
      </w:hyperlink>
    </w:p>
    <w:p>
      <w:pPr>
        <w:spacing w:before="0" w:after="120"/>
      </w:pPr>
      <w:r>
        <w:rPr>
          <w:b/>
        </w:rPr>
        <w:t xml:space="preserve">Notes: </w:t>
      </w:r>
      <w:r>
        <w:t>abstract_source=openalex</w:t>
      </w:r>
    </w:p>
    <w:p>
      <w:pPr>
        <w:spacing w:before="0" w:after="80" w:lineRule="auto" w:line="276"/>
      </w:pPr>
      <w:r>
        <w:rPr>
          <w:b/>
        </w:rPr>
        <w:t xml:space="preserve">摘要（ZH）: </w:t>
      </w:r>
      <w:r>
        <w:t>NASICON 钠金属全固态电解质 一架电动浮飞机降落在卡特迈国家公园的一个偏远湖泊上，正在使用独立的太阳能充电站为返程加油。飞机内部的固态钠电池基于先进的 NASICON 型电解质，既耐用又低成本。前往此地与熊共处的环保主义者为其低 CO2 足迹感到自豪，这一足迹可能很快就会达到净零。更多详细信息可在 Callum J. Campbell、David Mitlin 和合作者的研究文章中找到（DOI: 10.1002/adma.202512961）。</w:t>
      </w:r>
    </w:p>
    <w:p>
      <w:pPr>
        <w:spacing w:before="0" w:after="200" w:lineRule="auto" w:line="276"/>
      </w:pPr>
      <w:r>
        <w:rPr>
          <w:b/>
        </w:rPr>
        <w:t xml:space="preserve">Abstract (EN): </w:t>
      </w:r>
      <w:r>
        <w:t>NASICON Sodium Metal All Solid-State Electrolyte An electric float plane landed on a remote lake in Katmai National Park and is being fueled for the return trip using a standalone solar-powered charging station. The solid-state sodium batteries inside the plane are based on an advanced NASICON-type electrolyte, which is both durable and low cost. The environmentalist who traveled to this location to live among the bears is proud of his low CO2 footprint, which may soon go to net zero. More details can be found in the Research Article by Callum J. Campbell, David Mitlin, and co-workers (DOI: 10.1002/adma.202512961).</w:t>
      </w:r>
    </w:p>
    <w:p>
      <w:pPr>
        <w:spacing w:before="120" w:after="120"/>
      </w:pPr>
      <w:r>
        <w:rPr>
          <w:sz w:val="18"/>
        </w:rPr>
        <w:t>——————————————————————————————————————————————————————————————————————</w:t>
      </w:r>
    </w:p>
    <w:p>
      <w:pPr>
        <w:spacing w:before="160" w:after="40" w:line="240" w:lineRule="auto"/>
      </w:pPr>
      <w:r>
        <w:rPr>
          <w:b/>
        </w:rPr>
        <w:t xml:space="preserve">[12] </w:t>
      </w:r>
      <w:hyperlink r:id="rId97">
        <w:r>
          <w:rPr>
            <w:color w:val="1155CC"/>
            <w:u w:val="single"/>
          </w:rPr>
          <w:t>通过不可还原的固体电解质诱导的动态界面实现接近100%初始库仑效率的硅阳极</w:t>
        </w:r>
      </w:hyperlink>
    </w:p>
    <w:p>
      <w:pPr>
        <w:spacing w:before="0" w:after="80"/>
      </w:pPr>
      <w:r>
        <w:rPr>
          <w:i/>
          <w:sz w:val="20"/>
        </w:rPr>
        <w:t>EN: Toward near-100% initial Coulombic efficiency of Si anodes through irreducible solid electrolyte-induced dynamic interphases</w:t>
      </w:r>
    </w:p>
    <w:p>
      <w:pPr>
        <w:spacing w:before="0" w:after="120"/>
      </w:pPr>
      <w:r>
        <w:rPr>
          <w:b/>
        </w:rPr>
        <w:t xml:space="preserve">Source: </w:t>
      </w:r>
      <w:r>
        <w:t>Joule</w:t>
      </w:r>
      <w:r>
        <w:t xml:space="preserve">    </w:t>
      </w:r>
      <w:r>
        <w:rPr>
          <w:b/>
        </w:rPr>
        <w:t xml:space="preserve">Pub date: </w:t>
      </w:r>
      <w:r>
        <w:t>2026-03-18 00:00:00+00:00</w:t>
      </w:r>
      <w:r>
        <w:t xml:space="preserve">    </w:t>
      </w:r>
      <w:r>
        <w:rPr>
          <w:b/>
        </w:rPr>
        <w:t xml:space="preserve">DOI: </w:t>
      </w:r>
      <w:hyperlink r:id="rId98">
        <w:r>
          <w:rPr>
            <w:color w:val="1155CC"/>
            <w:u w:val="single"/>
          </w:rPr>
          <w:t>10.1016/j.joule.2026.102322</w:t>
        </w:r>
      </w:hyperlink>
    </w:p>
    <w:p>
      <w:pPr>
        <w:spacing w:before="0" w:after="120"/>
      </w:pPr>
      <w:r>
        <w:rPr>
          <w:b/>
        </w:rPr>
        <w:t xml:space="preserve">Notes: </w:t>
      </w:r>
      <w:r>
        <w:t>abstract_source=rss_cell</w:t>
      </w:r>
    </w:p>
    <w:p>
      <w:pPr>
        <w:spacing w:before="0" w:after="80" w:lineRule="auto" w:line="276"/>
      </w:pPr>
      <w:r>
        <w:rPr>
          <w:b/>
        </w:rPr>
        <w:t xml:space="preserve">摘要（ZH）: </w:t>
      </w:r>
      <w:r>
        <w:t>硅阳极为全固态电池（ASSBs）提供了高能量密度的可能性，但在首次循环中受到严重锂损失的限制。该研究揭示了通过不可还原固体电解质Li2.45S0.55N0.45实现的受控界面反应如何补充锂、提高初始库仑效率并保持快速离子传输。通过揭示潜在的界面反应机制，该研究展示了合理的界面设计如何同时提高效率和电化学性能，为实现更安全的高能量ASSBs提供了实用途径。</w:t>
      </w:r>
    </w:p>
    <w:p>
      <w:pPr>
        <w:spacing w:before="0" w:after="200" w:lineRule="auto" w:line="276"/>
      </w:pPr>
      <w:r>
        <w:rPr>
          <w:b/>
        </w:rPr>
        <w:t xml:space="preserve">Abstract (EN): </w:t>
      </w:r>
      <w:r>
        <w:t>Silicon anodes promise high energy density for all-solid-state batteries (ASSBs) but are limited by severe lithium loss during the first cycle. This work reveals how controlled interfacial reactions enabled by an irreducible solid electrolyte Li2.45S0.55N0.45 can replenish lithium, enhance initial Coulombic efficiency, and maintain fast ion transport. By uncovering the underlying interfacial reaction mechanism, the study demonstrates how rational interface design can simultaneously improve efficiency and electrochemical performance, offering a practical pathway toward safer, high-energy ASSBs.</w:t>
      </w:r>
    </w:p>
    <w:p>
      <w:pPr>
        <w:spacing w:before="120" w:after="120"/>
      </w:pPr>
      <w:r>
        <w:rPr>
          <w:sz w:val="18"/>
        </w:rPr>
        <w:t>——————————————————————————————————————————————————————————————————————</w:t>
      </w:r>
    </w:p>
    <w:p>
      <w:pPr>
        <w:spacing w:before="160" w:after="40" w:line="240" w:lineRule="auto"/>
      </w:pPr>
      <w:r>
        <w:rPr>
          <w:b/>
        </w:rPr>
        <w:t xml:space="preserve">[13] </w:t>
      </w:r>
      <w:hyperlink r:id="rId123">
        <w:r>
          <w:rPr>
            <w:color w:val="1155CC"/>
            <w:u w:val="single"/>
          </w:rPr>
          <w:t>弱聚集电解质在超低温下实现锂离子电容器</w:t>
        </w:r>
      </w:hyperlink>
    </w:p>
    <w:p>
      <w:pPr>
        <w:spacing w:before="0" w:after="80"/>
      </w:pPr>
      <w:r>
        <w:rPr>
          <w:i/>
          <w:sz w:val="20"/>
        </w:rPr>
        <w:t>EN: A Weak‐Aggregation Electrolyte Enables Lithium‐Ion Capacitors at Ultra‐Low Temperature</w:t>
      </w:r>
    </w:p>
    <w:p>
      <w:pPr>
        <w:spacing w:before="0" w:after="120"/>
      </w:pPr>
      <w:r>
        <w:rPr>
          <w:b/>
        </w:rPr>
        <w:t xml:space="preserve">Source: </w:t>
      </w:r>
      <w:r>
        <w:t>Wiley: Angewandte Chemie International Edition: Table of Contents</w:t>
      </w:r>
      <w:r>
        <w:t xml:space="preserve">    </w:t>
      </w:r>
      <w:r>
        <w:rPr>
          <w:b/>
        </w:rPr>
        <w:t xml:space="preserve">Pub date: </w:t>
      </w:r>
      <w:r>
        <w:t>2026-03-18 14:37:15+00:00</w:t>
      </w:r>
      <w:r>
        <w:t xml:space="preserve">    </w:t>
      </w:r>
      <w:r>
        <w:rPr>
          <w:b/>
        </w:rPr>
        <w:t xml:space="preserve">DOI: </w:t>
      </w:r>
      <w:hyperlink r:id="rId124">
        <w:r>
          <w:rPr>
            <w:color w:val="1155CC"/>
            <w:u w:val="single"/>
          </w:rPr>
          <w:t>10.1002/anie.6979216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地球轨道卫星、南极研究站和某些极寒环境的运行需要能够在-100°C或更低温度下工作的能量存储设备（ESDs）。传统电解质由于离子传输缓慢和低温下不稳定的电极-电解质界面，严重降低了电化学ESDs在极寒条件下的性能。在此，我们报告了一种弱聚集（AGG-w）电解质，通过战略性地引入单侧氟化基团作为强电子吸引基团，增强了立体障碍并重新配置分子偶极，从而在超低温（ULT）下协调体相离子传输与界面动力学。</w:t>
      </w:r>
    </w:p>
    <w:p>
      <w:pPr>
        <w:spacing w:before="0" w:after="200" w:lineRule="auto" w:line="276"/>
      </w:pPr>
      <w:r>
        <w:rPr>
          <w:b/>
        </w:rPr>
        <w:t xml:space="preserve">Abstract (EN): </w:t>
      </w:r>
      <w:r>
        <w:t>The operation of low‐earth orbit satellites, Antarctic research stations, and certain extreme cold environments demands energy storage devices (ESDs) capable of functioning at −100°C or lower. Conventional electrolytes are limited by sluggish ion transport and unstable electrode‐electrolyte interphases at low temperatures, severely degrading the performance of electrochemical ESDs under extreme cold. Herein, we report a weak‐aggregation (AGG‐w) electrolyte reconciling bulk‐phase ion transport with interfacial kinetics at ultra‐low temperatures (ULT). This is achieved through the strategic incorporation of unilaterally fluorinated motif as strong electron‐withdrawing group, which enhances steric hindrance and reconfigure molecular dipole to reinforce dipole–dipole interaction with the solvents anchored in the primary solvation shell. Such restructuring enables unprecedented solvent‐anion cooperativity by weakening Li</w:t>
      </w:r>
      <w:r>
        <w:t xml:space="preserve"> </w:t>
      </w:r>
      <w:r>
        <w:t>+</w:t>
      </w:r>
      <w:r>
        <w:t xml:space="preserve"> </w:t>
      </w:r>
      <w:r>
        <w:t>‐dipole interaction and promoting greater anion participation, thereby accelerating desolvation kinetics, reducing interfacial resistance, and simultaneously preserving low viscosity and high ionic conductivity at ULT. Notably, 1100 F real pouch cells with AGG‐w electrolyte maintain 97.9% capacity retention after 7 months of continuous operation at −40°C and demonstrate emerging discharge capability at −100°C, a milestone never previously reported. This work underscores weak‐interaction engineering as a critical paradigm for electrolyte design and establishes a generalizable strategy for high‐performance electrochemistry in extreme conditions.</w:t>
      </w:r>
    </w:p>
    <w:p>
      <w:pPr>
        <w:spacing w:before="120" w:after="120"/>
      </w:pPr>
      <w:r>
        <w:rPr>
          <w:sz w:val="18"/>
        </w:rPr>
        <w:t>——————————————————————————————————————————————————————————————————————</w:t>
      </w:r>
    </w:p>
    <w:p>
      <w:pPr>
        <w:spacing w:before="160" w:after="40" w:line="240" w:lineRule="auto"/>
      </w:pPr>
      <w:r>
        <w:rPr>
          <w:b/>
        </w:rPr>
        <w:t xml:space="preserve">[14] </w:t>
      </w:r>
      <w:hyperlink r:id="rId125">
        <w:r>
          <w:rPr>
            <w:color w:val="1155CC"/>
            <w:u w:val="single"/>
          </w:rPr>
          <w:t>[ASAP] 超快合成超离子钠卤化物-硼酸盐电解质用于固态电池</w:t>
        </w:r>
      </w:hyperlink>
    </w:p>
    <w:p>
      <w:pPr>
        <w:spacing w:before="0" w:after="80"/>
      </w:pPr>
      <w:r>
        <w:rPr>
          <w:i/>
          <w:sz w:val="20"/>
        </w:rPr>
        <w:t>EN: [ASAP] Minute-Scale Ultrafast Synthesis of Superionic Sodium Halide-Borate Electrolytes for Solid-State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2026-03-18 19:37:38+00:00</w:t>
      </w:r>
      <w:r>
        <w:t xml:space="preserve">    </w:t>
      </w:r>
      <w:r>
        <w:rPr>
          <w:b/>
        </w:rPr>
        <w:t xml:space="preserve">DOI: </w:t>
      </w:r>
      <w:hyperlink r:id="rId126">
        <w:r>
          <w:rPr>
            <w:color w:val="1155CC"/>
            <w:u w:val="single"/>
          </w:rPr>
          <w:t>10.1021/jacs.6c00012</w:t>
        </w:r>
      </w:hyperlink>
    </w:p>
    <w:p>
      <w:pPr>
        <w:spacing w:before="0" w:after="120"/>
      </w:pPr>
      <w:r>
        <w:rPr>
          <w:b/>
        </w:rPr>
        <w:t xml:space="preserve">Notes: </w:t>
      </w:r>
      <w:r>
        <w:t>abstract_source=pubmed</w:t>
      </w:r>
    </w:p>
    <w:p>
      <w:pPr>
        <w:spacing w:before="0" w:after="80" w:lineRule="auto" w:line="276"/>
      </w:pPr>
      <w:r>
        <w:rPr>
          <w:b/>
        </w:rPr>
        <w:t xml:space="preserve">摘要（ZH）: </w:t>
      </w:r>
      <w:r>
        <w:t>卤化物作为固态电池的固体电解质显示出良好的氧化稳定性和有利的机械变形性，因此成为有前景的选择。然而，氯化钠基电解质的实际应用受到缓慢的Na+-离子传输和对长时间机械化学处理的强烈依赖的严重阻碍，这大大增加了制造成本。在此，我们报告了一种混合阴离子钠卤化物-硼酸盐固体电解质，Na1+xTa(B4O7)xCl6-x，有效解决了这些限制。通过用[B4O7]2-单元部分替代Cl-，形成混合的Ta-Cl-O配位多面体，导致显著的局部结构畸变并促进快速非晶化。因此，室温下的离子电导率高达3.1 mS cm-1</w:t>
      </w:r>
    </w:p>
    <w:p>
      <w:pPr>
        <w:spacing w:before="0" w:after="200" w:lineRule="auto" w:line="276"/>
      </w:pPr>
      <w:r>
        <w:rPr>
          <w:b/>
        </w:rPr>
        <w:t xml:space="preserve">Abstract (EN): </w:t>
      </w:r>
      <w:r>
        <w:t>Halides have emerged as promising solid electrolytes for solid-state batteries, owing to their good oxidative stability and favorable mechanical deformability. Nevertheless, the practical application of sodium chloride-based electrolytes has been severely hindered by sluggish Na+-ion transport and a strong reliance on prolonged mechanochemical processing, which substantially increases manufacturing cost. Here, we report a mixed-anion sodium halide-borate solid electrolyte, Na1+xTa(B4O7)xCl6-x, that effectively addresses these limitations. Partial substitution of Cl- by [B4O7]2- units creates mixed Ta-Cl-O coordination polyhedra that induce significant local structural distortion and promote rapid amorphization. As a result, a room-temperature ionic conductivity as high as 3.1 mS cm-1 is achieved within only 10 min of mechanochemical milling. Ab initio molecular dynamics simulations reveal that the incorporation of borate weakens Na+-ion coordination, activates coupled cation-anion dynamics, and enlarges Na+-ion transport bottleneck, which synergistically flattens the cation migration energy landscape for rapid Na+-ion diffusion. Benefiting from fast Na+-ion transport and favorable compatibility with cathode materials, Na1+xTa(B4O7)xCl6-x enables solid-state sodium batteries employing a NaCu0.12Ni0.22Fe0.33Mn0.33O2 cathode to sustain stable cycling for over 800 cycles with a capacity retention of 81.6%. These results establish Na1+xTa(B4O7)xCl6-x as a new class of halide-based superionic conductors and highlight mixed-anion engineering as an effective strategy for developing high-performance solid electrolytes.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27">
        <w:r>
          <w:rPr>
            <w:color w:val="1155CC"/>
            <w:u w:val="single"/>
          </w:rPr>
          <w:t>[ASAP] 当沸石遇到电化学设备：隔膜的进展</w:t>
        </w:r>
      </w:hyperlink>
    </w:p>
    <w:p>
      <w:pPr>
        <w:spacing w:before="0" w:after="80"/>
      </w:pPr>
      <w:r>
        <w:rPr>
          <w:i/>
          <w:sz w:val="20"/>
        </w:rPr>
        <w:t>EN: [ASAP] When Zeolites Meet Electrochemical Devices: Progress of Separators</w:t>
      </w:r>
    </w:p>
    <w:p>
      <w:pPr>
        <w:spacing w:before="0" w:after="120"/>
      </w:pPr>
      <w:r>
        <w:rPr>
          <w:b/>
        </w:rPr>
        <w:t xml:space="preserve">Source: </w:t>
      </w:r>
      <w:r>
        <w:t>Chemical Reviews: Latest Articles (ACS Publications)</w:t>
      </w:r>
      <w:r>
        <w:t xml:space="preserve">    </w:t>
      </w:r>
      <w:r>
        <w:rPr>
          <w:b/>
        </w:rPr>
        <w:t xml:space="preserve">Pub date: </w:t>
      </w:r>
      <w:r>
        <w:t>2026-03-16 12:23:53+00:00</w:t>
      </w:r>
      <w:r>
        <w:t xml:space="preserve">    </w:t>
      </w:r>
      <w:r>
        <w:rPr>
          <w:b/>
        </w:rPr>
        <w:t xml:space="preserve">DOI: </w:t>
      </w:r>
      <w:hyperlink r:id="rId128">
        <w:r>
          <w:rPr>
            <w:color w:val="1155CC"/>
            <w:u w:val="single"/>
          </w:rPr>
          <w:t>10.1021/acs.chemrev.5c00494</w:t>
        </w:r>
      </w:hyperlink>
    </w:p>
    <w:p>
      <w:pPr>
        <w:spacing w:before="0" w:after="120"/>
      </w:pPr>
      <w:r>
        <w:rPr>
          <w:b/>
        </w:rPr>
        <w:t xml:space="preserve">Notes: </w:t>
      </w:r>
      <w:r>
        <w:t>abstract_source=pubmed</w:t>
      </w:r>
    </w:p>
    <w:p>
      <w:pPr>
        <w:spacing w:before="0" w:after="80" w:lineRule="auto" w:line="276"/>
      </w:pPr>
      <w:r>
        <w:rPr>
          <w:b/>
        </w:rPr>
        <w:t xml:space="preserve">摘要（ZH）: </w:t>
      </w:r>
      <w:r>
        <w:t>现代社会对电池的日益依赖突显了隔膜在储能设备中的关键作用。随着对高性能电池需求的增加，开发先进的隔膜——以对物理现象和结构-性能关系的深刻理解为指导——对于下一代储能系统变得至关重要。隔膜技术的最新发展已经从简单的聚合物基材料演变为复杂的有机/无机复合材料。该领域的一个关键创新是将无机颗粒引入隔膜中，这显著提高了其物理和化学性能。在这些无机添加剂中，沸石和其他多孔材料因其有序的孔结构、高孔隙率、大表面积而脱颖而出</w:t>
      </w:r>
    </w:p>
    <w:p>
      <w:pPr>
        <w:spacing w:before="0" w:after="200" w:lineRule="auto" w:line="276"/>
      </w:pPr>
      <w:r>
        <w:rPr>
          <w:b/>
        </w:rPr>
        <w:t xml:space="preserve">Abstract (EN): </w:t>
      </w:r>
      <w:r>
        <w:t>The growing reliance on batteries in modern society highlights the crucial role of separators in energy storage devices. As the demand for high-performance batteries increases, developing advanced separators─guided by a deep understanding of physical phenomena and structure-property relationships─becomes critical for next-generation energy storage systems. Recent developments in separator technology have evolved from simple polymer-based materials to sophisticated organic/inorganic composites. A key innovation in this field is the incorporation of inorganic particles into separators, which significantly improves their physical and chemical performance. Among these inorganic additives, zeolites and other porous materials stand out due to their ordered pore structures, high porosity, large specific surface areas, and excellent thermal stability. This review highlights the chemical and physical properties of zeolites that make them valuable for designing composite separators. We explore the engineering of polymer/zeolite composite separators, with an emphasis on enhancing mechanical strength, increasing ionic conductivity, and promoting favorable chemical interactions. Furthermore, we evaluate the suitability of synthetic zeolites in various types of energy storage systems, focusing on their structural and thermal advantages relevant to separator performance. Finally, we discuss future research directions, potential technological advancements, and the challenges associated with integrating zeolites into catalysts, adsorbents, battery separators, and solid-state electrolytes.</w:t>
      </w:r>
    </w:p>
    <w:p>
      <w:pPr>
        <w:spacing w:before="120" w:after="120"/>
      </w:pPr>
      <w:r>
        <w:rPr>
          <w:sz w:val="18"/>
        </w:rPr>
        <w:t>——————————————————————————————————————————————————————————————————————</w:t>
      </w:r>
    </w:p>
    <w:p>
      <w:pPr>
        <w:spacing w:before="160" w:after="40" w:line="240" w:lineRule="auto"/>
      </w:pPr>
      <w:r>
        <w:rPr>
          <w:b/>
        </w:rPr>
        <w:t xml:space="preserve">[2] </w:t>
      </w:r>
      <w:hyperlink r:id="rId129">
        <w:r>
          <w:rPr>
            <w:color w:val="1155CC"/>
            <w:u w:val="single"/>
          </w:rPr>
          <w:t>用于可重复电池研究的自动化扣式电池组装</w:t>
        </w:r>
      </w:hyperlink>
    </w:p>
    <w:p>
      <w:pPr>
        <w:spacing w:before="0" w:after="80"/>
      </w:pPr>
      <w:r>
        <w:rPr>
          <w:i/>
          <w:sz w:val="20"/>
        </w:rPr>
        <w:t>EN: Automated coin cell assembly for reproducible battery research</w:t>
      </w:r>
    </w:p>
    <w:p>
      <w:pPr>
        <w:spacing w:before="0" w:after="120"/>
      </w:pPr>
      <w:r>
        <w:rPr>
          <w:b/>
        </w:rPr>
        <w:t xml:space="preserve">Source: </w:t>
      </w:r>
      <w:r>
        <w:t>Nature Reviews Clean Technology</w:t>
      </w:r>
      <w:r>
        <w:t xml:space="preserve">    </w:t>
      </w:r>
      <w:r>
        <w:rPr>
          <w:b/>
        </w:rPr>
        <w:t xml:space="preserve">Pub date: </w:t>
      </w:r>
      <w:r>
        <w:t>2026-03-17 00:00:00+00:00</w:t>
      </w:r>
      <w:r>
        <w:t xml:space="preserve">    </w:t>
      </w:r>
      <w:r>
        <w:rPr>
          <w:b/>
        </w:rPr>
        <w:t xml:space="preserve">DOI: </w:t>
      </w:r>
      <w:hyperlink r:id="rId130">
        <w:r>
          <w:rPr>
            <w:color w:val="1155CC"/>
            <w:u w:val="single"/>
          </w:rPr>
          <w:t>10.1038/s44359-026-00161-6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1">
        <w:r>
          <w:rPr>
            <w:color w:val="1155CC"/>
            <w:u w:val="single"/>
          </w:rPr>
          <w:t>电池材料的原位X射线衍射和总散射表征：不仅仅是漂亮的图片</w:t>
        </w:r>
      </w:hyperlink>
    </w:p>
    <w:p>
      <w:pPr>
        <w:spacing w:before="0" w:after="80"/>
      </w:pPr>
      <w:r>
        <w:rPr>
          <w:i/>
          <w:sz w:val="20"/>
        </w:rPr>
        <w:t>EN: Operando X‐Ray Diffraction and Total Scattering Characterization of Battery Materials: Not Just a Pretty Picture</w:t>
      </w:r>
    </w:p>
    <w:p>
      <w:pPr>
        <w:spacing w:before="0" w:after="120"/>
      </w:pPr>
      <w:r>
        <w:rPr>
          <w:b/>
        </w:rPr>
        <w:t xml:space="preserve">Source: </w:t>
      </w:r>
      <w:r>
        <w:t>Wiley: Advanced Energy Materials: Table of Contents</w:t>
      </w:r>
      <w:r>
        <w:t xml:space="preserve">    </w:t>
      </w:r>
      <w:r>
        <w:rPr>
          <w:b/>
        </w:rPr>
        <w:t xml:space="preserve">Pub date: </w:t>
      </w:r>
      <w:r>
        <w:t>2026-03-17 10:35:29+00:00</w:t>
      </w:r>
      <w:r>
        <w:t xml:space="preserve">    </w:t>
      </w:r>
      <w:r>
        <w:rPr>
          <w:b/>
        </w:rPr>
        <w:t xml:space="preserve">DOI: </w:t>
      </w:r>
      <w:hyperlink r:id="rId132">
        <w:r>
          <w:rPr>
            <w:color w:val="1155CC"/>
            <w:u w:val="single"/>
          </w:rPr>
          <w:t>10.1002/aenm.202506777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电池的发展可以通过对其化学性质的基本理解来加速。多种表征技术已被用于研究电池中的化学过程，但使用X射线衍射（XRD）和总X射线散射（TXS）进行的原子级结构研究仍然很受欢迎。这些方法相对容易应用于原位模式，在操作条件下收集结构数据和电化学数据。随着对这种强大方法学的兴趣日益增长，审查原位XRD/TXS表征的一般原则并制定一套指南是很重要的</w:t>
      </w:r>
    </w:p>
    <w:p>
      <w:pPr>
        <w:spacing w:before="0" w:after="200" w:lineRule="auto" w:line="276"/>
      </w:pPr>
      <w:r>
        <w:rPr>
          <w:b/>
        </w:rPr>
        <w:t xml:space="preserve">Abstract (EN): </w:t>
      </w:r>
      <w:r>
        <w:t>The development of rechargeable batteries can be accelerated by the fundamental understanding of their chemistries. Multiple characterization techniques have been deployed to study the chemical processes in batteries, but structural studies at the atomic level using X‐ray diffraction (XRD) and total X‐ray scattering (TXS) show enduring popularity. These methods are relatively easy to apply in</w:t>
      </w:r>
      <w:r>
        <w:t xml:space="preserve"> </w:t>
      </w:r>
      <w:r>
        <w:t>operando</w:t>
      </w:r>
      <w:r>
        <w:t xml:space="preserve"> </w:t>
      </w:r>
      <w:r>
        <w:t>mode, where structural data is collected alongside electrochemical data under operating conditions. With a growing interest in this powerful methodology, it is important to review the general principles of</w:t>
      </w:r>
      <w:r>
        <w:t xml:space="preserve"> </w:t>
      </w:r>
      <w:r>
        <w:t>operando</w:t>
      </w:r>
      <w:r>
        <w:t xml:space="preserve"> </w:t>
      </w:r>
      <w:r>
        <w:t>XRD/TXS characterization and develop a set of guidelines for the collection, analysis, and presentation of data that are acceptable to the community and can lead to reliable, representative, and reproducible results that are easy to judge and compare. This Review aims to survey and discuss important steps in</w:t>
      </w:r>
      <w:r>
        <w:t xml:space="preserve"> </w:t>
      </w:r>
      <w:r>
        <w:t>operando</w:t>
      </w:r>
      <w:r>
        <w:t xml:space="preserve"> </w:t>
      </w:r>
      <w:r>
        <w:t>XRD and TXS. From cell and electrode design to data treatment, we survey the major experimental aspects of</w:t>
      </w:r>
      <w:r>
        <w:t xml:space="preserve"> </w:t>
      </w:r>
      <w:r>
        <w:t>operando</w:t>
      </w:r>
      <w:r>
        <w:t xml:space="preserve"> </w:t>
      </w:r>
      <w:r>
        <w:t>studies, pointing out potential pitfalls and identifying best‐practice. In addition, we review some unconventional experiments conducted in</w:t>
      </w:r>
      <w:r>
        <w:t xml:space="preserve"> </w:t>
      </w:r>
      <w:r>
        <w:t>operando</w:t>
      </w:r>
      <w:r>
        <w:t xml:space="preserve"> </w:t>
      </w:r>
      <w:r>
        <w:t>mode to illustrate how such methods can be used beyond studies of the early‐stage cycling mechanisms of battery active materials.</w:t>
      </w:r>
    </w:p>
    <w:p>
      <w:pPr>
        <w:spacing w:before="120" w:after="120"/>
      </w:pPr>
      <w:r>
        <w:rPr>
          <w:sz w:val="18"/>
        </w:rPr>
        <w:t>——————————————————————————————————————————————————————————————————————</w:t>
      </w:r>
    </w:p>
    <w:p>
      <w:pPr>
        <w:spacing w:before="160" w:after="40" w:line="240" w:lineRule="auto"/>
      </w:pPr>
      <w:r>
        <w:rPr>
          <w:b/>
        </w:rPr>
        <w:t xml:space="preserve">[4] </w:t>
      </w:r>
      <w:hyperlink r:id="rId133">
        <w:r>
          <w:rPr>
            <w:color w:val="1155CC"/>
            <w:u w:val="single"/>
          </w:rPr>
          <w:t>[ASAP] 过渡金属溶解引起的锂离子电池退化的超声波研究</w:t>
        </w:r>
      </w:hyperlink>
    </w:p>
    <w:p>
      <w:pPr>
        <w:spacing w:before="0" w:after="80"/>
      </w:pPr>
      <w:r>
        <w:rPr>
          <w:i/>
          <w:sz w:val="20"/>
        </w:rPr>
        <w:t>EN: [ASAP] Ultrasonic Study of Lithium-Ion Battery Degradation Induced by Transition Metal Dissolution</w:t>
      </w:r>
    </w:p>
    <w:p>
      <w:pPr>
        <w:spacing w:before="0" w:after="120"/>
      </w:pPr>
      <w:r>
        <w:rPr>
          <w:b/>
        </w:rPr>
        <w:t xml:space="preserve">Source: </w:t>
      </w:r>
      <w:r>
        <w:t>ACS Energy Letters: Latest Articles (ACS Publications)</w:t>
      </w:r>
      <w:r>
        <w:t xml:space="preserve">    </w:t>
      </w:r>
      <w:r>
        <w:rPr>
          <w:b/>
        </w:rPr>
        <w:t xml:space="preserve">Pub date: </w:t>
      </w:r>
      <w:r>
        <w:t>2026-03-18 09:01:42+00:00</w:t>
      </w:r>
      <w:r>
        <w:t xml:space="preserve">    </w:t>
      </w:r>
      <w:r>
        <w:rPr>
          <w:b/>
        </w:rPr>
        <w:t xml:space="preserve">DOI: </w:t>
      </w:r>
      <w:hyperlink r:id="rId134">
        <w:r>
          <w:rPr>
            <w:color w:val="1155CC"/>
            <w:u w:val="single"/>
          </w:rPr>
          <w:t>10.1021/acsenergylett.6c00411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35">
        <w:r>
          <w:rPr>
            <w:color w:val="1155CC"/>
            <w:u w:val="single"/>
          </w:rPr>
          <w:t>液态空气储能系统液化过程分析：两相膨胀概念的概念化和评估</w:t>
        </w:r>
      </w:hyperlink>
    </w:p>
    <w:p>
      <w:pPr>
        <w:spacing w:before="0" w:after="80"/>
      </w:pPr>
      <w:r>
        <w:rPr>
          <w:i/>
          <w:sz w:val="20"/>
        </w:rPr>
        <w:t>EN: Analysis of liquefaction processes for liquid air energy storage systems: Conceptualization and evaluation of two-phase expansion concepts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6">
        <w:r>
          <w:rPr>
            <w:color w:val="1155CC"/>
            <w:u w:val="single"/>
          </w:rPr>
          <w:t>重新审视超级电容器的快速充电性能</w:t>
        </w:r>
      </w:hyperlink>
    </w:p>
    <w:p>
      <w:pPr>
        <w:spacing w:before="0" w:after="80"/>
      </w:pPr>
      <w:r>
        <w:rPr>
          <w:i/>
          <w:sz w:val="20"/>
        </w:rPr>
        <w:t>EN: Revisiting fast-charging performance in supercapacitors</w:t>
      </w:r>
    </w:p>
    <w:p>
      <w:pPr>
        <w:spacing w:before="0" w:after="120"/>
      </w:pPr>
      <w:r>
        <w:rPr>
          <w:b/>
        </w:rPr>
        <w:t xml:space="preserve">Source: </w:t>
      </w:r>
      <w:r>
        <w:t>National Science Review Advance Access</w:t>
      </w:r>
      <w:r>
        <w:t xml:space="preserve">    </w:t>
      </w:r>
      <w:r>
        <w:rPr>
          <w:b/>
        </w:rPr>
        <w:t xml:space="preserve">Pub date: </w:t>
      </w:r>
      <w:r>
        <w:t>2026-03-14 00:00:00+00:00</w:t>
      </w:r>
      <w:r>
        <w:t xml:space="preserve">    </w:t>
      </w:r>
      <w:r>
        <w:rPr>
          <w:b/>
        </w:rPr>
        <w:t xml:space="preserve">DOI: </w:t>
      </w:r>
      <w:hyperlink r:id="rId137">
        <w:r>
          <w:rPr>
            <w:color w:val="1155CC"/>
            <w:u w:val="single"/>
          </w:rPr>
          <w:t>10.1093/nsr/nwag164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8">
        <w:r>
          <w:rPr>
            <w:color w:val="1155CC"/>
            <w:u w:val="single"/>
          </w:rPr>
          <w:t>MXene-聚合物复合材料在尖端超级电容器和电磁干扰屏蔽应用中的进展</w:t>
        </w:r>
      </w:hyperlink>
    </w:p>
    <w:p>
      <w:pPr>
        <w:spacing w:before="0" w:after="80"/>
      </w:pPr>
      <w:r>
        <w:rPr>
          <w:i/>
          <w:sz w:val="20"/>
        </w:rPr>
        <w:t>EN: Advances in MXene-Polymer Composites for Cutting-edge Supercapacitor and EMI Shielding Applications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9">
        <w:r>
          <w:rPr>
            <w:color w:val="1155CC"/>
            <w:u w:val="single"/>
          </w:rPr>
          <w:t>分子互变异构体启用的COFs异构化用于水系超级电容器</w:t>
        </w:r>
      </w:hyperlink>
    </w:p>
    <w:p>
      <w:pPr>
        <w:spacing w:before="0" w:after="80"/>
      </w:pPr>
      <w:r>
        <w:rPr>
          <w:i/>
          <w:sz w:val="20"/>
        </w:rPr>
        <w:t>EN: Molecular tautomerism-enabled isomerization of COFs for aqueous supercapacitors</w:t>
      </w:r>
    </w:p>
    <w:p>
      <w:pPr>
        <w:spacing w:before="0" w:after="120"/>
      </w:pPr>
      <w:r>
        <w:rPr>
          <w:b/>
        </w:rPr>
        <w:t xml:space="preserve">Source: </w:t>
      </w:r>
      <w:r>
        <w:t>Matter</w:t>
      </w:r>
      <w:r>
        <w:t xml:space="preserve">    </w:t>
      </w:r>
      <w:r>
        <w:rPr>
          <w:b/>
        </w:rPr>
        <w:t xml:space="preserve">Pub date: </w:t>
      </w:r>
      <w:r>
        <w:t>2026-03-16 00:00:00+00:00</w:t>
      </w:r>
      <w:r>
        <w:t xml:space="preserve">    </w:t>
      </w:r>
      <w:r>
        <w:rPr>
          <w:b/>
        </w:rPr>
        <w:t xml:space="preserve">DOI: </w:t>
      </w:r>
      <w:hyperlink r:id="rId140">
        <w:r>
          <w:rPr>
            <w:color w:val="1155CC"/>
            <w:u w:val="single"/>
          </w:rPr>
          <w:t>10.1016/j.matt.2026.102714</w:t>
        </w:r>
      </w:hyperlink>
    </w:p>
    <w:p>
      <w:pPr>
        <w:spacing w:before="0" w:after="120"/>
      </w:pPr>
      <w:r>
        <w:rPr>
          <w:b/>
        </w:rPr>
        <w:t xml:space="preserve">Notes: </w:t>
      </w:r>
      <w:r>
        <w:t>abstract_source=rss_cell</w:t>
      </w:r>
    </w:p>
    <w:p>
      <w:pPr>
        <w:spacing w:before="0" w:after="80" w:lineRule="auto" w:line="276"/>
      </w:pPr>
      <w:r>
        <w:rPr>
          <w:b/>
        </w:rPr>
        <w:t xml:space="preserve">摘要（ZH）: </w:t>
      </w:r>
      <w:r>
        <w:t>这项工作利用氰尿酸的互变异构（tri-one/tri-ol构型）实现共价有机框架（COFs）的精确结构异构化。通过改变溶剂的介电常数，选择性合成了两种不同的均相三嗪基COFs（Ton-COF和Tol-COF），表现出不同的超级电容器性能。这种方法可能为从分子设计到性能调控及更广泛的先进电化学能量存储COFs的发展提供新的见解。</w:t>
      </w:r>
    </w:p>
    <w:p>
      <w:pPr>
        <w:spacing w:before="0" w:after="200" w:lineRule="auto" w:line="276"/>
      </w:pPr>
      <w:r>
        <w:rPr>
          <w:b/>
        </w:rPr>
        <w:t xml:space="preserve">Abstract (EN): </w:t>
      </w:r>
      <w:r>
        <w:t>This work employs cyanuric acid tautomerism (tri-one/tri-ol configurations) to achieve precise structural isomerization of covalent organic frameworks (COFs). Through variation of the solvent dielectric constant, two distinct homogeneous triazine-based COFs (Ton-COF and Tol-COF) are selectively synthesized, exhibiting differentiated supercapacitor performance. This approach may provide a new insight into the development of COFs for advanced electrochemical energy storage from molecular design to performance regulation and beyond.</w:t>
      </w:r>
    </w:p>
    <w:p>
      <w:pPr>
        <w:spacing w:before="120" w:after="120"/>
      </w:pPr>
      <w:r>
        <w:rPr>
          <w:sz w:val="18"/>
        </w:rPr>
        <w:t>——————————————————————————————————————————————————————————————————————</w:t>
      </w:r>
    </w:p>
    <w:p>
      <w:pPr>
        <w:spacing w:before="160" w:after="40" w:line="240" w:lineRule="auto"/>
      </w:pPr>
      <w:r>
        <w:rPr>
          <w:b/>
        </w:rPr>
        <w:t xml:space="preserve">[5] </w:t>
      </w:r>
      <w:hyperlink r:id="rId141">
        <w:r>
          <w:rPr>
            <w:color w:val="1155CC"/>
            <w:u w:val="single"/>
          </w:rPr>
          <w:t>通过集成质子耦合电子转移诱导的碳捕获和利用实现能量增强的水性有机流动电池</w:t>
        </w:r>
      </w:hyperlink>
    </w:p>
    <w:p>
      <w:pPr>
        <w:spacing w:before="0" w:after="80"/>
      </w:pPr>
      <w:r>
        <w:rPr>
          <w:i/>
          <w:sz w:val="20"/>
        </w:rPr>
        <w:t>EN: Energy‐Enhanced Aqueous Organic Flow Batteries Enabled by Integrated Proton‐Coupled Electron Transfer‐Induced Carbon Capture and Utilization</w:t>
      </w:r>
    </w:p>
    <w:p>
      <w:pPr>
        <w:spacing w:before="0" w:after="120"/>
      </w:pPr>
      <w:r>
        <w:rPr>
          <w:b/>
        </w:rPr>
        <w:t xml:space="preserve">Source: </w:t>
      </w:r>
      <w:r>
        <w:t>Wiley: Advanced Energy Materials: Table of Contents</w:t>
      </w:r>
      <w:r>
        <w:t xml:space="preserve">    </w:t>
      </w:r>
      <w:r>
        <w:rPr>
          <w:b/>
        </w:rPr>
        <w:t xml:space="preserve">Pub date: </w:t>
      </w:r>
      <w:r>
        <w:t>2026-03-16 05:39:03+00:00</w:t>
      </w:r>
      <w:r>
        <w:t xml:space="preserve">    </w:t>
      </w:r>
      <w:r>
        <w:rPr>
          <w:b/>
        </w:rPr>
        <w:t xml:space="preserve">DOI: </w:t>
      </w:r>
      <w:hyperlink r:id="rId142">
        <w:r>
          <w:rPr>
            <w:color w:val="1155CC"/>
            <w:u w:val="single"/>
          </w:rPr>
          <w:t>10.1002/aenm.202506006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有机氧化还原液流电池为储存来自间歇性可再生能源的大量电力提供了一种安全、可扩展且潜在的低成本解决方案。同时，在常温常压下运行，使用水性氧化还原吸附剂的电化学诱导碳捕获最近作为一种低能耗的气候变化缓解技术出现。在水性有机流系统中整合这两种技术代表了一条实现脱碳的统一途径。在此，采用经历质子耦合电子转移的有机分子作为氧化还原物质，我们建立了水性全有机流电池系统，实现了增强的能量存储以及耦合的CO</w:t>
      </w:r>
      <w:r>
        <w:rPr>
          <w:vertAlign w:val="subscript"/>
        </w:rPr>
        <w:t>2</w:t>
      </w:r>
    </w:p>
    <w:p>
      <w:pPr>
        <w:spacing w:before="0" w:after="200" w:lineRule="auto" w:line="276"/>
      </w:pPr>
      <w:r>
        <w:rPr>
          <w:b/>
        </w:rPr>
        <w:t xml:space="preserve">Abstract (EN): </w:t>
      </w:r>
      <w:r>
        <w:t>Aqueous organic redox flow batteries offer a safe, scalable, and potentially cost‐effective solution for storing massive electricity from intermittent renewables. Meanwhile, operating at ambient temperature and pressure, electrochemically induced carbon capture using aqueous redox sorbents in flow systems has recently emerged as a low‐energy technology for climate change mitigation. Integrating these two technologies within an aqueous organic flow system represents a unified route to achieving decarbonization. Here, employing organic molecules undergoing proton‐coupled electron transfer as redox species, we establish aqueous all‐organic flow battery systems that achieve enhanced energy storage as well as coupled CO</w:t>
      </w:r>
      <w:r>
        <w:rPr>
          <w:vertAlign w:val="subscript"/>
        </w:rPr>
        <w:t>2</w:t>
      </w:r>
      <w:r>
        <w:t>capture and utilization. During discharge, CO</w:t>
      </w:r>
      <w:r>
        <w:rPr>
          <w:vertAlign w:val="subscript"/>
        </w:rPr>
        <w:t>2</w:t>
      </w:r>
      <w:r>
        <w:t>from simulated flue gas is captured as HCO</w:t>
      </w:r>
      <w:r>
        <w:rPr>
          <w:vertAlign w:val="subscript"/>
        </w:rPr>
        <w:t>3</w:t>
      </w:r>
      <w:r>
        <w:t>−</w:t>
      </w:r>
      <w:r>
        <w:t>by the oxygen‐tolerant positive electrolyte (posolyte). The buffered posolyte prevents negative shifts in its redox potential, elevating a flow cell voltage up to 1.32 V, and enhancing discharge energy by at most 24.3% compared to operations under N</w:t>
      </w:r>
      <w:r>
        <w:rPr>
          <w:vertAlign w:val="subscript"/>
        </w:rPr>
        <w:t>2</w:t>
      </w:r>
      <w:r>
        <w:t>. During charge, CO</w:t>
      </w:r>
      <w:r>
        <w:rPr>
          <w:vertAlign w:val="subscript"/>
        </w:rPr>
        <w:t>2</w:t>
      </w:r>
      <w:r>
        <w:t>is released with a CO</w:t>
      </w:r>
      <w:r>
        <w:rPr>
          <w:vertAlign w:val="subscript"/>
        </w:rPr>
        <w:t>2</w:t>
      </w:r>
      <w:r>
        <w:t>/</w:t>
      </w:r>
      <w:r>
        <w:t>e</w:t>
      </w:r>
      <w:r>
        <w:t xml:space="preserve"> </w:t>
      </w:r>
      <w:r>
        <w:t>molar ratio approaching unity at an energy cost of 30.65 kJ mol</w:t>
      </w:r>
      <w:r>
        <w:t xml:space="preserve"> </w:t>
      </w:r>
      <w:r>
        <w:t>−1</w:t>
      </w:r>
      <w:r>
        <w:t xml:space="preserve"> </w:t>
      </w:r>
      <w:r>
        <w:t>CO</w:t>
      </w:r>
      <w:r>
        <w:rPr>
          <w:vertAlign w:val="subscript"/>
        </w:rPr>
        <w:t>2</w:t>
      </w:r>
      <w:r>
        <w:t>. As a proof‐of‐concept, our work establishes a new paradigm for integrating enhanced energy storage with carbon capture, utilization, and storage, paving the way for next‐generation multifunctional electrochemical redox flow systems.</w:t>
      </w:r>
    </w:p>
    <w:p>
      <w:pPr>
        <w:spacing w:before="120" w:after="120"/>
      </w:pPr>
      <w:r>
        <w:rPr>
          <w:sz w:val="18"/>
        </w:rPr>
        <w:t>——————————————————————————————————————————————————————————————————————</w:t>
      </w:r>
    </w:p>
    <w:p>
      <w:pPr>
        <w:spacing w:before="160" w:after="40" w:line="240" w:lineRule="auto"/>
      </w:pPr>
      <w:r>
        <w:rPr>
          <w:b/>
        </w:rPr>
        <w:t xml:space="preserve">[6] </w:t>
      </w:r>
      <w:hyperlink r:id="rId143">
        <w:r>
          <w:rPr>
            <w:color w:val="1155CC"/>
            <w:u w:val="single"/>
          </w:rPr>
          <w:t>伪零间隙流动型水系Zn-CO2电池</w:t>
        </w:r>
      </w:hyperlink>
    </w:p>
    <w:p>
      <w:pPr>
        <w:spacing w:before="0" w:after="80"/>
      </w:pPr>
      <w:r>
        <w:rPr>
          <w:i/>
          <w:sz w:val="20"/>
        </w:rPr>
        <w:t>EN: Pseudo‐Zero‐Gap Flow‐Type Aqueous Zn‐CO2 Batteries</w:t>
      </w:r>
    </w:p>
    <w:p>
      <w:pPr>
        <w:spacing w:before="0" w:after="120"/>
      </w:pPr>
      <w:r>
        <w:rPr>
          <w:b/>
        </w:rPr>
        <w:t xml:space="preserve">Source: </w:t>
      </w:r>
      <w:r>
        <w:t>Wiley: Advanced Energy Materials: Table of Contents</w:t>
      </w:r>
      <w:r>
        <w:t xml:space="preserve">    </w:t>
      </w:r>
      <w:r>
        <w:rPr>
          <w:b/>
        </w:rPr>
        <w:t xml:space="preserve">Pub date: </w:t>
      </w:r>
      <w:r>
        <w:t>2026-03-16 06:29:43+00:00</w:t>
      </w:r>
      <w:r>
        <w:t xml:space="preserve">    </w:t>
      </w:r>
      <w:r>
        <w:rPr>
          <w:b/>
        </w:rPr>
        <w:t xml:space="preserve">DOI: </w:t>
      </w:r>
      <w:hyperlink r:id="rId144">
        <w:r>
          <w:rPr>
            <w:color w:val="1155CC"/>
            <w:u w:val="single"/>
          </w:rPr>
          <w:t>10.1002/aenm.70835</w:t>
        </w:r>
      </w:hyperlink>
    </w:p>
    <w:p>
      <w:pPr>
        <w:spacing w:before="0" w:after="120"/>
      </w:pPr>
      <w:r>
        <w:rPr>
          <w:b/>
        </w:rPr>
        <w:t xml:space="preserve">Notes: </w:t>
      </w:r>
      <w:r>
        <w:t>abstract_source=crossref</w:t>
      </w:r>
    </w:p>
    <w:p>
      <w:pPr>
        <w:spacing w:before="0" w:after="80" w:lineRule="auto" w:line="276"/>
      </w:pPr>
      <w:r>
        <w:rPr>
          <w:b/>
        </w:rPr>
        <w:t xml:space="preserve">摘要（ZH）: </w:t>
      </w:r>
      <w:r>
        <w:t>摘要 水系Zn-CO2电池（AZCBs）同时发电并将CO2转化为有价值的产品，但由于质量传输差、反应性低等原因，其发展受到限制。因此，我们开发了具有流动CO2气体和电解质、气体扩散阴极，特别是伪零电极间距的AZCBs。通过在伪零间隙AZCB中使用碳涂层氧化铋（Bi2O3/C）作为阴极，实现了创纪录的峰值功率密度67.0 mW cm−2 @电流密度</w:t>
      </w:r>
    </w:p>
    <w:p>
      <w:pPr>
        <w:spacing w:before="0" w:after="200" w:lineRule="auto" w:line="276"/>
      </w:pPr>
      <w:r>
        <w:rPr>
          <w:b/>
        </w:rPr>
        <w:t xml:space="preserve">Abstract (EN): </w:t>
      </w:r>
      <w:r>
        <w:t>Aqueous Zn‐CO</w:t>
      </w:r>
      <w:r>
        <w:rPr>
          <w:vertAlign w:val="subscript"/>
        </w:rPr>
        <w:t>2</w:t>
      </w:r>
      <w:r>
        <w:t>batteries (AZCBs) generate electricity and convert CO</w:t>
      </w:r>
      <w:r>
        <w:rPr>
          <w:vertAlign w:val="subscript"/>
        </w:rPr>
        <w:t>2</w:t>
      </w:r>
      <w:r>
        <w:t>into valuable products simultaneously, while their development is limited due to poor mass transport, low reactivity, etc. Therefore, we develop AZCBs featuring flowing CO</w:t>
      </w:r>
      <w:r>
        <w:rPr>
          <w:vertAlign w:val="subscript"/>
        </w:rPr>
        <w:t>2</w:t>
      </w:r>
      <w:r>
        <w:t>gases and electrolytes, gas‐diffusion cathodes, and especially a pseudo‐zero interelectrode distance. By employing carbon‐coated bismuth oxides (Bi</w:t>
      </w:r>
      <w:r>
        <w:rPr>
          <w:vertAlign w:val="subscript"/>
        </w:rPr>
        <w:t>2</w:t>
      </w:r>
      <w:r>
        <w:t>O</w:t>
      </w:r>
      <w:r>
        <w:rPr>
          <w:vertAlign w:val="subscript"/>
        </w:rPr>
        <w:t>3</w:t>
      </w:r>
      <w:r>
        <w:t>/C) as the cathode in a pseudo‐zero‐gap AZCB, a record‐high peak power density of 67.0 mW cm</w:t>
      </w:r>
      <w:r>
        <w:t xml:space="preserve"> </w:t>
      </w:r>
      <w:r>
        <w:t>−2</w:t>
      </w:r>
      <w:r>
        <w:t xml:space="preserve"> </w:t>
      </w:r>
      <w:r>
        <w:t>@current density of 117.5 mA cm</w:t>
      </w:r>
      <w:r>
        <w:t xml:space="preserve"> </w:t>
      </w:r>
      <w:r>
        <w:t>−2</w:t>
      </w:r>
      <w:r>
        <w:t xml:space="preserve"> </w:t>
      </w:r>
      <w:r>
        <w:t>is achieved, together with excellent cycling performance over 600 cycles. Specifically, the near‐zero distance greatly promotes hydroxide ion transport and CO</w:t>
      </w:r>
      <w:r>
        <w:rPr>
          <w:vertAlign w:val="subscript"/>
        </w:rPr>
        <w:t>2</w:t>
      </w:r>
      <w:r>
        <w:t>diffusion by establishing an enhanced concentration gradient at the reaction interface of CO</w:t>
      </w:r>
      <w:r>
        <w:rPr>
          <w:vertAlign w:val="subscript"/>
        </w:rPr>
        <w:t>2</w:t>
      </w:r>
      <w:r>
        <w:t>electroreduction. Theoretical simulations further indicate preferred formate production is due to the lower energy barrier compared to the CO pathway, because of the favorable</w:t>
      </w:r>
      <w:r>
        <w:t xml:space="preserve"> </w:t>
      </w:r>
      <w:r>
        <w:t>*</w:t>
      </w:r>
      <w:r>
        <w:t xml:space="preserve"> </w:t>
      </w:r>
      <w:r>
        <w:t>O@Bi adsorption via the</w:t>
      </w:r>
      <w:r>
        <w:t xml:space="preserve"> </w:t>
      </w:r>
      <w:r>
        <w:t>*</w:t>
      </w:r>
      <w:r>
        <w:t xml:space="preserve"> </w:t>
      </w:r>
      <w:r>
        <w:t>OCHO intermediate. Significantly, the developed AZCBs operate efficiently and stably in a simulated Martian atmosphere, which is promising for future Human exploration of Mars, providing a potential solution for simultaneous energy generation and feedstock production in the challenging environment.</w:t>
      </w:r>
    </w:p>
    <w:p>
      <w:pPr>
        <w:spacing w:before="120" w:after="120"/>
      </w:pPr>
      <w:r>
        <w:rPr>
          <w:sz w:val="18"/>
        </w:rPr>
        <w:t>——————————————————————————————————————————————————————————————————————</w:t>
      </w:r>
    </w:p>
    <w:p>
      <w:pPr>
        <w:spacing w:before="160" w:after="40" w:line="240" w:lineRule="auto"/>
      </w:pPr>
      <w:r>
        <w:rPr>
          <w:b/>
        </w:rPr>
        <w:t xml:space="preserve">[7] </w:t>
      </w:r>
      <w:hyperlink r:id="rId145">
        <w:r>
          <w:rPr>
            <w:color w:val="1155CC"/>
            <w:u w:val="single"/>
          </w:rPr>
          <w:t>具有高功率密度的金属泡沫固体氧化物燃料电池堆，用于快速和安全的热循环</w:t>
        </w:r>
      </w:hyperlink>
    </w:p>
    <w:p>
      <w:pPr>
        <w:spacing w:before="0" w:after="80"/>
      </w:pPr>
      <w:r>
        <w:rPr>
          <w:i/>
          <w:sz w:val="20"/>
        </w:rPr>
        <w:t>EN: Metal foam solid oxide fuel cell stack with high power density for fast and safe thermal cycling</w:t>
      </w:r>
    </w:p>
    <w:p>
      <w:pPr>
        <w:spacing w:before="0" w:after="120"/>
      </w:pPr>
      <w:r>
        <w:rPr>
          <w:b/>
        </w:rPr>
        <w:t xml:space="preserve">Source: </w:t>
      </w:r>
      <w:r>
        <w:t>ScienceDirect Publication: Applied Energy</w:t>
      </w:r>
      <w:r>
        <w:t xml:space="preserve">    </w:t>
      </w:r>
      <w:r>
        <w:rPr>
          <w:b/>
        </w:rPr>
        <w:t xml:space="preserve">Pub date: </w:t>
      </w:r>
      <w:r>
        <w:t>2026-03-17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46">
        <w:r>
          <w:rPr>
            <w:color w:val="1155CC"/>
            <w:u w:val="single"/>
          </w:rPr>
          <w:t>[ASAP] 通过整体陶瓷支架在全固态钠-氧电池中实现多相界面的化学整合</w:t>
        </w:r>
      </w:hyperlink>
    </w:p>
    <w:p>
      <w:pPr>
        <w:spacing w:before="0" w:after="80"/>
      </w:pPr>
      <w:r>
        <w:rPr>
          <w:i/>
          <w:sz w:val="20"/>
        </w:rPr>
        <w:t>EN: [ASAP] Chemical Integration of Multiphase Interfaces in All-Solid-State Sodium–Oxygen Batteries via Monolithic Ceramic Scaffolds</w:t>
      </w:r>
    </w:p>
    <w:p>
      <w:pPr>
        <w:spacing w:before="0" w:after="120"/>
      </w:pPr>
      <w:r>
        <w:rPr>
          <w:b/>
        </w:rPr>
        <w:t xml:space="preserve">Source: </w:t>
      </w:r>
      <w:r>
        <w:t>Journal of the American Chemical Society: Latest Articles (ACS Publications)</w:t>
      </w:r>
      <w:r>
        <w:t xml:space="preserve">    </w:t>
      </w:r>
      <w:r>
        <w:rPr>
          <w:b/>
        </w:rPr>
        <w:t xml:space="preserve">Pub date: </w:t>
      </w:r>
      <w:r>
        <w:t>2026-03-18 08:11:45+00:00</w:t>
      </w:r>
      <w:r>
        <w:t xml:space="preserve">    </w:t>
      </w:r>
      <w:r>
        <w:rPr>
          <w:b/>
        </w:rPr>
        <w:t xml:space="preserve">DOI: </w:t>
      </w:r>
      <w:hyperlink r:id="rId147">
        <w:r>
          <w:rPr>
            <w:color w:val="1155CC"/>
            <w:u w:val="single"/>
          </w:rPr>
          <w:t>10.1021/jacs.6c00021</w:t>
        </w:r>
      </w:hyperlink>
    </w:p>
    <w:p>
      <w:pPr>
        <w:spacing w:before="0" w:after="120"/>
      </w:pPr>
      <w:r>
        <w:rPr>
          <w:b/>
        </w:rPr>
        <w:t xml:space="preserve">Notes: </w:t>
      </w:r>
      <w:r>
        <w:t>abstract_source=pubmed</w:t>
      </w:r>
    </w:p>
    <w:p>
      <w:pPr>
        <w:spacing w:before="0" w:after="80" w:lineRule="auto" w:line="276"/>
      </w:pPr>
      <w:r>
        <w:rPr>
          <w:b/>
        </w:rPr>
        <w:t xml:space="preserve">摘要（ZH）: </w:t>
      </w:r>
      <w:r>
        <w:t>全固态钠氧（Na-O2）电池的发展从根本上受到固-固界面处强大的化学机械和动力学障碍的限制。在此，我们报告了一种高性能、室温全固态Na-O2电池，该电池由单片双层β-Al2O3结构实现，通过双界面集成策略重新定义了界面电荷转移。通过构建集成的多孔-致密支架，我们消除了电解质和阴极之间的宏观物理边界，建立了无缝、低阻抗的离子导电连续体。具体而言，通过等离子体增强化学气相沉积，在阴极框架内沉积了一层30 nm厚的石墨碳层，创造了高保真电</w:t>
      </w:r>
    </w:p>
    <w:p>
      <w:pPr>
        <w:spacing w:before="0" w:after="200" w:lineRule="auto" w:line="276"/>
      </w:pPr>
      <w:r>
        <w:rPr>
          <w:b/>
        </w:rPr>
        <w:t xml:space="preserve">Abstract (EN): </w:t>
      </w:r>
      <w:r>
        <w:t>The advancement of all-solid-state sodium-oxygen (Na-O2) batteries is fundamentally constrained by the formidable chemo-mechanical and kinetic barriers at solid-solid interfaces. Herein, we report a high-performance, room-temperature all-solid-state Na-O2 battery enabled by a monolithic bilayer β-Al2O3 architecture that redefines interfacial charge transfer through a dual-interface integration strategy. By constructing an integrated porous-dense scaffold, we eliminated the macroscopic physical boundaries between the electrolyte and cathode, establishing a seamless, low-resistance ionic conduction continuum. Specifically, a conformal, 30 nm thick graphitic carbon layer was deposited within the cathodic framework via plasma-enhanced chemical vapor deposition, creating a high-fidelity electronic network that maximizes active site utilization. On the anode side, we introduced a reactive wetting mechanism mediated by Bi2O3 nanosheets. The in situ chemical reconfiguration and alloying reaction at the interface generate a gradient Na-Bi-O mixed-conducting interphase, effectively fusing the sodium metal to the ceramic electrolyte and ensuring stable long-term cycling (&gt;14,000 h for symmetric cells). Consequently, the battery delivers an unprecedented discharge capacity of 4012 mA h g-1 at room temperature with an exceptional reversibility. Operando Raman spectroscopy and differential electrochemical mass spectrometry reveal that the solid-state environment provides a unique kinetic stabilization for the metastable NaO2 phase, suppressing the parasitic disproportionation pathways common to liquid systems. This work provides a universal blueprint for engineering chemically integrated interfaces in complex multiphase all-solid-state energy chemistry.</w:t>
      </w:r>
    </w:p>
    <w:p>
      <w:pPr>
        <w:spacing w:before="120" w:after="120"/>
      </w:pPr>
      <w:r>
        <w:rPr>
          <w:sz w:val="18"/>
        </w:rPr>
        <w:t>——————————————————————————————————————————————————————————————————————</w:t>
      </w:r>
    </w:p>
    <w:p>
      <w:pPr>
        <w:spacing w:before="160" w:after="40" w:line="240" w:lineRule="auto"/>
      </w:pPr>
      <w:r>
        <w:rPr>
          <w:b/>
        </w:rPr>
        <w:t xml:space="preserve">[9] </w:t>
      </w:r>
      <w:hyperlink r:id="rId148">
        <w:r>
          <w:rPr>
            <w:color w:val="1155CC"/>
            <w:u w:val="single"/>
          </w:rPr>
          <w:t>[ASAP] 表面化学工程Nb2CTx MXene在Li-CO2电池中实现可逆CO2氧化还原</w:t>
        </w:r>
      </w:hyperlink>
    </w:p>
    <w:p>
      <w:pPr>
        <w:spacing w:before="0" w:after="80"/>
      </w:pPr>
      <w:r>
        <w:rPr>
          <w:i/>
          <w:sz w:val="20"/>
        </w:rPr>
        <w:t>EN: [ASAP] Surface Chemistry-Engineered Nb2CTx MXene Enables Reversible CO2 Redox in Li-CO2 Batteries</w:t>
      </w:r>
    </w:p>
    <w:p>
      <w:pPr>
        <w:spacing w:before="0" w:after="120"/>
      </w:pPr>
      <w:r>
        <w:rPr>
          <w:b/>
        </w:rPr>
        <w:t xml:space="preserve">Source: </w:t>
      </w:r>
      <w:r>
        <w:t>ACS Energy Letters: Latest Articles (ACS Publications)</w:t>
      </w:r>
      <w:r>
        <w:t xml:space="preserve">    </w:t>
      </w:r>
      <w:r>
        <w:rPr>
          <w:b/>
        </w:rPr>
        <w:t xml:space="preserve">Pub date: </w:t>
      </w:r>
      <w:r>
        <w:t>2026-03-18 12:53:53+00:00</w:t>
      </w:r>
      <w:r>
        <w:t xml:space="preserve">    </w:t>
      </w:r>
      <w:r>
        <w:rPr>
          <w:b/>
        </w:rPr>
        <w:t xml:space="preserve">DOI: </w:t>
      </w:r>
      <w:hyperlink r:id="rId149">
        <w:r>
          <w:rPr>
            <w:color w:val="1155CC"/>
            <w:u w:val="single"/>
          </w:rPr>
          <w:t>10.1021/acsenergylett.6c00453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50">
        <w:r>
          <w:rPr>
            <w:color w:val="1155CC"/>
            <w:u w:val="single"/>
          </w:rPr>
          <w:t>建筑中冷水机组和热泵系统的建模方法：数字孪生应用背景下的系统综述</w:t>
        </w:r>
      </w:hyperlink>
    </w:p>
    <w:p>
      <w:pPr>
        <w:spacing w:before="0" w:after="80"/>
      </w:pPr>
      <w:r>
        <w:rPr>
          <w:i/>
          <w:sz w:val="20"/>
        </w:rPr>
        <w:t>EN: Modeling methods for chiller and heat pump systems in buildings: A systematic review in the context of digital twin applications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51">
        <w:r>
          <w:rPr>
            <w:color w:val="1155CC"/>
            <w:u w:val="single"/>
          </w:rPr>
          <w:t>[ASAP] 缺陷能量靶向晶格修复在锑化镁中实现高热电性能</w:t>
        </w:r>
      </w:hyperlink>
    </w:p>
    <w:p>
      <w:pPr>
        <w:spacing w:before="0" w:after="80"/>
      </w:pPr>
      <w:r>
        <w:rPr>
          <w:i/>
          <w:sz w:val="20"/>
        </w:rPr>
        <w:t>EN: [ASAP] Defect-Energy-Targeted Lattice Repair Delivers High Thermoelectric Performance in Magnesium Antimonide</w:t>
      </w:r>
    </w:p>
    <w:p>
      <w:pPr>
        <w:spacing w:before="0" w:after="120"/>
      </w:pPr>
      <w:r>
        <w:rPr>
          <w:b/>
        </w:rPr>
        <w:t xml:space="preserve">Source: </w:t>
      </w:r>
      <w:r>
        <w:t>Journal of the American Chemical Society: Latest Articles (ACS Publications)</w:t>
      </w:r>
      <w:r>
        <w:t xml:space="preserve">    </w:t>
      </w:r>
      <w:r>
        <w:rPr>
          <w:b/>
        </w:rPr>
        <w:t xml:space="preserve">Pub date: </w:t>
      </w:r>
      <w:r>
        <w:t>2026-03-14 13:34:03+00:00</w:t>
      </w:r>
      <w:r>
        <w:t xml:space="preserve">    </w:t>
      </w:r>
      <w:r>
        <w:rPr>
          <w:b/>
        </w:rPr>
        <w:t xml:space="preserve">DOI: </w:t>
      </w:r>
      <w:hyperlink r:id="rId152">
        <w:r>
          <w:rPr>
            <w:color w:val="1155CC"/>
            <w:u w:val="single"/>
          </w:rPr>
          <w:t>10.1021/jacs.6c02279</w:t>
        </w:r>
      </w:hyperlink>
    </w:p>
    <w:p>
      <w:pPr>
        <w:spacing w:before="0" w:after="120"/>
      </w:pPr>
      <w:r>
        <w:rPr>
          <w:b/>
        </w:rPr>
        <w:t xml:space="preserve">Notes: </w:t>
      </w:r>
      <w:r>
        <w:t>abstract_source=pubmed</w:t>
      </w:r>
    </w:p>
    <w:p>
      <w:pPr>
        <w:spacing w:before="0" w:after="80" w:lineRule="auto" w:line="276"/>
      </w:pPr>
      <w:r>
        <w:rPr>
          <w:b/>
        </w:rPr>
        <w:t xml:space="preserve">摘要（ZH）: </w:t>
      </w:r>
      <w:r>
        <w:t>基于镁的Mg3(Sb,Bi)2已成为废热回收的首选候选材料。然而，其性能受到本征Mg空位的根本限制，这些空位严重散射载流子。在此，我们通过一种缺陷能量靶向的晶格修复策略克服了这一瓶颈，用同系碱土金属（Ca, Sr, Ba）替代不稳定的Mg位点。理论计算表明，这些掺杂剂的较低电负性增强了局部金属-Sb键合，将空位形成能从约0.97 eV大幅提高到约2.42 eV。这种热力学稳定性有效地“修复”了晶格，抑制了空位的生成，并在不影响载流子浓度的情况下实现了约35%的载流子迁移率提升。同时，重掺杂剂引起质量波动</w:t>
      </w:r>
    </w:p>
    <w:p>
      <w:pPr>
        <w:spacing w:before="0" w:after="200" w:lineRule="auto" w:line="276"/>
      </w:pPr>
      <w:r>
        <w:rPr>
          <w:b/>
        </w:rPr>
        <w:t xml:space="preserve">Abstract (EN): </w:t>
      </w:r>
      <w:r>
        <w:t>Magnesium-based Mg3(Sb,Bi)2 has emerged as a premier candidate for waste-heat recovery. However, its performance is fundamentally capped by intrinsic Mg vacancies that severely scatter carriers. Here, we overcome this bottleneck via a defect-energy-targeted lattice repair strategy, substituting labile Mg sites with homologous alkaline-earth metals (Ca, Sr, Ba). Theoretical calculations reveal that the lower electronegativity of these dopants strengthens the local metal-Sb bonding, drastically raising the vacancy formation energy from ∼0.97 to ∼2.42 eV. This thermodynamic stabilization effectively "repairs" the lattice, suppressing vacancy generation and yielding a ∼35% boost in carrier mobility without compromising carrier concentration. Simultaneously, the heavy dopants induce mass fluctuations and strain fields that, coupled with dense dislocations, minimize the lattice thermal conductivity to ∼0.4 W m-1 K-1 at 773 K. The synergy of restored charge transport and suppressed heat propagation leads to a record-high figure of merit (zT) of ∼2.1 at 773 K and an outstanding average zT of ∼1.5 in Mg3.2Ba0.005Sb1.5Bi0.49Te0.01. Remarkably, a single-leg device demonstrates a conversion efficiency of ∼14%, outperforming state-of-the-art n-type thermoelectrics. This work demonstrates that targeting defect energetics is a powerful, broadly applicable approach to breaking the performance ceilings of Zintl-phase thermoelectrics.</w:t>
      </w:r>
    </w:p>
    <w:p>
      <w:pPr>
        <w:spacing w:before="120" w:after="120"/>
      </w:pPr>
      <w:r>
        <w:rPr>
          <w:sz w:val="18"/>
        </w:rPr>
        <w:t>——————————————————————————————————————————————————————————————————————</w:t>
      </w:r>
    </w:p>
    <w:p>
      <w:pPr>
        <w:spacing w:before="160" w:after="40" w:line="240" w:lineRule="auto"/>
      </w:pPr>
      <w:r>
        <w:rPr>
          <w:b/>
        </w:rPr>
        <w:t xml:space="preserve">[3] </w:t>
      </w:r>
      <w:hyperlink r:id="rId153">
        <w:r>
          <w:rPr>
            <w:color w:val="1155CC"/>
            <w:u w:val="single"/>
          </w:rPr>
          <w:t>菱形GeTe基热电材料中的巨ZT增强</w:t>
        </w:r>
      </w:hyperlink>
    </w:p>
    <w:p>
      <w:pPr>
        <w:spacing w:before="0" w:after="80"/>
      </w:pPr>
      <w:r>
        <w:rPr>
          <w:i/>
          <w:sz w:val="20"/>
        </w:rPr>
        <w:t>EN: Giant ZT enhancement in rhombohedral GeTe-based thermoelectric materials</w:t>
      </w:r>
    </w:p>
    <w:p>
      <w:pPr>
        <w:spacing w:before="0" w:after="120"/>
      </w:pPr>
      <w:r>
        <w:rPr>
          <w:b/>
        </w:rPr>
        <w:t xml:space="preserve">Source: </w:t>
      </w:r>
      <w:r>
        <w:t>Nature Communications</w:t>
      </w:r>
      <w:r>
        <w:t xml:space="preserve">    </w:t>
      </w:r>
      <w:r>
        <w:rPr>
          <w:b/>
        </w:rPr>
        <w:t xml:space="preserve">Pub date: </w:t>
      </w:r>
      <w:r>
        <w:t>2026-03-15 00:00:00+00:00</w:t>
      </w:r>
      <w:r>
        <w:t xml:space="preserve">    </w:t>
      </w:r>
      <w:r>
        <w:rPr>
          <w:b/>
        </w:rPr>
        <w:t xml:space="preserve">DOI: </w:t>
      </w:r>
      <w:hyperlink r:id="rId154">
        <w:r>
          <w:rPr>
            <w:color w:val="1155CC"/>
            <w:u w:val="single"/>
          </w:rPr>
          <w:t>10.1038/s41467-026-70793-6</w:t>
        </w:r>
      </w:hyperlink>
    </w:p>
    <w:p>
      <w:pPr>
        <w:spacing w:before="0" w:after="120"/>
      </w:pPr>
      <w:r>
        <w:rPr>
          <w:b/>
        </w:rPr>
        <w:t xml:space="preserve">Notes: </w:t>
      </w:r>
      <w:r>
        <w:t>abstract_source=nature_html</w:t>
      </w:r>
    </w:p>
    <w:p>
      <w:pPr>
        <w:spacing w:before="0" w:after="80" w:lineRule="auto" w:line="276"/>
      </w:pPr>
      <w:r>
        <w:rPr>
          <w:b/>
        </w:rPr>
        <w:t xml:space="preserve">摘要（ZH）: </w:t>
      </w:r>
      <w:r>
        <w:t>GeTe基热电（TE）材料的峰值优值（ZT）通常在高温立方相中达到，其中不可避免的相变引发了对操作期间界面不稳定性的担忧。因此，开发低于相变温度的高性能菱面体GeTe代表了一条更可行的实用应用路径。在此，我们提出了一种简便的纳米复合策略，通过在Ge0.94Bi0.05Te基体中掺入高模量TiB2纳米颗粒来增强菱面体GeTe的TE性能。我们证明了纳米颗粒诱导的界面约束效应有助于增加纵向弹性模量并降低等效变形势，解释了载流子迁移率的提高。此外</w:t>
      </w:r>
    </w:p>
    <w:p>
      <w:pPr>
        <w:spacing w:before="0" w:after="200" w:lineRule="auto" w:line="276"/>
      </w:pPr>
      <w:r>
        <w:rPr>
          <w:b/>
        </w:rPr>
        <w:t xml:space="preserve">Abstract (EN): </w:t>
      </w:r>
      <w:r>
        <w:t>The peak figure of merit (ZT) of GeTe-based thermoelectric (TE) materials is typically attained in the high-temperature cubic phase, where the inevitable phase transition raises concerns over interfacial instability during operation. Therefore, developing high-performance rhombohedral GeTe below the phase transition temperature represents a more viable path toward practical applications. Herein, we propose a facile nanocomposite strategy to enhance the TE performance of rhombohedral GeTe by incorporating high-modulus TiB2 nanoparticles into Ge0.94Bi0.05Te matrix. We demonstrate that the nanoparticle-induced interfacial constraint effect contributes to increasing longitudinal elastic modulus and decreasing equivalent deformation potential, accounting for improved carrier mobility. Additionally, these TiB2 inclusions form heterogeneous interfaces that promote charge depletion and generate substantial thermal resistance, concurrently suppressing the heat transfer by carriers and phonons. Consequently, an extraordinary ZT of 2.66 at 613 K and a superior average ZT of 1.29 (300 ~ 613 K) are obtained in the rhombohedral GeTe-based composite. This work shows a paradigm for synergistically optimizing the electrical and thermal transports of emerging TE systems with nanoinclusions.</w:t>
      </w:r>
    </w:p>
    <w:p>
      <w:pPr>
        <w:spacing w:before="120" w:after="120"/>
      </w:pPr>
      <w:r>
        <w:rPr>
          <w:sz w:val="18"/>
        </w:rPr>
        <w:t>——————————————————————————————————————————————————————————————————————</w:t>
      </w:r>
    </w:p>
    <w:p>
      <w:pPr>
        <w:spacing w:before="160" w:after="40" w:line="240" w:lineRule="auto"/>
      </w:pPr>
      <w:r>
        <w:rPr>
          <w:b/>
        </w:rPr>
        <w:t xml:space="preserve">[4] </w:t>
      </w:r>
      <w:hyperlink r:id="rId155">
        <w:r>
          <w:rPr>
            <w:color w:val="1155CC"/>
            <w:u w:val="single"/>
          </w:rPr>
          <w:t>从深度强化学习代理中提取可转移的基于规则的控制器，并在多个场景中验证用于具有热储存的热泵系统</w:t>
        </w:r>
      </w:hyperlink>
    </w:p>
    <w:p>
      <w:pPr>
        <w:spacing w:before="0" w:after="80"/>
      </w:pPr>
      <w:r>
        <w:rPr>
          <w:i/>
          <w:sz w:val="20"/>
        </w:rPr>
        <w:t>EN: Extracting a transferable rule-based controller from deep reinforcement learning agents with validation across multiple scenarios for heat pump systems with thermal storage</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56">
        <w:r>
          <w:rPr>
            <w:color w:val="1155CC"/>
            <w:u w:val="single"/>
          </w:rPr>
          <w:t>为高扭转热性能创造纳米结状结构的坚固人造蜘蛛丝</w:t>
        </w:r>
      </w:hyperlink>
    </w:p>
    <w:p>
      <w:pPr>
        <w:spacing w:before="0" w:after="80"/>
      </w:pPr>
      <w:r>
        <w:rPr>
          <w:i/>
          <w:sz w:val="20"/>
        </w:rPr>
        <w:t>EN: Creating Nanoknot‐Like Domains for Robust Artificial Spider Silk Toward High Twistocaloric Performance</w:t>
      </w:r>
    </w:p>
    <w:p>
      <w:pPr>
        <w:spacing w:before="0" w:after="120"/>
      </w:pPr>
      <w:r>
        <w:rPr>
          <w:b/>
        </w:rPr>
        <w:t xml:space="preserve">Source: </w:t>
      </w:r>
      <w:r>
        <w:t>Wiley: Advanced Materials: Table of Contents</w:t>
      </w:r>
      <w:r>
        <w:t xml:space="preserve">    </w:t>
      </w:r>
      <w:r>
        <w:rPr>
          <w:b/>
        </w:rPr>
        <w:t xml:space="preserve">Pub date: </w:t>
      </w:r>
      <w:r>
        <w:t>2026-03-17 10:11:15+00:00</w:t>
      </w:r>
      <w:r>
        <w:t xml:space="preserve">    </w:t>
      </w:r>
      <w:r>
        <w:rPr>
          <w:b/>
        </w:rPr>
        <w:t xml:space="preserve">DOI: </w:t>
      </w:r>
      <w:hyperlink r:id="rId157">
        <w:r>
          <w:rPr>
            <w:color w:val="1155CC"/>
            <w:u w:val="single"/>
          </w:rPr>
          <w:t>10.1002/adma.202516934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长循环寿命的高效制冷材料对于减少传统制冷系统的能耗至关重要。扭转热制冷利用非线性扭转应力，提供了一条提高制冷效率的有前途的途径。然而，结合高效率和长循环寿命的基于聚合物的扭转热材料的一般设计策略仍然难以捉摸。在此，我们报告了受蜘蛛丝启发的聚脲弹性体纤维，表现出卓越的机械性能和扭转热制冷性能。材料的结构特征是通过多重氢键和π–π相互作用形成的纳米结状域</w:t>
      </w:r>
    </w:p>
    <w:p>
      <w:pPr>
        <w:spacing w:before="0" w:after="200" w:lineRule="auto" w:line="276"/>
      </w:pPr>
      <w:r>
        <w:rPr>
          <w:b/>
        </w:rPr>
        <w:t xml:space="preserve">Abstract (EN): </w:t>
      </w:r>
      <w:r>
        <w:t>High‐efficiency refrigeration materials with long cycle lifetimes are essential for reducing energy consumption in conventional cooling systems. Twistocaloric cooling, which harnesses nonlinear torsional stress, offers a promising pathway to enhanced cooling efficiency. However, a general design strategy for polymer‐based twistocaloric materials that combine high efficiency and long cycle life remains elusive. Here, we report spider silk‐inspired polybiurea elastomer fibers that exhibit exceptional mechanical properties and twistocaloric cooling performance. The material's architecture features nanoknot‐like domains formed via multiple hydrogen bonds and</w:t>
      </w:r>
      <w:r>
        <w:t xml:space="preserve"> </w:t>
      </w:r>
      <w:r>
        <w:t>π</w:t>
      </w:r>
      <w:r>
        <w:t xml:space="preserve"> </w:t>
      </w:r>
      <w:r>
        <w:t>–</w:t>
      </w:r>
      <w:r>
        <w:t xml:space="preserve"> </w:t>
      </w:r>
      <w:r>
        <w:t>π</w:t>
      </w:r>
      <w:r>
        <w:t xml:space="preserve"> </w:t>
      </w:r>
      <w:r>
        <w:t>interactions in the hard segments, which knot together the soft segments to provide high mechanical stability and substantial entropy changes. The polybiurea fibers with nanoknot‐like domains achieved an extraordinary combination of breaking strength of 316.5 MPa and toughness of 523.4 MJ m</w:t>
      </w:r>
      <w:r>
        <w:t xml:space="preserve"> </w:t>
      </w:r>
      <w:r>
        <w:t>−3</w:t>
      </w:r>
      <w:r>
        <w:t xml:space="preserve"> </w:t>
      </w:r>
      <w:r>
        <w:t>. This engineered deformable knotted structure enables a maximum cooling temperature drop of −17.1 K (by twisting and stretching), a maximum Carnot efficiency of 89.7%, and operational durability up to 120 000 mechanical fatigue life cycles. We further demonstrate two out‐of‐phase operated twistocaloric devices designed to recover input mechanical energy, thereby enhancing overall system efficiency. This work presents a robust materials strategy for advancing high‐performance polymeric refrigeration materials and systems.</w:t>
      </w:r>
    </w:p>
    <w:p>
      <w:pPr>
        <w:spacing w:before="120" w:after="120"/>
      </w:pPr>
      <w:r>
        <w:rPr>
          <w:sz w:val="18"/>
        </w:rPr>
        <w:t>——————————————————————————————————————————————————————————————————————</w:t>
      </w:r>
    </w:p>
    <w:p>
      <w:pPr>
        <w:spacing w:before="160" w:after="40" w:line="240" w:lineRule="auto"/>
      </w:pPr>
      <w:r>
        <w:rPr>
          <w:b/>
        </w:rPr>
        <w:t xml:space="preserve">[6] </w:t>
      </w:r>
      <w:hyperlink r:id="rId158">
        <w:r>
          <w:rPr>
            <w:color w:val="1155CC"/>
            <w:u w:val="single"/>
          </w:rPr>
          <w:t>通过结构模仿横向热电效应的全溶液加工可扩展和可穿戴有机热电材料</w:t>
        </w:r>
      </w:hyperlink>
    </w:p>
    <w:p>
      <w:pPr>
        <w:spacing w:before="0" w:after="80"/>
      </w:pPr>
      <w:r>
        <w:rPr>
          <w:i/>
          <w:sz w:val="20"/>
        </w:rPr>
        <w:t>EN: All-solution-processed scalable and wearable organic thermoelectrics by structurally mimicking transverse thermoelectric effects</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159">
        <w:r>
          <w:rPr>
            <w:color w:val="1155CC"/>
            <w:u w:val="single"/>
          </w:rPr>
          <w:t>10.1126/sciadv.aea9094</w:t>
        </w:r>
      </w:hyperlink>
    </w:p>
    <w:p>
      <w:pPr>
        <w:spacing w:before="0" w:after="120"/>
      </w:pPr>
      <w:r>
        <w:rPr>
          <w:b/>
        </w:rPr>
        <w:t xml:space="preserve">Notes: </w:t>
      </w:r>
      <w:r>
        <w:t>abstract_source=crossref</w:t>
      </w:r>
    </w:p>
    <w:p>
      <w:pPr>
        <w:spacing w:before="0" w:after="80" w:lineRule="auto" w:line="276"/>
      </w:pPr>
      <w:r>
        <w:rPr>
          <w:b/>
        </w:rPr>
        <w:t xml:space="preserve">摘要（ZH）: </w:t>
      </w:r>
      <w:r>
        <w:t>有机薄膜热电发电机（TEGs）作为柔性和可穿戴能量收集器具有巨大潜力。然而，由于使用平面热源时难以在薄膜内建立温度梯度，其更广泛的应用受到限制。在此，我们介绍了伪横向TEGs（pT-TEGs），这是一种采用具有两种热导率的弹性基底的架构，通过模拟横向热电效应，将纵向热流正交转换为横向热电压。该设计规避了传统薄膜TEGs的限制，例如需要三维变形以形成温度梯度，从而允许从平面热源高效收集热能，同时保持二维</w:t>
      </w:r>
    </w:p>
    <w:p>
      <w:pPr>
        <w:spacing w:before="0" w:after="200" w:lineRule="auto" w:line="276"/>
      </w:pPr>
      <w:r>
        <w:rPr>
          <w:b/>
        </w:rPr>
        <w:t xml:space="preserve">Abstract (EN): </w:t>
      </w:r>
      <w:r>
        <w:t>Organic thin-film thermoelectric generators (TEGs) hold great promise as flexible and wearable energy harvesters. However, their broader application is hindered by the difficulty of establishing a temperature gradient within the thin film when using planar heat sources. Here, we introduce pseudo-transverse TEGs (pT-TEGs), an architecture employing an elastic substrate with two thermal conductivities, enabling the orthogonal conversion of longitudinal heat flux into lateral thermovoltage by mimicking the transverse thermoelectric effect. This design circumvents the limitations of conventional thin-film TEGs, such as the need for three-dimensional deformation to form a temperature gradient, allowing efficient thermal energy harvesting from planar heat sources while preserving a two-dimensional form factor. Furthermore, the fully solution-processed and modular pT-TEGs exhibit excellent mechanical flexibility and high scalability. We believe that this approach offers a practical platform for the realization of genuine two-dimensional TEGs and will contribute to the advancement of flexible and wearable energy harvesting technologies.</w:t>
      </w:r>
    </w:p>
    <w:p>
      <w:pPr>
        <w:spacing w:before="120" w:after="120"/>
      </w:pPr>
      <w:r>
        <w:rPr>
          <w:sz w:val="18"/>
        </w:rPr>
        <w:t>——————————————————————————————————————————————————————————————————————</w:t>
      </w:r>
    </w:p>
    <w:p>
      <w:pPr>
        <w:spacing w:before="160" w:after="40" w:line="240" w:lineRule="auto"/>
      </w:pPr>
      <w:r>
        <w:rPr>
          <w:b/>
        </w:rPr>
        <w:t xml:space="preserve">[7] </w:t>
      </w:r>
      <w:hyperlink r:id="rId160">
        <w:r>
          <w:rPr>
            <w:color w:val="1155CC"/>
            <w:u w:val="single"/>
          </w:rPr>
          <w:t>一种通用的碱金属掺杂策略，通过声子和载流子解耦实现IV-VI化合物的高热电性能</w:t>
        </w:r>
      </w:hyperlink>
    </w:p>
    <w:p>
      <w:pPr>
        <w:spacing w:before="0" w:after="80"/>
      </w:pPr>
      <w:r>
        <w:rPr>
          <w:i/>
          <w:sz w:val="20"/>
        </w:rPr>
        <w:t>EN: A Universal Alkali Metal Doping Strategy Enabling High Thermoelectric Performance of IV‐VI Compounds via Phonon and Carrier Decoupling</w:t>
      </w:r>
    </w:p>
    <w:p>
      <w:pPr>
        <w:spacing w:before="0" w:after="120"/>
      </w:pPr>
      <w:r>
        <w:rPr>
          <w:b/>
        </w:rPr>
        <w:t xml:space="preserve">Source: </w:t>
      </w:r>
      <w:r>
        <w:t>Wiley: Advanced Energy Materials: Table of Contents</w:t>
      </w:r>
      <w:r>
        <w:t xml:space="preserve">    </w:t>
      </w:r>
      <w:r>
        <w:rPr>
          <w:b/>
        </w:rPr>
        <w:t xml:space="preserve">Pub date: </w:t>
      </w:r>
      <w:r>
        <w:t>2026-03-18 07:00:00+00:00</w:t>
      </w:r>
      <w:r>
        <w:t xml:space="preserve">    </w:t>
      </w:r>
      <w:r>
        <w:rPr>
          <w:b/>
        </w:rPr>
        <w:t xml:space="preserve">DOI: </w:t>
      </w:r>
      <w:hyperlink r:id="rId161">
        <w:r>
          <w:rPr>
            <w:color w:val="1155CC"/>
            <w:u w:val="single"/>
          </w:rPr>
          <w:t>10.1002/aenm.70853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热电性能受到声子和载流子传输耦合的限制，这在载流子迁移率和晶格热导率之间造成了妥协。在此，我们引入了一种通用的碱金属（Na, K, Cs）掺杂策略，以在多种IV-VI化合物（包括n型PbTe和p型GeTe, SnTe, TAGS）中解耦声子和载流子传输，从而实现高度竞争的热电性能。例如，Cs掺杂使TAGS在723 K时达到创纪录的峰值ZT约为2.1，平均ZTave在300到723 K之间约为1.53。热力学上，较大的碱金属原子引发更强烈的应变场</w:t>
      </w:r>
    </w:p>
    <w:p>
      <w:pPr>
        <w:spacing w:before="0" w:after="200" w:lineRule="auto" w:line="276"/>
      </w:pPr>
      <w:r>
        <w:rPr>
          <w:b/>
        </w:rPr>
        <w:t xml:space="preserve">Abstract (EN): </w:t>
      </w:r>
      <w:r>
        <w:t>Thermoelectric performance is constrained by the coupling of phonon and carrier transport, which imposes a compromise between carrier mobility and lattice thermal conductivity. Here, we introduce a universal strategy of alkali‐metal (Na, K, Cs) doping for decoupling phonon and carrier transport in multiple IV‐VI compounds (including both n‐type PbTe and p‐type GeTe, SnTe, and TAGS), achieving highly competitive thermoelectric performance. For instance, Cs doping enables TAGS to attain a record‐high peak</w:t>
      </w:r>
      <w:r>
        <w:t xml:space="preserve"> </w:t>
      </w:r>
      <w:r>
        <w:t>ZT</w:t>
      </w:r>
      <w:r>
        <w:t xml:space="preserve"> </w:t>
      </w:r>
      <w:r>
        <w:t>of ∼2.1 at 723 K and an average</w:t>
      </w:r>
      <w:r>
        <w:t xml:space="preserve"> </w:t>
      </w:r>
      <w:r>
        <w:t>ZT</w:t>
      </w:r>
      <w:r>
        <w:t xml:space="preserve"> </w:t>
      </w:r>
      <w:r>
        <w:t>ave</w:t>
      </w:r>
      <w:r>
        <w:t xml:space="preserve"> </w:t>
      </w:r>
      <w:r>
        <w:t>of ∼1.53 from 300 to 723 K. Thermally, the larger alkali‐metal atoms induce more intense strain fields to enhance phonon scattering, while their heavy atomic mass softens phonon modes to reduce phonon group velocity. Electrically, the isovalent nature of alkali‐metal atoms minimizes ionized impurity scattering, thus preserving carrier transport. A thermoelectric module composed of optimized p‐type GeTe and n‐type PbTe achieves a conversion efficiency of ∼9.0% and a power density of 0.86 W cm</w:t>
      </w:r>
      <w:r>
        <w:t xml:space="preserve"> </w:t>
      </w:r>
      <w:r>
        <w:t>−2</w:t>
      </w:r>
      <w:r>
        <w:t xml:space="preserve"> </w:t>
      </w:r>
      <w:r>
        <w:t>under a temperature difference of ∼370 K. This work establishes a general design principle for decoupling phonon and carrier transport in mid‐temperature thermoelectric systems.</w:t>
      </w:r>
    </w:p>
    <w:p>
      <w:pPr>
        <w:spacing w:before="120" w:after="120"/>
      </w:pPr>
      <w:r>
        <w:rPr>
          <w:sz w:val="18"/>
        </w:rPr>
        <w:t>——————————————————————————————————————————————————————————————————————</w:t>
      </w:r>
    </w:p>
    <w:p>
      <w:pPr>
        <w:spacing w:before="160" w:after="40" w:line="240" w:lineRule="auto"/>
      </w:pPr>
      <w:r>
        <w:rPr>
          <w:b/>
        </w:rPr>
        <w:t xml:space="preserve">[8] </w:t>
      </w:r>
      <w:hyperlink r:id="rId162">
        <w:r>
          <w:rPr>
            <w:color w:val="1155CC"/>
            <w:u w:val="single"/>
          </w:rPr>
          <w:t>离子配位和分层结构实现软水凝胶中创纪录的n型热电效率</w:t>
        </w:r>
      </w:hyperlink>
    </w:p>
    <w:p>
      <w:pPr>
        <w:spacing w:before="0" w:after="80"/>
      </w:pPr>
      <w:r>
        <w:rPr>
          <w:i/>
          <w:sz w:val="20"/>
        </w:rPr>
        <w:t>EN: Ionic Coordination and Hierarchical Architecture Enable Record n‐Type Thermoelectric Efficiency in Soft Hydrogels</w:t>
      </w:r>
    </w:p>
    <w:p>
      <w:pPr>
        <w:spacing w:before="0" w:after="120"/>
      </w:pPr>
      <w:r>
        <w:rPr>
          <w:b/>
        </w:rPr>
        <w:t xml:space="preserve">Source: </w:t>
      </w:r>
      <w:r>
        <w:t>Wiley: Angewandte Chemie International Edition: Table of Contents</w:t>
      </w:r>
      <w:r>
        <w:t xml:space="preserve">    </w:t>
      </w:r>
      <w:r>
        <w:rPr>
          <w:b/>
        </w:rPr>
        <w:t xml:space="preserve">Pub date: </w:t>
      </w:r>
      <w:r>
        <w:t>2026-03-18 14:50:40+00:00</w:t>
      </w:r>
      <w:r>
        <w:t xml:space="preserve">    </w:t>
      </w:r>
      <w:r>
        <w:rPr>
          <w:b/>
        </w:rPr>
        <w:t xml:space="preserve">DOI: </w:t>
      </w:r>
      <w:hyperlink r:id="rId163">
        <w:r>
          <w:rPr>
            <w:color w:val="1155CC"/>
            <w:u w:val="single"/>
          </w:rPr>
          <w:t>10.1002/anie.4172130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离子热电材料结合了高热电势、准固态行为、机械柔性和内在稳定性，提供了一种低成本的低品位热能收集途径。虽然基于离子液体的p型离子凝胶已经取得了优异的性能，但高效的n型类似物仍然具有挑战性。在此，我们通过引入聚(3,4-乙烯二氧噻吩):聚苯乙烯磺酸盐(PEDOT:PSS)、离子液体和溴化锌，设计了一种基于聚乙烯醇(PVA)的n型离子凝胶。退火后，Zn</w:t>
      </w:r>
      <w:r>
        <w:t xml:space="preserve"> </w:t>
      </w:r>
      <w:r>
        <w:t>2+</w:t>
      </w:r>
      <w:r>
        <w:t xml:space="preserve"> </w:t>
      </w:r>
      <w:r>
        <w:t>离子与羟基/磺酸基团之间的强配位作用，以及通过优先离子结合形成的阴离子富集簇，促进了快速的阴离子传输</w:t>
      </w:r>
    </w:p>
    <w:p>
      <w:pPr>
        <w:spacing w:before="0" w:after="200" w:lineRule="auto" w:line="276"/>
      </w:pPr>
      <w:r>
        <w:rPr>
          <w:b/>
        </w:rPr>
        <w:t xml:space="preserve">Abstract (EN): </w:t>
      </w:r>
      <w:r>
        <w:t>Ionic thermoelectric materials combine large thermopower, quasi‐solid‐state behavior, mechanical flexibility, and intrinsic stability, offering a low‐cost route for harvesting low‐grade heat energy. While p‐type ionogels based on ionic liquids have achieved excellent performance, efficient n‐type analogues remain challenging. Here, we design a poly(vinyl alcohol) (PVA)‐based n‐type ionogel by incorporating poly(3,4‐ethylenedioxythiophene):polystyrene sulfonate (PEDOT:PSS), ionic liquid, and zinc bromide. Upon annealing, strong coordination between Zn</w:t>
      </w:r>
      <w:r>
        <w:t xml:space="preserve"> </w:t>
      </w:r>
      <w:r>
        <w:t>2+</w:t>
      </w:r>
      <w:r>
        <w:t xml:space="preserve"> </w:t>
      </w:r>
      <w:r>
        <w:t>ions and hydroxyl/sulfonic groups, together with the formation of anion‐rich clusters via preferential ion association, promotes rapid anion transport and enhances the Eastman entropy change. Simultaneously, the hierarchically layered ionic architecture suppresses phonon propagation and enhances carrier selectivity, resulting in a desirable balance between high ionic conductivity and low thermal conductivity. Consequently, the hydrogel achieves a remarkable thermopower of −128 mV K</w:t>
      </w:r>
      <w:r>
        <w:t xml:space="preserve"> </w:t>
      </w:r>
      <w:r>
        <w:t>−1</w:t>
      </w:r>
      <w:r>
        <w:t xml:space="preserve"> </w:t>
      </w:r>
      <w:r>
        <w:t>, an ultrahigh power factor of 16.7 µW cm</w:t>
      </w:r>
      <w:r>
        <w:t xml:space="preserve"> </w:t>
      </w:r>
      <w:r>
        <w:t>−1</w:t>
      </w:r>
      <w:r>
        <w:t xml:space="preserve"> </w:t>
      </w:r>
      <w:r>
        <w:t>K</w:t>
      </w:r>
      <w:r>
        <w:t xml:space="preserve"> </w:t>
      </w:r>
      <w:r>
        <w:t>−2</w:t>
      </w:r>
      <w:r>
        <w:t xml:space="preserve"> </w:t>
      </w:r>
      <w:r>
        <w:t>, and an excellent thermoelectric figure of merit of 1.1 at room temperature. This work establishes a universal strategy for designing high‐performance n‐type ionic thermoelectric materials and opens avenues for flexible and sustainable heat‐to‐electricity conversion.</w:t>
      </w:r>
    </w:p>
    <w:p>
      <w:pPr>
        <w:spacing w:before="120" w:after="120"/>
      </w:pPr>
      <w:r>
        <w:rPr>
          <w:sz w:val="18"/>
        </w:rPr>
        <w:t>——————————————————————————————————————————————————————————————————————</w:t>
      </w:r>
    </w:p>
    <w:p>
      <w:pPr>
        <w:spacing w:before="160" w:after="40" w:line="240" w:lineRule="auto"/>
      </w:pPr>
      <w:r>
        <w:rPr>
          <w:b/>
        </w:rPr>
        <w:t xml:space="preserve">[9] </w:t>
      </w:r>
      <w:hyperlink r:id="rId164">
        <w:r>
          <w:rPr>
            <w:color w:val="1155CC"/>
            <w:u w:val="single"/>
          </w:rPr>
          <w:t>混合蒸汽-电能系统的技术经济优化：余热利用和备用市场参与</w:t>
        </w:r>
      </w:hyperlink>
    </w:p>
    <w:p>
      <w:pPr>
        <w:spacing w:before="0" w:after="80"/>
      </w:pPr>
      <w:r>
        <w:rPr>
          <w:i/>
          <w:sz w:val="20"/>
        </w:rPr>
        <w:t>EN: Techno-economic optimization of hybrid steam-electric energy systems with excess heat utilization and reserve market participation</w:t>
      </w:r>
    </w:p>
    <w:p>
      <w:pPr>
        <w:spacing w:before="0" w:after="120"/>
      </w:pPr>
      <w:r>
        <w:rPr>
          <w:b/>
        </w:rPr>
        <w:t xml:space="preserve">Source: </w:t>
      </w:r>
      <w:r>
        <w:t>ScienceDirect Publication: Applied Energy</w:t>
      </w:r>
      <w:r>
        <w:t xml:space="preserve">    </w:t>
      </w:r>
      <w:r>
        <w:rPr>
          <w:b/>
        </w:rPr>
        <w:t xml:space="preserve">Pub date: </w:t>
      </w:r>
      <w:r>
        <w:t>2026-03-19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65">
        <w:r>
          <w:rPr>
            <w:color w:val="1155CC"/>
            <w:u w:val="single"/>
          </w:rPr>
          <w:t>超越标签：从未标记智能电表数据中进行贝叶斯和因果热泵分解</w:t>
        </w:r>
      </w:hyperlink>
    </w:p>
    <w:p>
      <w:pPr>
        <w:spacing w:before="0" w:after="80"/>
      </w:pPr>
      <w:r>
        <w:rPr>
          <w:i/>
          <w:sz w:val="20"/>
        </w:rPr>
        <w:t>EN: Beyond labels: Bayesian and causal heat pump disaggregation from unlabeled smart meter data</w:t>
      </w:r>
    </w:p>
    <w:p>
      <w:pPr>
        <w:spacing w:before="0" w:after="120"/>
      </w:pPr>
      <w:r>
        <w:rPr>
          <w:b/>
        </w:rPr>
        <w:t xml:space="preserve">Source: </w:t>
      </w:r>
      <w:r>
        <w:t>ScienceDirect Publication: Applied Energy</w:t>
      </w:r>
      <w:r>
        <w:t xml:space="preserve">    </w:t>
      </w:r>
      <w:r>
        <w:rPr>
          <w:b/>
        </w:rPr>
        <w:t xml:space="preserve">Pub date: </w:t>
      </w:r>
      <w:r>
        <w:t>2026-03-19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66">
        <w:r>
          <w:rPr>
            <w:color w:val="1155CC"/>
            <w:u w:val="single"/>
          </w:rPr>
          <w:t>英国在本土核聚变和量子技术上下注——能否引领世界？</w:t>
        </w:r>
      </w:hyperlink>
    </w:p>
    <w:p>
      <w:pPr>
        <w:spacing w:before="0" w:after="80"/>
      </w:pPr>
      <w:r>
        <w:rPr>
          <w:i/>
          <w:sz w:val="20"/>
        </w:rPr>
        <w:t>EN: UK bets big on homegrown fusion and quantum — can it lead the world?</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67">
        <w:r>
          <w:rPr>
            <w:color w:val="1155CC"/>
            <w:u w:val="single"/>
          </w:rPr>
          <w:t>10.1038/d41586-026-00877-2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68">
        <w:r>
          <w:rPr>
            <w:color w:val="1155CC"/>
            <w:u w:val="single"/>
          </w:rPr>
          <w:t>光催化水分解微反应器中气泡动力学和脱附机制的最新进展：H₂生产综述</w:t>
        </w:r>
      </w:hyperlink>
    </w:p>
    <w:p>
      <w:pPr>
        <w:spacing w:before="0" w:after="80"/>
      </w:pPr>
      <w:r>
        <w:rPr>
          <w:i/>
          <w:sz w:val="20"/>
        </w:rPr>
        <w:t>EN: Recent progress in bubble dynamics and detachment mechanisms of photocatalytic water splitting microreactors for H₂ production: a review</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9">
        <w:r>
          <w:rPr>
            <w:color w:val="1155CC"/>
            <w:u w:val="single"/>
          </w:rPr>
          <w:t>从火炬气中生产氢气：将排放转化为能源的双重机会——前瞻性综述</w:t>
        </w:r>
      </w:hyperlink>
    </w:p>
    <w:p>
      <w:pPr>
        <w:spacing w:before="0" w:after="80"/>
      </w:pPr>
      <w:r>
        <w:rPr>
          <w:i/>
          <w:sz w:val="20"/>
        </w:rPr>
        <w:t>EN: Hydrogen production from flare gas: a dual opportunity to turn emissions into energy - a prospective review</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70">
        <w:r>
          <w:rPr>
            <w:color w:val="1155CC"/>
            <w:u w:val="single"/>
          </w:rPr>
          <w:t>台风韧性风电场集群与氢能储存厂的极端情景驱动协调调度</w:t>
        </w:r>
      </w:hyperlink>
    </w:p>
    <w:p>
      <w:pPr>
        <w:spacing w:before="0" w:after="80"/>
      </w:pPr>
      <w:r>
        <w:rPr>
          <w:i/>
          <w:sz w:val="20"/>
        </w:rPr>
        <w:t>EN: Typhoon-resilient coordinated dispatch of wind farm cluster and hydrogen energy storage plant driven by extreme scenarios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71">
        <w:r>
          <w:rPr>
            <w:color w:val="1155CC"/>
            <w:u w:val="single"/>
          </w:rPr>
          <w:t>海运进口还是国内生产？基于氢能载体的技术经济评估</w:t>
        </w:r>
      </w:hyperlink>
    </w:p>
    <w:p>
      <w:pPr>
        <w:spacing w:before="0" w:after="80"/>
      </w:pPr>
      <w:r>
        <w:rPr>
          <w:i/>
          <w:sz w:val="20"/>
        </w:rPr>
        <w:t>EN: Seaborne imports or domestic production? A techno-economic assessment of hydrogen-based energy carriers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72">
        <w:r>
          <w:rPr>
            <w:color w:val="1155CC"/>
            <w:u w:val="single"/>
          </w:rPr>
          <w:t>[ASAP] 原子尺度不对称Rh-Mo位点用于在近环境温度下将CO2加氢为甲醇</w:t>
        </w:r>
      </w:hyperlink>
    </w:p>
    <w:p>
      <w:pPr>
        <w:spacing w:before="0" w:after="80"/>
      </w:pPr>
      <w:r>
        <w:rPr>
          <w:i/>
          <w:sz w:val="20"/>
        </w:rPr>
        <w:t>EN: [ASAP] Atomic-Scale Asymmetric Rh–Mo Site for CO2 Hydrogenation to Methanol at Near-Ambient Temperature</w:t>
      </w:r>
    </w:p>
    <w:p>
      <w:pPr>
        <w:spacing w:before="0" w:after="120"/>
      </w:pPr>
      <w:r>
        <w:rPr>
          <w:b/>
        </w:rPr>
        <w:t xml:space="preserve">Source: </w:t>
      </w:r>
      <w:r>
        <w:t>Journal of the American Chemical Society: Latest Articles (ACS Publications)</w:t>
      </w:r>
      <w:r>
        <w:t xml:space="preserve">    </w:t>
      </w:r>
      <w:r>
        <w:rPr>
          <w:b/>
        </w:rPr>
        <w:t xml:space="preserve">Pub date: </w:t>
      </w:r>
      <w:r>
        <w:t>2026-03-14 13:31:10+00:00</w:t>
      </w:r>
      <w:r>
        <w:t xml:space="preserve">    </w:t>
      </w:r>
      <w:r>
        <w:rPr>
          <w:b/>
        </w:rPr>
        <w:t xml:space="preserve">DOI: </w:t>
      </w:r>
      <w:hyperlink r:id="rId173">
        <w:r>
          <w:rPr>
            <w:color w:val="1155CC"/>
            <w:u w:val="single"/>
          </w:rPr>
          <w:t>10.1021/jacs.5c17025</w:t>
        </w:r>
      </w:hyperlink>
    </w:p>
    <w:p>
      <w:pPr>
        <w:spacing w:before="0" w:after="120"/>
      </w:pPr>
      <w:r>
        <w:rPr>
          <w:b/>
        </w:rPr>
        <w:t xml:space="preserve">Notes: </w:t>
      </w:r>
      <w:r>
        <w:t>abstract_source=pubmed</w:t>
      </w:r>
    </w:p>
    <w:p>
      <w:pPr>
        <w:spacing w:before="0" w:after="80" w:lineRule="auto" w:line="276"/>
      </w:pPr>
      <w:r>
        <w:rPr>
          <w:b/>
        </w:rPr>
        <w:t xml:space="preserve">摘要（ZH）: </w:t>
      </w:r>
      <w:r>
        <w:t>CO2加氢制甲醇为温室气体减排和可持续非石油碳利用提供了一条有前景的途径。铑（Rh）以其高表面能而闻名，在CO2活化中表现出色。然而，其强还原性常导致CO2深度加氢为CH4，而不是稳定关键的C-O中间体。在此，我们报告了一种催化剂，其中Rh原子嵌入MoC晶格中，通过超低Rh负载调节基质相的形成。该设计产生了原子尺度的不对称Rh-Mo配位环境，增强了CO2分子的弯曲并促进C=O键的断裂。来自邻近Mo原子的电子转移调节稳定了Rh在Rhδ+状态，从而改善了C-O中间体的吸附并促进</w:t>
      </w:r>
    </w:p>
    <w:p>
      <w:pPr>
        <w:spacing w:before="0" w:after="200" w:lineRule="auto" w:line="276"/>
      </w:pPr>
      <w:r>
        <w:rPr>
          <w:b/>
        </w:rPr>
        <w:t xml:space="preserve">Abstract (EN): </w:t>
      </w:r>
      <w:r>
        <w:t>CO2 hydrogenation to methanol offers a promising route for greenhouse gas mitigation and sustainable nonpetroleum carbon utilization. Rhodium (Rh), known for its high surface energy, excels in CO2 activation. However, its strong reducibility often leads to deep hydrogenation of CO2 to CH4, rather than stabilizing key C-O intermediates. Herein, we report a catalyst comprising Rh atoms embedded in a MoC lattice, constructed through an ultralow Rh loading that regulates matrix phase formation. This design results in atomic-scale asymmetric Rh-Mo coordination environments, which enhance CO2 molecular bending and facilitate C=O bond cleavage. Electron transfer modulation from neighboring Mo atoms stabilizes Rh in the Rhδ+ state, thereby improving the adsorption of C-O intermediates and promoting methanol formation. Notably, the catalyst delivers exceptional methanol selectivity of up to 95% at 110 °C, along with long-term operational stability. A high methanol formation rate of 1,287 μmol gRh-1 s-1 is also attained, highlighting the superior atomic utilization of Rh. This work presents an atomic-level design strategy for tailoring local coordination and electronic structure, driving efficient CO2 hydrogenation under mild conditions.</w:t>
      </w:r>
    </w:p>
    <w:p>
      <w:pPr>
        <w:spacing w:before="120" w:after="120"/>
      </w:pPr>
      <w:r>
        <w:rPr>
          <w:sz w:val="18"/>
        </w:rPr>
        <w:t>——————————————————————————————————————————————————————————————————————</w:t>
      </w:r>
    </w:p>
    <w:p>
      <w:pPr>
        <w:spacing w:before="160" w:after="40" w:line="240" w:lineRule="auto"/>
      </w:pPr>
      <w:r>
        <w:rPr>
          <w:b/>
        </w:rPr>
        <w:t xml:space="preserve">[6] </w:t>
      </w:r>
      <w:hyperlink r:id="rId174">
        <w:r>
          <w:rPr>
            <w:color w:val="1155CC"/>
            <w:u w:val="single"/>
          </w:rPr>
          <w:t>战略绿色技术的政策驱动创新路径：以韩国的氢气和碳捕获、利用与储存（CCUS）为例</w:t>
        </w:r>
      </w:hyperlink>
    </w:p>
    <w:p>
      <w:pPr>
        <w:spacing w:before="0" w:after="80"/>
      </w:pPr>
      <w:r>
        <w:rPr>
          <w:i/>
          <w:sz w:val="20"/>
        </w:rPr>
        <w:t>EN: Policy-driven innovation pathways for strategic green technologies: The case of hydrogen and carbon capture, utilization, and storage (CCUS) in South Korea</w:t>
      </w:r>
    </w:p>
    <w:p>
      <w:pPr>
        <w:spacing w:before="0" w:after="120"/>
      </w:pPr>
      <w:r>
        <w:rPr>
          <w:b/>
        </w:rPr>
        <w:t xml:space="preserve">Source: </w:t>
      </w:r>
      <w:r>
        <w:t>ScienceDirect Publication: Energy Policy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75">
        <w:r>
          <w:rPr>
            <w:color w:val="1155CC"/>
            <w:u w:val="single"/>
          </w:rPr>
          <w:t>基于原型实验的新型PEMFC-GT混合系统在飞机应用中的性能表征和技术经济评估</w:t>
        </w:r>
      </w:hyperlink>
    </w:p>
    <w:p>
      <w:pPr>
        <w:spacing w:before="0" w:after="80"/>
      </w:pPr>
      <w:r>
        <w:rPr>
          <w:i/>
          <w:sz w:val="20"/>
        </w:rPr>
        <w:t>EN: Performance characterization and techno-economic assessment of a novel PEMFC-GT hybrid system for aircraft applications based on prototype experiments</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76">
        <w:r>
          <w:rPr>
            <w:color w:val="1155CC"/>
            <w:u w:val="single"/>
          </w:rPr>
          <w:t>基于负载扰动的燃料电池-锂电池混合系统在海洋应用中的能量管理策略</w:t>
        </w:r>
      </w:hyperlink>
    </w:p>
    <w:p>
      <w:pPr>
        <w:spacing w:before="0" w:after="80"/>
      </w:pPr>
      <w:r>
        <w:rPr>
          <w:i/>
          <w:sz w:val="20"/>
        </w:rPr>
        <w:t>EN: A load disturbance-based energy management strategy in fuel cell‑lithium battery hybrid systems for marine applications</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7">
        <w:r>
          <w:rPr>
            <w:color w:val="1155CC"/>
            <w:u w:val="single"/>
          </w:rPr>
          <w:t>到2050年燃料电池在深海航运中的环境影响</w:t>
        </w:r>
      </w:hyperlink>
    </w:p>
    <w:p>
      <w:pPr>
        <w:spacing w:before="0" w:after="80"/>
      </w:pPr>
      <w:r>
        <w:rPr>
          <w:i/>
          <w:sz w:val="20"/>
        </w:rPr>
        <w:t>EN: Environmental impacts of fuel cell use in deep-sea shipping towards 2050</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78">
        <w:r>
          <w:rPr>
            <w:color w:val="1155CC"/>
            <w:u w:val="single"/>
          </w:rPr>
          <w:t>[ASAP] 强金属-金属相互作用诱导的氮化镧包覆钴用于高效氨合成</w:t>
        </w:r>
      </w:hyperlink>
    </w:p>
    <w:p>
      <w:pPr>
        <w:spacing w:before="0" w:after="80"/>
      </w:pPr>
      <w:r>
        <w:rPr>
          <w:i/>
          <w:sz w:val="20"/>
        </w:rPr>
        <w:t>EN: [ASAP] Strong Metal–Metal Interaction-Induced Encapsulation of Cobalt by Lanthanum Nitride for Efficient Ammonia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2026-03-16 17:11:59+00:00</w:t>
      </w:r>
      <w:r>
        <w:t xml:space="preserve">    </w:t>
      </w:r>
      <w:r>
        <w:rPr>
          <w:b/>
        </w:rPr>
        <w:t xml:space="preserve">DOI: </w:t>
      </w:r>
      <w:hyperlink r:id="rId179">
        <w:r>
          <w:rPr>
            <w:color w:val="1155CC"/>
            <w:u w:val="single"/>
          </w:rPr>
          <w:t>10.1021/jacs.6c01112</w:t>
        </w:r>
      </w:hyperlink>
    </w:p>
    <w:p>
      <w:pPr>
        <w:spacing w:before="0" w:after="120"/>
      </w:pPr>
      <w:r>
        <w:rPr>
          <w:b/>
        </w:rPr>
        <w:t xml:space="preserve">Notes: </w:t>
      </w:r>
      <w:r>
        <w:t>abstract_source=pubmed</w:t>
      </w:r>
    </w:p>
    <w:p>
      <w:pPr>
        <w:spacing w:before="0" w:after="80" w:lineRule="auto" w:line="276"/>
      </w:pPr>
      <w:r>
        <w:rPr>
          <w:b/>
        </w:rPr>
        <w:t xml:space="preserve">摘要（ZH）: </w:t>
      </w:r>
      <w:r>
        <w:t>在温和条件下开发氨合成催化剂至关重要，但仍然是一个重大挑战，主要是由于高效二氮激活和氢中毒之间的权衡。氮化物支持的金属催化剂表现出显著的低温活性，但其协同作用的原子起源仍然是激烈争论的主题。基于我们最近建立的强金属-金属相互作用（SMMI）和包封的广义理论，我们结合从头算原子热力学和机器学习势驱动的分子动力学模拟，系统地构建了这些高活性系统的统一机制框架。使用氮化镧（LaN）支持的钴（Co）纳米颗粒作为原型模型，我们揭示了</w:t>
      </w:r>
    </w:p>
    <w:p>
      <w:pPr>
        <w:spacing w:before="0" w:after="200" w:lineRule="auto" w:line="276"/>
      </w:pPr>
      <w:r>
        <w:rPr>
          <w:b/>
        </w:rPr>
        <w:t xml:space="preserve">Abstract (EN): </w:t>
      </w:r>
      <w:r>
        <w:t>Developing catalysts for ammonia synthesis under mild conditions is of paramount importance but remains a grand challenge, primarily due to the trade-off between efficient dinitrogen activation and hydrogen poisoning. Nitride-supported metal catalysts exhibit remarkably low-temperature activity, yet the atomic origin of their synergy remains a subject of intense debate. Building on our recently established generalized theories of strong metal-metal interaction (SMMI) and encapsulation, we combine ab initio atomistic thermodynamics and machine-learning potential-driven molecular dynamics simulations to systematically construct a unified mechanistic framework for these highly active systems. Using lanthanum nitride (LaN)-supported cobalt (Co) nanoparticles as a prototypical model, we reveal that, driven by SMMI and facilitated by nitrogen vacancies, the nitride support spontaneously restructures to encapsulate metal nanoparticles via the formation of subnitride overlayers. This thermodynamically stable encapsulated architecture constructs contiguous perimeter sites─involving both low-valent La cations and electron-rich cobalt metal─that fundamentally alter the catalytic landscape, while intrinsically securing the antisintering stability of small Co nanoparticles. First-principles calculations reveal that these perimeter sites cooperatively facilitate N2 activation while simultaneously suppressing H-poisoning. Consequently, microkinetic simulations yield an apparent activation energy of 50 kJ mol-1, in good agreement with experimental values. By naturally accounting for a diverse array of experimental observations, this work establishes SMMI-driven encapsulation as a robust physical framework for understanding and designing nitride-based catalysts for ammonia synthesis under mild conditions.</w:t>
      </w:r>
    </w:p>
    <w:p>
      <w:pPr>
        <w:spacing w:before="120" w:after="120"/>
      </w:pPr>
      <w:r>
        <w:rPr>
          <w:sz w:val="18"/>
        </w:rPr>
        <w:t>——————————————————————————————————————————————————————————————————————</w:t>
      </w:r>
    </w:p>
    <w:p>
      <w:pPr>
        <w:spacing w:before="160" w:after="40" w:line="240" w:lineRule="auto"/>
      </w:pPr>
      <w:r>
        <w:rPr>
          <w:b/>
        </w:rPr>
        <w:t xml:space="preserve">[11] </w:t>
      </w:r>
      <w:hyperlink r:id="rId180">
        <w:r>
          <w:rPr>
            <w:color w:val="1155CC"/>
            <w:u w:val="single"/>
          </w:rPr>
          <w:t>[ASAP] 原位形成的Pt–Ga异质双原子催化剂用于N-杂环中的高效氢储存</w:t>
        </w:r>
      </w:hyperlink>
    </w:p>
    <w:p>
      <w:pPr>
        <w:spacing w:before="0" w:after="80"/>
      </w:pPr>
      <w:r>
        <w:rPr>
          <w:i/>
          <w:sz w:val="20"/>
        </w:rPr>
        <w:t>EN: [ASAP] In Situ Formed Pt–Ga Hetero Duo-Atomic Catalyst for Efficient Hydrogen Storage in N-Heterocycles</w:t>
      </w:r>
    </w:p>
    <w:p>
      <w:pPr>
        <w:spacing w:before="0" w:after="120"/>
      </w:pPr>
      <w:r>
        <w:rPr>
          <w:b/>
        </w:rPr>
        <w:t xml:space="preserve">Source: </w:t>
      </w:r>
      <w:r>
        <w:t>Journal of the American Chemical Society: Latest Articles (ACS Publications)</w:t>
      </w:r>
      <w:r>
        <w:t xml:space="preserve">    </w:t>
      </w:r>
      <w:r>
        <w:rPr>
          <w:b/>
        </w:rPr>
        <w:t xml:space="preserve">Pub date: </w:t>
      </w:r>
      <w:r>
        <w:t>2026-03-16 19:59:09+00:00</w:t>
      </w:r>
      <w:r>
        <w:t xml:space="preserve">    </w:t>
      </w:r>
      <w:r>
        <w:rPr>
          <w:b/>
        </w:rPr>
        <w:t xml:space="preserve">DOI: </w:t>
      </w:r>
      <w:hyperlink r:id="rId181">
        <w:r>
          <w:rPr>
            <w:color w:val="1155CC"/>
            <w:u w:val="single"/>
          </w:rPr>
          <w:t>10.1021/jacs.5c18832</w:t>
        </w:r>
      </w:hyperlink>
    </w:p>
    <w:p>
      <w:pPr>
        <w:spacing w:before="0" w:after="120"/>
      </w:pPr>
      <w:r>
        <w:rPr>
          <w:b/>
        </w:rPr>
        <w:t xml:space="preserve">Notes: </w:t>
      </w:r>
      <w:r>
        <w:t>abstract_source=pubmed</w:t>
      </w:r>
    </w:p>
    <w:p>
      <w:pPr>
        <w:spacing w:before="0" w:after="80" w:lineRule="auto" w:line="276"/>
      </w:pPr>
      <w:r>
        <w:rPr>
          <w:b/>
        </w:rPr>
        <w:t xml:space="preserve">摘要（ZH）: </w:t>
      </w:r>
      <w:r>
        <w:t>液态有机氢载体（LOHCs）的脱氢和加氢的高效催化剂对于推进氢储存和运输至关重要。传统的纳米颗粒催化剂金属利用率低，而单原子催化剂（SAC）受限于孤立的活性位点。在此，我们提出了一种异质双原子催化剂，Pt1-Ga1/CeO2 DAC，其在N-杂环氢储存中表现出卓越的活性、选择性、稳定性和可回收性。Ga在C-H键活化中起关键作用，作为催化键断裂和形成的中介。与Pt1/CeO2 SAC相比，Pt1-Ga1/CeO2 DAC提高了金属利用率，同时克服了SAC在大底物上的限制。这项工作为设计高效</w:t>
      </w:r>
    </w:p>
    <w:p>
      <w:pPr>
        <w:spacing w:before="0" w:after="200" w:lineRule="auto" w:line="276"/>
      </w:pPr>
      <w:r>
        <w:rPr>
          <w:b/>
        </w:rPr>
        <w:t xml:space="preserve">Abstract (EN): </w:t>
      </w:r>
      <w:r>
        <w:t>Efficient catalysts for the dehydrogenation and hydrogenation of liquid organic hydrogen carriers (LOHCs) are essential for advancing hydrogen storage and transportation. Conventional nanoparticle catalysts suffer from low metal utilization, while single-atom catalysts (SAC) are limited by isolated active sites. Here, we present a hetero duo-atomic catalyst, Pt1-Ga1/CeO2 DAC, which exhibits exceptional activity, selectivity, stability, and recyclability for N-heterocycle hydrogen storage. Ga plays a critical role in C-H bond activation, acting as a mediator in catalytic bond-breaking and formation. Compared with Pt1/CeO2 SAC, Pt1-Ga1/CeO2 DAC enhances metal utilization while overcoming SAC limitations for large substrates. This work establishes a promising strategy for designing highly efficient catalysts for LOHC applications.</w:t>
      </w:r>
    </w:p>
    <w:p>
      <w:pPr>
        <w:spacing w:before="120" w:after="120"/>
      </w:pPr>
      <w:r>
        <w:rPr>
          <w:sz w:val="18"/>
        </w:rPr>
        <w:t>——————————————————————————————————————————————————————————————————————</w:t>
      </w:r>
    </w:p>
    <w:p>
      <w:pPr>
        <w:spacing w:before="160" w:after="40" w:line="240" w:lineRule="auto"/>
      </w:pPr>
      <w:r>
        <w:rPr>
          <w:b/>
        </w:rPr>
        <w:t xml:space="preserve">[12] </w:t>
      </w:r>
      <w:hyperlink r:id="rId182">
        <w:r>
          <w:rPr>
            <w:color w:val="1155CC"/>
            <w:u w:val="single"/>
          </w:rPr>
          <w:t>用于氢能集成能源系统调度的多代理时序通信框架</w:t>
        </w:r>
      </w:hyperlink>
    </w:p>
    <w:p>
      <w:pPr>
        <w:spacing w:before="0" w:after="80"/>
      </w:pPr>
      <w:r>
        <w:rPr>
          <w:i/>
          <w:sz w:val="20"/>
        </w:rPr>
        <w:t>EN: Multi-agent temporal communication framework for scheduling in hydrogen-integrated energy systems</w:t>
      </w:r>
    </w:p>
    <w:p>
      <w:pPr>
        <w:spacing w:before="0" w:after="120"/>
      </w:pPr>
      <w:r>
        <w:rPr>
          <w:b/>
        </w:rPr>
        <w:t xml:space="preserve">Source: </w:t>
      </w:r>
      <w:r>
        <w:t>ScienceDirect Publication: Applied Energy</w:t>
      </w:r>
      <w:r>
        <w:t xml:space="preserve">    </w:t>
      </w:r>
      <w:r>
        <w:rPr>
          <w:b/>
        </w:rPr>
        <w:t xml:space="preserve">Pub date: </w:t>
      </w:r>
      <w:r>
        <w:t>2026-03-17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83">
        <w:r>
          <w:rPr>
            <w:color w:val="1155CC"/>
            <w:u w:val="single"/>
          </w:rPr>
          <w:t>钼硼化物上的界面锇纳米簇实现反向氢溢出以增强氢气演化</w:t>
        </w:r>
      </w:hyperlink>
    </w:p>
    <w:p>
      <w:pPr>
        <w:spacing w:before="0" w:after="80"/>
      </w:pPr>
      <w:r>
        <w:rPr>
          <w:i/>
          <w:sz w:val="20"/>
        </w:rPr>
        <w:t>EN: Interfacial Osmium Nanoclusters on Molybdenum Boride Enable Reverse Hydrogen Spillover for Enhanced Hydrogen Evolution</w:t>
      </w:r>
    </w:p>
    <w:p>
      <w:pPr>
        <w:spacing w:before="0" w:after="120"/>
      </w:pPr>
      <w:r>
        <w:rPr>
          <w:b/>
        </w:rPr>
        <w:t xml:space="preserve">Source: </w:t>
      </w:r>
      <w:r>
        <w:t>Wiley: Advanced Energy Materials: Table of Contents</w:t>
      </w:r>
      <w:r>
        <w:t xml:space="preserve">    </w:t>
      </w:r>
      <w:r>
        <w:rPr>
          <w:b/>
        </w:rPr>
        <w:t xml:space="preserve">Pub date: </w:t>
      </w:r>
      <w:r>
        <w:t>2026-03-17 09:43:32+00:00</w:t>
      </w:r>
      <w:r>
        <w:t xml:space="preserve">    </w:t>
      </w:r>
      <w:r>
        <w:rPr>
          <w:b/>
        </w:rPr>
        <w:t xml:space="preserve">DOI: </w:t>
      </w:r>
      <w:hyperlink r:id="rId184">
        <w:r>
          <w:rPr>
            <w:color w:val="1155CC"/>
            <w:u w:val="single"/>
          </w:rPr>
          <w:t>10.1002/aenm.70847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耐用且经济可行的电催化剂在氢气析出反应（HER）中的进步对于实现大规模绿色氢气生产至关重要。然而，提高传统催化过程的效率仍面临重大挑战。在此，我们报告了装饰有锇纳米簇的硼化钼（Os/MoB）作为HER的高效催化剂，其通过一种新颖的氢溢流机制运行。Os/MoB催化剂在碱性、酸性和碱性海水（1 m KOH + 海水）中达到10 mA cm−2时，实现了显著低的过电位（η10 = 22, 27, 和11 mV）。</w:t>
      </w:r>
    </w:p>
    <w:p>
      <w:pPr>
        <w:spacing w:before="0" w:after="200" w:lineRule="auto" w:line="276"/>
      </w:pPr>
      <w:r>
        <w:rPr>
          <w:b/>
        </w:rPr>
        <w:t xml:space="preserve">Abstract (EN): </w:t>
      </w:r>
      <w:r>
        <w:t>The advancement of highly efficient, durable, and economically viable electrocatalysts for the hydrogen evolution reaction (HER) plays a crucial role in enabling large‐scale green hydrogen production. However, significant challenges remain in improving the efficiency of conventional catalytic processes. Here, we report osmium nanocluster‐decorated molybdenum boride (Os/MoB) as an efficient catalyst for the HER, operating via a novel hydrogen spillover mechanism. The Os/MoB catalyst achieves remarkably low overpotentials (η</w:t>
      </w:r>
      <w:r>
        <w:rPr>
          <w:vertAlign w:val="subscript"/>
        </w:rPr>
        <w:t>10</w:t>
      </w:r>
      <w:r>
        <w:t>= 22, 27, and 11 mV) to reach 10 mA cm</w:t>
      </w:r>
      <w:r>
        <w:t xml:space="preserve"> </w:t>
      </w:r>
      <w:r>
        <w:t>−2</w:t>
      </w:r>
      <w:r>
        <w:t xml:space="preserve"> </w:t>
      </w:r>
      <w:r>
        <w:t>in alkaline, acidic, and alkaline seawater (1</w:t>
      </w:r>
      <w:r>
        <w:t xml:space="preserve"> </w:t>
      </w:r>
      <w:r>
        <w:t>m</w:t>
      </w:r>
      <w:r>
        <w:t xml:space="preserve"> </w:t>
      </w:r>
      <w:r>
        <w:t>KOH + seawater) electrolytes, performance that matches or surpasses commercial Pt/C. Density functional theory (DFT) calculations reveal that H</w:t>
      </w:r>
      <w:r>
        <w:rPr>
          <w:vertAlign w:val="subscript"/>
        </w:rPr>
        <w:t>2</w:t>
      </w:r>
      <w:r>
        <w:t>O adsorbs on the MoB surface, followed by the dissociation of H</w:t>
      </w:r>
      <w:r>
        <w:rPr>
          <w:vertAlign w:val="subscript"/>
        </w:rPr>
        <w:t>2</w:t>
      </w:r>
      <w:r>
        <w:t>O, where the generated H* species spillover to the interfacial Os sites, subsequently recombining and releasing H</w:t>
      </w:r>
      <w:r>
        <w:rPr>
          <w:vertAlign w:val="subscript"/>
        </w:rPr>
        <w:t>2</w:t>
      </w:r>
      <w:r>
        <w:t>. Furthermore, an Os/MoB‐based anion exchange membrane water electrolyzer (AEMWE) delivers a current density of 500 mA cm</w:t>
      </w:r>
      <w:r>
        <w:t xml:space="preserve"> </w:t>
      </w:r>
      <w:r>
        <w:t>−2</w:t>
      </w:r>
      <w:r>
        <w:t xml:space="preserve"> </w:t>
      </w:r>
      <w:r>
        <w:t>at low voltages of only 1.78 V in 1</w:t>
      </w:r>
      <w:r>
        <w:t xml:space="preserve"> </w:t>
      </w:r>
      <w:r>
        <w:t>m</w:t>
      </w:r>
      <w:r>
        <w:t xml:space="preserve"> </w:t>
      </w:r>
      <w:r>
        <w:t>KOH and 1.88 V in alkaline seawater and maintains stable operation for over 100 h.</w:t>
      </w:r>
    </w:p>
    <w:p>
      <w:pPr>
        <w:spacing w:before="120" w:after="120"/>
      </w:pPr>
      <w:r>
        <w:rPr>
          <w:sz w:val="18"/>
        </w:rPr>
        <w:t>——————————————————————————————————————————————————————————————————————</w:t>
      </w:r>
    </w:p>
    <w:p>
      <w:pPr>
        <w:spacing w:before="160" w:after="40" w:line="240" w:lineRule="auto"/>
      </w:pPr>
      <w:r>
        <w:rPr>
          <w:b/>
        </w:rPr>
        <w:t xml:space="preserve">[14] </w:t>
      </w:r>
      <w:hyperlink r:id="rId185">
        <w:r>
          <w:rPr>
            <w:color w:val="1155CC"/>
            <w:u w:val="single"/>
          </w:rPr>
          <w:t>甲酸根离子诱导的水网络重塑使得从海水中同时生产氢气和氢氧化镁成为可能</w:t>
        </w:r>
      </w:hyperlink>
    </w:p>
    <w:p>
      <w:pPr>
        <w:spacing w:before="0" w:after="80"/>
      </w:pPr>
      <w:r>
        <w:rPr>
          <w:i/>
          <w:sz w:val="20"/>
        </w:rPr>
        <w:t>EN: Formate‐Anion‐Induced Water Network Reshaping Enables Concurrent Hydrogen and Magnesium Hydroxide Production From Seawater</w:t>
      </w:r>
    </w:p>
    <w:p>
      <w:pPr>
        <w:spacing w:before="0" w:after="120"/>
      </w:pPr>
      <w:r>
        <w:rPr>
          <w:b/>
        </w:rPr>
        <w:t xml:space="preserve">Source: </w:t>
      </w:r>
      <w:r>
        <w:t>Wiley: Angewandte Chemie International Edition: Table of Contents</w:t>
      </w:r>
      <w:r>
        <w:t xml:space="preserve">    </w:t>
      </w:r>
      <w:r>
        <w:rPr>
          <w:b/>
        </w:rPr>
        <w:t xml:space="preserve">Pub date: </w:t>
      </w:r>
      <w:r>
        <w:t>2026-03-18 14:11:57+00:00</w:t>
      </w:r>
      <w:r>
        <w:t xml:space="preserve">    </w:t>
      </w:r>
      <w:r>
        <w:rPr>
          <w:b/>
        </w:rPr>
        <w:t xml:space="preserve">DOI: </w:t>
      </w:r>
      <w:hyperlink r:id="rId186">
        <w:r>
          <w:rPr>
            <w:color w:val="1155CC"/>
            <w:u w:val="single"/>
          </w:rPr>
          <w:t>10.1002/anie.6937994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直接海水电解用于氢气析出反应（HER）的关键挑战是水解离所需的能量需求极高以及防止催化剂表面沉淀。通过在NiFe</w:t>
      </w:r>
      <w:r>
        <w:rPr>
          <w:vertAlign w:val="subscript"/>
        </w:rPr>
        <w:t>2</w:t>
      </w:r>
      <w:r>
        <w:t>O</w:t>
      </w:r>
      <w:r>
        <w:rPr>
          <w:vertAlign w:val="subscript"/>
        </w:rPr>
        <w:t>4</w:t>
      </w:r>
      <w:r>
        <w:t>尖晶石表面接枝甲酸根（NiFe</w:t>
      </w:r>
      <w:r>
        <w:rPr>
          <w:vertAlign w:val="subscript"/>
        </w:rPr>
        <w:t>2</w:t>
      </w:r>
      <w:r>
        <w:t>O</w:t>
      </w:r>
      <w:r>
        <w:rPr>
          <w:vertAlign w:val="subscript"/>
        </w:rPr>
        <w:t>4</w:t>
      </w:r>
      <w:r>
        <w:t>─HCOO</w:t>
      </w:r>
      <w:r>
        <w:t xml:space="preserve"> </w:t>
      </w:r>
      <w:r>
        <w:t>─</w:t>
      </w:r>
      <w:r>
        <w:t xml:space="preserve"> </w:t>
      </w:r>
      <w:r>
        <w:t>），外亥姆霍兹平面（OHP）的刚性氢键网络被破坏，从而促进与自由水分子的直接相互作用并增强水解离以进行HER。特别是，氢键网络的破坏降低了气液界面张力</w:t>
      </w:r>
    </w:p>
    <w:p>
      <w:pPr>
        <w:spacing w:before="0" w:after="200" w:lineRule="auto" w:line="276"/>
      </w:pPr>
      <w:r>
        <w:rPr>
          <w:b/>
        </w:rPr>
        <w:t xml:space="preserve">Abstract (EN): </w:t>
      </w:r>
      <w:r>
        <w:t>The key challenges in direct seawater electrolysis for hydrogen evolution reaction (HER) are the substantially high energy demands for water dissociation and preventing catalyst surface precipitation. By grafting formate groups onto the NiFe</w:t>
      </w:r>
      <w:r>
        <w:rPr>
          <w:vertAlign w:val="subscript"/>
        </w:rPr>
        <w:t>2</w:t>
      </w:r>
      <w:r>
        <w:t>O</w:t>
      </w:r>
      <w:r>
        <w:rPr>
          <w:vertAlign w:val="subscript"/>
        </w:rPr>
        <w:t>4</w:t>
      </w:r>
      <w:r>
        <w:t>spinel surface (NiFe</w:t>
      </w:r>
      <w:r>
        <w:rPr>
          <w:vertAlign w:val="subscript"/>
        </w:rPr>
        <w:t>2</w:t>
      </w:r>
      <w:r>
        <w:t>O</w:t>
      </w:r>
      <w:r>
        <w:rPr>
          <w:vertAlign w:val="subscript"/>
        </w:rPr>
        <w:t>4</w:t>
      </w:r>
      <w:r>
        <w:t>─HCOO</w:t>
      </w:r>
      <w:r>
        <w:t xml:space="preserve"> </w:t>
      </w:r>
      <w:r>
        <w:t>─</w:t>
      </w:r>
      <w:r>
        <w:t xml:space="preserve"> </w:t>
      </w:r>
      <w:r>
        <w:t>), the rigid hydrogen‐bond network at the outer Helmholtz plane (OHP) are disrupted, which facilitates direct interaction with free water molecules and enhances water dissociation for HER. Especially, hydrogen‐bond network disruption reduces gas–liquid interfacial tension, enabling self‐cleaning by releasing dense bubbles to remove Ca</w:t>
      </w:r>
      <w:r>
        <w:t xml:space="preserve"> </w:t>
      </w:r>
      <w:r>
        <w:t>2+</w:t>
      </w:r>
      <w:r>
        <w:t xml:space="preserve"> </w:t>
      </w:r>
      <w:r>
        <w:t>/Mg</w:t>
      </w:r>
      <w:r>
        <w:t xml:space="preserve"> </w:t>
      </w:r>
      <w:r>
        <w:t>2+</w:t>
      </w:r>
      <w:r>
        <w:t xml:space="preserve"> </w:t>
      </w:r>
      <w:r>
        <w:t>precipitates, along with enhanced bubble separation. This dual function preserves the active sites of NiFe</w:t>
      </w:r>
      <w:r>
        <w:rPr>
          <w:vertAlign w:val="subscript"/>
        </w:rPr>
        <w:t>2</w:t>
      </w:r>
      <w:r>
        <w:t>O</w:t>
      </w:r>
      <w:r>
        <w:rPr>
          <w:vertAlign w:val="subscript"/>
        </w:rPr>
        <w:t>4</w:t>
      </w:r>
      <w:r>
        <w:t>─HCOO</w:t>
      </w:r>
      <w:r>
        <w:t xml:space="preserve"> </w:t>
      </w:r>
      <w:r>
        <w:t>─</w:t>
      </w:r>
      <w:r>
        <w:t xml:space="preserve"> </w:t>
      </w:r>
      <w:r>
        <w:t>for sustained seawater electrolysis. Benefiting from above, the synthesized NiFe</w:t>
      </w:r>
      <w:r>
        <w:rPr>
          <w:vertAlign w:val="subscript"/>
        </w:rPr>
        <w:t>2</w:t>
      </w:r>
      <w:r>
        <w:t>O</w:t>
      </w:r>
      <w:r>
        <w:rPr>
          <w:vertAlign w:val="subscript"/>
        </w:rPr>
        <w:t>4</w:t>
      </w:r>
      <w:r>
        <w:t>─HCOO</w:t>
      </w:r>
      <w:r>
        <w:t xml:space="preserve"> </w:t>
      </w:r>
      <w:r>
        <w:t>─</w:t>
      </w:r>
      <w:r>
        <w:t xml:space="preserve"> </w:t>
      </w:r>
      <w:r>
        <w:t>delivers −1.0 A cm</w:t>
      </w:r>
      <w:r>
        <w:t xml:space="preserve"> </w:t>
      </w:r>
      <w:r>
        <w:t>−2</w:t>
      </w:r>
      <w:r>
        <w:t xml:space="preserve"> </w:t>
      </w:r>
      <w:r>
        <w:t>at just 435 mV in alkaline seawater while maintaining exceptional stability over 1000 h and can be deployed in anion exchange membrane (AEM) electrolyzers with the technical and economic analysis (TEA) indicating the low cost of hydrogen production. Furthermore, this study confirms the technical feasibility of the simultaneous electrosynthesis of high‐value magnesium hydroxide and hydrogen from natural seawater.</w:t>
      </w:r>
    </w:p>
    <w:p>
      <w:pPr>
        <w:spacing w:before="120" w:after="120"/>
      </w:pPr>
      <w:r>
        <w:rPr>
          <w:sz w:val="18"/>
        </w:rPr>
        <w:t>——————————————————————————————————————————————————————————————————————</w:t>
      </w:r>
    </w:p>
    <w:p>
      <w:pPr>
        <w:spacing w:before="160" w:after="40" w:line="240" w:lineRule="auto"/>
      </w:pPr>
      <w:r>
        <w:rPr>
          <w:b/>
        </w:rPr>
        <w:t xml:space="preserve">[15] </w:t>
      </w:r>
      <w:hyperlink r:id="rId187">
        <w:r>
          <w:rPr>
            <w:color w:val="1155CC"/>
            <w:u w:val="single"/>
          </w:rPr>
          <w:t>面向燃料电池混合动力电动车的智能能源管理：拓扑结构、感知、决策和连接系统的进展</w:t>
        </w:r>
      </w:hyperlink>
    </w:p>
    <w:p>
      <w:pPr>
        <w:spacing w:before="0" w:after="80"/>
      </w:pPr>
      <w:r>
        <w:rPr>
          <w:i/>
          <w:sz w:val="20"/>
        </w:rPr>
        <w:t>EN: Toward intelligent energy management for fuel cell hybrid electric vehicles: Advances in topologies, perception, decision, and connected systems</w:t>
      </w:r>
    </w:p>
    <w:p>
      <w:pPr>
        <w:spacing w:before="0" w:after="120"/>
      </w:pPr>
      <w:r>
        <w:rPr>
          <w:b/>
        </w:rPr>
        <w:t xml:space="preserve">Source: </w:t>
      </w:r>
      <w:r>
        <w:t>ScienceDirect Publication: Applied Energy</w:t>
      </w:r>
      <w:r>
        <w:t xml:space="preserve">    </w:t>
      </w:r>
      <w:r>
        <w:rPr>
          <w:b/>
        </w:rPr>
        <w:t xml:space="preserve">Pub date: </w:t>
      </w:r>
      <w:r>
        <w:t>2026-03-19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88">
        <w:r>
          <w:rPr>
            <w:color w:val="1155CC"/>
            <w:u w:val="single"/>
          </w:rPr>
          <w:t>考虑多时间尺度不确定性和氢气整合的综合能源系统的稳健容量优化和低碳改造</w:t>
        </w:r>
      </w:hyperlink>
    </w:p>
    <w:p>
      <w:pPr>
        <w:spacing w:before="0" w:after="80"/>
      </w:pPr>
      <w:r>
        <w:rPr>
          <w:i/>
          <w:sz w:val="20"/>
        </w:rPr>
        <w:t>EN: Robust capacity optimization and low-carbon retrofit of integrated energy systems considering multi-timescale uncertainties and hydrogen integration</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89">
        <w:r>
          <w:rPr>
            <w:color w:val="1155CC"/>
            <w:u w:val="single"/>
          </w:rPr>
          <w:t>时间分辨率很重要：评估商业建筑中碳排放因子的准确核算</w:t>
        </w:r>
      </w:hyperlink>
    </w:p>
    <w:p>
      <w:pPr>
        <w:spacing w:before="0" w:after="80"/>
      </w:pPr>
      <w:r>
        <w:rPr>
          <w:i/>
          <w:sz w:val="20"/>
        </w:rPr>
        <w:t>EN: Temporal resolution matters: Evaluating carbon emission factors for accurate accounting in commercial buildings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90">
        <w:r>
          <w:rPr>
            <w:color w:val="1155CC"/>
            <w:u w:val="single"/>
          </w:rPr>
          <w:t>航空脱碳情景的数值优化：在成熟的能源载体和飞机技术下平衡交通和排放</w:t>
        </w:r>
      </w:hyperlink>
    </w:p>
    <w:p>
      <w:pPr>
        <w:spacing w:before="0" w:after="80"/>
      </w:pPr>
      <w:r>
        <w:rPr>
          <w:i/>
          <w:sz w:val="20"/>
        </w:rPr>
        <w:t>EN: Numerical optimization of aviation decarbonization scenarios: balancing traffic and emissions with maturing energy carriers and aircraft technology</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91">
        <w:r>
          <w:rPr>
            <w:color w:val="1155CC"/>
            <w:u w:val="single"/>
          </w:rPr>
          <w:t>碳减排、能源转型和材料管理的协同治理：一种因子非确定性碳-能源-金属纽带优化模型</w:t>
        </w:r>
      </w:hyperlink>
    </w:p>
    <w:p>
      <w:pPr>
        <w:spacing w:before="0" w:after="80"/>
      </w:pPr>
      <w:r>
        <w:rPr>
          <w:i/>
          <w:sz w:val="20"/>
        </w:rPr>
        <w:t>EN: Collaborative governance of carbon mitigation, energy transition, and material management: A factorial non-deterministic carbon-energy-metal nexus optimization model</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92">
        <w:r>
          <w:rPr>
            <w:color w:val="1155CC"/>
            <w:u w:val="single"/>
          </w:rPr>
          <w:t>印度各邦在电力脱碳方面表现如何？基于消费的分解分析在次国家层面</w:t>
        </w:r>
      </w:hyperlink>
    </w:p>
    <w:p>
      <w:pPr>
        <w:spacing w:before="0" w:after="80"/>
      </w:pPr>
      <w:r>
        <w:rPr>
          <w:i/>
          <w:sz w:val="20"/>
        </w:rPr>
        <w:t>EN: How do Indian states fare in electricity decarbonization? A consumption-based decomposition analysis at subnational level</w:t>
      </w:r>
    </w:p>
    <w:p>
      <w:pPr>
        <w:spacing w:before="0" w:after="120"/>
      </w:pPr>
      <w:r>
        <w:rPr>
          <w:b/>
        </w:rPr>
        <w:t xml:space="preserve">Source: </w:t>
      </w:r>
      <w:r>
        <w:t>ScienceDirect Publication: Energy Policy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93">
        <w:r>
          <w:rPr>
            <w:color w:val="1155CC"/>
            <w:u w:val="single"/>
          </w:rPr>
          <w:t>中国石化工厂的二氧化碳排放和碳中和生产的高影响贡献者</w:t>
        </w:r>
      </w:hyperlink>
    </w:p>
    <w:p>
      <w:pPr>
        <w:spacing w:before="0" w:after="80"/>
      </w:pPr>
      <w:r>
        <w:rPr>
          <w:i/>
          <w:sz w:val="20"/>
        </w:rPr>
        <w:t>EN: China’s petrochemical plants’ CO2 emissions and high-impact contributors for carbon-neutrality production</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194">
        <w:r>
          <w:rPr>
            <w:color w:val="1155CC"/>
            <w:u w:val="single"/>
          </w:rPr>
          <w:t>10.1126/sciadv.adx7784</w:t>
        </w:r>
      </w:hyperlink>
    </w:p>
    <w:p>
      <w:pPr>
        <w:spacing w:before="0" w:after="120"/>
      </w:pPr>
      <w:r>
        <w:rPr>
          <w:b/>
        </w:rPr>
        <w:t xml:space="preserve">Notes: </w:t>
      </w:r>
      <w:r>
        <w:t>abstract_source=crossref</w:t>
      </w:r>
    </w:p>
    <w:p>
      <w:pPr>
        <w:spacing w:before="0" w:after="80" w:lineRule="auto" w:line="276"/>
      </w:pPr>
      <w:r>
        <w:rPr>
          <w:b/>
        </w:rPr>
        <w:t xml:space="preserve">摘要（ZH）: </w:t>
      </w:r>
      <w:r>
        <w:t>2021年，石化行业占全球工业直接CO</w:t>
      </w:r>
      <w:r>
        <w:rPr>
          <w:vertAlign w:val="subscript"/>
        </w:rPr>
        <w:t>2</w:t>
      </w:r>
      <w:r>
        <w:t>排放的15%，其中中国贡献了全球化学品产量的43%，因此在气候变化缓解努力中处于核心地位。然而，缺乏针对中国的、基于过程的评估限制了有针对性的策略。在此，我们对中国3119家石化工厂的CO</w:t>
      </w:r>
      <w:r>
        <w:rPr>
          <w:vertAlign w:val="subscript"/>
        </w:rPr>
        <w:t>2</w:t>
      </w:r>
      <w:r>
        <w:t>排放进行了全面分析，涵盖了123种产品、185种工艺、原料、能源使用和生产链中的产品关系的差异。我们估计2021年的年排放量为813.7百万吨（Mt）CO</w:t>
      </w:r>
      <w:r>
        <w:rPr>
          <w:vertAlign w:val="subscript"/>
        </w:rPr>
        <w:t>2</w:t>
      </w:r>
      <w:r>
        <w:t>（±25%），提供了比以往更精细的区域特定细节。</w:t>
      </w:r>
    </w:p>
    <w:p>
      <w:pPr>
        <w:spacing w:before="0" w:after="200" w:lineRule="auto" w:line="276"/>
      </w:pPr>
      <w:r>
        <w:rPr>
          <w:b/>
        </w:rPr>
        <w:t xml:space="preserve">Abstract (EN): </w:t>
      </w:r>
      <w:r>
        <w:t>The petrochemical sector accounted for 15% of global industrial direct CO</w:t>
      </w:r>
      <w:r>
        <w:rPr>
          <w:vertAlign w:val="subscript"/>
        </w:rPr>
        <w:t>2</w:t>
      </w:r>
      <w:r>
        <w:t>emissions in 2021, with China contributing 43% of global chemical output and therefore being central to climate-change mitigation efforts. However, the lack of China-specific, process-based assessments has constrained targeted strategies. Here, we present a comprehensive CO</w:t>
      </w:r>
      <w:r>
        <w:rPr>
          <w:vertAlign w:val="subscript"/>
        </w:rPr>
        <w:t>2</w:t>
      </w:r>
      <w:r>
        <w:t>emissions analysis of 3119 petrochemical plants in China, capturing variations across 123 products, 185 processes, feedstocks, energy use, and product relationships within production chains. We estimate annual emissions at 813.7 million tonnes (Mt) CO</w:t>
      </w:r>
      <w:r>
        <w:rPr>
          <w:vertAlign w:val="subscript"/>
        </w:rPr>
        <w:t>2</w:t>
      </w:r>
      <w:r>
        <w:t>(±25%) in 2021, offering refined region-specific details beyond previous global or national assessments. We identify distinct emission hotspots at specific processes and product-chain stages, where low-carbon substitutions in feedstocks and reactions can reduce carbon intensity by up to 2.9 tonnes of CO</w:t>
      </w:r>
      <w:r>
        <w:rPr>
          <w:vertAlign w:val="subscript"/>
        </w:rPr>
        <w:t>2</w:t>
      </w:r>
      <w:r>
        <w:t>per tonne of product, while key stages in integrated complexes can account for up to 50% of chain emissions. These findings highlight the need for coordinated, chain-wide interventions to enable decarbonization.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95">
        <w:r>
          <w:rPr>
            <w:color w:val="1155CC"/>
            <w:u w:val="single"/>
          </w:rPr>
          <w:t>迈向可扩展的空气和海水电化学CO2捕获：统一的技术经济框架和设计指南</w:t>
        </w:r>
      </w:hyperlink>
    </w:p>
    <w:p>
      <w:pPr>
        <w:spacing w:before="0" w:after="80"/>
      </w:pPr>
      <w:r>
        <w:rPr>
          <w:i/>
          <w:sz w:val="20"/>
        </w:rPr>
        <w:t>EN: Toward scalable electrochemical CO2 capture from air and oceanwater: a unified techno-economic framework and design guidelines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74">
        <w:r>
          <w:rPr>
            <w:color w:val="1155CC"/>
            <w:u w:val="single"/>
          </w:rPr>
          <w:t>战略绿色技术的政策驱动创新路径：以韩国的氢气和碳捕获、利用与储存（CCUS）为例</w:t>
        </w:r>
      </w:hyperlink>
    </w:p>
    <w:p>
      <w:pPr>
        <w:spacing w:before="0" w:after="80"/>
      </w:pPr>
      <w:r>
        <w:rPr>
          <w:i/>
          <w:sz w:val="20"/>
        </w:rPr>
        <w:t>EN: Policy-driven innovation pathways for strategic green technologies: The case of hydrogen and carbon capture, utilization, and storage (CCUS) in South Korea</w:t>
      </w:r>
    </w:p>
    <w:p>
      <w:pPr>
        <w:spacing w:before="0" w:after="120"/>
      </w:pPr>
      <w:r>
        <w:rPr>
          <w:b/>
        </w:rPr>
        <w:t xml:space="preserve">Source: </w:t>
      </w:r>
      <w:r>
        <w:t>ScienceDirect Publication: Energy Policy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96">
        <w:r>
          <w:rPr>
            <w:color w:val="1155CC"/>
            <w:u w:val="single"/>
          </w:rPr>
          <w:t>[ASAP] 通过原位靶向特异性NMR监测活化中间体实现选择性C–N偶联用于尿素电合成</w:t>
        </w:r>
      </w:hyperlink>
    </w:p>
    <w:p>
      <w:pPr>
        <w:spacing w:before="0" w:after="80"/>
      </w:pPr>
      <w:r>
        <w:rPr>
          <w:i/>
          <w:sz w:val="20"/>
        </w:rPr>
        <w:t>EN: [ASAP] Monitoring Activation Intermediates via Operando Target-Specific NMR Enables Selective C–N Coupling for Urea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2026-03-15 18:00:17+00:00</w:t>
      </w:r>
      <w:r>
        <w:t xml:space="preserve">    </w:t>
      </w:r>
      <w:r>
        <w:rPr>
          <w:b/>
        </w:rPr>
        <w:t xml:space="preserve">DOI: </w:t>
      </w:r>
      <w:hyperlink r:id="rId197">
        <w:r>
          <w:rPr>
            <w:color w:val="1155CC"/>
            <w:u w:val="single"/>
          </w:rPr>
          <w:t>10.1021/jacs.5c20888</w:t>
        </w:r>
      </w:hyperlink>
    </w:p>
    <w:p>
      <w:pPr>
        <w:spacing w:before="0" w:after="120"/>
      </w:pPr>
      <w:r>
        <w:rPr>
          <w:b/>
        </w:rPr>
        <w:t xml:space="preserve">Notes: </w:t>
      </w:r>
      <w:r>
        <w:t>abstract_source=pubmed</w:t>
      </w:r>
    </w:p>
    <w:p>
      <w:pPr>
        <w:spacing w:before="0" w:after="80" w:lineRule="auto" w:line="276"/>
      </w:pPr>
      <w:r>
        <w:rPr>
          <w:b/>
        </w:rPr>
        <w:t xml:space="preserve">摘要（ZH）: </w:t>
      </w:r>
      <w:r>
        <w:t>从CO2和NO3-电催化合成尿素提供了一种可持续的氮-碳途径，但面临复杂的电子转移和副反应的挑战。在此，我们设计了一种SnO2/CuOx异质结催化剂，优化的Sn:Cu比例为1:5.5，记为m-SnO2/CuOx，通过平衡*CO和*NH2OH吸附促进C-N偶联。m-SnO2/CuOx界面能够选择性地将*NO的N端氢化为*NH2OH，同时抑制氢气析出反应和NH3形成。原位红外光谱揭示了CO2在SnO2和NO3-在CuOx上的位点特异性活化。操作1H、13C、15N和17O NMR证实*NH2OH通过*H2NCHO中间体与*CO偶联形成尿素。密度泛函理论计算表明界面电荷重分布</w:t>
      </w:r>
    </w:p>
    <w:p>
      <w:pPr>
        <w:spacing w:before="0" w:after="200" w:lineRule="auto" w:line="276"/>
      </w:pPr>
      <w:r>
        <w:rPr>
          <w:b/>
        </w:rPr>
        <w:t xml:space="preserve">Abstract (EN): </w:t>
      </w:r>
      <w:r>
        <w:t>Electrocatalytic urea synthesis from CO2 and NO3- offers a sustainable nitrogen-carbon route but faces challenges from complex electron transfer and side reactions. Here, we design a SnO2/CuOx heterojunction catalyst with an optimized Sn:Cu ratio of 1:5.5, denoted as m-SnO2/CuOx, to promote C-N coupling by balancing *CO and *NH2OH adsorption. The m-SnO2/CuOx interface enables selective N-terminal hydrogenation of *NO to *NH2OH while suppressing the hydrogen evolution reaction and NH3 formation. In situ infrared spectroscopy reveals the site-specific activation of CO2 on SnO2 and NO3- on CuOx. Operando 1H, 13C, 15N, and 17O NMR confirms that *NH2OH couples with *CO via the *H2NCHO intermediate to form urea. Density functional theory calculations indicate that interfacial charge redistribution lowers energy barriers and stabilizes intermediates. The optimized catalyst delivers a urea yield of 215 mmol g-1 h-1 and a Faradaic efficiency of 72.18%. This study underscores the role of rational catalyst design, together with operando insights, in advancing efficient electrocatalytic urea production.</w:t>
      </w:r>
    </w:p>
    <w:p>
      <w:pPr>
        <w:spacing w:before="120" w:after="120"/>
      </w:pPr>
      <w:r>
        <w:rPr>
          <w:sz w:val="18"/>
        </w:rPr>
        <w:t>——————————————————————————————————————————————————————————————————————</w:t>
      </w:r>
    </w:p>
    <w:p>
      <w:pPr>
        <w:spacing w:before="160" w:after="40" w:line="240" w:lineRule="auto"/>
      </w:pPr>
      <w:r>
        <w:rPr>
          <w:b/>
        </w:rPr>
        <w:t xml:space="preserve">[4] </w:t>
      </w:r>
      <w:hyperlink r:id="rId141">
        <w:r>
          <w:rPr>
            <w:color w:val="1155CC"/>
            <w:u w:val="single"/>
          </w:rPr>
          <w:t>通过集成质子耦合电子转移诱导的碳捕获和利用实现能量增强的水性有机流动电池</w:t>
        </w:r>
      </w:hyperlink>
    </w:p>
    <w:p>
      <w:pPr>
        <w:spacing w:before="0" w:after="80"/>
      </w:pPr>
      <w:r>
        <w:rPr>
          <w:i/>
          <w:sz w:val="20"/>
        </w:rPr>
        <w:t>EN: Energy‐Enhanced Aqueous Organic Flow Batteries Enabled by Integrated Proton‐Coupled Electron Transfer‐Induced Carbon Capture and Utilization</w:t>
      </w:r>
    </w:p>
    <w:p>
      <w:pPr>
        <w:spacing w:before="0" w:after="120"/>
      </w:pPr>
      <w:r>
        <w:rPr>
          <w:b/>
        </w:rPr>
        <w:t xml:space="preserve">Source: </w:t>
      </w:r>
      <w:r>
        <w:t>Wiley: Advanced Energy Materials: Table of Contents</w:t>
      </w:r>
      <w:r>
        <w:t xml:space="preserve">    </w:t>
      </w:r>
      <w:r>
        <w:rPr>
          <w:b/>
        </w:rPr>
        <w:t xml:space="preserve">Pub date: </w:t>
      </w:r>
      <w:r>
        <w:t>2026-03-16 05:39:03+00:00</w:t>
      </w:r>
      <w:r>
        <w:t xml:space="preserve">    </w:t>
      </w:r>
      <w:r>
        <w:rPr>
          <w:b/>
        </w:rPr>
        <w:t xml:space="preserve">DOI: </w:t>
      </w:r>
      <w:hyperlink r:id="rId142">
        <w:r>
          <w:rPr>
            <w:color w:val="1155CC"/>
            <w:u w:val="single"/>
          </w:rPr>
          <w:t>10.1002/aenm.202506006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有机氧化还原液流电池为储存来自间歇性可再生能源的大量电力提供了一种安全、可扩展且潜在的低成本解决方案。同时，在常温常压下运行，使用水性氧化还原吸附剂的电化学诱导碳捕获最近作为一种低能耗的气候变化缓解技术出现。在水性有机流系统中整合这两种技术代表了一条实现脱碳的统一途径。在此，采用经历质子耦合电子转移的有机分子作为氧化还原物质，我们建立了水性全有机流电池系统，实现了增强的能量存储以及耦合的CO</w:t>
      </w:r>
      <w:r>
        <w:rPr>
          <w:vertAlign w:val="subscript"/>
        </w:rPr>
        <w:t>2</w:t>
      </w:r>
    </w:p>
    <w:p>
      <w:pPr>
        <w:spacing w:before="0" w:after="200" w:lineRule="auto" w:line="276"/>
      </w:pPr>
      <w:r>
        <w:rPr>
          <w:b/>
        </w:rPr>
        <w:t xml:space="preserve">Abstract (EN): </w:t>
      </w:r>
      <w:r>
        <w:t>Aqueous organic redox flow batteries offer a safe, scalable, and potentially cost‐effective solution for storing massive electricity from intermittent renewables. Meanwhile, operating at ambient temperature and pressure, electrochemically induced carbon capture using aqueous redox sorbents in flow systems has recently emerged as a low‐energy technology for climate change mitigation. Integrating these two technologies within an aqueous organic flow system represents a unified route to achieving decarbonization. Here, employing organic molecules undergoing proton‐coupled electron transfer as redox species, we establish aqueous all‐organic flow battery systems that achieve enhanced energy storage as well as coupled CO</w:t>
      </w:r>
      <w:r>
        <w:rPr>
          <w:vertAlign w:val="subscript"/>
        </w:rPr>
        <w:t>2</w:t>
      </w:r>
      <w:r>
        <w:t>capture and utilization. During discharge, CO</w:t>
      </w:r>
      <w:r>
        <w:rPr>
          <w:vertAlign w:val="subscript"/>
        </w:rPr>
        <w:t>2</w:t>
      </w:r>
      <w:r>
        <w:t>from simulated flue gas is captured as HCO</w:t>
      </w:r>
      <w:r>
        <w:rPr>
          <w:vertAlign w:val="subscript"/>
        </w:rPr>
        <w:t>3</w:t>
      </w:r>
      <w:r>
        <w:t>−</w:t>
      </w:r>
      <w:r>
        <w:t>by the oxygen‐tolerant positive electrolyte (posolyte). The buffered posolyte prevents negative shifts in its redox potential, elevating a flow cell voltage up to 1.32 V, and enhancing discharge energy by at most 24.3% compared to operations under N</w:t>
      </w:r>
      <w:r>
        <w:rPr>
          <w:vertAlign w:val="subscript"/>
        </w:rPr>
        <w:t>2</w:t>
      </w:r>
      <w:r>
        <w:t>. During charge, CO</w:t>
      </w:r>
      <w:r>
        <w:rPr>
          <w:vertAlign w:val="subscript"/>
        </w:rPr>
        <w:t>2</w:t>
      </w:r>
      <w:r>
        <w:t>is released with a CO</w:t>
      </w:r>
      <w:r>
        <w:rPr>
          <w:vertAlign w:val="subscript"/>
        </w:rPr>
        <w:t>2</w:t>
      </w:r>
      <w:r>
        <w:t>/</w:t>
      </w:r>
      <w:r>
        <w:t>e</w:t>
      </w:r>
      <w:r>
        <w:t xml:space="preserve"> </w:t>
      </w:r>
      <w:r>
        <w:t>molar ratio approaching unity at an energy cost of 30.65 kJ mol</w:t>
      </w:r>
      <w:r>
        <w:t xml:space="preserve"> </w:t>
      </w:r>
      <w:r>
        <w:t>−1</w:t>
      </w:r>
      <w:r>
        <w:t xml:space="preserve"> </w:t>
      </w:r>
      <w:r>
        <w:t>CO</w:t>
      </w:r>
      <w:r>
        <w:rPr>
          <w:vertAlign w:val="subscript"/>
        </w:rPr>
        <w:t>2</w:t>
      </w:r>
      <w:r>
        <w:t>. As a proof‐of‐concept, our work establishes a new paradigm for integrating enhanced energy storage with carbon capture, utilization, and storage, paving the way for next‐generation multifunctional electrochemical redox flow systems.</w:t>
      </w:r>
    </w:p>
    <w:p>
      <w:pPr>
        <w:spacing w:before="120" w:after="120"/>
      </w:pPr>
      <w:r>
        <w:rPr>
          <w:sz w:val="18"/>
        </w:rPr>
        <w:t>——————————————————————————————————————————————————————————————————————</w:t>
      </w:r>
    </w:p>
    <w:p>
      <w:pPr>
        <w:spacing w:before="160" w:after="40" w:line="240" w:lineRule="auto"/>
      </w:pPr>
      <w:r>
        <w:rPr>
          <w:b/>
        </w:rPr>
        <w:t xml:space="preserve">[5] </w:t>
      </w:r>
      <w:hyperlink r:id="rId198">
        <w:r>
          <w:rPr>
            <w:color w:val="1155CC"/>
            <w:u w:val="single"/>
          </w:rPr>
          <w:t>HEDP改性Cu2O催化剂在酸性CO2电还原中实现高效C2+产物形成</w:t>
        </w:r>
      </w:hyperlink>
    </w:p>
    <w:p>
      <w:pPr>
        <w:spacing w:before="0" w:after="80"/>
      </w:pPr>
      <w:r>
        <w:rPr>
          <w:i/>
          <w:sz w:val="20"/>
        </w:rPr>
        <w:t>EN: HEDP‐Modified Cu2O Catalyst Enables Efficient C2+ Product Formation in Acidic CO2 Electroreduction</w:t>
      </w:r>
    </w:p>
    <w:p>
      <w:pPr>
        <w:spacing w:before="0" w:after="120"/>
      </w:pPr>
      <w:r>
        <w:rPr>
          <w:b/>
        </w:rPr>
        <w:t xml:space="preserve">Source: </w:t>
      </w:r>
      <w:r>
        <w:t>Wiley: Advanced Energy Materials: Table of Contents</w:t>
      </w:r>
      <w:r>
        <w:t xml:space="preserve">    </w:t>
      </w:r>
      <w:r>
        <w:rPr>
          <w:b/>
        </w:rPr>
        <w:t xml:space="preserve">Pub date: </w:t>
      </w:r>
      <w:r>
        <w:t>2026-03-16 05:41:56+00:00</w:t>
      </w:r>
      <w:r>
        <w:t xml:space="preserve">    </w:t>
      </w:r>
      <w:r>
        <w:rPr>
          <w:b/>
        </w:rPr>
        <w:t xml:space="preserve">DOI: </w:t>
      </w:r>
      <w:hyperlink r:id="rId199">
        <w:r>
          <w:rPr>
            <w:color w:val="1155CC"/>
            <w:u w:val="single"/>
          </w:rPr>
          <w:t>10.1002/aenm.202504508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酸性条件下，高效电催化CO2还原（ECR）为多碳（C2+）产品需要抑制竞争的氢气析出反应，这可以通过在电解质中溶解高浓度的钾离子（K+）来实现。然而，这种过量的盐离子会产生不需要的副产物，抵消了长期使用的效率优势。在此，我们展示了一种策略，通过用羟基乙烷二膦酸（HEDP）修饰Cu2O来诱导高K+微环境，从而实现高效</w:t>
      </w:r>
    </w:p>
    <w:p>
      <w:pPr>
        <w:spacing w:before="0" w:after="200" w:lineRule="auto" w:line="276"/>
      </w:pPr>
      <w:r>
        <w:rPr>
          <w:b/>
        </w:rPr>
        <w:t xml:space="preserve">Abstract (EN): </w:t>
      </w:r>
      <w:r>
        <w:t>Efficient electrocatalytic CO</w:t>
      </w:r>
      <w:r>
        <w:rPr>
          <w:vertAlign w:val="subscript"/>
        </w:rPr>
        <w:t>2</w:t>
      </w:r>
      <w:r>
        <w:t>reduction (ECR) to multi‐carbon (C</w:t>
      </w:r>
      <w:r>
        <w:t xml:space="preserve"> </w:t>
      </w:r>
      <w:r>
        <w:t>2+</w:t>
      </w:r>
      <w:r>
        <w:t xml:space="preserve"> </w:t>
      </w:r>
      <w:r>
        <w:t>) products under acidic conditions requires suppression of the competing hydrogen evolution reaction, which can be achieved with high concentrations of potassium ions (K</w:t>
      </w:r>
      <w:r>
        <w:t xml:space="preserve"> </w:t>
      </w:r>
      <w:r>
        <w:t>+</w:t>
      </w:r>
      <w:r>
        <w:t xml:space="preserve"> </w:t>
      </w:r>
      <w:r>
        <w:t>) dissolved in the electrolyte. However, this excess of salt ions generates unwanted byproducts, negating the advantage of efficiency over extended use. Herein, we demonstrate a strategy to modify Cu</w:t>
      </w:r>
      <w:r>
        <w:rPr>
          <w:vertAlign w:val="subscript"/>
        </w:rPr>
        <w:t>2</w:t>
      </w:r>
      <w:r>
        <w:t>O with hydroxyethanediphosphonic acid (HEDP) to induce a high K</w:t>
      </w:r>
      <w:r>
        <w:t xml:space="preserve"> </w:t>
      </w:r>
      <w:r>
        <w:t>+</w:t>
      </w:r>
      <w:r>
        <w:t xml:space="preserve"> </w:t>
      </w:r>
      <w:r>
        <w:t>microenvironment, thereby enabling efficient CO</w:t>
      </w:r>
      <w:r>
        <w:rPr>
          <w:vertAlign w:val="subscript"/>
        </w:rPr>
        <w:t>2</w:t>
      </w:r>
      <w:r>
        <w:t>conversion to C</w:t>
      </w:r>
      <w:r>
        <w:t xml:space="preserve"> </w:t>
      </w:r>
      <w:r>
        <w:t>2+</w:t>
      </w:r>
      <w:r>
        <w:t xml:space="preserve"> </w:t>
      </w:r>
      <w:r>
        <w:t>products, even at low K</w:t>
      </w:r>
      <w:r>
        <w:t xml:space="preserve"> </w:t>
      </w:r>
      <w:r>
        <w:t>+</w:t>
      </w:r>
      <w:r>
        <w:t xml:space="preserve"> </w:t>
      </w:r>
      <w:r>
        <w:t>concentrations. In a 3.0</w:t>
      </w:r>
      <w:r>
        <w:t xml:space="preserve"> </w:t>
      </w:r>
      <w:r>
        <w:t>M</w:t>
      </w:r>
      <w:r>
        <w:t xml:space="preserve"> </w:t>
      </w:r>
      <w:r>
        <w:t>K</w:t>
      </w:r>
      <w:r>
        <w:t xml:space="preserve"> </w:t>
      </w:r>
      <w:r>
        <w:t>+</w:t>
      </w:r>
      <w:r>
        <w:t xml:space="preserve"> </w:t>
      </w:r>
      <w:r>
        <w:t>electrolyte (pH 1.0), a faradaic efficiency (FE) of 79.3% for C</w:t>
      </w:r>
      <w:r>
        <w:t xml:space="preserve"> </w:t>
      </w:r>
      <w:r>
        <w:t>2+</w:t>
      </w:r>
      <w:r>
        <w:t xml:space="preserve"> </w:t>
      </w:r>
      <w:r>
        <w:t>products was achieved at a current density of −700 mA cm</w:t>
      </w:r>
      <w:r>
        <w:t xml:space="preserve"> </w:t>
      </w:r>
      <w:r>
        <w:t>−2</w:t>
      </w:r>
      <w:r>
        <w:t xml:space="preserve"> </w:t>
      </w:r>
      <w:r>
        <w:t>. Notably, after activation in a K</w:t>
      </w:r>
      <w:r>
        <w:t xml:space="preserve"> </w:t>
      </w:r>
      <w:r>
        <w:t>+</w:t>
      </w:r>
      <w:r>
        <w:t xml:space="preserve"> </w:t>
      </w:r>
      <w:r>
        <w:t>‐containing electrolyte, the FE for C</w:t>
      </w:r>
      <w:r>
        <w:t xml:space="preserve"> </w:t>
      </w:r>
      <w:r>
        <w:t>2+</w:t>
      </w:r>
      <w:r>
        <w:t xml:space="preserve"> </w:t>
      </w:r>
      <w:r>
        <w:t>products can still reach 50% even in a K</w:t>
      </w:r>
      <w:r>
        <w:t xml:space="preserve"> </w:t>
      </w:r>
      <w:r>
        <w:t>+</w:t>
      </w:r>
      <w:r>
        <w:t xml:space="preserve"> </w:t>
      </w:r>
      <w:r>
        <w:t>‐free electrolyte (1 m</w:t>
      </w:r>
      <w:r>
        <w:t xml:space="preserve"> </w:t>
      </w:r>
      <w:r>
        <w:t>M</w:t>
      </w:r>
      <w:r>
        <w:t xml:space="preserve"> </w:t>
      </w:r>
      <w:r>
        <w:t>H</w:t>
      </w:r>
      <w:r>
        <w:rPr>
          <w:vertAlign w:val="subscript"/>
        </w:rPr>
        <w:t>2</w:t>
      </w:r>
      <w:r>
        <w:t>SO</w:t>
      </w:r>
      <w:r>
        <w:rPr>
          <w:vertAlign w:val="subscript"/>
        </w:rPr>
        <w:t>4</w:t>
      </w:r>
      <w:r>
        <w:t>), while the FE for H</w:t>
      </w:r>
      <w:r>
        <w:rPr>
          <w:vertAlign w:val="subscript"/>
        </w:rPr>
        <w:t>2</w:t>
      </w:r>
      <w:r>
        <w:t>remains below 15%. Experimental and first‐principles calculations revealed that HEDP facilitated K</w:t>
      </w:r>
      <w:r>
        <w:t xml:space="preserve"> </w:t>
      </w:r>
      <w:r>
        <w:t>+</w:t>
      </w:r>
      <w:r>
        <w:t xml:space="preserve"> </w:t>
      </w:r>
      <w:r>
        <w:t>enrichment on the catalyst interface, induced a higher local pH microenvironment, and promoted C−C coupling. Our interfacial microenvironment optimization strategy harnesses the critical role of the electrode‐electrolyte interface in promoting efficient CO</w:t>
      </w:r>
      <w:r>
        <w:rPr>
          <w:vertAlign w:val="subscript"/>
        </w:rPr>
        <w:t>2</w:t>
      </w:r>
      <w:r>
        <w:t>electroreduction to C</w:t>
      </w:r>
      <w:r>
        <w:t xml:space="preserve"> </w:t>
      </w:r>
      <w:r>
        <w:t>2+</w:t>
      </w:r>
      <w:r>
        <w:t xml:space="preserve"> </w:t>
      </w:r>
      <w:r>
        <w:t>products under acidic conditions with low K</w:t>
      </w:r>
      <w:r>
        <w:t xml:space="preserve"> </w:t>
      </w:r>
      <w:r>
        <w:t>+</w:t>
      </w:r>
      <w:r>
        <w:t xml:space="preserve"> </w:t>
      </w:r>
      <w:r>
        <w:t>concentrations.</w:t>
      </w:r>
    </w:p>
    <w:p>
      <w:pPr>
        <w:spacing w:before="120" w:after="120"/>
      </w:pPr>
      <w:r>
        <w:rPr>
          <w:sz w:val="18"/>
        </w:rPr>
        <w:t>——————————————————————————————————————————————————————————————————————</w:t>
      </w:r>
    </w:p>
    <w:p>
      <w:pPr>
        <w:spacing w:before="160" w:after="40" w:line="240" w:lineRule="auto"/>
      </w:pPr>
      <w:r>
        <w:rPr>
          <w:b/>
        </w:rPr>
        <w:t xml:space="preserve">[6] </w:t>
      </w:r>
      <w:hyperlink r:id="rId200">
        <w:r>
          <w:rPr>
            <w:color w:val="1155CC"/>
            <w:u w:val="single"/>
          </w:rPr>
          <w:t>通过孔限三苯基膦稳定银单原子位点用于高底物特异性的CO2转化</w:t>
        </w:r>
      </w:hyperlink>
    </w:p>
    <w:p>
      <w:pPr>
        <w:spacing w:before="0" w:after="80"/>
      </w:pPr>
      <w:r>
        <w:rPr>
          <w:i/>
          <w:sz w:val="20"/>
        </w:rPr>
        <w:t>EN: Stabilizing Silver Single‐Atom Site via A Pore‐Confined Triphenylphosphine for CO2 Conversion With High Substrate‐Specificity</w:t>
      </w:r>
    </w:p>
    <w:p>
      <w:pPr>
        <w:spacing w:before="0" w:after="120"/>
      </w:pPr>
      <w:r>
        <w:rPr>
          <w:b/>
        </w:rPr>
        <w:t xml:space="preserve">Source: </w:t>
      </w:r>
      <w:r>
        <w:t>Wiley: Angewandte Chemie International Edition: Table of Contents</w:t>
      </w:r>
      <w:r>
        <w:t xml:space="preserve">    </w:t>
      </w:r>
      <w:r>
        <w:rPr>
          <w:b/>
        </w:rPr>
        <w:t xml:space="preserve">Pub date: </w:t>
      </w:r>
      <w:r>
        <w:t>2026-03-17 10:46:49+00:00</w:t>
      </w:r>
      <w:r>
        <w:t xml:space="preserve">    </w:t>
      </w:r>
      <w:r>
        <w:rPr>
          <w:b/>
        </w:rPr>
        <w:t xml:space="preserve">DOI: </w:t>
      </w:r>
      <w:hyperlink r:id="rId201">
        <w:r>
          <w:rPr>
            <w:color w:val="1155CC"/>
            <w:u w:val="single"/>
          </w:rPr>
          <w:t>10.1002/anie.2079917</w:t>
        </w:r>
      </w:hyperlink>
    </w:p>
    <w:p>
      <w:pPr>
        <w:spacing w:before="0" w:after="120"/>
      </w:pPr>
      <w:r>
        <w:rPr>
          <w:b/>
        </w:rPr>
        <w:t xml:space="preserve">Notes: </w:t>
      </w:r>
      <w:r>
        <w:t>abstract_source=crossref</w:t>
      </w:r>
    </w:p>
    <w:p>
      <w:pPr>
        <w:spacing w:before="0" w:after="80" w:lineRule="auto" w:line="276"/>
      </w:pPr>
      <w:r>
        <w:rPr>
          <w:b/>
        </w:rPr>
        <w:t xml:space="preserve">摘要（ZH）: </w:t>
      </w:r>
      <w:r>
        <w:t>摘要 确保单原子位点在催化条件下的分散和抗聚集仍然是异相催化中的一个关键挑战。在此，我们报告了一种双重限制策略，用于构建基于金属有机框架（MOF）的催化剂MEC-88，通过在MOF-808的孔隙中空间限制三苯基膦（PPh3）以锚定银单原子位点。MEC-88在温和、无添加剂的水相条件下对CO2与苄基取代炔胺的羧化环化表现出卓越的活性和显著的底物选择性，达到高达1051.3 ± 0.7 h−1的周转频率</w:t>
      </w:r>
    </w:p>
    <w:p>
      <w:pPr>
        <w:spacing w:before="0" w:after="200" w:lineRule="auto" w:line="276"/>
      </w:pPr>
      <w:r>
        <w:rPr>
          <w:b/>
        </w:rPr>
        <w:t xml:space="preserve">Abstract (EN): </w:t>
      </w:r>
      <w:r>
        <w:t>Ensuring the dispersion and anti‐aggregation of single‐atom sites under catalytic conditions remains a critical challenge in heterogeneous catalysis. Here, we report a dual‐confinement strategy for constructing a metal–organic framework (MOF) based catalyst, MEC‐88, by spatially confining triphenylphosphine (PPh</w:t>
      </w:r>
      <w:r>
        <w:rPr>
          <w:vertAlign w:val="subscript"/>
        </w:rPr>
        <w:t>3</w:t>
      </w:r>
      <w:r>
        <w:t>) within the pores of MOF‐808 to anchor silver single‐atom sites. MEC‐88 exhibits exceptional activity and pronounced substrate selectivity for the carboxylative cyclization of CO</w:t>
      </w:r>
      <w:r>
        <w:rPr>
          <w:vertAlign w:val="subscript"/>
        </w:rPr>
        <w:t>2</w:t>
      </w:r>
      <w:r>
        <w:t>with benzyl‐substituted propargylamines under mild, additive‐free aqueous conditions, achieving a turnover frequency up to 1051.3 ± 0.7 h</w:t>
      </w:r>
      <w:r>
        <w:t xml:space="preserve"> </w:t>
      </w:r>
      <w:r>
        <w:t>−1</w:t>
      </w:r>
      <w:r>
        <w:t xml:space="preserve"> </w:t>
      </w:r>
      <w:r>
        <w:t>. Moreover, PPh</w:t>
      </w:r>
      <w:r>
        <w:rPr>
          <w:vertAlign w:val="subscript"/>
        </w:rPr>
        <w:t>3</w:t>
      </w:r>
      <w:r>
        <w:t>, as a soft‐base ligand, provides robust coordination to silver atoms, effectively inhibiting their aggregation to endow the catalyst with good recyclability. Mechanistic studies reveal that the PPh</w:t>
      </w:r>
      <w:r>
        <w:rPr>
          <w:vertAlign w:val="subscript"/>
        </w:rPr>
        <w:t>3</w:t>
      </w:r>
      <w:r>
        <w:t>‐coordinated silver site synergizes with the Zr</w:t>
      </w:r>
      <w:r>
        <w:rPr>
          <w:vertAlign w:val="subscript"/>
        </w:rPr>
        <w:t>6</w:t>
      </w:r>
      <w:r>
        <w:t>O</w:t>
      </w:r>
      <w:r>
        <w:rPr>
          <w:vertAlign w:val="subscript"/>
        </w:rPr>
        <w:t>8</w:t>
      </w:r>
      <w:r>
        <w:t>cluster to activate both the alkyne substrate and CO</w:t>
      </w:r>
      <w:r>
        <w:rPr>
          <w:vertAlign w:val="subscript"/>
        </w:rPr>
        <w:t>2</w:t>
      </w:r>
      <w:r>
        <w:t>, substantially lowering the energy barriers for CO</w:t>
      </w:r>
      <w:r>
        <w:rPr>
          <w:vertAlign w:val="subscript"/>
        </w:rPr>
        <w:t>2</w:t>
      </w:r>
      <w:r>
        <w:t>insertion and cyclization. This work presents a molecule‐enhanced confinement approach for designing stable and efficient single‐atom catalysts with controllable substrate‐specificity.</w:t>
      </w:r>
    </w:p>
    <w:p>
      <w:pPr>
        <w:spacing w:before="120" w:after="120"/>
      </w:pPr>
      <w:r>
        <w:rPr>
          <w:sz w:val="18"/>
        </w:rPr>
        <w:t>——————————————————————————————————————————————————————————————————————</w:t>
      </w:r>
    </w:p>
    <w:p>
      <w:pPr>
        <w:spacing w:before="160" w:after="40" w:line="240" w:lineRule="auto"/>
      </w:pPr>
      <w:r>
        <w:rPr>
          <w:b/>
        </w:rPr>
        <w:t xml:space="preserve">[7] </w:t>
      </w:r>
      <w:hyperlink r:id="rId202">
        <w:r>
          <w:rPr>
            <w:color w:val="1155CC"/>
            <w:u w:val="single"/>
          </w:rPr>
          <w:t>在零间隙电解槽中从CO2和生物质衍生碳水化合物高效合成甲酸盐</w:t>
        </w:r>
      </w:hyperlink>
    </w:p>
    <w:p>
      <w:pPr>
        <w:spacing w:before="0" w:after="80"/>
      </w:pPr>
      <w:r>
        <w:rPr>
          <w:i/>
          <w:sz w:val="20"/>
        </w:rPr>
        <w:t>EN: Electron‐Efficient Formate Electrosynthesis from CO2 and Biomass‐Derived Carbohydrates in a Zero‐Gap Electrolyzer</w:t>
      </w:r>
    </w:p>
    <w:p>
      <w:pPr>
        <w:spacing w:before="0" w:after="120"/>
      </w:pPr>
      <w:r>
        <w:rPr>
          <w:b/>
        </w:rPr>
        <w:t xml:space="preserve">Source: </w:t>
      </w:r>
      <w:r>
        <w:t>Wiley: Angewandte Chemie International Edition: Table of Contents</w:t>
      </w:r>
      <w:r>
        <w:t xml:space="preserve">    </w:t>
      </w:r>
      <w:r>
        <w:rPr>
          <w:b/>
        </w:rPr>
        <w:t xml:space="preserve">Pub date: </w:t>
      </w:r>
      <w:r>
        <w:t>2026-03-17 12:05:13+00:00</w:t>
      </w:r>
      <w:r>
        <w:t xml:space="preserve">    </w:t>
      </w:r>
      <w:r>
        <w:rPr>
          <w:b/>
        </w:rPr>
        <w:t xml:space="preserve">DOI: </w:t>
      </w:r>
      <w:hyperlink r:id="rId203">
        <w:r>
          <w:rPr>
            <w:color w:val="1155CC"/>
            <w:u w:val="single"/>
          </w:rPr>
          <w:t>10.1002/anie.3951875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配对电解正在积极开发中，通过利用双极电极的电子转移来共同生产有价值的化学品。在电化学CO2</w:t>
      </w:r>
      <w:r>
        <w:t xml:space="preserve"> </w:t>
      </w:r>
      <w:r>
        <w:t>还原为甲酸盐的过程中，如果反应与氧气析出反应耦合，甲酸盐在膜电极组件（MEA）电解槽的阳极上会经历严重的交叉和氧化为CO2</w:t>
      </w:r>
      <w:r>
        <w:t xml:space="preserve"> </w:t>
      </w:r>
      <w:r>
        <w:t>。我们报道了一种会聚电解，通过将CO2</w:t>
      </w:r>
      <w:r>
        <w:t xml:space="preserve"> </w:t>
      </w:r>
      <w:r>
        <w:t>还原与生物质衍生的碳水化合物（例如葡萄糖）氧化耦合，在双极电极上生产甲酸盐，最大化电子效率（每e</w:t>
      </w:r>
    </w:p>
    <w:p>
      <w:pPr>
        <w:spacing w:before="0" w:after="200" w:lineRule="auto" w:line="276"/>
      </w:pPr>
      <w:r>
        <w:rPr>
          <w:b/>
        </w:rPr>
        <w:t xml:space="preserve">Abstract (EN): </w:t>
      </w:r>
      <w:r>
        <w:t>Paired electrolysis is being actively developed for co‐producing valuable chemicals by leveraging electron transfer at bipolar electrodes. In electrochemical CO</w:t>
      </w:r>
      <w:r>
        <w:rPr>
          <w:vertAlign w:val="subscript"/>
        </w:rPr>
        <w:t>2</w:t>
      </w:r>
      <w:r>
        <w:t>reduction to formate, if the reaction is coupled with oxygen evolution reaction, formate experiences severe crossover and oxidation to CO</w:t>
      </w:r>
      <w:r>
        <w:rPr>
          <w:vertAlign w:val="subscript"/>
        </w:rPr>
        <w:t>2</w:t>
      </w:r>
      <w:r>
        <w:t>over anode in membrane electrode assembly (MEA) electrolyzer. We reported a convergent electrolysis that produces formate at bipolar electrodes by coupling CO</w:t>
      </w:r>
      <w:r>
        <w:rPr>
          <w:vertAlign w:val="subscript"/>
        </w:rPr>
        <w:t>2</w:t>
      </w:r>
      <w:r>
        <w:t>reduction with biomass‐derived carbohydrate (for example, glucose) oxidation, maximizing the electron efficiency toward formate (0.88 formate per e</w:t>
      </w:r>
      <w:r>
        <w:t xml:space="preserve"> </w:t>
      </w:r>
      <w:r>
        <w:t>−</w:t>
      </w:r>
      <w:r>
        <w:t>) and suppressing oxidation of crossed formate at anode. This convergent electrolysis shows low electricity consumption for formate production (76.5 Wh mol</w:t>
      </w:r>
      <w:r>
        <w:t xml:space="preserve"> </w:t>
      </w:r>
      <w:r>
        <w:t>−1</w:t>
      </w:r>
      <w:r>
        <w:t xml:space="preserve"> </w:t>
      </w:r>
      <w:r>
        <w:t>at 100 mA cm</w:t>
      </w:r>
      <w:r>
        <w:t xml:space="preserve"> </w:t>
      </w:r>
      <w:r>
        <w:t>−2</w:t>
      </w:r>
      <w:r>
        <w:t xml:space="preserve"> </w:t>
      </w:r>
      <w:r>
        <w:t>), lower than that of conventional CO</w:t>
      </w:r>
      <w:r>
        <w:rPr>
          <w:vertAlign w:val="subscript"/>
        </w:rPr>
        <w:t>2</w:t>
      </w:r>
      <w:r>
        <w:t>reduction (180−350 Wh mol</w:t>
      </w:r>
      <w:r>
        <w:t xml:space="preserve"> </w:t>
      </w:r>
      <w:r>
        <w:t>−1</w:t>
      </w:r>
      <w:r>
        <w:t xml:space="preserve"> </w:t>
      </w:r>
      <w:r>
        <w:t>). Furthermore, we extended the convergent electrolysis to acetate production by coupling electrochemical CO reduction with waste polylactic acid plastic oxidation. This work offers a framework for the rational design of paired electrolysis for low electricity consumption of chemical production.</w:t>
      </w:r>
    </w:p>
    <w:p>
      <w:pPr>
        <w:spacing w:before="120" w:after="120"/>
      </w:pPr>
      <w:r>
        <w:rPr>
          <w:sz w:val="18"/>
        </w:rPr>
        <w:t>——————————————————————————————————————————————————————————————————————</w:t>
      </w:r>
    </w:p>
    <w:p>
      <w:pPr>
        <w:spacing w:before="160" w:after="40" w:line="240" w:lineRule="auto"/>
      </w:pPr>
      <w:r>
        <w:rPr>
          <w:b/>
        </w:rPr>
        <w:t xml:space="preserve">[8] </w:t>
      </w:r>
      <w:hyperlink r:id="rId204">
        <w:r>
          <w:rPr>
            <w:color w:val="1155CC"/>
            <w:u w:val="single"/>
          </w:rPr>
          <w:t>在超薄网络聚合物膜中原位创建晶体通道用于加压H2/CO2分离</w:t>
        </w:r>
      </w:hyperlink>
    </w:p>
    <w:p>
      <w:pPr>
        <w:spacing w:before="0" w:after="80"/>
      </w:pPr>
      <w:r>
        <w:rPr>
          <w:i/>
          <w:sz w:val="20"/>
        </w:rPr>
        <w:t>EN: In situ creation of crystalline channels in ultrathin network polymer membranes for pressurized H2/CO2 separation</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205">
        <w:r>
          <w:rPr>
            <w:color w:val="1155CC"/>
            <w:u w:val="single"/>
          </w:rPr>
          <w:t>10.1126/sciadv.aeb4957</w:t>
        </w:r>
      </w:hyperlink>
    </w:p>
    <w:p>
      <w:pPr>
        <w:spacing w:before="0" w:after="120"/>
      </w:pPr>
      <w:r>
        <w:rPr>
          <w:b/>
        </w:rPr>
        <w:t xml:space="preserve">Notes: </w:t>
      </w:r>
      <w:r>
        <w:t>abstract_source=crossref</w:t>
      </w:r>
    </w:p>
    <w:p>
      <w:pPr>
        <w:spacing w:before="0" w:after="80" w:lineRule="auto" w:line="276"/>
      </w:pPr>
      <w:r>
        <w:rPr>
          <w:b/>
        </w:rPr>
        <w:t xml:space="preserve">摘要（ZH）: </w:t>
      </w:r>
      <w:r>
        <w:t>有序通道为在聚合物膜中创建耐受加压和高温条件的气体选择性通道提供了极好的基础。在此，我们提出了一种竞争反应界面聚合（CRIP）方法，用于在超薄网络聚合物膜中原位创建结晶通道，使结晶段紧密附着于无定形聚合物网络。通过控制反应参数来调节膜的分离性能，并系统地表征其微观结构。制备的膜表现出卓越的混合H2/CO2选择性为85，H2每</w:t>
      </w:r>
    </w:p>
    <w:p>
      <w:pPr>
        <w:spacing w:before="0" w:after="200" w:lineRule="auto" w:line="276"/>
      </w:pPr>
      <w:r>
        <w:rPr>
          <w:b/>
        </w:rPr>
        <w:t xml:space="preserve">Abstract (EN): </w:t>
      </w:r>
      <w:r>
        <w:t>Ordered channels provide an excellent foundation for creating gas-selective pathways in polymeric membranes that endure pressurized and high-temperature conditions. Herein, we present a competitive-reaction interfacial polymerization (CRIP) approach to in situ creation of crystalline channels in ultrathin network polymer membranes, which allows the crystalline segments to attach to the amorphous polymer network tightly. The separation performances of the membrane were regulated by controlling the reaction parameters, and the microstructure was characterized systematically. The as-prepared membrane exhibited an extraordinary mixed H</w:t>
      </w:r>
      <w:r>
        <w:rPr>
          <w:vertAlign w:val="subscript"/>
        </w:rPr>
        <w:t>2</w:t>
      </w:r>
      <w:r>
        <w:t>/CO</w:t>
      </w:r>
      <w:r>
        <w:rPr>
          <w:vertAlign w:val="subscript"/>
        </w:rPr>
        <w:t>2</w:t>
      </w:r>
      <w:r>
        <w:t>selectivity of 85 with a H</w:t>
      </w:r>
      <w:r>
        <w:rPr>
          <w:vertAlign w:val="subscript"/>
        </w:rPr>
        <w:t>2</w:t>
      </w:r>
      <w:r>
        <w:t>permeance of 184 gas permeation units under 11 bar and 150°C. Membranes show outstanding resistance to high pressures and temperatures, which offers high attractiveness for H</w:t>
      </w:r>
      <w:r>
        <w:rPr>
          <w:vertAlign w:val="subscript"/>
        </w:rPr>
        <w:t>2</w:t>
      </w:r>
      <w:r>
        <w:t>production and CO</w:t>
      </w:r>
      <w:r>
        <w:rPr>
          <w:vertAlign w:val="subscript"/>
        </w:rPr>
        <w:t>2</w:t>
      </w:r>
      <w:r>
        <w:t>capture.</w:t>
      </w:r>
    </w:p>
    <w:p>
      <w:pPr>
        <w:spacing w:before="120" w:after="120"/>
      </w:pPr>
      <w:r>
        <w:rPr>
          <w:sz w:val="18"/>
        </w:rPr>
        <w:t>——————————————————————————————————————————————————————————————————————</w:t>
      </w:r>
    </w:p>
    <w:p>
      <w:pPr>
        <w:spacing w:before="160" w:after="40" w:line="240" w:lineRule="auto"/>
      </w:pPr>
      <w:r>
        <w:rPr>
          <w:b/>
        </w:rPr>
        <w:t xml:space="preserve">[9] </w:t>
      </w:r>
      <w:hyperlink r:id="rId206">
        <w:r>
          <w:rPr>
            <w:color w:val="1155CC"/>
            <w:u w:val="single"/>
          </w:rPr>
          <w:t>[ASAP] 在主族双功能材料上连续捕获CO2并选择性还原为CO</w:t>
        </w:r>
      </w:hyperlink>
    </w:p>
    <w:p>
      <w:pPr>
        <w:spacing w:before="0" w:after="80"/>
      </w:pPr>
      <w:r>
        <w:rPr>
          <w:i/>
          <w:sz w:val="20"/>
        </w:rPr>
        <w:t>EN: [ASAP] Continuous CO2 Capture and Selective Reduction to CO over Main-Group Dual-Functional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2026-03-18 08:19:40+00:00</w:t>
      </w:r>
      <w:r>
        <w:t xml:space="preserve">    </w:t>
      </w:r>
      <w:r>
        <w:rPr>
          <w:b/>
        </w:rPr>
        <w:t xml:space="preserve">DOI: </w:t>
      </w:r>
      <w:hyperlink r:id="rId207">
        <w:r>
          <w:rPr>
            <w:color w:val="1155CC"/>
            <w:u w:val="single"/>
          </w:rPr>
          <w:t>10.1021/jacs.5c20974</w:t>
        </w:r>
      </w:hyperlink>
    </w:p>
    <w:p>
      <w:pPr>
        <w:spacing w:before="0" w:after="120"/>
      </w:pPr>
      <w:r>
        <w:rPr>
          <w:b/>
        </w:rPr>
        <w:t xml:space="preserve">Notes: </w:t>
      </w:r>
      <w:r>
        <w:t>abstract_source=pubmed</w:t>
      </w:r>
    </w:p>
    <w:p>
      <w:pPr>
        <w:spacing w:before="0" w:after="80" w:lineRule="auto" w:line="276"/>
      </w:pPr>
      <w:r>
        <w:rPr>
          <w:b/>
        </w:rPr>
        <w:t xml:space="preserve">摘要（ZH）: </w:t>
      </w:r>
      <w:r>
        <w:t>CO2捕获和还原为CO的双功能材料（DFMs）最近作为一种有前途的碳捕获和利用策略引起了广泛关注。DFMs通常由用于CO2捕获的基本金属和用于CO2转化的过渡金属组成。在此，我们成功开发了一种仅由主族元素组成的DFM（Cs/Al2O3），实现了高CO2转化率（89%）和CO选择性（99%）的连续和选择性CO生产。值得注意的是，Cs/Al2O3在500°C等温条件下，即使在CO2捕获阶段存在O2的情况下，也表现出比铂族金属基DFMs更好的CO2捕获和CO形成性能。综合表征表明，单个Cs原子均匀分散在Al2O3上，形成相邻位点</w:t>
      </w:r>
    </w:p>
    <w:p>
      <w:pPr>
        <w:spacing w:before="0" w:after="200" w:lineRule="auto" w:line="276"/>
      </w:pPr>
      <w:r>
        <w:rPr>
          <w:b/>
        </w:rPr>
        <w:t xml:space="preserve">Abstract (EN): </w:t>
      </w:r>
      <w:r>
        <w:t>CO2 capture and reduction to CO using dual-functional materials (DFMs) has recently attracted significant attention as a promising strategy for carbon capture and utilization. DFMs generally comprise basic metals for CO2 capture and transition metals for CO2 conversion. Herein, we successfully developed a DFM (Cs/Al2O3) consisting only of main-group elements, which enabled continuous and selective CO production with high CO2 conversion (89%) and CO selectivity (99%). Notably, Cs/Al2O3 exhibited better CO2 capture and CO formation performance than platinum-group metal-based DFMs under isothermal conditions at 500 °C, even in the presence of O2 during the CO2 capture phase. Comprehensive characterization suggested that single Cs atoms were uniformly dispersed on Al2O3, forming adjacent sites in close proximity. Based on operando infrared analysis, including modulation excitation spectroscopy, the monodentate carbonate species adsorbed during CO2 capture reacted with H2 and yielded gas-phase CO.</w:t>
      </w:r>
    </w:p>
    <w:p>
      <w:pPr>
        <w:spacing w:before="120" w:after="120"/>
      </w:pPr>
      <w:r>
        <w:rPr>
          <w:sz w:val="18"/>
        </w:rPr>
        <w:t>——————————————————————————————————————————————————————————————————————</w:t>
      </w:r>
    </w:p>
    <w:p>
      <w:pPr>
        <w:spacing w:before="160" w:after="40" w:line="240" w:lineRule="auto"/>
      </w:pPr>
      <w:r>
        <w:rPr>
          <w:b/>
        </w:rPr>
        <w:t xml:space="preserve">[10] </w:t>
      </w:r>
      <w:hyperlink r:id="rId208">
        <w:r>
          <w:rPr>
            <w:color w:val="1155CC"/>
            <w:u w:val="single"/>
          </w:rPr>
          <w:t>[ASAP] NH3介导的反应性捕获和转化：通过NH4HCO3电解将烟气中的CO2吸收与CO生产相结合</w:t>
        </w:r>
      </w:hyperlink>
    </w:p>
    <w:p>
      <w:pPr>
        <w:spacing w:before="0" w:after="80"/>
      </w:pPr>
      <w:r>
        <w:rPr>
          <w:i/>
          <w:sz w:val="20"/>
        </w:rPr>
        <w:t>EN: [ASAP] NH3-Mediated Reactive Capture and Conversion: Integrating CO2 Absorption from Flue Gas with CO Production via NH4HCO3 Electrolysis</w:t>
      </w:r>
    </w:p>
    <w:p>
      <w:pPr>
        <w:spacing w:before="0" w:after="120"/>
      </w:pPr>
      <w:r>
        <w:rPr>
          <w:b/>
        </w:rPr>
        <w:t xml:space="preserve">Source: </w:t>
      </w:r>
      <w:r>
        <w:t>ACS Energy Letters: Latest Articles (ACS Publications)</w:t>
      </w:r>
      <w:r>
        <w:t xml:space="preserve">    </w:t>
      </w:r>
      <w:r>
        <w:rPr>
          <w:b/>
        </w:rPr>
        <w:t xml:space="preserve">Pub date: </w:t>
      </w:r>
      <w:r>
        <w:t>2026-03-18 10:45:24+00:00</w:t>
      </w:r>
      <w:r>
        <w:t xml:space="preserve">    </w:t>
      </w:r>
      <w:r>
        <w:rPr>
          <w:b/>
        </w:rPr>
        <w:t xml:space="preserve">DOI: </w:t>
      </w:r>
      <w:hyperlink r:id="rId209">
        <w:r>
          <w:rPr>
            <w:color w:val="1155CC"/>
            <w:u w:val="single"/>
          </w:rPr>
          <w:t>10.1021/acsenergylett.5c04265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10">
        <w:r>
          <w:rPr>
            <w:color w:val="1155CC"/>
            <w:u w:val="single"/>
          </w:rPr>
          <w:t>[ASAP] 用于电化学二氧化碳还原的低自旋态单原子镍催化剂，在安培级电流下工作</w:t>
        </w:r>
      </w:hyperlink>
    </w:p>
    <w:p>
      <w:pPr>
        <w:spacing w:before="0" w:after="80"/>
      </w:pPr>
      <w:r>
        <w:rPr>
          <w:i/>
          <w:sz w:val="20"/>
        </w:rPr>
        <w:t>EN: [ASAP] Low-Spin State Single-Atom Ni Catalyst for Electrochemical Carbon Dioxide Reduction at Ampere-Level Current</w:t>
      </w:r>
    </w:p>
    <w:p>
      <w:pPr>
        <w:spacing w:before="0" w:after="120"/>
      </w:pPr>
      <w:r>
        <w:rPr>
          <w:b/>
        </w:rPr>
        <w:t xml:space="preserve">Source: </w:t>
      </w:r>
      <w:r>
        <w:t>Journal of the American Chemical Society: Latest Articles (ACS Publications)</w:t>
      </w:r>
      <w:r>
        <w:t xml:space="preserve">    </w:t>
      </w:r>
      <w:r>
        <w:rPr>
          <w:b/>
        </w:rPr>
        <w:t xml:space="preserve">Pub date: </w:t>
      </w:r>
      <w:r>
        <w:t>2026-03-18 14:48:33+00:00</w:t>
      </w:r>
      <w:r>
        <w:t xml:space="preserve">    </w:t>
      </w:r>
      <w:r>
        <w:rPr>
          <w:b/>
        </w:rPr>
        <w:t xml:space="preserve">DOI: </w:t>
      </w:r>
      <w:hyperlink r:id="rId211">
        <w:r>
          <w:rPr>
            <w:color w:val="1155CC"/>
            <w:u w:val="single"/>
          </w:rPr>
          <w:t>10.1021/jacs.5c15056</w:t>
        </w:r>
      </w:hyperlink>
    </w:p>
    <w:p>
      <w:pPr>
        <w:spacing w:before="0" w:after="120"/>
      </w:pPr>
      <w:r>
        <w:rPr>
          <w:b/>
        </w:rPr>
        <w:t xml:space="preserve">Notes: </w:t>
      </w:r>
      <w:r>
        <w:t>abstract_source=pubmed</w:t>
      </w:r>
    </w:p>
    <w:p>
      <w:pPr>
        <w:spacing w:before="0" w:after="80" w:lineRule="auto" w:line="276"/>
      </w:pPr>
      <w:r>
        <w:rPr>
          <w:b/>
        </w:rPr>
        <w:t xml:space="preserve">摘要（ZH）: </w:t>
      </w:r>
      <w:r>
        <w:t>开发地球丰富、选择性高且低过电位的电催化剂用于二氧化碳还原，代表了可持续碳经济的新范式。在此，我们展示了对支持有序介孔碳（OMC）的镍单原子催化剂（SACs）在CO2还原为CO的趋势理解的进展。使用X射线吸收光谱（XAS）、温度依赖的磁化率（M-T）和密度泛函理论（DFT）计算的表征显示，镍SACs的自旋态从高自旋（HS）到低自旋（LS）的转变是由不对称三角双锥NiN2O3构型引起的。结合表面增强红外吸收光谱在衰减全反射模式（ATR-SEIRAS）下，动力学同位素效</w:t>
      </w:r>
    </w:p>
    <w:p>
      <w:pPr>
        <w:spacing w:before="0" w:after="200" w:lineRule="auto" w:line="276"/>
      </w:pPr>
      <w:r>
        <w:rPr>
          <w:b/>
        </w:rPr>
        <w:t xml:space="preserve">Abstract (EN): </w:t>
      </w:r>
      <w:r>
        <w:t>Developing earth-abundant, selective, and low-overpotential electrocatalysts for the reduction of carbon dioxide represents a novel paradigm for a sustainable carbon economy. Here, we present advances in the understanding of trends in the reduction of CO2 to CO of Ni single-atom catalysts (SACs) supported by ordered mesoporous carbon (OMC). Characterizations using X-ray absorption spectroscopy (XAS), temperature-dependent magnetic susceptibility (M-T), and density functional theory (DFT) calculations show that the spin-state transitions from high-spin (HS) to low-spin (LS) for Ni SACs are induced by an asymmetric trigonal bipyramidal NiN2O3 configuration. Combined with surface-enhanced infrared absorption spectroscopy in the attenuated total reflection mode (ATR-SEIRAS), kinetic isotope effect (KIE), and density functional theory calculations, the rate-determining step is demonstrated to be the formation of *COOH. The unique NiN2O3 structure with a low-spin state significantly enhances the adsorption of *COOH due to the formation of stable Ni-C bonds and intermolecular hydrogen bonding. In electrocatalytic CO2 reduction to CO, the low-spin Ni SAC achieved an industrial-level performance, with a current density toward the CO product (JCO) up to 1 A cm-2, a turnover frequency (TOF) of 107,200 h-1 at ∼99% Faradaic efficiency (FE), and a half-reaction energy efficiency of 66%. This study establishes an electronic structure mechanistic framework for CO production from M-N/Ox moieties, thereby providing guidelines for the design of CO2 reduction catalysts.</w:t>
      </w:r>
    </w:p>
    <w:p>
      <w:pPr>
        <w:spacing w:before="120" w:after="120"/>
      </w:pPr>
      <w:r>
        <w:rPr>
          <w:sz w:val="18"/>
        </w:rPr>
        <w:t>——————————————————————————————————————————————————————————————————————</w:t>
      </w:r>
    </w:p>
    <w:p>
      <w:pPr>
        <w:spacing w:before="160" w:after="40" w:line="240" w:lineRule="auto"/>
      </w:pPr>
      <w:r>
        <w:rPr>
          <w:b/>
        </w:rPr>
        <w:t xml:space="preserve">[12] </w:t>
      </w:r>
      <w:hyperlink r:id="rId212">
        <w:r>
          <w:rPr>
            <w:color w:val="1155CC"/>
            <w:u w:val="single"/>
          </w:rPr>
          <w:t>[ASAP] 分子围栏限制实现高效酸性CO2电还原为多碳产品</w:t>
        </w:r>
      </w:hyperlink>
    </w:p>
    <w:p>
      <w:pPr>
        <w:spacing w:before="0" w:after="80"/>
      </w:pPr>
      <w:r>
        <w:rPr>
          <w:i/>
          <w:sz w:val="20"/>
        </w:rPr>
        <w:t>EN: [ASAP] Molecular-Fence Confinement Enabling Efficient Acidic CO2 Electroreduction to Multi-carbon Products</w:t>
      </w:r>
    </w:p>
    <w:p>
      <w:pPr>
        <w:spacing w:before="0" w:after="120"/>
      </w:pPr>
      <w:r>
        <w:rPr>
          <w:b/>
        </w:rPr>
        <w:t xml:space="preserve">Source: </w:t>
      </w:r>
      <w:r>
        <w:t>Journal of the American Chemical Society: Latest Articles (ACS Publications)</w:t>
      </w:r>
      <w:r>
        <w:t xml:space="preserve">    </w:t>
      </w:r>
      <w:r>
        <w:rPr>
          <w:b/>
        </w:rPr>
        <w:t xml:space="preserve">Pub date: </w:t>
      </w:r>
      <w:r>
        <w:t>2026-03-18 18:54:56+00:00</w:t>
      </w:r>
      <w:r>
        <w:t xml:space="preserve">    </w:t>
      </w:r>
      <w:r>
        <w:rPr>
          <w:b/>
        </w:rPr>
        <w:t xml:space="preserve">DOI: </w:t>
      </w:r>
      <w:hyperlink r:id="rId213">
        <w:r>
          <w:rPr>
            <w:color w:val="1155CC"/>
            <w:u w:val="single"/>
          </w:rPr>
          <w:t>10.1021/jacs.6c02917</w:t>
        </w:r>
      </w:hyperlink>
    </w:p>
    <w:p>
      <w:pPr>
        <w:spacing w:before="0" w:after="120"/>
      </w:pPr>
      <w:r>
        <w:rPr>
          <w:b/>
        </w:rPr>
        <w:t xml:space="preserve">Notes: </w:t>
      </w:r>
      <w:r>
        <w:t>abstract_source=pubmed</w:t>
      </w:r>
    </w:p>
    <w:p>
      <w:pPr>
        <w:spacing w:before="0" w:after="80" w:lineRule="auto" w:line="276"/>
      </w:pPr>
      <w:r>
        <w:rPr>
          <w:b/>
        </w:rPr>
        <w:t xml:space="preserve">摘要（ZH）: </w:t>
      </w:r>
      <w:r>
        <w:t>酸性CO2电还原（CO2ER）增强了碳的利用率，但面临重大挑战：强烈的析氢反应竞争和较差的多碳（C2+）产物选择性。我们发现这主要源于酸诱导的关键*CO中间体的不稳定性，加剧了吸附氢的影响。在此，我们提出了一种双重修饰的“分子围栏”策略来重新配置催化剂-电解质界面。我们首先在Cu上设计原子分散的路易斯酸Zr位点，以电子方式加速*CO的形成。随后，我们锚定π-共轭的苯并-2,1,3-噻二唑（BTD）分子，形成一个物理围栏，空间限制*CO中间体和电生成的OH-。这种协同作用创造并维持了一个局部的、高碱性的微</w:t>
      </w:r>
    </w:p>
    <w:p>
      <w:pPr>
        <w:spacing w:before="0" w:after="200" w:lineRule="auto" w:line="276"/>
      </w:pPr>
      <w:r>
        <w:rPr>
          <w:b/>
        </w:rPr>
        <w:t xml:space="preserve">Abstract (EN): </w:t>
      </w:r>
      <w:r>
        <w:t>Acidic CO2 electroreduction (CO2ER) enhances carbon utilization but faces significant challenges: intense hydrogen evolution reaction competition and poor multicarbon (C2+) product selectivity. We identify that this stems primarily from acid-induced destabilization of the critical *CO intermediate, exacerbated by adsorbed hydrogen. Here, we propose a dual-modification "molecular-fence" strategy to reconfigure the catalyst-electrolyte interface. We first engineer atomically dispersed Lewis acid Zr sites on Cu to electronically accelerate *CO formation. Subsequently, we anchor π-conjugated benzo-2,1,3-thiadiazole (BTD) molecules, which form a physical fence that spatially confines *CO intermediates and electrogenerated OH-. This synergy creates and sustains a localized, highly alkaline microenvironment in bulk acidic media, which concentrates *CO coverage and strengthens *CO binding to accelerate C-C coupling kinetics for acidic CO2ER. As a result, we achieve Faradaic efficiencies of 57.0% for ethylene (C2H4) and 74.9% for total C2+ products at 600 mA cm-2. Single-pass carbon efficiencies reach 64.2% for C2H4 and 79.9% for C2+. Remarkably, a high C2H4 selectivity (&gt;52.0%) is sustained across a wide current density range of 400 to 700 mA cm-2. This work establishes the molecular-fence strategy as a broadly applicable paradigm for regulating interfacial microenvironments to enable efficient and selective CO2ER in challenging acidic media.</w:t>
      </w:r>
    </w:p>
    <w:p>
      <w:pPr>
        <w:spacing w:before="120" w:after="120"/>
      </w:pPr>
      <w:r>
        <w:rPr>
          <w:sz w:val="18"/>
        </w:rPr>
        <w:t>——————————————————————————————————————————————————————————————————————</w:t>
      </w:r>
    </w:p>
    <w:p>
      <w:pPr>
        <w:spacing w:before="160" w:after="40" w:line="240" w:lineRule="auto"/>
      </w:pPr>
      <w:r>
        <w:rPr>
          <w:b/>
        </w:rPr>
        <w:t xml:space="preserve">[13] </w:t>
      </w:r>
      <w:hyperlink r:id="rId214">
        <w:r>
          <w:rPr>
            <w:color w:val="1155CC"/>
            <w:u w:val="single"/>
          </w:rPr>
          <w:t>超晶格电催化与微生物代谢相匹配，实现可持续的CO2到生物产品转化</w:t>
        </w:r>
      </w:hyperlink>
    </w:p>
    <w:p>
      <w:pPr>
        <w:spacing w:before="0" w:after="80"/>
      </w:pPr>
      <w:r>
        <w:rPr>
          <w:i/>
          <w:sz w:val="20"/>
        </w:rPr>
        <w:t>EN: Superlattice electrocatalysis matching microbial metabolism for sustainable CO2-to-bioproduct conversion</w:t>
      </w:r>
    </w:p>
    <w:p>
      <w:pPr>
        <w:spacing w:before="0" w:after="120"/>
      </w:pPr>
      <w:r>
        <w:rPr>
          <w:b/>
        </w:rPr>
        <w:t xml:space="preserve">Source: </w:t>
      </w:r>
      <w:r>
        <w:t>Chem</w:t>
      </w:r>
      <w:r>
        <w:t xml:space="preserve">    </w:t>
      </w:r>
      <w:r>
        <w:rPr>
          <w:b/>
        </w:rPr>
        <w:t xml:space="preserve">Pub date: </w:t>
      </w:r>
      <w:r>
        <w:t>2026-03-19 00:00:00+00:00</w:t>
      </w:r>
      <w:r>
        <w:t xml:space="preserve">    </w:t>
      </w:r>
      <w:r>
        <w:rPr>
          <w:b/>
        </w:rPr>
        <w:t xml:space="preserve">DOI: </w:t>
      </w:r>
      <w:hyperlink r:id="rId215">
        <w:r>
          <w:rPr>
            <w:color w:val="1155CC"/>
            <w:u w:val="single"/>
          </w:rPr>
          <w:t>10.1016/j.chempr.2026.102955</w:t>
        </w:r>
      </w:hyperlink>
    </w:p>
    <w:p>
      <w:pPr>
        <w:spacing w:before="0" w:after="120"/>
      </w:pPr>
      <w:r>
        <w:rPr>
          <w:b/>
        </w:rPr>
        <w:t xml:space="preserve">Notes: </w:t>
      </w:r>
      <w:r>
        <w:t>abstract_source=rss_cell</w:t>
      </w:r>
    </w:p>
    <w:p>
      <w:pPr>
        <w:spacing w:before="0" w:after="80" w:lineRule="auto" w:line="276"/>
      </w:pPr>
      <w:r>
        <w:rPr>
          <w:b/>
        </w:rPr>
        <w:t xml:space="preserve">摘要（ZH）: </w:t>
      </w:r>
      <w:r>
        <w:t>这项研究展示了一种基于可扩展Ag/Cu金属超晶格催化剂的集成电微生物系统（iEMS）。它选择性地将CO2转化为微生物兼容的乙醇，并高效地将乙醇转化为高价值的生物产品（3-羟基丙酸和单细胞蛋白），显示出比单一电催化系统高15倍的年利润。该工作突出了电催化与微生物代谢耦合的适应性，为绿色发展和碳中和铺平了道路。</w:t>
      </w:r>
    </w:p>
    <w:p>
      <w:pPr>
        <w:spacing w:before="0" w:after="200" w:lineRule="auto" w:line="276"/>
      </w:pPr>
      <w:r>
        <w:rPr>
          <w:b/>
        </w:rPr>
        <w:t xml:space="preserve">Abstract (EN): </w:t>
      </w:r>
      <w:r>
        <w:t>This study demonstrates an integrated electro-microbial system (iEMS) based on a scalable Ag/Cu metal superlattice catalyst. It selectively produces microbe-compatible ethanol from CO2 and efficiently converts ethanol into high-value bioproducts (3-hydroxypropionic acid and single-cell protein), showing an annual profit 15 times higher than that of a single electrocatalytic system. This work highlights the adaptability of the coupling of electrocatalysis and microbial metabolism, paving the way for green development and carbon neutrality.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16">
        <w:r>
          <w:rPr>
            <w:color w:val="1155CC"/>
            <w:u w:val="single"/>
          </w:rPr>
          <w:t>塑料废物的微生物上循环转化为左旋多巴</w:t>
        </w:r>
      </w:hyperlink>
    </w:p>
    <w:p>
      <w:pPr>
        <w:spacing w:before="0" w:after="80"/>
      </w:pPr>
      <w:r>
        <w:rPr>
          <w:i/>
          <w:sz w:val="20"/>
        </w:rPr>
        <w:t>EN: Microbial upcycling of plastic waste to levodopa</w:t>
      </w:r>
    </w:p>
    <w:p>
      <w:pPr>
        <w:spacing w:before="0" w:after="120"/>
      </w:pPr>
      <w:r>
        <w:rPr>
          <w:b/>
        </w:rPr>
        <w:t xml:space="preserve">Source: </w:t>
      </w:r>
      <w:r>
        <w:t>Nature Sustainability</w:t>
      </w:r>
      <w:r>
        <w:t xml:space="preserve">    </w:t>
      </w:r>
      <w:r>
        <w:rPr>
          <w:b/>
        </w:rPr>
        <w:t xml:space="preserve">Pub date: </w:t>
      </w:r>
      <w:r>
        <w:t>2026-03-16 00:00:00+00:00</w:t>
      </w:r>
      <w:r>
        <w:t xml:space="preserve">    </w:t>
      </w:r>
      <w:r>
        <w:rPr>
          <w:b/>
        </w:rPr>
        <w:t xml:space="preserve">DOI: </w:t>
      </w:r>
      <w:hyperlink r:id="rId217">
        <w:r>
          <w:rPr>
            <w:color w:val="1155CC"/>
            <w:u w:val="single"/>
          </w:rPr>
          <w:t>10.1038/s41893-026-01785-z</w:t>
        </w:r>
      </w:hyperlink>
    </w:p>
    <w:p>
      <w:pPr>
        <w:spacing w:before="0" w:after="120"/>
      </w:pPr>
      <w:r>
        <w:rPr>
          <w:b/>
        </w:rPr>
        <w:t xml:space="preserve">Notes: </w:t>
      </w:r>
      <w:r>
        <w:t>abstract_source=nature_html</w:t>
      </w:r>
    </w:p>
    <w:p>
      <w:pPr>
        <w:spacing w:before="0" w:after="80" w:lineRule="auto" w:line="276"/>
      </w:pPr>
      <w:r>
        <w:rPr>
          <w:b/>
        </w:rPr>
        <w:t xml:space="preserve">摘要（ZH）: </w:t>
      </w:r>
      <w:r>
        <w:t>利用工程生物学进行复杂化学合成提供了一种可持续的替代方案，替代依赖于有限化石资源的传统工艺。该领域的一个日益增长的机会在于回收嵌入在工业和消费后废物中的碳——这些碳本来会被填埋、焚烧或污染。在此，我们报告了利用工程大肠杆菌将聚对苯二甲酸乙二醇酯（PET）塑料废物生物升级为左旋多巴（l-DOPA），这是一种用于帕金森病的前线药物。通过异源转运蛋白表达和在两个微生物菌株中分离功能途径，解决了两个关键瓶颈——底物进口和中间体原儿茶酸的反馈抑制。为了进一步提高可持续性，并作为一种证明-</w:t>
      </w:r>
    </w:p>
    <w:p>
      <w:pPr>
        <w:spacing w:before="0" w:after="200" w:lineRule="auto" w:line="276"/>
      </w:pPr>
      <w:r>
        <w:rPr>
          <w:b/>
        </w:rPr>
        <w:t xml:space="preserve">Abstract (EN): </w:t>
      </w:r>
      <w:r>
        <w:t>Using engineering biology to perform complex chemical synthesis offers a sustainable alternative to traditional processes that rely on finite fossil resources. A growing opportunity within this field lies in reclaiming carbon embedded in industrial and post-consumer waste—carbon otherwise lost to landfill, incineration or pollution. Here we report the bio-upcycling of poly(ethylene terephthalate) (PET) plastic waste into levodopa (l-DOPA), a frontline medication for Parkinson’s disease, using engineered Escherichia coli. Two key bottlenecks—substrate import and feedback inhibition by the intermediate protocatechuate—were addressed through heterologous transporter expression and functional pathway separation across two microbial strains. To further improve sustainability, and as a proof-of-concept, Chlamydomonas reinhardtii was used to capture CO2 released during catechol generation. The resulting bioprocess operates under mild, aqueous conditions and achieves high l-DOPA titres (5.0 g l−1), with isolated product obtained at preparative scale from both industrial PET waste and a single post-consumer plastic bottle. This work demonstrates how engineering biology can transform plastic-derived aromatic monomers into high-value pharmaceuticals for the treatment of neurological disease in humans.</w:t>
      </w:r>
    </w:p>
    <w:p>
      <w:pPr>
        <w:spacing w:before="120" w:after="120"/>
      </w:pPr>
      <w:r>
        <w:rPr>
          <w:sz w:val="18"/>
        </w:rPr>
        <w:t>——————————————————————————————————————————————————————————————————————</w:t>
      </w:r>
    </w:p>
    <w:p>
      <w:pPr>
        <w:spacing w:before="160" w:after="40" w:line="240" w:lineRule="auto"/>
      </w:pPr>
      <w:r>
        <w:rPr>
          <w:b/>
        </w:rPr>
        <w:t xml:space="preserve">[2] </w:t>
      </w:r>
      <w:hyperlink r:id="rId218">
        <w:r>
          <w:rPr>
            <w:color w:val="1155CC"/>
            <w:u w:val="single"/>
          </w:rPr>
          <w:t>[ASAP] 通过沸石封装的亚纳米Pt催化剂选择性转化高密度聚乙烯为苯</w:t>
        </w:r>
      </w:hyperlink>
    </w:p>
    <w:p>
      <w:pPr>
        <w:spacing w:before="0" w:after="80"/>
      </w:pPr>
      <w:r>
        <w:rPr>
          <w:i/>
          <w:sz w:val="20"/>
        </w:rPr>
        <w:t>EN: [ASAP] Shape-Selective Conversion of High-Density Polyethylene into Benzene with Zeolite-Encapsulated Subnanometer Pt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2026-03-16 15:48:33+00:00</w:t>
      </w:r>
      <w:r>
        <w:t xml:space="preserve">    </w:t>
      </w:r>
      <w:r>
        <w:rPr>
          <w:b/>
        </w:rPr>
        <w:t xml:space="preserve">DOI: </w:t>
      </w:r>
      <w:hyperlink r:id="rId219">
        <w:r>
          <w:rPr>
            <w:color w:val="1155CC"/>
            <w:u w:val="single"/>
          </w:rPr>
          <w:t>10.1021/jacs.5c14646</w:t>
        </w:r>
      </w:hyperlink>
    </w:p>
    <w:p>
      <w:pPr>
        <w:spacing w:before="0" w:after="120"/>
      </w:pPr>
      <w:r>
        <w:rPr>
          <w:b/>
        </w:rPr>
        <w:t xml:space="preserve">Notes: </w:t>
      </w:r>
      <w:r>
        <w:t>abstract_source=pubmed</w:t>
      </w:r>
    </w:p>
    <w:p>
      <w:pPr>
        <w:spacing w:before="0" w:after="80" w:lineRule="auto" w:line="276"/>
      </w:pPr>
      <w:r>
        <w:rPr>
          <w:b/>
        </w:rPr>
        <w:t xml:space="preserve">摘要（ZH）: </w:t>
      </w:r>
      <w:r>
        <w:t>选择性将聚烯烃转化为单一增值化学品可以大大提高升级回收过程的技术经济性。然而，迄今为止，大多数报道的催化过程只能将聚烯烃转化为混合烃或氧化物化合物。在此，我们开发了一种形状选择性催化路线，通过基于沸石限制的亚纳米Pt催化剂的两步过程，将高密度聚乙烯（HDPE）转化为苯，包括通过加氢裂化将HDPE转化为混合烷烃，以及通过脱氢芳构化将混合烷烃转化为苯。通过在β-沸石中构建相邻的亚纳米Pt簇和酸位点，我们可以在HDPE的加氢裂化中实现最高的比活性在非常低的P</w:t>
      </w:r>
    </w:p>
    <w:p>
      <w:pPr>
        <w:spacing w:before="0" w:after="200" w:lineRule="auto" w:line="276"/>
      </w:pPr>
      <w:r>
        <w:rPr>
          <w:b/>
        </w:rPr>
        <w:t xml:space="preserve">Abstract (EN): </w:t>
      </w:r>
      <w:r>
        <w:t>Selective conversion of polyolefins into a single value-added chemical can greatly improve the techno-economy of the upcycling process. However, to date, most reported catalytic processes can convert polyolefins into only mixed hydrocarbon or oxygenate compounds. Herein, we have developed a shape-selective catalytic route for converting high-density polyethylene (HDPE) into benzene through a two-step process based on zeolite-confined subnanometer Pt catalysts, including the conversion of HDPE to mixed alkanes through hydrocracking and the subsequent conversion of mixed alkanes to benzene through dehydroaromatization. By constructing neighboring subnanometer Pt clusters and acid sites within β-zeolite, we can achieve the highest specific activity in the hydrocracking of HDPE at a very low Pt loading (∼300 ppm) and high selectivity to liquid alkanes. Furthermore, the liquid alkanes are selectively converted into benzene with ∼45% yield by a PtSn@MFI catalyst in which subnanometer bimetallic PtSn clusters are confined in the MFI zeolite.</w:t>
      </w:r>
    </w:p>
    <w:p>
      <w:pPr>
        <w:spacing w:before="120" w:after="120"/>
      </w:pPr>
      <w:r>
        <w:rPr>
          <w:sz w:val="18"/>
        </w:rPr>
        <w:t>——————————————————————————————————————————————————————————————————————</w:t>
      </w:r>
    </w:p>
    <w:p>
      <w:pPr>
        <w:spacing w:before="160" w:after="40" w:line="240" w:lineRule="auto"/>
      </w:pPr>
      <w:r>
        <w:rPr>
          <w:b/>
        </w:rPr>
        <w:t xml:space="preserve">[3] </w:t>
      </w:r>
      <w:hyperlink r:id="rId220">
        <w:r>
          <w:rPr>
            <w:color w:val="1155CC"/>
            <w:u w:val="single"/>
          </w:rPr>
          <w:t>废弃微/纳米塑料转化为碳材料：可再生能源和环境应用的新趋势</w:t>
        </w:r>
      </w:hyperlink>
    </w:p>
    <w:p>
      <w:pPr>
        <w:spacing w:before="0" w:after="80"/>
      </w:pPr>
      <w:r>
        <w:rPr>
          <w:i/>
          <w:sz w:val="20"/>
        </w:rPr>
        <w:t>EN: Conversion of waste micro/nano plastics into carbon materials: A new trend for renewable energy and environmental applications</w:t>
      </w:r>
    </w:p>
    <w:p>
      <w:pPr>
        <w:spacing w:before="0" w:after="120"/>
      </w:pPr>
      <w:r>
        <w:rPr>
          <w:b/>
        </w:rPr>
        <w:t xml:space="preserve">Source: </w:t>
      </w:r>
      <w:r>
        <w:t>ScienceDirect Publication: Applied Energy</w:t>
      </w:r>
      <w:r>
        <w:t xml:space="preserve">    </w:t>
      </w:r>
      <w:r>
        <w:rPr>
          <w:b/>
        </w:rPr>
        <w:t xml:space="preserve">Pub date: </w:t>
      </w:r>
      <w:r>
        <w:t>2026-03-17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21">
        <w:r>
          <w:rPr>
            <w:color w:val="1155CC"/>
            <w:u w:val="single"/>
          </w:rPr>
          <w:t>单原子光催化剂作为可漂浮的人造叶片用于海洋塑料废物的升级再利用</w:t>
        </w:r>
      </w:hyperlink>
    </w:p>
    <w:p>
      <w:pPr>
        <w:spacing w:before="0" w:after="80"/>
      </w:pPr>
      <w:r>
        <w:rPr>
          <w:i/>
          <w:sz w:val="20"/>
        </w:rPr>
        <w:t>EN: Single‐Atom Photocatalyst as Floatable Artificial Leaf for Upcycling Oceanic Plastic Waste</w:t>
      </w:r>
    </w:p>
    <w:p>
      <w:pPr>
        <w:spacing w:before="0" w:after="120"/>
      </w:pPr>
      <w:r>
        <w:rPr>
          <w:b/>
        </w:rPr>
        <w:t xml:space="preserve">Source: </w:t>
      </w:r>
      <w:r>
        <w:t>Wiley: Advanced Materials: Table of Contents</w:t>
      </w:r>
      <w:r>
        <w:t xml:space="preserve">    </w:t>
      </w:r>
      <w:r>
        <w:rPr>
          <w:b/>
        </w:rPr>
        <w:t xml:space="preserve">Pub date: </w:t>
      </w:r>
      <w:r>
        <w:t>2026-03-17 10:16:21+00:00</w:t>
      </w:r>
      <w:r>
        <w:t xml:space="preserve">    </w:t>
      </w:r>
      <w:r>
        <w:rPr>
          <w:b/>
        </w:rPr>
        <w:t xml:space="preserve">DOI: </w:t>
      </w:r>
      <w:hyperlink r:id="rId222">
        <w:r>
          <w:rPr>
            <w:color w:val="1155CC"/>
            <w:u w:val="single"/>
          </w:rPr>
          <w:t>10.1002/adma.202519931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迄今为止，已生产了约80亿吨塑料，其中约80%最终进入垃圾填埋场/海洋。其中，聚丙烯（PP）的全球回收率最低（&lt;1%）。为了解决这一问题，制备了负载钌单原子（SAs）的光催化剂（ZnIn2S4/Ru SAs），以粉末/可漂浮人工叶（AL）的形式直接将原始PP塑料转化为有价值的化学品。优化的光催化剂表现出卓越的性能，总甲酸/乙酸产量为1022.5 µmol g−1。原位X射线光电子能谱、原位原子力显微镜-开尔文探针力显微镜研究表明...</w:t>
      </w:r>
    </w:p>
    <w:p>
      <w:pPr>
        <w:spacing w:before="0" w:after="200" w:lineRule="auto" w:line="276"/>
      </w:pPr>
      <w:r>
        <w:rPr>
          <w:b/>
        </w:rPr>
        <w:t xml:space="preserve">Abstract (EN): </w:t>
      </w:r>
      <w:r>
        <w:t>Over ∼8 billion tons of plastic have been produced to date, with ∼80% of them ended up in landfills/oceans. Among them, polypropylene (PP) possesses the lowest global recycling rate (&amp;lt; 1%). To resolve this, Ru single atoms (SAs) loaded photocatalysts (ZnIn</w:t>
      </w:r>
      <w:r>
        <w:rPr>
          <w:vertAlign w:val="subscript"/>
        </w:rPr>
        <w:t>2</w:t>
      </w:r>
      <w:r>
        <w:t>S</w:t>
      </w:r>
      <w:r>
        <w:rPr>
          <w:vertAlign w:val="subscript"/>
        </w:rPr>
        <w:t>4</w:t>
      </w:r>
      <w:r>
        <w:t>/Ru SAs) in the forms of powder/floatable artificial leaf (AL) were prepared for direct conversion of raw PP plastic into valuable chemicals. The optimized photocatalyst exhibits exceptional performance with a total formic/acetic acid production of 1022.5 µmol g</w:t>
      </w:r>
      <w:r>
        <w:t xml:space="preserve"> </w:t>
      </w:r>
      <w:r>
        <w:t>−1</w:t>
      </w:r>
      <w:r>
        <w:t xml:space="preserve"> </w:t>
      </w:r>
      <w:r>
        <w:t>. In situ X‐ray photoelectron spectroscopy, in situ atomic force microscopy‐kelvin probe force microscopy, and in situ electron paramagnetic resonance (EPR) reveal efficient electron extraction from ZnIn</w:t>
      </w:r>
      <w:r>
        <w:rPr>
          <w:vertAlign w:val="subscript"/>
        </w:rPr>
        <w:t>2</w:t>
      </w:r>
      <w:r>
        <w:t>S</w:t>
      </w:r>
      <w:r>
        <w:rPr>
          <w:vertAlign w:val="subscript"/>
        </w:rPr>
        <w:t>4</w:t>
      </w:r>
      <w:r>
        <w:t>nanosheets to Ru SAs, with subsequent electron capture by O</w:t>
      </w:r>
      <w:r>
        <w:rPr>
          <w:vertAlign w:val="subscript"/>
        </w:rPr>
        <w:t>2</w:t>
      </w:r>
      <w:r>
        <w:t>molecules in air. Additionally, in situ transient‐state photoluminescence spectroscopy, transient photovoltage measurement, and in situ EPR unveil the electrolyte‐assisted polarization (induced by cations/anions in seawater) significantly enhancing charge separation/transfer. Finally, in situ EPR, in situ infrared (IR) spectroscopy, and quenching experiments corroborate the pivotal roles of reactive oxygen species (·O</w:t>
      </w:r>
      <w:r>
        <w:rPr>
          <w:vertAlign w:val="subscript"/>
        </w:rPr>
        <w:t>2</w:t>
      </w:r>
      <w:r>
        <w:t>−</w:t>
      </w:r>
      <w:r>
        <w:t>/·OH) for upcycling PP into valuable chemicals. These results highlight the transformative potential of floatable AL concept for converting plastic waste into high‐value chemicals, offering a sustainable solution to plastic contamination.</w:t>
      </w:r>
    </w:p>
    <w:p>
      <w:pPr>
        <w:spacing w:before="120" w:after="120"/>
      </w:pPr>
      <w:r>
        <w:rPr>
          <w:sz w:val="18"/>
        </w:rPr>
        <w:t>——————————————————————————————————————————————————————————————————————</w:t>
      </w:r>
    </w:p>
    <w:p>
      <w:pPr>
        <w:spacing w:before="160" w:after="40" w:line="240" w:lineRule="auto"/>
      </w:pPr>
      <w:r>
        <w:rPr>
          <w:b/>
        </w:rPr>
        <w:t xml:space="preserve">[5] </w:t>
      </w:r>
      <w:hyperlink r:id="rId223">
        <w:r>
          <w:rPr>
            <w:color w:val="1155CC"/>
            <w:u w:val="single"/>
          </w:rPr>
          <w:t>通过化学选择性催化加氢将腈丁二烯橡胶化学升级为聚胺和聚醇</w:t>
        </w:r>
      </w:hyperlink>
    </w:p>
    <w:p>
      <w:pPr>
        <w:spacing w:before="0" w:after="80"/>
      </w:pPr>
      <w:r>
        <w:rPr>
          <w:i/>
          <w:sz w:val="20"/>
        </w:rPr>
        <w:t>EN: Chemical Upcycling of Nitrile Butadiene Rubbers to Polyamines and Polyols by Chemoselective Catalytic Hydrogenation</w:t>
      </w:r>
    </w:p>
    <w:p>
      <w:pPr>
        <w:spacing w:before="0" w:after="120"/>
      </w:pPr>
      <w:r>
        <w:rPr>
          <w:b/>
        </w:rPr>
        <w:t xml:space="preserve">Source: </w:t>
      </w:r>
      <w:r>
        <w:t>Wiley: Angewandte Chemie International Edition: Table of Contents</w:t>
      </w:r>
      <w:r>
        <w:t xml:space="preserve">    </w:t>
      </w:r>
      <w:r>
        <w:rPr>
          <w:b/>
        </w:rPr>
        <w:t xml:space="preserve">Pub date: </w:t>
      </w:r>
      <w:r>
        <w:t>2026-03-18 14:52:20+00:00</w:t>
      </w:r>
      <w:r>
        <w:t xml:space="preserve">    </w:t>
      </w:r>
      <w:r>
        <w:rPr>
          <w:b/>
        </w:rPr>
        <w:t xml:space="preserve">DOI: </w:t>
      </w:r>
      <w:hyperlink r:id="rId224">
        <w:r>
          <w:rPr>
            <w:color w:val="1155CC"/>
            <w:u w:val="single"/>
          </w:rPr>
          <w:t>10.1002/anie.202525705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在此报告了两种新的化学回收/升级利用丁腈橡胶(NBR)的方法，以制备聚胺或聚醇。这两个过程都是通过钌催化的加氢反应实现的，其中腈的化学选择性还原导致胺或醇的形成。NBR加氢为聚胺可以在低至35°C的温度下实现，而形成聚醇则需要更高的温度(150°C)，催化周转数可达2000。此外，聚胺在CO</w:t>
      </w:r>
      <w:r>
        <w:rPr>
          <w:vertAlign w:val="subscript"/>
        </w:rPr>
        <w:t>2</w:t>
      </w:r>
      <w:r>
        <w:t>捕获中的潜在应用得到了证明，吸收1.34 mmol的CO</w:t>
      </w:r>
      <w:r>
        <w:rPr>
          <w:vertAlign w:val="subscript"/>
        </w:rPr>
        <w:t>2</w:t>
      </w:r>
      <w:r>
        <w:t>/g</w:t>
      </w:r>
    </w:p>
    <w:p>
      <w:pPr>
        <w:spacing w:before="0" w:after="200" w:lineRule="auto" w:line="276"/>
      </w:pPr>
      <w:r>
        <w:rPr>
          <w:b/>
        </w:rPr>
        <w:t xml:space="preserve">Abstract (EN): </w:t>
      </w:r>
      <w:r>
        <w:t>We report here two new approaches for the chemical recycling/upcycling of nitrile butadiene rubber (NBR) to make either polyamines or polyols. Both processes are achieved through ruthenium‐catalyzed hydrogenation reactions, where the chemoselective reduction of nitriles leads to the formation of either amines or alcohols. The hydrogenation of NBR to polyamines could be achieved at temperatures as low as 35°C, whereas a higher temperature (150°C) was required for the formation of polyols with catalytic turnover numbers reaching up to 2000. Additionally, polyamines were demonstrated for their potential application in CO</w:t>
      </w:r>
      <w:r>
        <w:rPr>
          <w:vertAlign w:val="subscript"/>
        </w:rPr>
        <w:t>2</w:t>
      </w:r>
      <w:r>
        <w:t>capture, absorbing 1.34 mmol of CO</w:t>
      </w:r>
      <w:r>
        <w:rPr>
          <w:vertAlign w:val="subscript"/>
        </w:rPr>
        <w:t>2</w:t>
      </w:r>
      <w:r>
        <w:t>/g of absorbents. This was significantly higher in comparison to that obtained in the case of NBR, which absorbed only 0.015 mmol of CO</w:t>
      </w:r>
      <w:r>
        <w:rPr>
          <w:vertAlign w:val="subscript"/>
        </w:rPr>
        <w:t>2</w:t>
      </w:r>
      <w:r>
        <w:t>/g of absorbent. The synthesized polyol exhibited a markedly greater ductility than the commercial NBR, reaching an elongation at break of ≈ 550% versus ≈ 420% for NBR, suggestive of potential use in stretch‐demanding applications.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25">
        <w:r>
          <w:rPr>
            <w:color w:val="1155CC"/>
            <w:u w:val="single"/>
          </w:rPr>
          <w:t>液体燃料在未来低碳能源系统中是否有作用？——全球能源系统建模与地方能源港集群参与的持续互动</w:t>
        </w:r>
      </w:hyperlink>
    </w:p>
    <w:p>
      <w:pPr>
        <w:spacing w:before="0" w:after="80"/>
      </w:pPr>
      <w:r>
        <w:rPr>
          <w:i/>
          <w:sz w:val="20"/>
        </w:rPr>
        <w:t>EN: Is there a role for liquid fuels in future low-carbon energy systems? – A continuous interaction between global energy systems modeling and local energy port cluster participation</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26">
        <w:r>
          <w:rPr>
            <w:color w:val="1155CC"/>
            <w:u w:val="single"/>
          </w:rPr>
          <w:t>地缘政治分裂与清洁能源转型：经济制裁如何阻碍可再生能源发展</w:t>
        </w:r>
      </w:hyperlink>
    </w:p>
    <w:p>
      <w:pPr>
        <w:spacing w:before="0" w:after="80"/>
      </w:pPr>
      <w:r>
        <w:rPr>
          <w:i/>
          <w:sz w:val="20"/>
        </w:rPr>
        <w:t>EN: Geopolitical fragmentation and the clean energy transition: How economic sanctions hinder renewable energy development</w:t>
      </w:r>
    </w:p>
    <w:p>
      <w:pPr>
        <w:spacing w:before="0" w:after="120"/>
      </w:pPr>
      <w:r>
        <w:rPr>
          <w:b/>
        </w:rPr>
        <w:t xml:space="preserve">Source: </w:t>
      </w:r>
      <w:r>
        <w:t>ScienceDirect Publication: Energy Policy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27">
        <w:r>
          <w:rPr>
            <w:color w:val="1155CC"/>
            <w:u w:val="single"/>
          </w:rPr>
          <w:t>通过分层氢键工程同时增强聚合物半导体的可拉伸性、可修复性和载流子迁移率</w:t>
        </w:r>
      </w:hyperlink>
    </w:p>
    <w:p>
      <w:pPr>
        <w:spacing w:before="0" w:after="80"/>
      </w:pPr>
      <w:r>
        <w:rPr>
          <w:i/>
          <w:sz w:val="20"/>
        </w:rPr>
        <w:t>EN: Simultaneous enhancement of stretchability, healability and carrier mobility in polymer semiconductors via hierarchical hydrogen-bonded engineering</w:t>
      </w:r>
    </w:p>
    <w:p>
      <w:pPr>
        <w:spacing w:before="0" w:after="120"/>
      </w:pPr>
      <w:r>
        <w:rPr>
          <w:b/>
        </w:rPr>
        <w:t xml:space="preserve">Source: </w:t>
      </w:r>
      <w:r>
        <w:t>National Science Review Advance Access</w:t>
      </w:r>
      <w:r>
        <w:t xml:space="preserve">    </w:t>
      </w:r>
      <w:r>
        <w:rPr>
          <w:b/>
        </w:rPr>
        <w:t xml:space="preserve">Pub date: </w:t>
      </w:r>
      <w:r>
        <w:t>2026-03-14 00:00:00+00:00</w:t>
      </w:r>
      <w:r>
        <w:t xml:space="preserve">    </w:t>
      </w:r>
      <w:r>
        <w:rPr>
          <w:b/>
        </w:rPr>
        <w:t xml:space="preserve">DOI: </w:t>
      </w:r>
      <w:hyperlink r:id="rId228">
        <w:r>
          <w:rPr>
            <w:color w:val="1155CC"/>
            <w:u w:val="single"/>
          </w:rPr>
          <w:t>10.1093/nsr/nwag162</w:t>
        </w:r>
      </w:hyperlink>
    </w:p>
    <w:p>
      <w:pPr>
        <w:spacing w:before="0" w:after="120"/>
      </w:pPr>
      <w:r>
        <w:rPr>
          <w:b/>
        </w:rPr>
        <w:t xml:space="preserve">Notes: </w:t>
      </w:r>
      <w:r>
        <w:t>abstract_source=rss_oup</w:t>
      </w:r>
    </w:p>
    <w:p>
      <w:pPr>
        <w:spacing w:before="0" w:after="80" w:lineRule="auto" w:line="276"/>
      </w:pPr>
      <w:r>
        <w:rPr>
          <w:b/>
        </w:rPr>
        <w:t xml:space="preserve">摘要（ZH）: </w:t>
      </w:r>
      <w:r>
        <w:t>可拉伸聚合物半导体对于健康监测和人机交互等智能技术至关重要，但在电荷传输和可拉伸性/自愈性之间存在基本的权衡。在此，我们引入分级氢键的概念，以提供多层次动态互连聚合物网络，同时实现出色的可拉伸性、显著的自愈能力和高电荷载流子迁移率。共轭破坏剂N,N-二氨基甲酰基吡啶-2,6-二羧酰胺被引入聚合物主链中，具有不同强度的氢键，提供高达150%的裂纹起始应变和90%的迁移率恢复。关键是，分级氢键使得链间紧密堆积</w:t>
      </w:r>
    </w:p>
    <w:p>
      <w:pPr>
        <w:spacing w:before="0" w:after="200" w:lineRule="auto" w:line="276"/>
      </w:pPr>
      <w:r>
        <w:rPr>
          <w:b/>
        </w:rPr>
        <w:t xml:space="preserve">Abstract (EN): </w:t>
      </w:r>
      <w:r>
        <w:t>Stretchable polymer semiconductors are vital for intelligent technologies such as health monitoring and human-machine interactions, suffering from a fundamental trade-off between charge transport and stretchability/self-healability. Herein, we introduce the concept of hierarchical hydrogen bonds to provide multilevel dynamic interconnected polymer network that simultaneously delivers outstanding stretchability, notable self-healing ability and high charge carrier mobility. The conjugation breaker N,N-dicarbamoylpyridine-2,6-dicarboxamide is incorporated into the polymer backbone with different strengths of hydrogen bonds, affording a crack-onset strain up to 150% and 90% mobility recovery upon healing treatment. Crucially, the hierarchical hydrogen bonds enable close interchain stacking for efficient interchain charge transport while enhancing chain dynamics and mechanical compliance. Fully stretchable transistors based on our designed polymer show stable and high mobility up to 1.01 cm2 V−1 s−1 even under 150% strain, marking unprecedented performance for healable semiconductors. Hierarchical hydrogen-bonded engineering thus establishes a design paradigm for high-performance stretchable and healable polymer semiconductors.</w:t>
      </w:r>
    </w:p>
    <w:p>
      <w:pPr>
        <w:spacing w:before="120" w:after="120"/>
      </w:pPr>
      <w:r>
        <w:rPr>
          <w:sz w:val="18"/>
        </w:rPr>
        <w:t>——————————————————————————————————————————————————————————————————————</w:t>
      </w:r>
    </w:p>
    <w:p>
      <w:pPr>
        <w:spacing w:before="160" w:after="40" w:line="240" w:lineRule="auto"/>
      </w:pPr>
      <w:r>
        <w:rPr>
          <w:b/>
        </w:rPr>
        <w:t xml:space="preserve">[4] </w:t>
      </w:r>
      <w:hyperlink r:id="rId229">
        <w:r>
          <w:rPr>
            <w:color w:val="1155CC"/>
            <w:u w:val="single"/>
          </w:rPr>
          <w:t>弥合垂直不匹配：山地生物多样性的海拔驱动因素和保护策略</w:t>
        </w:r>
      </w:hyperlink>
    </w:p>
    <w:p>
      <w:pPr>
        <w:spacing w:before="0" w:after="80"/>
      </w:pPr>
      <w:r>
        <w:rPr>
          <w:i/>
          <w:sz w:val="20"/>
        </w:rPr>
        <w:t>EN: Bridging the vertical mismatch: Elevation-dependent drivers and conservation strategies for mountain biodiversity</w:t>
      </w:r>
    </w:p>
    <w:p>
      <w:pPr>
        <w:spacing w:before="0" w:after="120"/>
      </w:pPr>
      <w:r>
        <w:rPr>
          <w:b/>
        </w:rPr>
        <w:t xml:space="preserve">Source: </w:t>
      </w:r>
      <w:r>
        <w:t>National Science Review Advance Access</w:t>
      </w:r>
      <w:r>
        <w:t xml:space="preserve">    </w:t>
      </w:r>
      <w:r>
        <w:rPr>
          <w:b/>
        </w:rPr>
        <w:t xml:space="preserve">Pub date: </w:t>
      </w:r>
      <w:r>
        <w:t>2026-03-14 00:00:00+00:00</w:t>
      </w:r>
      <w:r>
        <w:t xml:space="preserve">    </w:t>
      </w:r>
      <w:r>
        <w:rPr>
          <w:b/>
        </w:rPr>
        <w:t xml:space="preserve">DOI: </w:t>
      </w:r>
      <w:hyperlink r:id="rId230">
        <w:r>
          <w:rPr>
            <w:color w:val="1155CC"/>
            <w:u w:val="single"/>
          </w:rPr>
          <w:t>10.1093/nsr/nwag163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31">
        <w:r>
          <w:rPr>
            <w:color w:val="1155CC"/>
            <w:u w:val="single"/>
          </w:rPr>
          <w:t>揭示高熵合金元素系统与电催化活性之间的相关性</w:t>
        </w:r>
      </w:hyperlink>
    </w:p>
    <w:p>
      <w:pPr>
        <w:spacing w:before="0" w:after="80"/>
      </w:pPr>
      <w:r>
        <w:rPr>
          <w:i/>
          <w:sz w:val="20"/>
        </w:rPr>
        <w:t>EN: Unveiling the correlation between high-entropy alloy element systems and electrocatalytic activity</w:t>
      </w:r>
    </w:p>
    <w:p>
      <w:pPr>
        <w:spacing w:before="0" w:after="120"/>
      </w:pPr>
      <w:r>
        <w:rPr>
          <w:b/>
        </w:rPr>
        <w:t xml:space="preserve">Source: </w:t>
      </w:r>
      <w:r>
        <w:t>National Science Review Advance Access</w:t>
      </w:r>
      <w:r>
        <w:t xml:space="preserve">    </w:t>
      </w:r>
      <w:r>
        <w:rPr>
          <w:b/>
        </w:rPr>
        <w:t xml:space="preserve">Pub date: </w:t>
      </w:r>
      <w:r>
        <w:t>2026-03-14 00:00:00+00:00</w:t>
      </w:r>
      <w:r>
        <w:t xml:space="preserve">    </w:t>
      </w:r>
      <w:r>
        <w:rPr>
          <w:b/>
        </w:rPr>
        <w:t xml:space="preserve">DOI: </w:t>
      </w:r>
      <w:hyperlink r:id="rId232">
        <w:r>
          <w:rPr>
            <w:color w:val="1155CC"/>
            <w:u w:val="single"/>
          </w:rPr>
          <w:t>10.1093/nsr/nwag161</w:t>
        </w:r>
      </w:hyperlink>
    </w:p>
    <w:p>
      <w:pPr>
        <w:spacing w:before="0" w:after="120"/>
      </w:pPr>
      <w:r>
        <w:rPr>
          <w:b/>
        </w:rPr>
        <w:t xml:space="preserve">Notes: </w:t>
      </w:r>
      <w:r>
        <w:t>abstract_source=rss_oup</w:t>
      </w:r>
    </w:p>
    <w:p>
      <w:pPr>
        <w:spacing w:before="0" w:after="80" w:lineRule="auto" w:line="276"/>
      </w:pPr>
      <w:r>
        <w:rPr>
          <w:b/>
        </w:rPr>
        <w:t xml:space="preserve">摘要（ZH）: </w:t>
      </w:r>
      <w:r>
        <w:t>高熵合金（HEAs）的复杂元素组合和协同效应为高效探索和优化设计带来了重大挑战。在此，我们提出了一个整合大型语言模型（LLMs）与高通量平台的协作框架，旨在揭示HEA元素系统与氧还原反应（ORR）活性之间的相关性。通过对LLM的领域特定微调，我们开发了ChatHEA作为HEA组合枚举的助手，使得通过高通量平台的快速合成成为可能，并通过批量性能评估促进了标准化ORR活性数据集的构建。随后，ChatHEA对数据集进行多维分析和模式识别，以揭示复杂的</w:t>
      </w:r>
    </w:p>
    <w:p>
      <w:pPr>
        <w:spacing w:before="0" w:after="200" w:lineRule="auto" w:line="276"/>
      </w:pPr>
      <w:r>
        <w:rPr>
          <w:b/>
        </w:rPr>
        <w:t xml:space="preserve">Abstract (EN): </w:t>
      </w:r>
      <w:r>
        <w:t>The complex element combinations and synergistic effects of high-entropy alloys (HEAs) present significant challenges for efficient exploration and optimal design. Here, we propose a collaborative framework that integrates large language models (LLMs) with a high-throughput platform, aiming to reveal the correlation between HEA element systems and oxygen reduction reaction (ORR) activity. By domain-specific fine-tuning of the LLM, we developed ChatHEA as an assistant for the enumeration of HEA combinations, which enabled rapid synthesis via a high-throughput platform and facilitated the construction of a standardized ORR activity dataset through batch performance evaluation. Subsequently, ChatHEA performs multidimensional analysis and pattern recognition on the dataset to uncover the intrinsic relationships between HEA element systems and ORR activity, followed by detailed validation of the superior combinations. Density functional theory (DFT) and advanced pH-dependent microkinetic modeling further elucidate and confirm the facilitating effect of elemental synergism on reaction activity. This collaborative framework combining LLMs, high-throughput experimentation, and advanced modeling offers a new pathway for the efficient development of catalytic materials and mechanistic understanding.</w:t>
      </w:r>
    </w:p>
    <w:p>
      <w:pPr>
        <w:spacing w:before="120" w:after="120"/>
      </w:pPr>
      <w:r>
        <w:rPr>
          <w:sz w:val="18"/>
        </w:rPr>
        <w:t>——————————————————————————————————————————————————————————————————————</w:t>
      </w:r>
    </w:p>
    <w:p>
      <w:pPr>
        <w:spacing w:before="160" w:after="40" w:line="240" w:lineRule="auto"/>
      </w:pPr>
      <w:r>
        <w:rPr>
          <w:b/>
        </w:rPr>
        <w:t xml:space="preserve">[6] </w:t>
      </w:r>
      <w:hyperlink r:id="rId233">
        <w:r>
          <w:rPr>
            <w:color w:val="1155CC"/>
            <w:u w:val="single"/>
          </w:rPr>
          <w:t>中国高层重申成为科技和人工智能世界领导者的目标</w:t>
        </w:r>
      </w:hyperlink>
    </w:p>
    <w:p>
      <w:pPr>
        <w:spacing w:before="0" w:after="80"/>
      </w:pPr>
      <w:r>
        <w:rPr>
          <w:i/>
          <w:sz w:val="20"/>
        </w:rPr>
        <w:t>EN: Top brass in China reaffirm goal to be world leaders in tech, AI</w:t>
      </w:r>
    </w:p>
    <w:p>
      <w:pPr>
        <w:spacing w:before="0" w:after="120"/>
      </w:pPr>
      <w:r>
        <w:rPr>
          <w:b/>
        </w:rPr>
        <w:t xml:space="preserve">Source: </w:t>
      </w:r>
      <w:r>
        <w:t>Nature</w:t>
      </w:r>
      <w:r>
        <w:t xml:space="preserve">    </w:t>
      </w:r>
      <w:r>
        <w:rPr>
          <w:b/>
        </w:rPr>
        <w:t xml:space="preserve">Pub date: </w:t>
      </w:r>
      <w:r>
        <w:t>2026-03-14 00:00:00+00:00</w:t>
      </w:r>
      <w:r>
        <w:t xml:space="preserve">    </w:t>
      </w:r>
      <w:r>
        <w:rPr>
          <w:b/>
        </w:rPr>
        <w:t xml:space="preserve">DOI: </w:t>
      </w:r>
      <w:hyperlink r:id="rId234">
        <w:r>
          <w:rPr>
            <w:color w:val="1155CC"/>
            <w:u w:val="single"/>
          </w:rPr>
          <w:t>10.1038/d41586-026-00814-3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35">
        <w:r>
          <w:rPr>
            <w:color w:val="1155CC"/>
            <w:u w:val="single"/>
          </w:rPr>
          <w:t>化石燃料的衰退与寻找可行替代品：在全球社会政治和技术约束下对生物柴油、电力和沼气能源系统的批判性回顾</w:t>
        </w:r>
      </w:hyperlink>
    </w:p>
    <w:p>
      <w:pPr>
        <w:spacing w:before="0" w:after="80"/>
      </w:pPr>
      <w:r>
        <w:rPr>
          <w:i/>
          <w:sz w:val="20"/>
        </w:rPr>
        <w:t>EN: The decline of fossil fuels and the search for viable alternatives: A critical review of biodiesel, electric, and biogas energy systems under global socio-political and technical constraints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36">
        <w:r>
          <w:rPr>
            <w:color w:val="1155CC"/>
            <w:u w:val="single"/>
          </w:rPr>
          <w:t>将短期电力需求预测与可解释的人工智能联系起来：建筑能源应用的综述</w:t>
        </w:r>
      </w:hyperlink>
    </w:p>
    <w:p>
      <w:pPr>
        <w:spacing w:before="0" w:after="80"/>
      </w:pPr>
      <w:r>
        <w:rPr>
          <w:i/>
          <w:sz w:val="20"/>
        </w:rPr>
        <w:t>EN: Linking short-term electricity demand forecasting and explainable AI: A review for building energy applications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37">
        <w:r>
          <w:rPr>
            <w:color w:val="1155CC"/>
            <w:u w:val="single"/>
          </w:rPr>
          <w:t>通过时间可变电价和自动负载控制实现峰值削减：瑞士试点研究的结果</w:t>
        </w:r>
      </w:hyperlink>
    </w:p>
    <w:p>
      <w:pPr>
        <w:spacing w:before="0" w:after="80"/>
      </w:pPr>
      <w:r>
        <w:rPr>
          <w:i/>
          <w:sz w:val="20"/>
        </w:rPr>
        <w:t>EN: Peak reduction via time-variable tariffs and automated load control: Results from a Swiss pilot study</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38">
        <w:r>
          <w:rPr>
            <w:color w:val="1155CC"/>
            <w:u w:val="single"/>
          </w:rPr>
          <w:t>自由活塞发动机和线性电机的驱动控制</w:t>
        </w:r>
      </w:hyperlink>
    </w:p>
    <w:p>
      <w:pPr>
        <w:spacing w:before="0" w:after="80"/>
      </w:pPr>
      <w:r>
        <w:rPr>
          <w:i/>
          <w:sz w:val="20"/>
        </w:rPr>
        <w:t>EN: Motoring control of a free piston engine and linear electric machine</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39">
        <w:r>
          <w:rPr>
            <w:color w:val="1155CC"/>
            <w:u w:val="single"/>
          </w:rPr>
          <w:t>墨西哥的能源十字路口：驾驭复杂的过渡</w:t>
        </w:r>
      </w:hyperlink>
    </w:p>
    <w:p>
      <w:pPr>
        <w:spacing w:before="0" w:after="80"/>
      </w:pPr>
      <w:r>
        <w:rPr>
          <w:i/>
          <w:sz w:val="20"/>
        </w:rPr>
        <w:t>EN: Mexico’s energy crossroads: Navigating a complex transition</w:t>
      </w:r>
    </w:p>
    <w:p>
      <w:pPr>
        <w:spacing w:before="0" w:after="120"/>
      </w:pPr>
      <w:r>
        <w:rPr>
          <w:b/>
        </w:rPr>
        <w:t xml:space="preserve">Source: </w:t>
      </w:r>
      <w:r>
        <w:t>ScienceDirect Publication: Energy Policy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40">
        <w:r>
          <w:rPr>
            <w:color w:val="1155CC"/>
            <w:u w:val="single"/>
          </w:rPr>
          <w:t>基于多智能体深度强化学习的智能产消者管理以参与去中心化的点对点市场</w:t>
        </w:r>
      </w:hyperlink>
    </w:p>
    <w:p>
      <w:pPr>
        <w:spacing w:before="0" w:after="80"/>
      </w:pPr>
      <w:r>
        <w:rPr>
          <w:i/>
          <w:sz w:val="20"/>
        </w:rPr>
        <w:t>EN: Smart prosumers management based on multi-agent deep reinforcement learning to participate in decentralized peer-to-peer market</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41">
        <w:r>
          <w:rPr>
            <w:color w:val="1155CC"/>
            <w:u w:val="single"/>
          </w:rPr>
          <w:t>利用FuXi-Energy改善可再生能源预测</w:t>
        </w:r>
      </w:hyperlink>
    </w:p>
    <w:p>
      <w:pPr>
        <w:spacing w:before="0" w:after="80"/>
      </w:pPr>
      <w:r>
        <w:rPr>
          <w:i/>
          <w:sz w:val="20"/>
        </w:rPr>
        <w:t>EN: Improving renewable energy forecasting with FuXi-Energy</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42">
        <w:r>
          <w:rPr>
            <w:color w:val="1155CC"/>
            <w:u w:val="single"/>
          </w:rPr>
          <w:t>离子压缩机中的电力分配和能源消耗：一种新的理论公式</w:t>
        </w:r>
      </w:hyperlink>
    </w:p>
    <w:p>
      <w:pPr>
        <w:spacing w:before="0" w:after="80"/>
      </w:pPr>
      <w:r>
        <w:rPr>
          <w:i/>
          <w:sz w:val="20"/>
        </w:rPr>
        <w:t>EN: Power distribution and energy consumption in ionic compressors: A novel theoretical formulation</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43">
        <w:r>
          <w:rPr>
            <w:color w:val="1155CC"/>
            <w:u w:val="single"/>
          </w:rPr>
          <w:t>MARLEM：一种用于分散本地能源市场中隐式合作的多智能体强化学习模拟框架</w:t>
        </w:r>
      </w:hyperlink>
    </w:p>
    <w:p>
      <w:pPr>
        <w:spacing w:before="0" w:after="80"/>
      </w:pPr>
      <w:r>
        <w:rPr>
          <w:i/>
          <w:sz w:val="20"/>
        </w:rPr>
        <w:t>EN: MARLEM: A multi-agent reinforcement learning simulation framework for implicit cooperation in decentralized local energy markets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44">
        <w:r>
          <w:rPr>
            <w:color w:val="1155CC"/>
            <w:u w:val="single"/>
          </w:rPr>
          <w:t>ERA5 10米风速在ERA5-land产品中的系统性低估削弱了风能研究</w:t>
        </w:r>
      </w:hyperlink>
    </w:p>
    <w:p>
      <w:pPr>
        <w:spacing w:before="0" w:after="80"/>
      </w:pPr>
      <w:r>
        <w:rPr>
          <w:i/>
          <w:sz w:val="20"/>
        </w:rPr>
        <w:t>EN: Systematic under-representation of ERA5 10 m wind speeds in the ERA5-land product undermines wind energy studies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45">
        <w:r>
          <w:rPr>
            <w:color w:val="1155CC"/>
            <w:u w:val="single"/>
          </w:rPr>
          <w:t>基于序列阻抗识别的电网连接可再生能源站的小信号稳定性在线评估，考虑测量噪声</w:t>
        </w:r>
      </w:hyperlink>
    </w:p>
    <w:p>
      <w:pPr>
        <w:spacing w:before="0" w:after="80"/>
      </w:pPr>
      <w:r>
        <w:rPr>
          <w:i/>
          <w:sz w:val="20"/>
        </w:rPr>
        <w:t>EN: Sequence impedance identification-based online small-signal stability assessment of grid-connected renewable energy stations considering measurement noise</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46">
        <w:r>
          <w:rPr>
            <w:color w:val="1155CC"/>
            <w:u w:val="single"/>
          </w:rPr>
          <w:t>城市发展与能源转型：中国城市的证据</w:t>
        </w:r>
      </w:hyperlink>
    </w:p>
    <w:p>
      <w:pPr>
        <w:spacing w:before="0" w:after="80"/>
      </w:pPr>
      <w:r>
        <w:rPr>
          <w:i/>
          <w:sz w:val="20"/>
        </w:rPr>
        <w:t>EN: Urban development and the energy transition: Evidence from Chinese cities</w:t>
      </w:r>
    </w:p>
    <w:p>
      <w:pPr>
        <w:spacing w:before="0" w:after="120"/>
      </w:pPr>
      <w:r>
        <w:rPr>
          <w:b/>
        </w:rPr>
        <w:t xml:space="preserve">Source: </w:t>
      </w:r>
      <w:r>
        <w:t>ScienceDirect Publication: Energy Policy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47">
        <w:r>
          <w:rPr>
            <w:color w:val="1155CC"/>
            <w:u w:val="single"/>
          </w:rPr>
          <w:t>数据基础设施建设能否缓解清洁能源的错配？——基于中国省级数据的分析</w:t>
        </w:r>
      </w:hyperlink>
    </w:p>
    <w:p>
      <w:pPr>
        <w:spacing w:before="0" w:after="80"/>
      </w:pPr>
      <w:r>
        <w:rPr>
          <w:i/>
          <w:sz w:val="20"/>
        </w:rPr>
        <w:t>EN: Can data infrastructure construction alleviate clean energy misallocation?—An analysis based on China's provincial data</w:t>
      </w:r>
    </w:p>
    <w:p>
      <w:pPr>
        <w:spacing w:before="0" w:after="120"/>
      </w:pPr>
      <w:r>
        <w:rPr>
          <w:b/>
        </w:rPr>
        <w:t xml:space="preserve">Source: </w:t>
      </w:r>
      <w:r>
        <w:t>ScienceDirect Publication: Energy Policy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48">
        <w:r>
          <w:rPr>
            <w:color w:val="1155CC"/>
            <w:u w:val="single"/>
          </w:rPr>
          <w:t>基于分层优化和集成网络的短期负荷预测混合模型</w:t>
        </w:r>
      </w:hyperlink>
    </w:p>
    <w:p>
      <w:pPr>
        <w:spacing w:before="0" w:after="80"/>
      </w:pPr>
      <w:r>
        <w:rPr>
          <w:i/>
          <w:sz w:val="20"/>
        </w:rPr>
        <w:t>EN: A short-term load forecasting hybrid model based on hierarchical optimization and ensemble networks</w:t>
      </w:r>
    </w:p>
    <w:p>
      <w:pPr>
        <w:spacing w:before="0" w:after="120"/>
      </w:pPr>
      <w:r>
        <w:rPr>
          <w:b/>
        </w:rPr>
        <w:t xml:space="preserve">Source: </w:t>
      </w:r>
      <w:r>
        <w:t>ScienceDirect Publication: Applied Energy</w:t>
      </w:r>
      <w:r>
        <w:t xml:space="preserve">    </w:t>
      </w:r>
      <w:r>
        <w:rPr>
          <w:b/>
        </w:rPr>
        <w:t xml:space="preserve">Pub date: </w:t>
      </w:r>
      <w:r>
        <w:t>2026-03-14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49">
        <w:r>
          <w:rPr>
            <w:color w:val="1155CC"/>
            <w:u w:val="single"/>
          </w:rPr>
          <w:t>可视化和量化微RNA诱导的DNA折纸在纳米尺度上的分离</w:t>
        </w:r>
      </w:hyperlink>
    </w:p>
    <w:p>
      <w:pPr>
        <w:spacing w:before="0" w:after="80"/>
      </w:pPr>
      <w:r>
        <w:rPr>
          <w:i/>
          <w:sz w:val="20"/>
        </w:rPr>
        <w:t>EN: Visualizing and Quantifying microRNA‐Induced DNA Origami Separation at the Nanoscale</w:t>
      </w:r>
    </w:p>
    <w:p>
      <w:pPr>
        <w:spacing w:before="0" w:after="120"/>
      </w:pPr>
      <w:r>
        <w:rPr>
          <w:b/>
        </w:rPr>
        <w:t xml:space="preserve">Source: </w:t>
      </w:r>
      <w:r>
        <w:t>Wiley: Angewandte Chemie International Edition: Table of Contents</w:t>
      </w:r>
      <w:r>
        <w:t xml:space="preserve">    </w:t>
      </w:r>
      <w:r>
        <w:rPr>
          <w:b/>
        </w:rPr>
        <w:t xml:space="preserve">Pub date: </w:t>
      </w:r>
      <w:r>
        <w:t>2026-03-14 02:59:48+00:00</w:t>
      </w:r>
      <w:r>
        <w:t xml:space="preserve">    </w:t>
      </w:r>
      <w:r>
        <w:rPr>
          <w:b/>
        </w:rPr>
        <w:t xml:space="preserve">DOI: </w:t>
      </w:r>
      <w:hyperlink r:id="rId250">
        <w:r>
          <w:rPr>
            <w:color w:val="1155CC"/>
            <w:u w:val="single"/>
          </w:rPr>
          <w:t>10.1002/anie.6443787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循环微RNA（miRNA）是有前景的疾病诊断生物标志物，但其小尺寸和不稳定性阻碍了直接检测。使用固态纳米孔检测miRNA通常涉及将miRNA与较大的载体分子结合以生成可检测信号。然而，这些载体在样品处理过程中可能受到RNase活性的影响，如果RNA在纳米孔检测前降解，可能导致假阴性。在此，我们提出了一种基于DNA折纸解体的替代方法，该方法由趾端介导的链置换（TMSD）驱动，可以在RNase存在下进行。我们设计了一个对称的DNA折纸二聚体，利用miRNA作为入侵链进行TMSD驱动的分离成单体。我们可视化</w:t>
      </w:r>
    </w:p>
    <w:p>
      <w:pPr>
        <w:spacing w:before="0" w:after="200" w:lineRule="auto" w:line="276"/>
      </w:pPr>
      <w:r>
        <w:rPr>
          <w:b/>
        </w:rPr>
        <w:t xml:space="preserve">Abstract (EN): </w:t>
      </w:r>
      <w:r>
        <w:t>Circulating microRNAs (miRNAs) are promising biomarkers for disease diagnosis, but their small size and instability hinder direct detection. The detection of miRNA using solid‐state nanopores typically involves the binding of miRNA to a larger carrier molecule to generate detectable signals. However, these carriers can be affected by RNase activity during sample handling, potentially causing false negatives if the RNA is degraded before nanopore detection. Here, we present an alternative approach based on DNA origami disassembly driven by toehold‐mediated strand displacement (TMSD) which can be performed in the presence of RNases. We designed a symmetric DNA origami dimer that undergoes TMSD‐driven separation into monomers using miRNAs as invading strands. We visualized the real‐time dynamics of dimer separation at high resolution using high‐speed atomic force microscopy, directly capturing nanoscale mechanical dynamics of the TMSD process that are inaccessible to ensemble or fluorescence‐based measurements. Single molecule nanopore sensing enables quantitative endpoint analysis of dimer separation by measuring the ratio of dimers to monomers. This direct read‐out enabled the multiplexed detection of miRNAs. Owing to the near‐irreversible nature of TMSD, we detected miRNA in crude RNA tissue extracts in the presence of RNase, demonstrating robust small RNA detection in a complex degrading environment.</w:t>
      </w:r>
    </w:p>
    <w:p>
      <w:pPr>
        <w:spacing w:before="120" w:after="120"/>
      </w:pPr>
      <w:r>
        <w:rPr>
          <w:sz w:val="18"/>
        </w:rPr>
        <w:t>——————————————————————————————————————————————————————————————————————</w:t>
      </w:r>
    </w:p>
    <w:p>
      <w:pPr>
        <w:spacing w:before="160" w:after="40" w:line="240" w:lineRule="auto"/>
      </w:pPr>
      <w:r>
        <w:rPr>
          <w:b/>
        </w:rPr>
        <w:t xml:space="preserve">[22] </w:t>
      </w:r>
      <w:hyperlink r:id="rId251">
        <w:r>
          <w:rPr>
            <w:color w:val="1155CC"/>
            <w:u w:val="single"/>
          </w:rPr>
          <w:t>通过Scholl反应嵌入手性七边形的双[6]螺烯</w:t>
        </w:r>
      </w:hyperlink>
    </w:p>
    <w:p>
      <w:pPr>
        <w:spacing w:before="0" w:after="80"/>
      </w:pPr>
      <w:r>
        <w:rPr>
          <w:i/>
          <w:sz w:val="20"/>
        </w:rPr>
        <w:t>EN: Chiral Heptagon‐Embedded Double [6]Helicenes via Scholl Reaction</w:t>
      </w:r>
    </w:p>
    <w:p>
      <w:pPr>
        <w:spacing w:before="0" w:after="120"/>
      </w:pPr>
      <w:r>
        <w:rPr>
          <w:b/>
        </w:rPr>
        <w:t xml:space="preserve">Source: </w:t>
      </w:r>
      <w:r>
        <w:t>Wiley: Angewandte Chemie International Edition: Table of Contents</w:t>
      </w:r>
      <w:r>
        <w:t xml:space="preserve">    </w:t>
      </w:r>
      <w:r>
        <w:rPr>
          <w:b/>
        </w:rPr>
        <w:t xml:space="preserve">Pub date: </w:t>
      </w:r>
      <w:r>
        <w:t>2026-03-14 03:04:48+00:00</w:t>
      </w:r>
      <w:r>
        <w:t xml:space="preserve">    </w:t>
      </w:r>
      <w:r>
        <w:rPr>
          <w:b/>
        </w:rPr>
        <w:t xml:space="preserve">DOI: </w:t>
      </w:r>
      <w:hyperlink r:id="rId252">
        <w:r>
          <w:rPr>
            <w:color w:val="1155CC"/>
            <w:u w:val="single"/>
          </w:rPr>
          <w:t>10.1002/anie.8159257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系列嵌入七边形的多重螺烯被合成，其中七边形亚单元通过Knoevenagel缩合反应与π框架融合。通过控制环脱氢（Scholl）反应的条件，可以获得不同的融合手性和扭曲的多环芳烃（PAHs）。通过紫外-可见光、荧光光谱和循环伏安法研究了所有产物的光学和电子性质。该系列中的一个成员显示出一种不寻常的类似反Kasha的荧光发射。此外，所有的对映纯[6]螺烯通过手性HPLC分离，并通过圆二色性光谱进行表征。</w:t>
      </w:r>
    </w:p>
    <w:p>
      <w:pPr>
        <w:spacing w:before="0" w:after="200" w:lineRule="auto" w:line="276"/>
      </w:pPr>
      <w:r>
        <w:rPr>
          <w:b/>
        </w:rPr>
        <w:t xml:space="preserve">Abstract (EN): </w:t>
      </w:r>
      <w:r>
        <w:t>A series of heptagon‐embedded multiple helicenes was synthesized in which the heptagon subunit was fused to the π‐framework through Knoevenagel condensation reactions. By controlling the conditions of the cyclodehydrogenation (Scholl) reactions, different fused chiral and twisted PAHs were accessible. The optical and electronic properties of all products were investigated by UV–vis, fluorescence spectroscopy, and cyclic voltammetry. One member of the series displays an unusual anti‐Kasha‐like fluorescence emission. In addition, all the enantiopure [6]helicenes were separated by chiral HPLC and characterized by circular dichroism spectroscopy.</w:t>
      </w:r>
    </w:p>
    <w:p>
      <w:pPr>
        <w:spacing w:before="120" w:after="120"/>
      </w:pPr>
      <w:r>
        <w:rPr>
          <w:sz w:val="18"/>
        </w:rPr>
        <w:t>——————————————————————————————————————————————————————————————————————</w:t>
      </w:r>
    </w:p>
    <w:p>
      <w:pPr>
        <w:spacing w:before="160" w:after="40" w:line="240" w:lineRule="auto"/>
      </w:pPr>
      <w:r>
        <w:rPr>
          <w:b/>
        </w:rPr>
        <w:t xml:space="preserve">[23] </w:t>
      </w:r>
      <w:hyperlink r:id="rId253">
        <w:r>
          <w:rPr>
            <w:color w:val="1155CC"/>
            <w:u w:val="single"/>
          </w:rPr>
          <w:t>流动催化中的网状多孔材料：连接分子设计和过程强化</w:t>
        </w:r>
      </w:hyperlink>
    </w:p>
    <w:p>
      <w:pPr>
        <w:spacing w:before="0" w:after="80"/>
      </w:pPr>
      <w:r>
        <w:rPr>
          <w:i/>
          <w:sz w:val="20"/>
        </w:rPr>
        <w:t>EN: Reticular Porous Materials in Flow Catalysis: Bridging Molecular Design and Process Intensification</w:t>
      </w:r>
    </w:p>
    <w:p>
      <w:pPr>
        <w:spacing w:before="0" w:after="120"/>
      </w:pPr>
      <w:r>
        <w:rPr>
          <w:b/>
        </w:rPr>
        <w:t xml:space="preserve">Source: </w:t>
      </w:r>
      <w:r>
        <w:t>Wiley: Angewandte Chemie International Edition: Table of Contents</w:t>
      </w:r>
      <w:r>
        <w:t xml:space="preserve">    </w:t>
      </w:r>
      <w:r>
        <w:rPr>
          <w:b/>
        </w:rPr>
        <w:t xml:space="preserve">Pub date: </w:t>
      </w:r>
      <w:r>
        <w:t>2026-03-14 06:51:22+00:00</w:t>
      </w:r>
      <w:r>
        <w:t xml:space="preserve">    </w:t>
      </w:r>
      <w:r>
        <w:rPr>
          <w:b/>
        </w:rPr>
        <w:t xml:space="preserve">DOI: </w:t>
      </w:r>
      <w:hyperlink r:id="rId254">
        <w:r>
          <w:rPr>
            <w:color w:val="1155CC"/>
            <w:u w:val="single"/>
          </w:rPr>
          <w:t>10.1002/anie.202600001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流动催化代表了一种可持续化学制造的变革性范式，与传统的间歇过程相比，提供了优越的热量和质量传递、精确的时间和空间反应控制、增强的操作安全性和简单的可扩展性。同时，网状多孔材料（RPMs），主要是金属有机框架（MOFs）和共价有机框架（COFs），提供了具有原子级定义活性位点、可调节孔微环境和可编程功能的模块化平台，使得催化行为的合理控制成为可能。流动技术与RPMs的融合建立了分子级催化剂设计与过程级强化之间的强大桥梁。流动操作使得更精确的</w:t>
      </w:r>
    </w:p>
    <w:p>
      <w:pPr>
        <w:spacing w:before="0" w:after="200" w:lineRule="auto" w:line="276"/>
      </w:pPr>
      <w:r>
        <w:rPr>
          <w:b/>
        </w:rPr>
        <w:t xml:space="preserve">Abstract (EN): </w:t>
      </w:r>
      <w:r>
        <w:t>Flow catalysis represents a transformative paradigm for sustainable chemical manufacturing, offering superior heat and mass transfer, precise temporal and spatial reaction control, enhanced operational safety, and straightforward scalability compared with conventional batch processes. In parallel, reticular porous materials (RPMs), primarily metal–organic frameworks (MOFs) and covalent organic frameworks (COFs), provide modular platforms with atomically defined active sites, tunable pore microenvironments, and programmable functions that enable rational control over catalytic behavior. The convergence of flow technology with RPMs establishes a powerful bridge between molecular‐level catalyst design and process‐level intensification. Flow operation enables more precise control over photon delivery, mass transport, and energy utilization than static batch reactors, resulting in higher catalytic efficiency and extended operational lifetimes. This Minireview provides an integrated overview of recent advances across multiple reactor configurations, including packed‐bed, suspension, microfluidic, and membrane‐integrated flow systems. Particular emphasis is placed on strategies for integrating catalysts into diverse flow configurations, as well as on how flow operation enhances catalyst activity and space–time yields under demanding reaction conditions relative to batch systems. Finally, we outline key challenges and emerging opportunities for RPMs in flow catalysis.</w:t>
      </w:r>
    </w:p>
    <w:p>
      <w:pPr>
        <w:spacing w:before="120" w:after="120"/>
      </w:pPr>
      <w:r>
        <w:rPr>
          <w:sz w:val="18"/>
        </w:rPr>
        <w:t>——————————————————————————————————————————————————————————————————————</w:t>
      </w:r>
    </w:p>
    <w:p>
      <w:pPr>
        <w:spacing w:before="160" w:after="40" w:line="240" w:lineRule="auto"/>
      </w:pPr>
      <w:r>
        <w:rPr>
          <w:b/>
        </w:rPr>
        <w:t xml:space="preserve">[24] </w:t>
      </w:r>
      <w:hyperlink r:id="rId255">
        <w:r>
          <w:rPr>
            <w:color w:val="1155CC"/>
            <w:u w:val="single"/>
          </w:rPr>
          <w:t>甘氨酰胺驱动的香豆素构建（GDCC）：用于荧光标记和肽大环化的温和策略</w:t>
        </w:r>
      </w:hyperlink>
    </w:p>
    <w:p>
      <w:pPr>
        <w:spacing w:before="0" w:after="80"/>
      </w:pPr>
      <w:r>
        <w:rPr>
          <w:i/>
          <w:sz w:val="20"/>
        </w:rPr>
        <w:t>EN: Glycinamide‐Driven Coumarin Construction (GDCC): A Mild Strategy for Fluorescent Labeling and Macrocyclization of Peptides</w:t>
      </w:r>
    </w:p>
    <w:p>
      <w:pPr>
        <w:spacing w:before="0" w:after="120"/>
      </w:pPr>
      <w:r>
        <w:rPr>
          <w:b/>
        </w:rPr>
        <w:t xml:space="preserve">Source: </w:t>
      </w:r>
      <w:r>
        <w:t>Wiley: Angewandte Chemie International Edition: Table of Contents</w:t>
      </w:r>
      <w:r>
        <w:t xml:space="preserve">    </w:t>
      </w:r>
      <w:r>
        <w:rPr>
          <w:b/>
        </w:rPr>
        <w:t xml:space="preserve">Pub date: </w:t>
      </w:r>
      <w:r>
        <w:t>2026-03-14 07:01:26+00:00</w:t>
      </w:r>
      <w:r>
        <w:t xml:space="preserve">    </w:t>
      </w:r>
      <w:r>
        <w:rPr>
          <w:b/>
        </w:rPr>
        <w:t xml:space="preserve">DOI: </w:t>
      </w:r>
      <w:hyperlink r:id="rId256">
        <w:r>
          <w:rPr>
            <w:color w:val="1155CC"/>
            <w:u w:val="single"/>
          </w:rPr>
          <w:t>10.1002/anie.202525302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肽类大环化合物因其结构明确和增强的生物活性而受到越来越多的关注。然而，缺乏反应性侧链的残基的有效环化仍然是一个重大挑战。在此，我们报告了一种甘氨酰胺驱动的香豆素构建（GDCC）反应，该反应能够在温和、无金属和无催化剂的条件下，通过C末端甘氨酸残基与水杨醛类似物之间的缩合，原位形成香豆素骨架。虽然各种水杨醛衍生物提供了有效的荧光标记，但对称的水杨醛基连接物独特地促进了分子内双甘氨酸环化。</w:t>
      </w:r>
    </w:p>
    <w:p>
      <w:pPr>
        <w:spacing w:before="0" w:after="200" w:lineRule="auto" w:line="276"/>
      </w:pPr>
      <w:r>
        <w:rPr>
          <w:b/>
        </w:rPr>
        <w:t xml:space="preserve">Abstract (EN): </w:t>
      </w:r>
      <w:r>
        <w:t>Peptidic macrocycles have attracted increasing attention due to their well‐defined structures and enhanced biological activities. However, efficient cyclization of residues lacking reactive side chains remains a significant challenge. Herein, we report a glycinamide‐driven coumarin construction (GDCC) reaction that enables the in situ formation of coumarin scaffolds via condensation between</w:t>
      </w:r>
      <w:r>
        <w:t xml:space="preserve"> </w:t>
      </w:r>
      <w:r>
        <w:t>C</w:t>
      </w:r>
      <w:r>
        <w:t xml:space="preserve"> </w:t>
      </w:r>
      <w:r>
        <w:t>‐terminal glycine residues and salicylaldehyde analogs under mild, metal‐ and catalyst‐free conditions. While various salicylaldehyde derivatives afford efficient fluorescent labeling, symmetrical salicylaldehyde‐based linkers uniquely promote intramolecular</w:t>
      </w:r>
      <w:r>
        <w:t xml:space="preserve"> </w:t>
      </w:r>
      <w:r>
        <w:t>bis</w:t>
      </w:r>
      <w:r>
        <w:t xml:space="preserve"> </w:t>
      </w:r>
      <w:r>
        <w:t>‐glycine cyclization, generating intrinsically fluorescent peptide macrocycles with tunable topology and hydrophobicity. Notably, the optimal peptide</w:t>
      </w:r>
      <w:r>
        <w:rPr>
          <w:vertAlign w:val="subscript"/>
        </w:rPr>
        <w:t>64</w:t>
      </w:r>
      <w:r>
        <w:t>exhibits photophysical properties comparable or even superior to those of the coumarin gold standard, 7‐(diethylamino)‐4‐methylcoumarin. The GDCC reaction displays broad substrate scope and excellent compatibility with both solid‐phase and solution‐phase peptide synthesis. Its potential in chemical biology is demonstrated by the streamlined construction of diverse fluorescent cyclic peptides, including RGD‐based probes for live‐cell imaging, peptide–drug conjugates for targeted doxorubicin delivery, and a panel of PD‐1/PD‐L1 interaction inhibitors with tunable activity.</w:t>
      </w:r>
    </w:p>
    <w:p>
      <w:pPr>
        <w:spacing w:before="120" w:after="120"/>
      </w:pPr>
      <w:r>
        <w:rPr>
          <w:sz w:val="18"/>
        </w:rPr>
        <w:t>——————————————————————————————————————————————————————————————————————</w:t>
      </w:r>
    </w:p>
    <w:p>
      <w:pPr>
        <w:spacing w:before="160" w:after="40" w:line="240" w:lineRule="auto"/>
      </w:pPr>
      <w:r>
        <w:rPr>
          <w:b/>
        </w:rPr>
        <w:t xml:space="preserve">[25] </w:t>
      </w:r>
      <w:hyperlink r:id="rId257">
        <w:r>
          <w:rPr>
            <w:color w:val="1155CC"/>
            <w:u w:val="single"/>
          </w:rPr>
          <w:t>分层镧系纳米颗粒中的Yb3+能量中继实现多维NIR-II寿命成像</w:t>
        </w:r>
      </w:hyperlink>
    </w:p>
    <w:p>
      <w:pPr>
        <w:spacing w:before="0" w:after="80"/>
      </w:pPr>
      <w:r>
        <w:rPr>
          <w:i/>
          <w:sz w:val="20"/>
        </w:rPr>
        <w:t>EN: Yb3+ Energy Relay in Stratified Lanthanide Nanoparticles Enables Multidimensional NIR‐II Lifetime Imaging</w:t>
      </w:r>
    </w:p>
    <w:p>
      <w:pPr>
        <w:spacing w:before="0" w:after="120"/>
      </w:pPr>
      <w:r>
        <w:rPr>
          <w:b/>
        </w:rPr>
        <w:t xml:space="preserve">Source: </w:t>
      </w:r>
      <w:r>
        <w:t>Wiley: Advanced Materials: Table of Contents</w:t>
      </w:r>
      <w:r>
        <w:t xml:space="preserve">    </w:t>
      </w:r>
      <w:r>
        <w:rPr>
          <w:b/>
        </w:rPr>
        <w:t xml:space="preserve">Pub date: </w:t>
      </w:r>
      <w:r>
        <w:t>2026-03-14 07:01:27+00:00</w:t>
      </w:r>
      <w:r>
        <w:t xml:space="preserve">    </w:t>
      </w:r>
      <w:r>
        <w:rPr>
          <w:b/>
        </w:rPr>
        <w:t xml:space="preserve">DOI: </w:t>
      </w:r>
      <w:hyperlink r:id="rId258">
        <w:r>
          <w:rPr>
            <w:color w:val="1155CC"/>
            <w:u w:val="single"/>
          </w:rPr>
          <w:t>10.1002/adma.202519832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第二近红外窗口（NIR‐II，1000–2000 nm）由于其卓越的组织穿透深度和最小的散射，为多通道光致发光寿命成像（mPLI）提供了理想的窗口。然而，由于传统发光材料（如有机染料和量子点）的宽且重叠的发射导致的不可避免的光谱串扰限制了mPLI通道的可扩展性。在此，我们开发了一系列Ln3+掺杂（Ln = Nd, Er, Tm, 或 Ho）分层纳米颗粒（Ln‐SNPs），实现了高效的多波长NIR‐II发光。这些纳米颗粒可以进一步工程化为浓度介导的Yb3+。</w:t>
      </w:r>
    </w:p>
    <w:p>
      <w:pPr>
        <w:spacing w:before="0" w:after="200" w:lineRule="auto" w:line="276"/>
      </w:pPr>
      <w:r>
        <w:rPr>
          <w:b/>
        </w:rPr>
        <w:t xml:space="preserve">Abstract (EN): </w:t>
      </w:r>
      <w:r>
        <w:t>The second near‐infrared window (NIR‐II, 1000–2000 nm) provides an ideal window for multichannel photoluminescence lifetime imaging (mPLI) because of its exceptional tissue penetration depth and minimal scattering. However, the inevitable spectral crosstalk that is caused by the broad and overlapping emissions of traditional luminescent materials (e.g., organic dyes and quantum dots) has restricted the scalability of mPLI channels. Herein, we developed a series of Ln</w:t>
      </w:r>
      <w:r>
        <w:t xml:space="preserve"> </w:t>
      </w:r>
      <w:r>
        <w:t>3+</w:t>
      </w:r>
      <w:r>
        <w:t xml:space="preserve"> </w:t>
      </w:r>
      <w:r>
        <w:t>‐doped (Ln = Nd, Er, Tm, or Ho) stratified nanoparticles (Ln‐SNPs) that enable highly efficient multiwavelength NIR‐II luminescence. These nanoparticles can be further engineered into concentration‐mediated Yb</w:t>
      </w:r>
      <w:r>
        <w:t xml:space="preserve"> </w:t>
      </w:r>
      <w:r>
        <w:t>3+</w:t>
      </w:r>
      <w:r>
        <w:t xml:space="preserve"> </w:t>
      </w:r>
      <w:r>
        <w:t>energy relay nanoparticles to enable the precise tuning of the luminescence lifetime across the 1060–2050 nm range, thereby expanding the NIR‐II imaging channels in mPLI. Notably, the engineered Tm‐SNPs exhibit optimized downshifting emission at ∼1850 nm (NIR‐IIc subwindow) with distinguishable luminescence lifetimes that span three orders of magnitude at similar emission intensities. This advancement establishes a powerful toolkit for multidimensional information encryption and multiplexed bioimaging applications.</w:t>
      </w:r>
    </w:p>
    <w:p>
      <w:pPr>
        <w:spacing w:before="120" w:after="120"/>
      </w:pPr>
      <w:r>
        <w:rPr>
          <w:sz w:val="18"/>
        </w:rPr>
        <w:t>——————————————————————————————————————————————————————————————————————</w:t>
      </w:r>
    </w:p>
    <w:p>
      <w:pPr>
        <w:spacing w:before="160" w:after="40" w:line="240" w:lineRule="auto"/>
      </w:pPr>
      <w:r>
        <w:rPr>
          <w:b/>
        </w:rPr>
        <w:t xml:space="preserve">[26] </w:t>
      </w:r>
      <w:hyperlink r:id="rId259">
        <w:r>
          <w:rPr>
            <w:color w:val="1155CC"/>
            <w:u w:val="single"/>
          </w:rPr>
          <w:t>通过微升级别的表面下启动聚合物刷接枝增强机械稳健水凝胶的超润滑性和耐磨性</w:t>
        </w:r>
      </w:hyperlink>
    </w:p>
    <w:p>
      <w:pPr>
        <w:spacing w:before="0" w:after="80"/>
      </w:pPr>
      <w:r>
        <w:rPr>
          <w:i/>
          <w:sz w:val="20"/>
        </w:rPr>
        <w:t>EN: Enhancing Superlubricity and Wear Resistance in Mechanically Robust Hydrogel via Microliter‐Scale Subsurface‐Initiated Polymer Brush Grafting</w:t>
      </w:r>
    </w:p>
    <w:p>
      <w:pPr>
        <w:spacing w:before="0" w:after="120"/>
      </w:pPr>
      <w:r>
        <w:rPr>
          <w:b/>
        </w:rPr>
        <w:t xml:space="preserve">Source: </w:t>
      </w:r>
      <w:r>
        <w:t>Wiley: Angewandte Chemie International Edition: Table of Contents</w:t>
      </w:r>
      <w:r>
        <w:t xml:space="preserve">    </w:t>
      </w:r>
      <w:r>
        <w:rPr>
          <w:b/>
        </w:rPr>
        <w:t xml:space="preserve">Pub date: </w:t>
      </w:r>
      <w:r>
        <w:t>2026-03-14 07:05:32+00:00</w:t>
      </w:r>
      <w:r>
        <w:t xml:space="preserve">    </w:t>
      </w:r>
      <w:r>
        <w:rPr>
          <w:b/>
        </w:rPr>
        <w:t xml:space="preserve">DOI: </w:t>
      </w:r>
      <w:hyperlink r:id="rId260">
        <w:r>
          <w:rPr>
            <w:color w:val="1155CC"/>
            <w:u w:val="single"/>
          </w:rPr>
          <w:t>10.1002/anie.202524676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凝胶是关节软骨替代的理想材料，水凝胶‐聚合物刷层状复合材料作为一种有前景的策略，能够同时实现超低摩擦和高承载能力。然而，从水凝胶中接枝聚合物刷的当前方法通常需要无氧条件、大量的聚合溶液和过量的单体消耗。在此，我们开发了一种简便的、耐氧的表面下启动的聚合物刷接枝策略，以微升量的单体溶液制造仿软骨层状水凝胶‐聚合物刷材料。为了验证这一点，我们使用表面下启动的聚合制备了一种机械强度高、物理交联的聚乙烯醇基水凝胶。</w:t>
      </w:r>
    </w:p>
    <w:p>
      <w:pPr>
        <w:spacing w:before="0" w:after="200" w:lineRule="auto" w:line="276"/>
      </w:pPr>
      <w:r>
        <w:rPr>
          <w:b/>
        </w:rPr>
        <w:t xml:space="preserve">Abstract (EN): </w:t>
      </w:r>
      <w:r>
        <w:t>Hydrogels represent an ideal for articular cartilage replacement, with hydrogel‐polymer brush layered composites emerging as a promising strategy to simultaneously achieve ultra‐low friction and high load‐bearing capacity. However, current approaches for grafting polymer brushes from hydrogels usually require oxygen‐free conditions, large volumes of polymerization solutions, and excessive monomer consumption. Herein, we developed a facile, oxygen‐tolerant subsurface‐initiated polymer brush grafting strategy to fabricate cartilage‐mimicking layered hydrogel‐polymer brush materials, using only microliter volume of monomer solution. To validate this, a mechanically robust, physically cross‐linked poly(vinyl alcohol)‐based hydrogel with subsurface‐initiated polymerization activity was designed by incorporating a tannic acid‐derived cross‐linkable atom transfer radical polymerization (ATRP) initiator, which serves as a robust load‐bearing substrate. Subsequently, polymer brushes were grafted from the subsurface of this robust hydrogel matrix with microliter solutions, yielding cartilage‐mimicking layered structure with an interpenetrated polymer brush‐hydrogel composite lubricating phase. Notably, the resulting materials exhibited synergistic superior lubrication, high load‐bearing capacity, and excellent wear resistance, achieving a stable and ultra‐low friction coefficient (COF∼0.017) over 80,000 cycles under 10 N load. This strategy greatly lowers technical barriers to the fabrication of hydrogel‐polymer brush materials and further advances their practical applications in the field of articular cartilage repair and artificial joint replacement.</w:t>
      </w:r>
    </w:p>
    <w:p>
      <w:pPr>
        <w:spacing w:before="120" w:after="120"/>
      </w:pPr>
      <w:r>
        <w:rPr>
          <w:sz w:val="18"/>
        </w:rPr>
        <w:t>——————————————————————————————————————————————————————————————————————</w:t>
      </w:r>
    </w:p>
    <w:p>
      <w:pPr>
        <w:spacing w:before="160" w:after="40" w:line="240" w:lineRule="auto"/>
      </w:pPr>
      <w:r>
        <w:rPr>
          <w:b/>
        </w:rPr>
        <w:t xml:space="preserve">[27] </w:t>
      </w:r>
      <w:hyperlink r:id="rId261">
        <w:r>
          <w:rPr>
            <w:color w:val="1155CC"/>
            <w:u w:val="single"/>
          </w:rPr>
          <w:t>从零维混合溴化铜中获得高效的圆偏振近红外发光</w:t>
        </w:r>
      </w:hyperlink>
    </w:p>
    <w:p>
      <w:pPr>
        <w:spacing w:before="0" w:after="80"/>
      </w:pPr>
      <w:r>
        <w:rPr>
          <w:i/>
          <w:sz w:val="20"/>
        </w:rPr>
        <w:t>EN: Efficient Circularly Polarized Near‐Infrared Luminescence from Zero‐Dimensional Hybrid Copper Bromides</w:t>
      </w:r>
    </w:p>
    <w:p>
      <w:pPr>
        <w:spacing w:before="0" w:after="120"/>
      </w:pPr>
      <w:r>
        <w:rPr>
          <w:b/>
        </w:rPr>
        <w:t xml:space="preserve">Source: </w:t>
      </w:r>
      <w:r>
        <w:t>Wiley: Angewandte Chemie International Edition: Table of Contents</w:t>
      </w:r>
      <w:r>
        <w:t xml:space="preserve">    </w:t>
      </w:r>
      <w:r>
        <w:rPr>
          <w:b/>
        </w:rPr>
        <w:t xml:space="preserve">Pub date: </w:t>
      </w:r>
      <w:r>
        <w:t>2026-03-14 07:08:50+00:00</w:t>
      </w:r>
      <w:r>
        <w:t xml:space="preserve">    </w:t>
      </w:r>
      <w:r>
        <w:rPr>
          <w:b/>
        </w:rPr>
        <w:t xml:space="preserve">DOI: </w:t>
      </w:r>
      <w:hyperlink r:id="rId262">
        <w:r>
          <w:rPr>
            <w:color w:val="1155CC"/>
            <w:u w:val="single"/>
          </w:rPr>
          <w:t>10.1002/anie.2655960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圆偏振发光（CPL）为光的操控提供了除强度和波长之外的额外自由度，对于先进的光子技术至关重要。手性杂化金属卤化物（HMHs）最近成为有前景的CPL活性材料。然而，同时实现高效近红外（NIR）发射和强CPL仍然具有挑战性。在此，我们报告了一对零维杂化溴化铜的对映体，（18C6@</w:t>
      </w:r>
      <w:r>
        <w:t xml:space="preserve"> </w:t>
      </w:r>
      <w:r>
        <w:t>S/R</w:t>
      </w:r>
      <w:r>
        <w:t xml:space="preserve"> </w:t>
      </w:r>
      <w:r>
        <w:t>‐CHEA)</w:t>
      </w:r>
      <w:r>
        <w:rPr>
          <w:vertAlign w:val="subscript"/>
        </w:rPr>
        <w:t>2</w:t>
      </w:r>
      <w:r>
        <w:t>Cu</w:t>
      </w:r>
      <w:r>
        <w:rPr>
          <w:vertAlign w:val="subscript"/>
        </w:rPr>
        <w:t>4</w:t>
      </w:r>
      <w:r>
        <w:t>Br</w:t>
      </w:r>
      <w:r>
        <w:rPr>
          <w:vertAlign w:val="subscript"/>
        </w:rPr>
        <w:t>6</w:t>
      </w:r>
      <w:r>
        <w:t>（简称为</w:t>
      </w:r>
      <w:r>
        <w:t xml:space="preserve"> </w:t>
      </w:r>
      <w:r>
        <w:t>S/R</w:t>
      </w:r>
      <w:r>
        <w:t xml:space="preserve"> </w:t>
      </w:r>
      <w:r>
        <w:t>‐CHEACuBr，18C6 =</w:t>
      </w:r>
    </w:p>
    <w:p>
      <w:pPr>
        <w:spacing w:before="0" w:after="200" w:lineRule="auto" w:line="276"/>
      </w:pPr>
      <w:r>
        <w:rPr>
          <w:b/>
        </w:rPr>
        <w:t xml:space="preserve">Abstract (EN): </w:t>
      </w:r>
      <w:r>
        <w:t>Circularly polarized luminescence (CPL) provides an additional degree of freedom for light manipulation beyond intensity and wavelength and is essential for advanced photonic technologies. Chiral hybrid metal halides (HMHs) have recently emerged as promising CPL‐active materials. However, the simultaneous realization of high efficiency near‐infrared (NIR) emission and strong CPL remains challenging. Here, we report an enantiomeric pair of zero‐dimensional hybrid copper bromides, (18C6@</w:t>
      </w:r>
      <w:r>
        <w:t xml:space="preserve"> </w:t>
      </w:r>
      <w:r>
        <w:t>S/R</w:t>
      </w:r>
      <w:r>
        <w:t xml:space="preserve"> </w:t>
      </w:r>
      <w:r>
        <w:t>‐CHEA)</w:t>
      </w:r>
      <w:r>
        <w:rPr>
          <w:vertAlign w:val="subscript"/>
        </w:rPr>
        <w:t>2</w:t>
      </w:r>
      <w:r>
        <w:t>Cu</w:t>
      </w:r>
      <w:r>
        <w:rPr>
          <w:vertAlign w:val="subscript"/>
        </w:rPr>
        <w:t>4</w:t>
      </w:r>
      <w:r>
        <w:t>Br</w:t>
      </w:r>
      <w:r>
        <w:rPr>
          <w:vertAlign w:val="subscript"/>
        </w:rPr>
        <w:t>6</w:t>
      </w:r>
      <w:r>
        <w:t>(abbreviated as</w:t>
      </w:r>
      <w:r>
        <w:t xml:space="preserve"> </w:t>
      </w:r>
      <w:r>
        <w:t>S/R</w:t>
      </w:r>
      <w:r>
        <w:t xml:space="preserve"> </w:t>
      </w:r>
      <w:r>
        <w:t>‐CHEACuBr, 18C6 = 18‐crown‐6,</w:t>
      </w:r>
      <w:r>
        <w:t xml:space="preserve"> </w:t>
      </w:r>
      <w:r>
        <w:t>S/R</w:t>
      </w:r>
      <w:r>
        <w:t xml:space="preserve"> </w:t>
      </w:r>
      <w:r>
        <w:t>‐CHEA = (</w:t>
      </w:r>
      <w:r>
        <w:t xml:space="preserve"> </w:t>
      </w:r>
      <w:r>
        <w:t>S/R</w:t>
      </w:r>
      <w:r>
        <w:t xml:space="preserve"> </w:t>
      </w:r>
      <w:r>
        <w:t>)‐1‐cyclohexylethanamine), in which protonated</w:t>
      </w:r>
      <w:r>
        <w:t xml:space="preserve"> </w:t>
      </w:r>
      <w:r>
        <w:t>S/R</w:t>
      </w:r>
      <w:r>
        <w:t xml:space="preserve"> </w:t>
      </w:r>
      <w:r>
        <w:t>‐CHEA</w:t>
      </w:r>
      <w:r>
        <w:t xml:space="preserve"> </w:t>
      </w:r>
      <w:r>
        <w:t>+</w:t>
      </w:r>
      <w:r>
        <w:t xml:space="preserve"> </w:t>
      </w:r>
      <w:r>
        <w:t>is coordinated with 18C6 to form the bulky umbrella‐type supramolecular cations. Such unique cations effectively isolate the inorganic [Cu</w:t>
      </w:r>
      <w:r>
        <w:rPr>
          <w:vertAlign w:val="subscript"/>
        </w:rPr>
        <w:t>4</w:t>
      </w:r>
      <w:r>
        <w:t>Br</w:t>
      </w:r>
      <w:r>
        <w:rPr>
          <w:vertAlign w:val="subscript"/>
        </w:rPr>
        <w:t>6</w:t>
      </w:r>
      <w:r>
        <w:t>]</w:t>
      </w:r>
      <w:r>
        <w:t xml:space="preserve"> </w:t>
      </w:r>
      <w:r>
        <w:t>2−</w:t>
      </w:r>
      <w:r>
        <w:t>emissive clusters and induce pronounced distortions of inorganic clusters. As a result, the obtained materials show strong circularly polarized near‐infrared (CP‐NIR) emission with photoluminescence quantum yields exceeding 50% and a high dissymmetry factor up to 6.8 × 10</w:t>
      </w:r>
      <w:r>
        <w:t xml:space="preserve"> </w:t>
      </w:r>
      <w:r>
        <w:t>−2</w:t>
      </w:r>
      <w:r>
        <w:t xml:space="preserve"> </w:t>
      </w:r>
      <w:r>
        <w:t>. Furthermore, light‐emitting diodes based on these materials exhibit high output power and distinct CP‐NIR signals, offering new opportunities for NIR imaging and secure information technologies.</w:t>
      </w:r>
    </w:p>
    <w:p>
      <w:pPr>
        <w:spacing w:before="120" w:after="120"/>
      </w:pPr>
      <w:r>
        <w:rPr>
          <w:sz w:val="18"/>
        </w:rPr>
        <w:t>——————————————————————————————————————————————————————————————————————</w:t>
      </w:r>
    </w:p>
    <w:p>
      <w:pPr>
        <w:spacing w:before="160" w:after="40" w:line="240" w:lineRule="auto"/>
      </w:pPr>
      <w:r>
        <w:rPr>
          <w:b/>
        </w:rPr>
        <w:t xml:space="preserve">[28] </w:t>
      </w:r>
      <w:hyperlink r:id="rId263">
        <w:r>
          <w:rPr>
            <w:color w:val="1155CC"/>
            <w:u w:val="single"/>
          </w:rPr>
          <w:t>刺探多能性：向人类iPSCs进行纳米注射</w:t>
        </w:r>
      </w:hyperlink>
    </w:p>
    <w:p>
      <w:pPr>
        <w:spacing w:before="0" w:after="80"/>
      </w:pPr>
      <w:r>
        <w:rPr>
          <w:i/>
          <w:sz w:val="20"/>
        </w:rPr>
        <w:t>EN: Poking Pluripotency: Nanoinjection Into Human iPSCs</w:t>
      </w:r>
    </w:p>
    <w:p>
      <w:pPr>
        <w:spacing w:before="0" w:after="120"/>
      </w:pPr>
      <w:r>
        <w:rPr>
          <w:b/>
        </w:rPr>
        <w:t xml:space="preserve">Source: </w:t>
      </w:r>
      <w:r>
        <w:t>Wiley: Advanced Materials: Table of Contents</w:t>
      </w:r>
      <w:r>
        <w:t xml:space="preserve">    </w:t>
      </w:r>
      <w:r>
        <w:rPr>
          <w:b/>
        </w:rPr>
        <w:t xml:space="preserve">Pub date: </w:t>
      </w:r>
      <w:r>
        <w:t>2026-03-14 07:45:28+00:00</w:t>
      </w:r>
      <w:r>
        <w:t xml:space="preserve">    </w:t>
      </w:r>
      <w:r>
        <w:rPr>
          <w:b/>
        </w:rPr>
        <w:t xml:space="preserve">DOI: </w:t>
      </w:r>
      <w:hyperlink r:id="rId264">
        <w:r>
          <w:rPr>
            <w:color w:val="1155CC"/>
            <w:u w:val="single"/>
          </w:rPr>
          <w:t>10.1002/adma.202521046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诱导多能干细胞（hiPSCs）在再生医学和疾病建模中发挥着重要作用，但其效用关键取决于外源遗传物质的高效和安全递送。传统的病毒和电穿孔方法仍然存在局限性，特别是生物安全和监管障碍、转染精度不佳以及显著的转染后细胞毒性。在此，首次引入纳米管（NT）介导的纳米注射作为一种有效的非病毒策略，用于将功能性信使RNA（mRNA）递送到hiPSCs中。为了实现对hiPSCs的纳米注射，该工作实施了延迟的细胞外基质（ECM）应用和先进的表面工程，结合重新设计的NT d</w:t>
      </w:r>
    </w:p>
    <w:p>
      <w:pPr>
        <w:spacing w:before="0" w:after="200" w:lineRule="auto" w:line="276"/>
      </w:pPr>
      <w:r>
        <w:rPr>
          <w:b/>
        </w:rPr>
        <w:t xml:space="preserve">Abstract (EN): </w:t>
      </w:r>
      <w:r>
        <w:t>Human induced pluripotent stem cells (hiPSCs) play an essential role in regenerative medicine and disease modeling, yet their utility critically depends on the efficient and safe delivery of exogenous genetic material. Conventional viral and electroporation‐based methods continue to present limitations, notably biosafety and regulatory barriers, suboptimal transfection precision, and substantial post‐transfection cytotoxicity. Here, for the first time, nanotube (NT)‐mediated nanoinjection is introduced as an effective non‐viral strategy for functional messenger RNA (mRNA) delivery into hiPSCs. To enable nanoinjection into hiPSCs, the work implements delayed extracellular matrix (ECM) application and advanced surface engineering, combined with a re‐engineered NT design featuring large cargo reservoirs to increase loading capacity and sharp rim geometries for improved cell interfacing. Effective nanoinjection into hiPSCs, while maintaining their pluripotent profile, is demonstrated using mCherry, GFP, and YPet mRNA (average transfection yields: ∼55% to ∼64%), including co‐transfection of mCherry and GFP mRNA (∼61%). Post‐nanoinjection hiPSC integrity is confirmed over several passages by excellent pluripotency marker expression (NANOG, OCT4, SOX2) and neuronal differentiation capacity. This proof‐of‐concept study demonstrates that nanoinjection is a powerful tool for delivering mRNA to hiPSCs with high expression yields and establishes nanoinjection as an enabling platform for precise cellular engineering and functional stem‐cell applications.</w:t>
      </w:r>
    </w:p>
    <w:p>
      <w:pPr>
        <w:spacing w:before="120" w:after="120"/>
      </w:pPr>
      <w:r>
        <w:rPr>
          <w:sz w:val="18"/>
        </w:rPr>
        <w:t>——————————————————————————————————————————————————————————————————————</w:t>
      </w:r>
    </w:p>
    <w:p>
      <w:pPr>
        <w:spacing w:before="160" w:after="40" w:line="240" w:lineRule="auto"/>
      </w:pPr>
      <w:r>
        <w:rPr>
          <w:b/>
        </w:rPr>
        <w:t xml:space="preserve">[29] </w:t>
      </w:r>
      <w:hyperlink r:id="rId265">
        <w:r>
          <w:rPr>
            <w:color w:val="1155CC"/>
            <w:u w:val="single"/>
          </w:rPr>
          <w:t>位置甲基化异构体添加剂调节钙钛矿的降解途径</w:t>
        </w:r>
      </w:hyperlink>
    </w:p>
    <w:p>
      <w:pPr>
        <w:spacing w:before="0" w:after="80"/>
      </w:pPr>
      <w:r>
        <w:rPr>
          <w:i/>
          <w:sz w:val="20"/>
        </w:rPr>
        <w:t>EN: Positional Methylation Isomer Additives Regulate the Degradation Pathway of Perovskites</w:t>
      </w:r>
    </w:p>
    <w:p>
      <w:pPr>
        <w:spacing w:before="0" w:after="120"/>
      </w:pPr>
      <w:r>
        <w:rPr>
          <w:b/>
        </w:rPr>
        <w:t xml:space="preserve">Source: </w:t>
      </w:r>
      <w:r>
        <w:t>Wiley: Advanced Materials: Table of Contents</w:t>
      </w:r>
      <w:r>
        <w:t xml:space="preserve">    </w:t>
      </w:r>
      <w:r>
        <w:rPr>
          <w:b/>
        </w:rPr>
        <w:t xml:space="preserve">Pub date: </w:t>
      </w:r>
      <w:r>
        <w:t>2026-03-14 07:46:39+00:00</w:t>
      </w:r>
      <w:r>
        <w:t xml:space="preserve">    </w:t>
      </w:r>
      <w:r>
        <w:rPr>
          <w:b/>
        </w:rPr>
        <w:t xml:space="preserve">DOI: </w:t>
      </w:r>
      <w:hyperlink r:id="rId266">
        <w:r>
          <w:rPr>
            <w:color w:val="1155CC"/>
            <w:u w:val="single"/>
          </w:rPr>
          <w:t>10.1002/adma.202520432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强反应性的多活性位点添加剂是一种有效策略，可以持续提高器件效率，并有助于钙钛矿太阳能电池（PSCs）的长期稳定性。然而，实现所有活性位点与钙钛矿之间的高效相互作用仍然是一个关键挑战。在各种结构修饰中，甲基取代是有机化学中最简单的功能单元，提供了一种独特的甲基化效应，其强烈依赖于分子内的位点配置，从而提供了一种有前景的方法来调节添加剂的反应性。在本研究中，我们设计并研究了两种位置甲基化异构体，1‐甲基海因（1‐MH）和5‐甲基海因（5‐MH），并展示了合理的位</w:t>
      </w:r>
    </w:p>
    <w:p>
      <w:pPr>
        <w:spacing w:before="0" w:after="200" w:lineRule="auto" w:line="276"/>
      </w:pPr>
      <w:r>
        <w:rPr>
          <w:b/>
        </w:rPr>
        <w:t xml:space="preserve">Abstract (EN): </w:t>
      </w:r>
      <w:r>
        <w:t>Multi‐active‐site additives with strong reactivity are an effective strategy to continuously improve device efficiency, and also contribute to the long‐term stability of perovskite solar cells (PSCs). However, achieving efficient interaction between all active sites and the perovskite remains a critical challenge. Among various structural modifications, methyl substitution, the simplest functional unit in organic chemistry, offers a unique methylation effect that strongly depends on its positional configuration within a molecule, thereby providing a promising approach to modulate additive reactivity. In this study, we designed and investigated two positional methylation isomers, 1‐methylhydantoin (1‐MH) and 5‐methylhydantoin (5‐MH), and demonstrate rational positional methylation can significantly enhance the multisite reactivity of additives with perovskite materials. While both isomers contribute to improved device efficiency, they exhibit markedly different effects on device stability. Notably, the incorporation of 5‐MH enabled a power conversion efficiency (PCE) of 26.84% (certified at 26.78%), and delivered outstanding operational stability, retaining 92% of its initial PCE after 2000 h under the ISOS‐L2 protocol.</w:t>
      </w:r>
    </w:p>
    <w:p>
      <w:pPr>
        <w:spacing w:before="120" w:after="120"/>
      </w:pPr>
      <w:r>
        <w:rPr>
          <w:sz w:val="18"/>
        </w:rPr>
        <w:t>——————————————————————————————————————————————————————————————————————</w:t>
      </w:r>
    </w:p>
    <w:p>
      <w:pPr>
        <w:spacing w:before="160" w:after="40" w:line="240" w:lineRule="auto"/>
      </w:pPr>
      <w:r>
        <w:rPr>
          <w:b/>
        </w:rPr>
        <w:t xml:space="preserve">[30] </w:t>
      </w:r>
      <w:hyperlink r:id="rId267">
        <w:r>
          <w:rPr>
            <w:color w:val="1155CC"/>
            <w:u w:val="single"/>
          </w:rPr>
          <w:t>在12纳米聚合物晶体中，由边界散射和表面非晶化限制的超高热导率</w:t>
        </w:r>
      </w:hyperlink>
    </w:p>
    <w:p>
      <w:pPr>
        <w:spacing w:before="0" w:after="80"/>
      </w:pPr>
      <w:r>
        <w:rPr>
          <w:i/>
          <w:sz w:val="20"/>
        </w:rPr>
        <w:t>EN: Ultrahigh Thermal Conductivity in a 12‐nm Polymer Crystal Limited by Boundary Scattering and Surface Amorphization</w:t>
      </w:r>
    </w:p>
    <w:p>
      <w:pPr>
        <w:spacing w:before="0" w:after="120"/>
      </w:pPr>
      <w:r>
        <w:rPr>
          <w:b/>
        </w:rPr>
        <w:t xml:space="preserve">Source: </w:t>
      </w:r>
      <w:r>
        <w:t>Wiley: Advanced Materials: Table of Contents</w:t>
      </w:r>
      <w:r>
        <w:t xml:space="preserve">    </w:t>
      </w:r>
      <w:r>
        <w:rPr>
          <w:b/>
        </w:rPr>
        <w:t xml:space="preserve">Pub date: </w:t>
      </w:r>
      <w:r>
        <w:t>2026-03-14 07:47:19+00:00</w:t>
      </w:r>
      <w:r>
        <w:t xml:space="preserve">    </w:t>
      </w:r>
      <w:r>
        <w:rPr>
          <w:b/>
        </w:rPr>
        <w:t xml:space="preserve">DOI: </w:t>
      </w:r>
      <w:hyperlink r:id="rId268">
        <w:r>
          <w:rPr>
            <w:color w:val="1155CC"/>
            <w:u w:val="single"/>
          </w:rPr>
          <w:t>10.1002/adma.202520085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高度有序晶体结构的聚合物层状晶体是理解和设计热导聚合物的理想系统。然而，其纳米级厚度、难以消除的缺陷和有限的横向尺寸阻碍了实验表征，使得关键的热传输机制未得到解决。在此，我们通过设计多层单晶堆叠用于非接触测量技术，并结合先进的理论计算来解决这一知识空白。测得的12纳米厚聚乙烯层状单晶的垂直热导率为4 W m−1 K−1，代表了最高值</w:t>
      </w:r>
    </w:p>
    <w:p>
      <w:pPr>
        <w:spacing w:before="0" w:after="200" w:lineRule="auto" w:line="276"/>
      </w:pPr>
      <w:r>
        <w:rPr>
          <w:b/>
        </w:rPr>
        <w:t xml:space="preserve">Abstract (EN): </w:t>
      </w:r>
      <w:r>
        <w:t>Polymer lamellar crystals with highly ordered crystalline structures are ideal systems for understanding and engineering thermally conductive polymers. However, their nanometer‐scale thickness, hard‐to‐eliminate defects, and limited lateral dimensions have impeded experimental characterization, leaving key thermal transport mechanisms unresolved. Here, we address this knowledge gap by devising a multilayer single‐crystal stack for a non‐contact measurement technique, combined with advanced theoretical calculations. The measured cross‐plane thermal conductivity is 4 W m</w:t>
      </w:r>
      <w:r>
        <w:t xml:space="preserve"> </w:t>
      </w:r>
      <w:r>
        <w:t>−1</w:t>
      </w:r>
      <w:r>
        <w:t xml:space="preserve"> </w:t>
      </w:r>
      <w:r>
        <w:t>K</w:t>
      </w:r>
      <w:r>
        <w:t xml:space="preserve"> </w:t>
      </w:r>
      <w:r>
        <w:t>−1</w:t>
      </w:r>
      <w:r>
        <w:t xml:space="preserve"> </w:t>
      </w:r>
      <w:r>
        <w:t>for a 12‐nm‐thick polyethylene lamellar single crystal, representing the highest value observed for dielectric materials in this thickness range. Theoretical analyses indicate that this value is nevertheless limited by the combined effects from boundary scattering and surface amorphization, offering critical insights for molecular design and understanding of nanoscale heat transfer in ultrathin soft materials.</w:t>
      </w:r>
    </w:p>
    <w:p>
      <w:pPr>
        <w:spacing w:before="120" w:after="120"/>
      </w:pPr>
      <w:r>
        <w:rPr>
          <w:sz w:val="18"/>
        </w:rPr>
        <w:t>——————————————————————————————————————————————————————————————————————</w:t>
      </w:r>
    </w:p>
    <w:p>
      <w:pPr>
        <w:spacing w:before="160" w:after="40" w:line="240" w:lineRule="auto"/>
      </w:pPr>
      <w:r>
        <w:rPr>
          <w:b/>
        </w:rPr>
        <w:t xml:space="preserve">[31] </w:t>
      </w:r>
      <w:hyperlink r:id="rId269">
        <w:r>
          <w:rPr>
            <w:color w:val="1155CC"/>
            <w:u w:val="single"/>
          </w:rPr>
          <w:t>由基于镓的液态金属启用的电化学置换合成：材料设计和多功能应用的强大途径</w:t>
        </w:r>
      </w:hyperlink>
    </w:p>
    <w:p>
      <w:pPr>
        <w:spacing w:before="0" w:after="80"/>
      </w:pPr>
      <w:r>
        <w:rPr>
          <w:i/>
          <w:sz w:val="20"/>
        </w:rPr>
        <w:t>EN: Galvanic Replacement Synthesis Enabled by Gallium‐Based Liquid Metal: A Powerful Route for Material Design and Versatile Applications</w:t>
      </w:r>
    </w:p>
    <w:p>
      <w:pPr>
        <w:spacing w:before="0" w:after="120"/>
      </w:pPr>
      <w:r>
        <w:rPr>
          <w:b/>
        </w:rPr>
        <w:t xml:space="preserve">Source: </w:t>
      </w:r>
      <w:r>
        <w:t>Wiley: Advanced Materials: Table of Contents</w:t>
      </w:r>
      <w:r>
        <w:t xml:space="preserve">    </w:t>
      </w:r>
      <w:r>
        <w:rPr>
          <w:b/>
        </w:rPr>
        <w:t xml:space="preserve">Pub date: </w:t>
      </w:r>
      <w:r>
        <w:t>2026-03-14 07:50:16+00:00</w:t>
      </w:r>
      <w:r>
        <w:t xml:space="preserve">    </w:t>
      </w:r>
      <w:r>
        <w:rPr>
          <w:b/>
        </w:rPr>
        <w:t xml:space="preserve">DOI: </w:t>
      </w:r>
      <w:hyperlink r:id="rId270">
        <w:r>
          <w:rPr>
            <w:color w:val="1155CC"/>
            <w:u w:val="single"/>
          </w:rPr>
          <w:t>10.1002/adma.202521422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核心-壳或中空金属纳米结构的精确工程已成为基础研究和先进技术的核心追求。在可用的合成方法中，置换反应（GRR）在工程成分/结构可调纳米材料方面具有巨大潜力，但传统的固体模板具有固定的几何形状和有限的反应性，限制了多样性和功能可调性。液态金属（LM）的出现，具有高度反应性、流动性、动态性和可重构性，为传统GRR提供了变革性替代方案。通过建立液-液界面，LM能够沉积以前无法通过固体模板获得的金属，同时创造</w:t>
      </w:r>
    </w:p>
    <w:p>
      <w:pPr>
        <w:spacing w:before="0" w:after="200" w:lineRule="auto" w:line="276"/>
      </w:pPr>
      <w:r>
        <w:rPr>
          <w:b/>
        </w:rPr>
        <w:t xml:space="preserve">Abstract (EN): </w:t>
      </w:r>
      <w:r>
        <w:t>The precise engineering of core–shell or hollow metallic nanoarchitectures has become a central pursuit in fundamental research and advanced technologies. Among the available synthetic methods, galvanic replacement reaction (GRR) holds immense potential for engineering the composition/structure tunable nanomaterials, yet conventional solid templates impose fixed geometry, and limited reactivity, restricting both versatility and functional tunability. The emergence of liquid metal (LM) with highly reactive, fluidic, dynamic, and reconfigurable attributes offers a transformative alternative to conventional GRR. By establishing a liquid‐liquid interface, LM enables the deposition of metals previously inaccessible with solid templates, while simultaneously creating a significantly milder synthetic paradigm. This review is dedicated to extracting the unique features of LM‐enabled GRR (LM‐GRR) to highlight a powerful and facile materials‐synthesis route for diverse application scenarios. The fundamentals and mechanisms of the LM‐GRR will be first introduced, followed by a detailed explanation of the uniqueness and overall programmability in terms of composition, structure, processable template, and interfacial characteristics. Representative reaction systems are systematically surveyed to illustrate their specificity and chemical versatility. Finally, we discuss functional metal materials obtained via LM‐GRR for use in high‐performance catalysis, flexible electronics, biomedicine, biosensing, and electromagnetic shielding areas, and conclude with perspectives on future directions.</w:t>
      </w:r>
    </w:p>
    <w:p>
      <w:pPr>
        <w:spacing w:before="120" w:after="120"/>
      </w:pPr>
      <w:r>
        <w:rPr>
          <w:sz w:val="18"/>
        </w:rPr>
        <w:t>——————————————————————————————————————————————————————————————————————</w:t>
      </w:r>
    </w:p>
    <w:p>
      <w:pPr>
        <w:spacing w:before="160" w:after="40" w:line="240" w:lineRule="auto"/>
      </w:pPr>
      <w:r>
        <w:rPr>
          <w:b/>
        </w:rPr>
        <w:t xml:space="preserve">[32] </w:t>
      </w:r>
      <w:hyperlink r:id="rId271">
        <w:r>
          <w:rPr>
            <w:color w:val="1155CC"/>
            <w:u w:val="single"/>
          </w:rPr>
          <w:t>氧气抑制驱动的葡聚糖微凝胶分隔：面向3D打印的可融合胶体生物材料墨水</w:t>
        </w:r>
      </w:hyperlink>
    </w:p>
    <w:p>
      <w:pPr>
        <w:spacing w:before="0" w:after="80"/>
      </w:pPr>
      <w:r>
        <w:rPr>
          <w:i/>
          <w:sz w:val="20"/>
        </w:rPr>
        <w:t>EN: Oxygen‐Inhibition Driven Compartmentalization of Dextran Microgels: Toward Fusible Colloidal Biomaterial Inks for 3D Printing</w:t>
      </w:r>
    </w:p>
    <w:p>
      <w:pPr>
        <w:spacing w:before="0" w:after="120"/>
      </w:pPr>
      <w:r>
        <w:rPr>
          <w:b/>
        </w:rPr>
        <w:t xml:space="preserve">Source: </w:t>
      </w:r>
      <w:r>
        <w:t>Wiley: Advanced Materials: Table of Contents</w:t>
      </w:r>
      <w:r>
        <w:t xml:space="preserve">    </w:t>
      </w:r>
      <w:r>
        <w:rPr>
          <w:b/>
        </w:rPr>
        <w:t xml:space="preserve">Pub date: </w:t>
      </w:r>
      <w:r>
        <w:t>2026-03-14 07:55:38+00:00</w:t>
      </w:r>
      <w:r>
        <w:t xml:space="preserve">    </w:t>
      </w:r>
      <w:r>
        <w:rPr>
          <w:b/>
        </w:rPr>
        <w:t xml:space="preserve">DOI: </w:t>
      </w:r>
      <w:hyperlink r:id="rId272">
        <w:r>
          <w:rPr>
            <w:color w:val="1155CC"/>
            <w:u w:val="single"/>
          </w:rPr>
          <w:t>10.1002/adma.202519972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研究提出了一种简便且多功能的方法，用于合成定制的、分隔的多糖基微凝胶，具有超低交联壳层，用于开发自固化胶体生物材料墨水。通过利用基于液滴微流控技术获得的液滴中交联过程的空间控制氧抑制，实现了分隔，从而在葡聚糖微凝胶内部形成物理上不同的核心和壳层区域。壳层表现出明显较低的交联密度，导致刚度降低、可调节的降解性和比核心更高的大分子渗透性。通过改变引发剂浓度和氧气可用性来轻松控制核心与壳层的比例，代表了一种新颖的策略</w:t>
      </w:r>
    </w:p>
    <w:p>
      <w:pPr>
        <w:spacing w:before="0" w:after="200" w:lineRule="auto" w:line="276"/>
      </w:pPr>
      <w:r>
        <w:rPr>
          <w:b/>
        </w:rPr>
        <w:t xml:space="preserve">Abstract (EN): </w:t>
      </w:r>
      <w:r>
        <w:t>This study presents a facile and versatile method to synthesize tailored, compartmentalized, polysaccharide‐based microgels, with ultra‐low crosslinked shells for the development of self‐setting colloidal biomaterial inks. Compartmentalization is achieved by exploiting spatially controlled oxygen‐inhibition of the crosslinking process in droplets obtained by droplet‐based microfluidics, leading to physically distinct core and shell regions inside dextran microgels. The shell exhibits a markedly lower cross‐linking density, resulting in reduced stiffness, tunable degradation, and higher macromolecular permeability than the core. The facile control of the core‐to‐shell ratio by varying the initiator concentration and oxygen availability represents a novel strategy to engineer microgel compartmentalization. This work establishes oxygen‐controlled photopolymerization as a new design principle for structuring microgels in flow, offering precise spatial control over polymer network architecture without complex templating or multi‐phase emulsions. Beyond dextran, this concept is broadly applicable to other acrylated and methacrylated hydrogel systems, opening new avenues for designing hierarchical soft materials. We demonstrate the applicability of these advanced microgels for the fabrication of millimeter‐sized tissue constructs, via 3D printing by exploiting the fusion of ultra‐low crosslinked shell compartments, thereby eliminating the need for additional chemical crosslinkers, initiators, or support baths to stabilize the final printed constructs.</w:t>
      </w:r>
    </w:p>
    <w:p>
      <w:pPr>
        <w:spacing w:before="120" w:after="120"/>
      </w:pPr>
      <w:r>
        <w:rPr>
          <w:sz w:val="18"/>
        </w:rPr>
        <w:t>——————————————————————————————————————————————————————————————————————</w:t>
      </w:r>
    </w:p>
    <w:p>
      <w:pPr>
        <w:spacing w:before="160" w:after="40" w:line="240" w:lineRule="auto"/>
      </w:pPr>
      <w:r>
        <w:rPr>
          <w:b/>
        </w:rPr>
        <w:t xml:space="preserve">[33] </w:t>
      </w:r>
      <w:hyperlink r:id="rId273">
        <w:r>
          <w:rPr>
            <w:color w:val="1155CC"/>
            <w:u w:val="single"/>
          </w:rPr>
          <w:t>3D可打印的、蜂窝状仿生组织样生物电极用于患者特定的神经接口</w:t>
        </w:r>
      </w:hyperlink>
    </w:p>
    <w:p>
      <w:pPr>
        <w:spacing w:before="0" w:after="80"/>
      </w:pPr>
      <w:r>
        <w:rPr>
          <w:i/>
          <w:sz w:val="20"/>
        </w:rPr>
        <w:t>EN: 3D‐Printable, Honeycomb‐Inspired Tissue‐Like Bioelectrodes for Patient‐Specific Neural Interface</w:t>
      </w:r>
    </w:p>
    <w:p>
      <w:pPr>
        <w:spacing w:before="0" w:after="120"/>
      </w:pPr>
      <w:r>
        <w:rPr>
          <w:b/>
        </w:rPr>
        <w:t xml:space="preserve">Source: </w:t>
      </w:r>
      <w:r>
        <w:t>Wiley: Advanced Materials: Table of Contents</w:t>
      </w:r>
      <w:r>
        <w:t xml:space="preserve">    </w:t>
      </w:r>
      <w:r>
        <w:rPr>
          <w:b/>
        </w:rPr>
        <w:t xml:space="preserve">Pub date: </w:t>
      </w:r>
      <w:r>
        <w:t>2026-03-14 08:36:09+00:00</w:t>
      </w:r>
      <w:r>
        <w:t xml:space="preserve">    </w:t>
      </w:r>
      <w:r>
        <w:rPr>
          <w:b/>
        </w:rPr>
        <w:t xml:space="preserve">DOI: </w:t>
      </w:r>
      <w:hyperlink r:id="rId274">
        <w:r>
          <w:rPr>
            <w:color w:val="1155CC"/>
            <w:u w:val="single"/>
          </w:rPr>
          <w:t>10.1002/adma.202516291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脑独特的脑回模式需要患者特异性的神经接口，以实现精确的神经调节，减轻不良组织反应，并优化治疗效果和安全性。通用的、通过光刻技术标准化用于大规模生产的传统刚性皮层脑电图（ECoG）电极，表现出对大脑异质性皮层地形的有限适应性。这种机械不匹配导致电极与组织接触不良、信号丢失和异物反应。为了解决这些限制，我们提出了一个集成的新平台，结合MRI基础的解剖映射、有限元分析（FEA）优化的机械设计和直接墨水书写（DIW）3D打印来制造电极</w:t>
      </w:r>
    </w:p>
    <w:p>
      <w:pPr>
        <w:spacing w:before="0" w:after="200" w:lineRule="auto" w:line="276"/>
      </w:pPr>
      <w:r>
        <w:rPr>
          <w:b/>
        </w:rPr>
        <w:t xml:space="preserve">Abstract (EN): </w:t>
      </w:r>
      <w:r>
        <w:t>The unique gyral patterns of the human brain demand patient‐specific neural interfaces to achieve precise neuromodulation, mitigate adverse tissue responses, and optimize therapeutic efficacy and safety. One‐size‐fits‐all, conventional rigid electrocorticography (ECoG) electrodes, standardized for mass production through lithographic techniques, exhibit limited conformability to the brain's heterogeneous cortical topography. This mechanical mismatch results in poor electrode‐tissue contact, signal loss, and foreign body responses. To address these limitations, we present an integrated novel platform, synergizing MRI‐based anatomical mapping, finite element analysis (FEA)—optimized mechanical design, and direct ink writing (DIW) 3D printing to fabricate electrodes customized to individual gyral patterns. The resulting honeycomb‐inspired printable gel electrode (HiPGE) employs a bioinspired honeycomb architecture with ultra‐soft hydrogels, engineered to match the bending stiffness of brain tissue (0.1–10 kPa) while maintaining cost‐efficiency and long‐term durability. This mechanical congruence ensures exceptional cortical conformability and adaptive interfacing, circumventing the geometric and material limitations of traditional rigid electrodes. By combining patient‐specific design with scalable fabrication, our platform establishes a transformative framework for neural interface engineering, enhancing precision, biocompatibility, and functional performance in neuromodulation therapies and neuroprosthetic applications.</w:t>
      </w:r>
    </w:p>
    <w:p>
      <w:pPr>
        <w:spacing w:before="120" w:after="120"/>
      </w:pPr>
      <w:r>
        <w:rPr>
          <w:sz w:val="18"/>
        </w:rPr>
        <w:t>——————————————————————————————————————————————————————————————————————</w:t>
      </w:r>
    </w:p>
    <w:p>
      <w:pPr>
        <w:spacing w:before="160" w:after="40" w:line="240" w:lineRule="auto"/>
      </w:pPr>
      <w:r>
        <w:rPr>
          <w:b/>
        </w:rPr>
        <w:t xml:space="preserve">[34] </w:t>
      </w:r>
      <w:hyperlink r:id="rId275">
        <w:r>
          <w:rPr>
            <w:color w:val="1155CC"/>
            <w:u w:val="single"/>
          </w:rPr>
          <w:t>实验映射MoS2单层的元素掺杂</w:t>
        </w:r>
      </w:hyperlink>
    </w:p>
    <w:p>
      <w:pPr>
        <w:spacing w:before="0" w:after="80"/>
      </w:pPr>
      <w:r>
        <w:rPr>
          <w:i/>
          <w:sz w:val="20"/>
        </w:rPr>
        <w:t>EN: Experimentally Mapping the Elemental Doping of MoS2 Monolayer</w:t>
      </w:r>
    </w:p>
    <w:p>
      <w:pPr>
        <w:spacing w:before="0" w:after="120"/>
      </w:pPr>
      <w:r>
        <w:rPr>
          <w:b/>
        </w:rPr>
        <w:t xml:space="preserve">Source: </w:t>
      </w:r>
      <w:r>
        <w:t>Wiley: Advanced Materials: Table of Contents</w:t>
      </w:r>
      <w:r>
        <w:t xml:space="preserve">    </w:t>
      </w:r>
      <w:r>
        <w:rPr>
          <w:b/>
        </w:rPr>
        <w:t xml:space="preserve">Pub date: </w:t>
      </w:r>
      <w:r>
        <w:t>2026-03-14 08:46:38+00:00</w:t>
      </w:r>
      <w:r>
        <w:t xml:space="preserve">    </w:t>
      </w:r>
      <w:r>
        <w:rPr>
          <w:b/>
        </w:rPr>
        <w:t xml:space="preserve">DOI: </w:t>
      </w:r>
      <w:hyperlink r:id="rId276">
        <w:r>
          <w:rPr>
            <w:color w:val="1155CC"/>
            <w:u w:val="single"/>
          </w:rPr>
          <w:t>10.1002/adma.202522574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具有巨大潜力的原子级薄2D半导体，在后摩尔时代，掺杂是器件工程和集成的先决条件。由于掺杂方法的限制，2D半导体的元素掺杂尚未得到充分探索。在此，通过使用液相边缘外延法，该方法可以在液相中溶解掺杂剂，我们成功地在MoS</w:t>
      </w:r>
      <w:r>
        <w:rPr>
          <w:vertAlign w:val="subscript"/>
        </w:rPr>
        <w:t>2</w:t>
      </w:r>
      <w:r>
        <w:t>单层中掺杂了超过40种元素（包括过渡金属、镧系元素和主族元素）。在这个掺杂库中，罕见的</w:t>
      </w:r>
      <w:r>
        <w:t xml:space="preserve"> </w:t>
      </w:r>
      <w:r>
        <w:t>p</w:t>
      </w:r>
      <w:r>
        <w:t xml:space="preserve"> </w:t>
      </w:r>
      <w:r>
        <w:t>型传输行为在Ti、Zn和Au掺杂的MoS</w:t>
      </w:r>
      <w:r>
        <w:rPr>
          <w:vertAlign w:val="subscript"/>
        </w:rPr>
        <w:t>2</w:t>
      </w:r>
      <w:r>
        <w:t>单层中得到了观察。</w:t>
      </w:r>
    </w:p>
    <w:p>
      <w:pPr>
        <w:spacing w:before="0" w:after="200" w:lineRule="auto" w:line="276"/>
      </w:pPr>
      <w:r>
        <w:rPr>
          <w:b/>
        </w:rPr>
        <w:t xml:space="preserve">Abstract (EN): </w:t>
      </w:r>
      <w:r>
        <w:t>For the atomically thin 2D semiconductors with great potentials in the post Moore's era, the doping is a prerequisite for the device engineering and integration. Limited by the doping approaches, elemental doping of 2D semiconductors has not been fully explored. Here, by using a liquid phase edge epitaxy method which can dissolve the dopants in the liquid phase, we have succeeded in doping MoS</w:t>
      </w:r>
      <w:r>
        <w:rPr>
          <w:vertAlign w:val="subscript"/>
        </w:rPr>
        <w:t>2</w:t>
      </w:r>
      <w:r>
        <w:t>monolayer with more than 40 elements (including transition metals, lanthanides, and main group elements). In this doping library, rarely observed</w:t>
      </w:r>
      <w:r>
        <w:t xml:space="preserve"> </w:t>
      </w:r>
      <w:r>
        <w:t>p</w:t>
      </w:r>
      <w:r>
        <w:t xml:space="preserve"> </w:t>
      </w:r>
      <w:r>
        <w:t>‐type transport behavior has been obtained in Ti, Zn, and Au doped MoS</w:t>
      </w:r>
      <w:r>
        <w:rPr>
          <w:vertAlign w:val="subscript"/>
        </w:rPr>
        <w:t>2</w:t>
      </w:r>
      <w:r>
        <w:t>monolayers. While Cu, Ga, Zr, Nb, In, Sn, Hf, Ta, Pb, Bi and rare earth of Eu, Gd, Tm, Lu doped MoS</w:t>
      </w:r>
      <w:r>
        <w:rPr>
          <w:vertAlign w:val="subscript"/>
        </w:rPr>
        <w:t>2</w:t>
      </w:r>
      <w:r>
        <w:t>monolayers have showed low on/off ratios (&amp;lt;10). The obtained</w:t>
      </w:r>
      <w:r>
        <w:t xml:space="preserve"> </w:t>
      </w:r>
      <w:r>
        <w:t>p</w:t>
      </w:r>
      <w:r>
        <w:t xml:space="preserve"> </w:t>
      </w:r>
      <w:r>
        <w:t>‐type,</w:t>
      </w:r>
      <w:r>
        <w:t xml:space="preserve"> </w:t>
      </w:r>
      <w:r>
        <w:t>n</w:t>
      </w:r>
      <w:r>
        <w:t xml:space="preserve"> </w:t>
      </w:r>
      <w:r>
        <w:t>‐type and metallic MoS</w:t>
      </w:r>
      <w:r>
        <w:rPr>
          <w:vertAlign w:val="subscript"/>
        </w:rPr>
        <w:t>2</w:t>
      </w:r>
      <w:r>
        <w:t>monolayers enables future all‐MoS</w:t>
      </w:r>
      <w:r>
        <w:rPr>
          <w:vertAlign w:val="subscript"/>
        </w:rPr>
        <w:t>2</w:t>
      </w:r>
      <w:r>
        <w:t>based device integration. Additionally, rare earth of Ce, Nd, Dy and Ho doped MoS</w:t>
      </w:r>
      <w:r>
        <w:rPr>
          <w:vertAlign w:val="subscript"/>
        </w:rPr>
        <w:t>2</w:t>
      </w:r>
      <w:r>
        <w:t>monolayers have showed soft magnetization with semiconducting transport behavior. At last, DFT calculations have revealed that the preferred doping configurations varies for different elements from Mo‐substitution, S‐substitution to S‐site adsorption.</w:t>
      </w:r>
    </w:p>
    <w:p>
      <w:pPr>
        <w:spacing w:before="120" w:after="120"/>
      </w:pPr>
      <w:r>
        <w:rPr>
          <w:sz w:val="18"/>
        </w:rPr>
        <w:t>——————————————————————————————————————————————————————————————————————</w:t>
      </w:r>
    </w:p>
    <w:p>
      <w:pPr>
        <w:spacing w:before="160" w:after="40" w:line="240" w:lineRule="auto"/>
      </w:pPr>
      <w:r>
        <w:rPr>
          <w:b/>
        </w:rPr>
        <w:t xml:space="preserve">[35] </w:t>
      </w:r>
      <w:hyperlink r:id="rId277">
        <w:r>
          <w:rPr>
            <w:color w:val="1155CC"/>
            <w:u w:val="single"/>
          </w:rPr>
          <w:t>由阴离子构型熵稳定的多阴离子电催化剂用于先进的水分解</w:t>
        </w:r>
      </w:hyperlink>
    </w:p>
    <w:p>
      <w:pPr>
        <w:spacing w:before="0" w:after="80"/>
      </w:pPr>
      <w:r>
        <w:rPr>
          <w:i/>
          <w:sz w:val="20"/>
        </w:rPr>
        <w:t>EN: Multi‐Anion Electrocatalysts Stabilized by Anionic Configurational Entropy for Advanced Water Splitting</w:t>
      </w:r>
    </w:p>
    <w:p>
      <w:pPr>
        <w:spacing w:before="0" w:after="120"/>
      </w:pPr>
      <w:r>
        <w:rPr>
          <w:b/>
        </w:rPr>
        <w:t xml:space="preserve">Source: </w:t>
      </w:r>
      <w:r>
        <w:t>Wiley: Advanced Materials: Table of Contents</w:t>
      </w:r>
      <w:r>
        <w:t xml:space="preserve">    </w:t>
      </w:r>
      <w:r>
        <w:rPr>
          <w:b/>
        </w:rPr>
        <w:t xml:space="preserve">Pub date: </w:t>
      </w:r>
      <w:r>
        <w:t>2026-03-14 08:49:55+00:00</w:t>
      </w:r>
      <w:r>
        <w:t xml:space="preserve">    </w:t>
      </w:r>
      <w:r>
        <w:rPr>
          <w:b/>
        </w:rPr>
        <w:t xml:space="preserve">DOI: </w:t>
      </w:r>
      <w:hyperlink r:id="rId278">
        <w:r>
          <w:rPr>
            <w:color w:val="1155CC"/>
            <w:u w:val="single"/>
          </w:rPr>
          <w:t>10.1002/adma.72791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渡金属化合物中的阴离子调控提供了一种有效的策略来调节其电催化活性。然而，多种阴离子的共存通常导致热力学上有利的相分离，限制了活性位点的密度和可调性。为了解决这一限制，我们从高熵策略中汲取灵感，其中构型熵促进了元素的均匀混合，并主要应用于多金属系统。在此，我们将这一设计扩展到阴离子调控，采用多样的阴离子成分来增强构型熵，抑制焓驱动的相分离，并实现热力学稳定的单相结构。原子级的阴离子均匀性</w:t>
      </w:r>
    </w:p>
    <w:p>
      <w:pPr>
        <w:spacing w:before="0" w:after="200" w:lineRule="auto" w:line="276"/>
      </w:pPr>
      <w:r>
        <w:rPr>
          <w:b/>
        </w:rPr>
        <w:t xml:space="preserve">Abstract (EN): </w:t>
      </w:r>
      <w:r>
        <w:t>Anion regulation in transition metal compounds provides an effective strategy to modulate their electrocatalytic activity. However, the coexistence of multiple anions often results in thermodynamically favored phase separation, restricting the density and tunability of active sites. To address this limitation, we draw inspiration from the high‐entropy strategy, where configurational entropy promotes uniform elemental mixing and is predominantly applied in multi‐metal systems. Here, we extend this design to anion regulation, employing diverse anionic components to enhance configurational entropy, suppress the enthalpy‐driven phase separation, and achieve thermodynamically stable single‐phase structures. The atomic‐level anion homogeneity thereby enables precise modulation of the electronic structure of metal sites. As a proof of concept, a multi‐anion electrocatalyst containing hydroxide, sulfide, selenide, and phosphate anions is successfully synthesized and achieves low overpotentials of 25 mV for hydrogen evolution and 146 mV for oxygen evolution at 10 mA cm</w:t>
      </w:r>
      <w:r>
        <w:t xml:space="preserve"> </w:t>
      </w:r>
      <w:r>
        <w:t>−2</w:t>
      </w:r>
      <w:r>
        <w:t xml:space="preserve"> </w:t>
      </w:r>
      <w:r>
        <w:t>. When integrated into an anion‐exchange membrane water electrolyzer, the catalyst delivers a current density of 1,000 mA cm</w:t>
      </w:r>
      <w:r>
        <w:t xml:space="preserve"> </w:t>
      </w:r>
      <w:r>
        <w:t>−2</w:t>
      </w:r>
      <w:r>
        <w:t xml:space="preserve"> </w:t>
      </w:r>
      <w:r>
        <w:t>at 1.98 V and maintains stable operation for 200 h at 25 °C. Focusing on anionic configurational entropy, this study thermodynamically stabilizes conventionally metastable multi‐anion compounds, broadens the scope of medium/high‐entropy materials, and provides guidance for the design of next‐generation electrocatalysts.</w:t>
      </w:r>
    </w:p>
    <w:p>
      <w:pPr>
        <w:spacing w:before="120" w:after="120"/>
      </w:pPr>
      <w:r>
        <w:rPr>
          <w:sz w:val="18"/>
        </w:rPr>
        <w:t>——————————————————————————————————————————————————————————————————————</w:t>
      </w:r>
    </w:p>
    <w:p>
      <w:pPr>
        <w:spacing w:before="160" w:after="40" w:line="240" w:lineRule="auto"/>
      </w:pPr>
      <w:r>
        <w:rPr>
          <w:b/>
        </w:rPr>
        <w:t xml:space="preserve">[36] </w:t>
      </w:r>
      <w:hyperlink r:id="rId279">
        <w:r>
          <w:rPr>
            <w:color w:val="1155CC"/>
            <w:u w:val="single"/>
          </w:rPr>
          <w:t>组织贴合的有机硒水凝胶通过微相控制的酰腙交联动力学加速糖尿病伤口愈合，抑制AGE-RAGE通路</w:t>
        </w:r>
      </w:hyperlink>
    </w:p>
    <w:p>
      <w:pPr>
        <w:spacing w:before="0" w:after="80"/>
      </w:pPr>
      <w:r>
        <w:rPr>
          <w:i/>
          <w:sz w:val="20"/>
        </w:rPr>
        <w:t>EN: Tissue‐Conforming Organoselenium Hydrogel with Microphase‐Controlled Acylhydrazone Crosslinking Kinetics Expedites Diabetic Wound Healing by Inhibiting AGE‐RAGE Pathways</w:t>
      </w:r>
    </w:p>
    <w:p>
      <w:pPr>
        <w:spacing w:before="0" w:after="120"/>
      </w:pPr>
      <w:r>
        <w:rPr>
          <w:b/>
        </w:rPr>
        <w:t xml:space="preserve">Source: </w:t>
      </w:r>
      <w:r>
        <w:t>Wiley: Advanced Materials: Table of Contents</w:t>
      </w:r>
      <w:r>
        <w:t xml:space="preserve">    </w:t>
      </w:r>
      <w:r>
        <w:rPr>
          <w:b/>
        </w:rPr>
        <w:t xml:space="preserve">Pub date: </w:t>
      </w:r>
      <w:r>
        <w:t>2026-03-14 09:53:40+00:00</w:t>
      </w:r>
      <w:r>
        <w:t xml:space="preserve">    </w:t>
      </w:r>
      <w:r>
        <w:rPr>
          <w:b/>
        </w:rPr>
        <w:t xml:space="preserve">DOI: </w:t>
      </w:r>
      <w:hyperlink r:id="rId280">
        <w:r>
          <w:rPr>
            <w:color w:val="1155CC"/>
            <w:u w:val="single"/>
          </w:rPr>
          <w:t>10.1002/adma.72776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糖尿病伤口由于其自我延续的病理微环境，呈现出紧迫的临床挑战，其中氧化应激、晚期糖基化终产物及其受体（AGE-RAGE）的积累和慢性炎症形成了阻碍愈合的恶性循环。现有抗氧化水凝胶的治疗剂有效递送因其快速交联动力学而对复杂伤口几何形状的适应性差，从而未能纠正这些相互关联的病理过程。在此，我们合成了一种能够微相分离的有机硒聚合物（OSP），以延长酰腙交联动力学，从而产生一种组织适应性有机硒水凝胶（TCOH），有效</w:t>
      </w:r>
    </w:p>
    <w:p>
      <w:pPr>
        <w:spacing w:before="0" w:after="200" w:lineRule="auto" w:line="276"/>
      </w:pPr>
      <w:r>
        <w:rPr>
          <w:b/>
        </w:rPr>
        <w:t xml:space="preserve">Abstract (EN): </w:t>
      </w:r>
      <w:r>
        <w:t>Diabetic wounds present a pressing clinical challenge due to their self‐perpetuating pathological microenvironment, where oxidative stress, the accumulation of advanced glycation end‐products and their receptors (AGE‐RAGE), and chronic inflammation form a vicious cycle that impedes healing. The effective delivery of therapeutic agents by existing antioxidant hydrogels is compromised by their poor conformability to complex wound geometries due to rapid crosslinking kinetics, resulting in the failure to correct these interconnected pathological processes. Here, we synthesize an organoselenium polymer (OSP) capable of microphase‐separation to extend acylhydrazone crosslinking kinetics, thereby producing a tissue‐conforming organoselenium hydrogel (TCOH) that effectively presents organoselenium motifs to the pathological diabetic wound bed. The TCOH can effectively restore redox homeostasis, enhance angiogenesis, and reprogram the immune microenvironment by promoting M2 macrophage polarization. Transcriptomic profiling and Western Blot analyses concurrently confirm the restoration of glycolipid metabolism and suppression of AGE‐RAGE and NF‐κB signaling. This multifaceted restoration of the pro‐healing microenvironment results in accelerated wound closure, enhanced collagen deposition, and functional tissue regeneration. Our work establishes a new paradigm in chronic wound management by integrating dynamic material adaptation with multi‐targeted pathological regulation, offering a promising therapeutic platform for various redox‐ and AGE‐related chronic diseases.</w:t>
      </w:r>
    </w:p>
    <w:p>
      <w:pPr>
        <w:spacing w:before="120" w:after="120"/>
      </w:pPr>
      <w:r>
        <w:rPr>
          <w:sz w:val="18"/>
        </w:rPr>
        <w:t>——————————————————————————————————————————————————————————————————————</w:t>
      </w:r>
    </w:p>
    <w:p>
      <w:pPr>
        <w:spacing w:before="160" w:after="40" w:line="240" w:lineRule="auto"/>
      </w:pPr>
      <w:r>
        <w:rPr>
          <w:b/>
        </w:rPr>
        <w:t xml:space="preserve">[37] </w:t>
      </w:r>
      <w:hyperlink r:id="rId281">
        <w:r>
          <w:rPr>
            <w:color w:val="1155CC"/>
            <w:u w:val="single"/>
          </w:rPr>
          <w:t>Sn2+诱导的原位相调制实现高活性的o-SnSe/h-NiSe/r-Ni3Se2多功能异质结构用于光热/电子尿素水分解</w:t>
        </w:r>
      </w:hyperlink>
    </w:p>
    <w:p>
      <w:pPr>
        <w:spacing w:before="0" w:after="80"/>
      </w:pPr>
      <w:r>
        <w:rPr>
          <w:i/>
          <w:sz w:val="20"/>
        </w:rPr>
        <w:t>EN: Sn2+‐Induced In Situ Phase Modulation Enabling a Highly Active o‐SnSe/h‐NiSe/r‐Ni3Se2 Multifunctional Heterostructure for Photo‐Thermal/Electronic Urea Water Splitting</w:t>
      </w:r>
    </w:p>
    <w:p>
      <w:pPr>
        <w:spacing w:before="0" w:after="120"/>
      </w:pPr>
      <w:r>
        <w:rPr>
          <w:b/>
        </w:rPr>
        <w:t xml:space="preserve">Source: </w:t>
      </w:r>
      <w:r>
        <w:t>Wiley: Advanced Materials: Table of Contents</w:t>
      </w:r>
      <w:r>
        <w:t xml:space="preserve">    </w:t>
      </w:r>
      <w:r>
        <w:rPr>
          <w:b/>
        </w:rPr>
        <w:t xml:space="preserve">Pub date: </w:t>
      </w:r>
      <w:r>
        <w:t>2026-03-14 10:03:51+00:00</w:t>
      </w:r>
      <w:r>
        <w:t xml:space="preserve">    </w:t>
      </w:r>
      <w:r>
        <w:rPr>
          <w:b/>
        </w:rPr>
        <w:t xml:space="preserve">DOI: </w:t>
      </w:r>
      <w:hyperlink r:id="rId282">
        <w:r>
          <w:rPr>
            <w:color w:val="1155CC"/>
            <w:u w:val="single"/>
          </w:rPr>
          <w:t>10.1002/adma.202519855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构建高活性位点并同时建立光热/光电子相代表了一种新兴的范式，用于促进小分子辅助的水分解。在此，我们报告了一种有效的Sn</w:t>
      </w:r>
      <w:r>
        <w:t xml:space="preserve"> </w:t>
      </w:r>
      <w:r>
        <w:t>2+</w:t>
      </w:r>
      <w:r>
        <w:t xml:space="preserve"> </w:t>
      </w:r>
      <w:r>
        <w:t>启动的相调制策略，用于简便合成以菱形NiSe和Ni</w:t>
      </w:r>
      <w:r>
        <w:rPr>
          <w:vertAlign w:val="subscript"/>
        </w:rPr>
        <w:t>3</w:t>
      </w:r>
      <w:r>
        <w:t>Se</w:t>
      </w:r>
      <w:r>
        <w:rPr>
          <w:vertAlign w:val="subscript"/>
        </w:rPr>
        <w:t>2</w:t>
      </w:r>
      <w:r>
        <w:t>(r‐NiSe/r‐Ni</w:t>
      </w:r>
      <w:r>
        <w:rPr>
          <w:vertAlign w:val="subscript"/>
        </w:rPr>
        <w:t>3</w:t>
      </w:r>
      <w:r>
        <w:t>Se</w:t>
      </w:r>
      <w:r>
        <w:rPr>
          <w:vertAlign w:val="subscript"/>
        </w:rPr>
        <w:t>2</w:t>
      </w:r>
      <w:r>
        <w:t>)为前体的光热/光电子相。该策略驱动r‐NiSe的原位相转变为六方NiSe (h‐NiSe)，同时生成正交SnSe (o‐SnS)</w:t>
      </w:r>
    </w:p>
    <w:p>
      <w:pPr>
        <w:spacing w:before="0" w:after="200" w:lineRule="auto" w:line="276"/>
      </w:pPr>
      <w:r>
        <w:rPr>
          <w:b/>
        </w:rPr>
        <w:t xml:space="preserve">Abstract (EN): </w:t>
      </w:r>
      <w:r>
        <w:t>The construction of highly active sites and the simultaneous establishment of photothermal/photoelectronic phases represent an emerging paradigm for boosting small‐molecule‐assisted water splitting. Herein, we report an effective Sn</w:t>
      </w:r>
      <w:r>
        <w:t xml:space="preserve"> </w:t>
      </w:r>
      <w:r>
        <w:t>2+</w:t>
      </w:r>
      <w:r>
        <w:t xml:space="preserve"> </w:t>
      </w:r>
      <w:r>
        <w:t>‐initiated phase‐modulation strategy for the facile synthesis of a photothermal/photoelectronic phase with rhombohedral NiSe and Ni</w:t>
      </w:r>
      <w:r>
        <w:rPr>
          <w:vertAlign w:val="subscript"/>
        </w:rPr>
        <w:t>3</w:t>
      </w:r>
      <w:r>
        <w:t>Se</w:t>
      </w:r>
      <w:r>
        <w:rPr>
          <w:vertAlign w:val="subscript"/>
        </w:rPr>
        <w:t>2</w:t>
      </w:r>
      <w:r>
        <w:t>(r‐NiSe/r‐Ni</w:t>
      </w:r>
      <w:r>
        <w:rPr>
          <w:vertAlign w:val="subscript"/>
        </w:rPr>
        <w:t>3</w:t>
      </w:r>
      <w:r>
        <w:t>Se</w:t>
      </w:r>
      <w:r>
        <w:rPr>
          <w:vertAlign w:val="subscript"/>
        </w:rPr>
        <w:t>2</w:t>
      </w:r>
      <w:r>
        <w:t>) as a precursor. The strategy drives an in situ phase transition of r‐NiSe to hexagonal NiSe (h‐NiSe), along with the generation of orthorhombic SnSe (o‐SnSe), ultimately forming the multifunctional heterostructure o‐SnSe/h‐NiSe/r‐Ni</w:t>
      </w:r>
      <w:r>
        <w:rPr>
          <w:vertAlign w:val="subscript"/>
        </w:rPr>
        <w:t>3</w:t>
      </w:r>
      <w:r>
        <w:t>Se</w:t>
      </w:r>
      <w:r>
        <w:rPr>
          <w:vertAlign w:val="subscript"/>
        </w:rPr>
        <w:t>2</w:t>
      </w:r>
      <w:r>
        <w:t>. Theoretical calculations reveal that h‐NiSe lowers the urea oxidation reaction (UOR) energy barrier relative to r‐NiSe (0.745 eV vs. 0.901 eV), while the o‐SnSe enhances both light harvesting and photothermal/photoelectronic functionalities of the o‐SnSe/h‐NiSe/r‐Ni</w:t>
      </w:r>
      <w:r>
        <w:rPr>
          <w:vertAlign w:val="subscript"/>
        </w:rPr>
        <w:t>3</w:t>
      </w:r>
      <w:r>
        <w:t>Se</w:t>
      </w:r>
      <w:r>
        <w:rPr>
          <w:vertAlign w:val="subscript"/>
        </w:rPr>
        <w:t>2</w:t>
      </w:r>
      <w:r>
        <w:t>. Unlike traditional UOR electrocatalysts, its photothermal effect promotes urea adsorption, offsets the endothermic enthalpy of UOR, and accelerates electron/mass‐transfer kinetics. Concurrently, the photoelectronic effect enhances the charge‐carrier density from 1.4 × 10</w:t>
      </w:r>
      <w:r>
        <w:rPr>
          <w:vertAlign w:val="subscript"/>
        </w:rPr>
        <w:t>24</w:t>
      </w:r>
      <w:r>
        <w:t>to 4.2 × 10</w:t>
      </w:r>
      <w:r>
        <w:rPr>
          <w:vertAlign w:val="subscript"/>
        </w:rPr>
        <w:t>24</w:t>
      </w:r>
      <w:r>
        <w:t>cm</w:t>
      </w:r>
      <w:r>
        <w:t xml:space="preserve"> </w:t>
      </w:r>
      <w:r>
        <w:t>−3</w:t>
      </w:r>
      <w:r>
        <w:t xml:space="preserve"> </w:t>
      </w:r>
      <w:r>
        <w:t>, lowers the UOR activation energy from 48.4 to 9.7 kJ mol</w:t>
      </w:r>
      <w:r>
        <w:t xml:space="preserve"> </w:t>
      </w:r>
      <w:r>
        <w:t>−1</w:t>
      </w:r>
      <w:r>
        <w:t xml:space="preserve"> </w:t>
      </w:r>
      <w:r>
        <w:t>. Capitalizing on these synergistic advantages, the o‐SnSe/h‐NiSe/r‐Ni</w:t>
      </w:r>
      <w:r>
        <w:rPr>
          <w:vertAlign w:val="subscript"/>
        </w:rPr>
        <w:t>3</w:t>
      </w:r>
      <w:r>
        <w:t>Se</w:t>
      </w:r>
      <w:r>
        <w:rPr>
          <w:vertAlign w:val="subscript"/>
        </w:rPr>
        <w:t>2</w:t>
      </w:r>
      <w:r>
        <w:t>delivers exceptional UOR activity, achieving 10, 500, and 1000 mA cm</w:t>
      </w:r>
      <w:r>
        <w:t xml:space="preserve"> </w:t>
      </w:r>
      <w:r>
        <w:t>−2</w:t>
      </w:r>
      <w:r>
        <w:t xml:space="preserve"> </w:t>
      </w:r>
      <w:r>
        <w:t>at merely 1.28, 1.34, and 1.37 V, respectively. When implemented in a urea‐assisted water splitting electrolyzer, the o‐SnSe/h‐NiSe/r‐Ni</w:t>
      </w:r>
      <w:r>
        <w:rPr>
          <w:vertAlign w:val="subscript"/>
        </w:rPr>
        <w:t>3</w:t>
      </w:r>
      <w:r>
        <w:t>Se</w:t>
      </w:r>
      <w:r>
        <w:rPr>
          <w:vertAlign w:val="subscript"/>
        </w:rPr>
        <w:t>2</w:t>
      </w:r>
      <w:r>
        <w:t>||o‐SnSe/h‐NiSe/r‐Ni</w:t>
      </w:r>
      <w:r>
        <w:rPr>
          <w:vertAlign w:val="subscript"/>
        </w:rPr>
        <w:t>3</w:t>
      </w:r>
      <w:r>
        <w:t>Se</w:t>
      </w:r>
      <w:r>
        <w:rPr>
          <w:vertAlign w:val="subscript"/>
        </w:rPr>
        <w:t>2</w:t>
      </w:r>
      <w:r>
        <w:t>device requires only 1.34 and 1.79 V to sustain 100 and 500 mA cm</w:t>
      </w:r>
      <w:r>
        <w:t xml:space="preserve"> </w:t>
      </w:r>
      <w:r>
        <w:t>−2</w:t>
      </w:r>
      <w:r>
        <w:t xml:space="preserve"> </w:t>
      </w:r>
      <w:r>
        <w:t>, respectively, outperforming the conventional HER||OER electrolyzer (1.61 and 1.99 V).</w:t>
      </w:r>
    </w:p>
    <w:p>
      <w:pPr>
        <w:spacing w:before="120" w:after="120"/>
      </w:pPr>
      <w:r>
        <w:rPr>
          <w:sz w:val="18"/>
        </w:rPr>
        <w:t>——————————————————————————————————————————————————————————————————————</w:t>
      </w:r>
    </w:p>
    <w:p>
      <w:pPr>
        <w:spacing w:before="160" w:after="40" w:line="240" w:lineRule="auto"/>
      </w:pPr>
      <w:r>
        <w:rPr>
          <w:b/>
        </w:rPr>
        <w:t xml:space="preserve">[38] </w:t>
      </w:r>
      <w:hyperlink r:id="rId283">
        <w:r>
          <w:rPr>
            <w:color w:val="1155CC"/>
            <w:u w:val="single"/>
          </w:rPr>
          <w:t>[ASAP] SERS热点的动态电化学重定向实现DNA寡核苷酸的组成、长度和序列读取</w:t>
        </w:r>
      </w:hyperlink>
    </w:p>
    <w:p>
      <w:pPr>
        <w:spacing w:before="0" w:after="80"/>
      </w:pPr>
      <w:r>
        <w:rPr>
          <w:i/>
          <w:sz w:val="20"/>
        </w:rPr>
        <w:t>EN: [ASAP] Dynamic Electrochemical Reorientation at SERS Hotspots Enables Composition, Length, and Sequence Reading of DNA Oligonucleotides</w:t>
      </w:r>
    </w:p>
    <w:p>
      <w:pPr>
        <w:spacing w:before="0" w:after="120"/>
      </w:pPr>
      <w:r>
        <w:rPr>
          <w:b/>
        </w:rPr>
        <w:t xml:space="preserve">Source: </w:t>
      </w:r>
      <w:r>
        <w:t>Journal of the American Chemical Society: Latest Articles (ACS Publications)</w:t>
      </w:r>
      <w:r>
        <w:t xml:space="preserve">    </w:t>
      </w:r>
      <w:r>
        <w:rPr>
          <w:b/>
        </w:rPr>
        <w:t xml:space="preserve">Pub date: </w:t>
      </w:r>
      <w:r>
        <w:t>2026-03-14 16:05:41+00:00</w:t>
      </w:r>
      <w:r>
        <w:t xml:space="preserve">    </w:t>
      </w:r>
      <w:r>
        <w:rPr>
          <w:b/>
        </w:rPr>
        <w:t xml:space="preserve">DOI: </w:t>
      </w:r>
      <w:hyperlink r:id="rId284">
        <w:r>
          <w:rPr>
            <w:color w:val="1155CC"/>
            <w:u w:val="single"/>
          </w:rPr>
          <w:t>10.1021/jacs.6c02165</w:t>
        </w:r>
      </w:hyperlink>
    </w:p>
    <w:p>
      <w:pPr>
        <w:spacing w:before="0" w:after="120"/>
      </w:pPr>
      <w:r>
        <w:rPr>
          <w:b/>
        </w:rPr>
        <w:t xml:space="preserve">Notes: </w:t>
      </w:r>
      <w:r>
        <w:t>abstract_source=pubmed</w:t>
      </w:r>
    </w:p>
    <w:p>
      <w:pPr>
        <w:spacing w:before="0" w:after="80" w:lineRule="auto" w:line="276"/>
      </w:pPr>
      <w:r>
        <w:rPr>
          <w:b/>
        </w:rPr>
        <w:t xml:space="preserve">摘要（ZH）: </w:t>
      </w:r>
      <w:r>
        <w:t>将表面增强拉曼光谱（SERS）从小分子扩展到大分子对于各种应用非常重要，但由于“表面选择规则”，这仍然具有挑战性。与基底表面结合更紧密的分子片段会经历更强的信号增强，从而主导光谱，导致SERS响应不完整或有偏差，无法代表整体分子结构。DNA寡核苷酸就是这种挑战的例子，SERS难以提取序列级信息，如长度和主序列，因为相关的振动特征被主导峰和噪声掩盖，限制了完整的分子表征。在这项工作中，我们引入了一种电化学调制策略，可以动态地重新定向</w:t>
      </w:r>
    </w:p>
    <w:p>
      <w:pPr>
        <w:spacing w:before="0" w:after="200" w:lineRule="auto" w:line="276"/>
      </w:pPr>
      <w:r>
        <w:rPr>
          <w:b/>
        </w:rPr>
        <w:t xml:space="preserve">Abstract (EN): </w:t>
      </w:r>
      <w:r>
        <w:t>Extending surface-enhanced Raman spectroscopy (SERS) from small molecules to macromolecules is important for various applications, yet it remains challenging due to the "surface selection rule". Molecular segments that bind closer to the substrate surface experience stronger signal enhancement and thus dominate the spectrum, resulting in an incomplete or biased SERS response that does not represent the overall molecular structure. DNA oligonucleotides exemplify this challenge, where SERS struggles to extract sequence-level information such as length and primary sequence due to relevant vibrational features being overshadowed by dominant peaks and noise, restricting complete molecular characterization. In this work, we introduce an electrochemical modulation strategy that dynamically reorients oligonucleotides near plasmonic hotspots to enrich information for SERS profiling, achieving comprehensive decoding of oligonucleotide's composition, length, and sequence. By tuning the surface potential of the substrate, we force adsorbed DNA oligonucleotides through distinct configurations and sequentially bring different types and numbers of bases into hotspots. Combining these configuration-specific spectra realizes SERS superprofiles that enrich vibrational information, showcasing a good resolution of 98.4% classification accuracy for 44 oligonucleotides. Importantly, these superprofiles exhibit chemistry-grounded relationships with key sequence characteristics, where integration with a stepwise machine learning (ML) framework enables accurate prediction of unseen oligonucleotides with an average 3.4% difference for base composition, 0.9 bases difference for length, and 100% accuracy for primary sequence. Overall, our electrochemical reorientation strategy overcomes the orientation- and surface-selection biases in static SERS for reliable structural prediction of unknown DNA oligonucleotides. We envisage expanding these dynamic SERS profiles to a vast range of analytes and substrates with diverse chemical functionalities and surface potentials, realizing an extensive space of analyte-surface configurations for future molecular characterization across various fields.</w:t>
      </w:r>
    </w:p>
    <w:p>
      <w:pPr>
        <w:spacing w:before="120" w:after="120"/>
      </w:pPr>
      <w:r>
        <w:rPr>
          <w:sz w:val="18"/>
        </w:rPr>
        <w:t>——————————————————————————————————————————————————————————————————————</w:t>
      </w:r>
    </w:p>
    <w:p>
      <w:pPr>
        <w:spacing w:before="160" w:after="40" w:line="240" w:lineRule="auto"/>
      </w:pPr>
      <w:r>
        <w:rPr>
          <w:b/>
        </w:rPr>
        <w:t xml:space="preserve">[39] </w:t>
      </w:r>
      <w:hyperlink r:id="rId285">
        <w:r>
          <w:rPr>
            <w:color w:val="1155CC"/>
            <w:u w:val="single"/>
          </w:rPr>
          <w:t>技术创新和正式制度对可再生能源转型的影响</w:t>
        </w:r>
      </w:hyperlink>
    </w:p>
    <w:p>
      <w:pPr>
        <w:spacing w:before="0" w:after="80"/>
      </w:pPr>
      <w:r>
        <w:rPr>
          <w:i/>
          <w:sz w:val="20"/>
        </w:rPr>
        <w:t>EN: Impact of technological innovation and formal institutions in renewable energy transition</w:t>
      </w:r>
    </w:p>
    <w:p>
      <w:pPr>
        <w:spacing w:before="0" w:after="120"/>
      </w:pPr>
      <w:r>
        <w:rPr>
          <w:b/>
        </w:rPr>
        <w:t xml:space="preserve">Source: </w:t>
      </w:r>
      <w:r>
        <w:t>ScienceDirect Publication: Energy Policy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86">
        <w:r>
          <w:rPr>
            <w:color w:val="1155CC"/>
            <w:u w:val="single"/>
          </w:rPr>
          <w:t>量化英国电网脱碳所需的储能要求——可调度发电比例、储能效率和弃风弃光的影响</w:t>
        </w:r>
      </w:hyperlink>
    </w:p>
    <w:p>
      <w:pPr>
        <w:spacing w:before="0" w:after="80"/>
      </w:pPr>
      <w:r>
        <w:rPr>
          <w:i/>
          <w:sz w:val="20"/>
        </w:rPr>
        <w:t>EN: Quantifying energy storage requirements to decarbonise the electricity grid in the United Kingdom—influence of the share of dispatchable generation, storage efficiency, and curtailment</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87">
        <w:r>
          <w:rPr>
            <w:color w:val="1155CC"/>
            <w:u w:val="single"/>
          </w:rPr>
          <w:t>将物理计算融入软体机器人</w:t>
        </w:r>
      </w:hyperlink>
    </w:p>
    <w:p>
      <w:pPr>
        <w:spacing w:before="0" w:after="80"/>
      </w:pPr>
      <w:r>
        <w:rPr>
          <w:i/>
          <w:sz w:val="20"/>
        </w:rPr>
        <w:t>EN: Embodying physical computing into soft robots</w:t>
      </w:r>
    </w:p>
    <w:p>
      <w:pPr>
        <w:spacing w:before="0" w:after="120"/>
      </w:pPr>
      <w:r>
        <w:rPr>
          <w:b/>
        </w:rPr>
        <w:t xml:space="preserve">Source: </w:t>
      </w:r>
      <w:r>
        <w:t>Nature Communications</w:t>
      </w:r>
      <w:r>
        <w:t xml:space="preserve">    </w:t>
      </w:r>
      <w:r>
        <w:rPr>
          <w:b/>
        </w:rPr>
        <w:t xml:space="preserve">Pub date: </w:t>
      </w:r>
      <w:r>
        <w:t>2026-03-15 00:00:00+00:00</w:t>
      </w:r>
      <w:r>
        <w:t xml:space="preserve">    </w:t>
      </w:r>
      <w:r>
        <w:rPr>
          <w:b/>
        </w:rPr>
        <w:t xml:space="preserve">DOI: </w:t>
      </w:r>
      <w:hyperlink r:id="rId288">
        <w:r>
          <w:rPr>
            <w:color w:val="1155CC"/>
            <w:u w:val="single"/>
          </w:rPr>
          <w:t>10.1038/s41467-026-70866-6</w:t>
        </w:r>
      </w:hyperlink>
    </w:p>
    <w:p>
      <w:pPr>
        <w:spacing w:before="0" w:after="120"/>
      </w:pPr>
      <w:r>
        <w:rPr>
          <w:b/>
        </w:rPr>
        <w:t xml:space="preserve">Notes: </w:t>
      </w:r>
      <w:r>
        <w:t>abstract_source=nature_html</w:t>
      </w:r>
    </w:p>
    <w:p>
      <w:pPr>
        <w:spacing w:before="0" w:after="80" w:lineRule="auto" w:line="276"/>
      </w:pPr>
      <w:r>
        <w:rPr>
          <w:b/>
        </w:rPr>
        <w:t xml:space="preserve">摘要（ZH）: </w:t>
      </w:r>
      <w:r>
        <w:t>软化和引导计算机和控制器是软体机器人在日常使用中实现其稳健性和智能化的最后前沿之一。在这方面，体现软体和物理计算展现了令人兴奋的潜力。物理计算旨在将输入编码到机械计算内核中，并利用该内核组成元素之间的内部交互来计算输出。此外，这种输入到输出的演变可以重新编程。这篇观点文章提出了一个将物理计算体现到软体机器人中的框架，并讨论了文献中的三种独特策略：模拟振荡器、物理储备计算和物理算法计算。这些体现的计算机使软体机器人能够执行复杂行为</w:t>
      </w:r>
    </w:p>
    <w:p>
      <w:pPr>
        <w:spacing w:before="0" w:after="200" w:lineRule="auto" w:line="276"/>
      </w:pPr>
      <w:r>
        <w:rPr>
          <w:b/>
        </w:rPr>
        <w:t xml:space="preserve">Abstract (EN): </w:t>
      </w:r>
      <w:r>
        <w:t>Softening and onboarding computers and controllers is one of the final frontiers in soft robotics towards their robustness and intelligence for everyday use. In this regard, embodying soft and physical computing presents exciting potential. Physical computing seeks to encode inputs into a mechanical computing kernel and leverage the internal interactions among this kernel’s constituent elements to compute the output. Moreover, such input-to-output evolution can be re-programmable. This perspective paper proposes a framework for embodying physical computing into soft robots and discusses three unique strategies in the literature: analog oscillators, physical reservoir computing, and physical algorithmic computing. These embodied computers enable the soft robot to perform complex behaviors that would otherwise require CMOS-based electronics — including coordinated locomotion with obstacle avoidance, payload weight and orientation classification, and programmable operation based on logical rules. This paper will detail the working principles of these embodied physical computing methods, survey the current state-of-the-art, and present a perspective for future development.</w:t>
      </w:r>
    </w:p>
    <w:p>
      <w:pPr>
        <w:spacing w:before="120" w:after="120"/>
      </w:pPr>
      <w:r>
        <w:rPr>
          <w:sz w:val="18"/>
        </w:rPr>
        <w:t>——————————————————————————————————————————————————————————————————————</w:t>
      </w:r>
    </w:p>
    <w:p>
      <w:pPr>
        <w:spacing w:before="160" w:after="40" w:line="240" w:lineRule="auto"/>
      </w:pPr>
      <w:r>
        <w:rPr>
          <w:b/>
        </w:rPr>
        <w:t xml:space="preserve">[42] </w:t>
      </w:r>
      <w:hyperlink r:id="rId289">
        <w:r>
          <w:rPr>
            <w:color w:val="1155CC"/>
            <w:u w:val="single"/>
          </w:rPr>
          <w:t>多性状GWAS和功能验证揭示胃癌的遗传位点</w:t>
        </w:r>
      </w:hyperlink>
    </w:p>
    <w:p>
      <w:pPr>
        <w:spacing w:before="0" w:after="80"/>
      </w:pPr>
      <w:r>
        <w:rPr>
          <w:i/>
          <w:sz w:val="20"/>
        </w:rPr>
        <w:t>EN: Multitrait GWAS and functional validation reveal genetic loci for gastric cancer</w:t>
      </w:r>
    </w:p>
    <w:p>
      <w:pPr>
        <w:spacing w:before="0" w:after="120"/>
      </w:pPr>
      <w:r>
        <w:rPr>
          <w:b/>
        </w:rPr>
        <w:t xml:space="preserve">Source: </w:t>
      </w:r>
      <w:r>
        <w:t>Nature Communications</w:t>
      </w:r>
      <w:r>
        <w:t xml:space="preserve">    </w:t>
      </w:r>
      <w:r>
        <w:rPr>
          <w:b/>
        </w:rPr>
        <w:t xml:space="preserve">Pub date: </w:t>
      </w:r>
      <w:r>
        <w:t>2026-03-15 00:00:00+00:00</w:t>
      </w:r>
      <w:r>
        <w:t xml:space="preserve">    </w:t>
      </w:r>
      <w:r>
        <w:rPr>
          <w:b/>
        </w:rPr>
        <w:t xml:space="preserve">DOI: </w:t>
      </w:r>
      <w:hyperlink r:id="rId290">
        <w:r>
          <w:rPr>
            <w:color w:val="1155CC"/>
            <w:u w:val="single"/>
          </w:rPr>
          <w:t>10.1038/s41467-026-70774-9</w:t>
        </w:r>
      </w:hyperlink>
    </w:p>
    <w:p>
      <w:pPr>
        <w:spacing w:before="0" w:after="120"/>
      </w:pPr>
      <w:r>
        <w:rPr>
          <w:b/>
        </w:rPr>
        <w:t xml:space="preserve">Notes: </w:t>
      </w:r>
      <w:r>
        <w:t>abstract_source=nature_html</w:t>
      </w:r>
    </w:p>
    <w:p>
      <w:pPr>
        <w:spacing w:before="0" w:after="80" w:lineRule="auto" w:line="276"/>
      </w:pPr>
      <w:r>
        <w:rPr>
          <w:b/>
        </w:rPr>
        <w:t xml:space="preserve">摘要（ZH）: </w:t>
      </w:r>
      <w:r>
        <w:t>胃癌是癌症相关死亡的主要原因，尤其是在东亚地区，但其遗传基础仍未完全理解。利用来自BioBank Japan的全基因组关联研究数据，我们显示胃癌与其他25种表型具有显著的遗传关联，尤其是心血管疾病如心绞痛和心肌梗死。孟德尔随机化支持这些特征在胃癌风险中的因果作用。GWAS的多特征分析揭示了一个新的多效位点12q22（rs12814712），该位点在胃癌和心血管特征之间共享。功能实验表明，该位点的风险等位基因降低了转录活性并下调了附近基因的表达，特别是VEZT。在胃</w:t>
      </w:r>
    </w:p>
    <w:p>
      <w:pPr>
        <w:spacing w:before="0" w:after="200" w:lineRule="auto" w:line="276"/>
      </w:pPr>
      <w:r>
        <w:rPr>
          <w:b/>
        </w:rPr>
        <w:t xml:space="preserve">Abstract (EN): </w:t>
      </w:r>
      <w:r>
        <w:t>Gastric cancer is a leading cause of cancer-related death, particularly in East Asia, yet its genetic basis remains incompletely understood. Using genome-wide association study data from BioBank Japan, we show that gastric cancer shares significant genetic associations with 25 other phenotypes, most notably cardiovascular conditions such as angina pectoris and myocardial infarction. Mendelian randomization supports a causal role of these traits in gastric cancer risk. Multitrait analysis of GWAS reveals a novel pleiotropic locus at 12q22 (rs12814712) that is shared between gastric cancer and cardiovascular traits. Functional experiments demonstrate that the risk allele at this locus reduces transcriptional activity and downregulates the expression of nearby genes, particularly VEZT. In gastric cancer cells, overexpression of VEZT and NR2C1 suppress proliferation and migration, whereas their knockdown promotes malignancy. Our analysis identifies rs12814712 as a novel susceptibility locus for gastric cancer and underscores its regulatory role in disease-related gene networks.</w:t>
      </w:r>
    </w:p>
    <w:p>
      <w:pPr>
        <w:spacing w:before="120" w:after="120"/>
      </w:pPr>
      <w:r>
        <w:rPr>
          <w:sz w:val="18"/>
        </w:rPr>
        <w:t>——————————————————————————————————————————————————————————————————————</w:t>
      </w:r>
    </w:p>
    <w:p>
      <w:pPr>
        <w:spacing w:before="160" w:after="40" w:line="240" w:lineRule="auto"/>
      </w:pPr>
      <w:r>
        <w:rPr>
          <w:b/>
        </w:rPr>
        <w:t xml:space="preserve">[43] </w:t>
      </w:r>
      <w:hyperlink r:id="rId291">
        <w:r>
          <w:rPr>
            <w:color w:val="1155CC"/>
            <w:u w:val="single"/>
          </w:rPr>
          <w:t>合成适配体机械受体通过DNA电路实现细胞特异性力感应和时间控制</w:t>
        </w:r>
      </w:hyperlink>
    </w:p>
    <w:p>
      <w:pPr>
        <w:spacing w:before="0" w:after="80"/>
      </w:pPr>
      <w:r>
        <w:rPr>
          <w:i/>
          <w:sz w:val="20"/>
        </w:rPr>
        <w:t>EN: Synthetic aptamer mechanoreceptors enable cell-specific force sensing and temporal control via DNA circuits</w:t>
      </w:r>
    </w:p>
    <w:p>
      <w:pPr>
        <w:spacing w:before="0" w:after="120"/>
      </w:pPr>
      <w:r>
        <w:rPr>
          <w:b/>
        </w:rPr>
        <w:t xml:space="preserve">Source: </w:t>
      </w:r>
      <w:r>
        <w:t>Nature Communications</w:t>
      </w:r>
      <w:r>
        <w:t xml:space="preserve">    </w:t>
      </w:r>
      <w:r>
        <w:rPr>
          <w:b/>
        </w:rPr>
        <w:t xml:space="preserve">Pub date: </w:t>
      </w:r>
      <w:r>
        <w:t>2026-03-15 00:00:00+00:00</w:t>
      </w:r>
      <w:r>
        <w:t xml:space="preserve">    </w:t>
      </w:r>
      <w:r>
        <w:rPr>
          <w:b/>
        </w:rPr>
        <w:t xml:space="preserve">DOI: </w:t>
      </w:r>
      <w:hyperlink r:id="rId292">
        <w:r>
          <w:rPr>
            <w:color w:val="1155CC"/>
            <w:u w:val="single"/>
          </w:rPr>
          <w:t>10.1038/s41467-026-70765-w</w:t>
        </w:r>
      </w:hyperlink>
    </w:p>
    <w:p>
      <w:pPr>
        <w:spacing w:before="0" w:after="120"/>
      </w:pPr>
      <w:r>
        <w:rPr>
          <w:b/>
        </w:rPr>
        <w:t xml:space="preserve">Notes: </w:t>
      </w:r>
      <w:r>
        <w:t>abstract_source=nature_html</w:t>
      </w:r>
    </w:p>
    <w:p>
      <w:pPr>
        <w:spacing w:before="0" w:after="80" w:lineRule="auto" w:line="276"/>
      </w:pPr>
      <w:r>
        <w:rPr>
          <w:b/>
        </w:rPr>
        <w:t xml:space="preserve">摘要（ZH）: </w:t>
      </w:r>
      <w:r>
        <w:t>细胞以时空精度从其微环境中解释机械线索以指导适应性行为。然而，工程合成机械感应系统同时具备细胞特异性和可编程性仍然具有挑战性，尤其是在靶向普遍存在的经典机械受体时。在此，我们介绍了一种基于适配体的全DNA机械感应平台，通过非经典表面受体传递力。适配体-受体识别作为力传递的分子门，能够设计具有细胞类型选择性的机械探针。这些探针通过不同机制解释多种机械输入，包括肌动蛋白-肌球蛋白驱动的收缩性和大吞噬作用期间的膜起皱。通过将适配体机械探针与上游DNA r</w:t>
      </w:r>
    </w:p>
    <w:p>
      <w:pPr>
        <w:spacing w:before="0" w:after="200" w:lineRule="auto" w:line="276"/>
      </w:pPr>
      <w:r>
        <w:rPr>
          <w:b/>
        </w:rPr>
        <w:t xml:space="preserve">Abstract (EN): </w:t>
      </w:r>
      <w:r>
        <w:t>Cells interpret mechanical cues from their microenvironment with spatiotemporal precision to guide adaptive behaviors. However, engineering synthetic mechanosensing systems with both cell-specificity and programmability remains challenging, especially when targeting ubiquitous classical mechanoreceptors. Here, we introduce an all-DNA mechanosensing platform based on aptamers that transmit force through noncanonical surface receptors. Aptamer–receptor recognition acts as a molecular gate for force transduction, enabling the design of mechanoprobes with cell-type selectivity. These probes interpret diverse mechanical inputs via distinct mechanisms, including actomyosin-driven contractility and membrane ruffling during macropinocytosis. By integrating aptamer mechanoprobes with upstream DNA reaction networks, we achieve reversible and temporally programmable mechanoresponses. This modular, all-nucleic-acid system offers a general framework for constructing tunable mechanotransduction circuits. It expands the design space for synthetic mechanobiology and provides opportunities for autonomous, multi-layered mechanical–biochemical regulation in tissue engineering, morphogenesis, and dynamic cell programming.</w:t>
      </w:r>
    </w:p>
    <w:p>
      <w:pPr>
        <w:spacing w:before="120" w:after="120"/>
      </w:pPr>
      <w:r>
        <w:rPr>
          <w:sz w:val="18"/>
        </w:rPr>
        <w:t>——————————————————————————————————————————————————————————————————————</w:t>
      </w:r>
    </w:p>
    <w:p>
      <w:pPr>
        <w:spacing w:before="160" w:after="40" w:line="240" w:lineRule="auto"/>
      </w:pPr>
      <w:r>
        <w:rPr>
          <w:b/>
        </w:rPr>
        <w:t xml:space="preserve">[44] </w:t>
      </w:r>
      <w:hyperlink r:id="rId293">
        <w:r>
          <w:rPr>
            <w:color w:val="1155CC"/>
            <w:u w:val="single"/>
          </w:rPr>
          <w:t>用于血液透析患者连续血管通路监测的无线、非侵入性、高分辨率震颤传感器</w:t>
        </w:r>
      </w:hyperlink>
    </w:p>
    <w:p>
      <w:pPr>
        <w:spacing w:before="0" w:after="80"/>
      </w:pPr>
      <w:r>
        <w:rPr>
          <w:i/>
          <w:sz w:val="20"/>
        </w:rPr>
        <w:t>EN: Wireless, non-invasive, high-resolution thrill sensor for continuous vascular access monitoring of hemodialysis patients</w:t>
      </w:r>
    </w:p>
    <w:p>
      <w:pPr>
        <w:spacing w:before="0" w:after="120"/>
      </w:pPr>
      <w:r>
        <w:rPr>
          <w:b/>
        </w:rPr>
        <w:t xml:space="preserve">Source: </w:t>
      </w:r>
      <w:r>
        <w:t>Nature Communications</w:t>
      </w:r>
      <w:r>
        <w:t xml:space="preserve">    </w:t>
      </w:r>
      <w:r>
        <w:rPr>
          <w:b/>
        </w:rPr>
        <w:t xml:space="preserve">Pub date: </w:t>
      </w:r>
      <w:r>
        <w:t>2026-03-15 00:00:00+00:00</w:t>
      </w:r>
      <w:r>
        <w:t xml:space="preserve">    </w:t>
      </w:r>
      <w:r>
        <w:rPr>
          <w:b/>
        </w:rPr>
        <w:t xml:space="preserve">DOI: </w:t>
      </w:r>
      <w:hyperlink r:id="rId294">
        <w:r>
          <w:rPr>
            <w:color w:val="1155CC"/>
            <w:u w:val="single"/>
          </w:rPr>
          <w:t>10.1038/s41467-026-70687-7</w:t>
        </w:r>
      </w:hyperlink>
    </w:p>
    <w:p>
      <w:pPr>
        <w:spacing w:before="0" w:after="120"/>
      </w:pPr>
      <w:r>
        <w:rPr>
          <w:b/>
        </w:rPr>
        <w:t xml:space="preserve">Notes: </w:t>
      </w:r>
      <w:r>
        <w:t>abstract_source=nature_html</w:t>
      </w:r>
    </w:p>
    <w:p>
      <w:pPr>
        <w:spacing w:before="0" w:after="80" w:lineRule="auto" w:line="276"/>
      </w:pPr>
      <w:r>
        <w:rPr>
          <w:b/>
        </w:rPr>
        <w:t xml:space="preserve">摘要（ZH）: </w:t>
      </w:r>
      <w:r>
        <w:t>血液透析是终末期肾病（ESRD）患者的主要生命维持疗法。诊断和监测血液透析血管通路（VA）的健康状况涉及使用超声成像和血管造影。然而，这些不频繁的测试无法识别轻度狭窄和突然发作的迹象以促进早期干预。因此，每年约有70%的血液透析患者经历VA失败，使透析变得困难并带来生命危险。在此，我们报告了无线、非侵入性震颤传感器，结合高分辨率加速度计设计，能够贴合放置在VA皮肤上以连续监测VA震颤信号，我们在多平台验证中进行了测试，包括体外台式系统、cani</w:t>
      </w:r>
    </w:p>
    <w:p>
      <w:pPr>
        <w:spacing w:before="0" w:after="200" w:lineRule="auto" w:line="276"/>
      </w:pPr>
      <w:r>
        <w:rPr>
          <w:b/>
        </w:rPr>
        <w:t xml:space="preserve">Abstract (EN): </w:t>
      </w:r>
      <w:r>
        <w:t>Hemodialysis is the primary life-sustaining therapy for patients with end-stage renal disease (ESRD). Diagnosing and monitoring the health condition of vascular access (VA) for hemodialysis involves the use of ultrasonic imaging and angiography. These infrequent tests cannot, however, identify signs of mild stenosis and sudden onset to facilitate early intervention. Hence, approximately 70% of hemodialysis patients experience VA failure each year, rendering dialysis difficult and posing life-threatening risks. Here, we report wireless, non-invasive thrill sensors incorporating high-resolution accelerometers designed to be conformally placed on VA skin for the continuous monitoring of VA thrill signals, which we tested in multi-platform validation including an in vitro benchtop system, canine models and patients (n = 9). Local measurements of VA thrill intensity via continuous wear demonstrated that a decrease in thrill intensity along the entire VA region is indicative of diminished VA function, while an abnormally heightened thrill intensity at a certain location along the VA indicates localized structural lesions. These thrill sensors may aid the early treatment of VA stenosis upon the transition from subjective thrill palpation to quantitative hemodynamic phenotyping.</w:t>
      </w:r>
    </w:p>
    <w:p>
      <w:pPr>
        <w:spacing w:before="120" w:after="120"/>
      </w:pPr>
      <w:r>
        <w:rPr>
          <w:sz w:val="18"/>
        </w:rPr>
        <w:t>——————————————————————————————————————————————————————————————————————</w:t>
      </w:r>
    </w:p>
    <w:p>
      <w:pPr>
        <w:spacing w:before="160" w:after="40" w:line="240" w:lineRule="auto"/>
      </w:pPr>
      <w:r>
        <w:rPr>
          <w:b/>
        </w:rPr>
        <w:t xml:space="preserve">[45] </w:t>
      </w:r>
      <w:hyperlink r:id="rId295">
        <w:r>
          <w:rPr>
            <w:color w:val="1155CC"/>
            <w:u w:val="single"/>
          </w:rPr>
          <w:t>在长期和短期不确定性下用于配电网络DER规划的自适应鲁棒优化模型</w:t>
        </w:r>
      </w:hyperlink>
    </w:p>
    <w:p>
      <w:pPr>
        <w:spacing w:before="0" w:after="80"/>
      </w:pPr>
      <w:r>
        <w:rPr>
          <w:i/>
          <w:sz w:val="20"/>
        </w:rPr>
        <w:t>EN: Adaptive robust optimization models for DER planning in distribution networks under long- and short-term uncertainties</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96">
        <w:r>
          <w:rPr>
            <w:color w:val="1155CC"/>
            <w:u w:val="single"/>
          </w:rPr>
          <w:t>用于城市微电网经济优化的隐私保护P2P能源交易</w:t>
        </w:r>
      </w:hyperlink>
    </w:p>
    <w:p>
      <w:pPr>
        <w:spacing w:before="0" w:after="80"/>
      </w:pPr>
      <w:r>
        <w:rPr>
          <w:i/>
          <w:sz w:val="20"/>
        </w:rPr>
        <w:t>EN: Privacy-preserving P2P energy trading for economic optimization in urban microgrids</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97">
        <w:r>
          <w:rPr>
            <w:color w:val="1155CC"/>
            <w:u w:val="single"/>
          </w:rPr>
          <w:t>多位点原子氯钝化稳定钙钛矿界面以实现从海水中高效H2O2光合成</w:t>
        </w:r>
      </w:hyperlink>
    </w:p>
    <w:p>
      <w:pPr>
        <w:spacing w:before="0" w:after="80"/>
      </w:pPr>
      <w:r>
        <w:rPr>
          <w:i/>
          <w:sz w:val="20"/>
        </w:rPr>
        <w:t>EN: Multisite atomic-chlorine-passivation stabilizes perovskite interfaces for efficient H2O2 photosynthesis from seawater</w:t>
      </w:r>
    </w:p>
    <w:p>
      <w:pPr>
        <w:spacing w:before="0" w:after="120"/>
      </w:pPr>
      <w:r>
        <w:rPr>
          <w:b/>
        </w:rPr>
        <w:t xml:space="preserve">Source: </w:t>
      </w:r>
      <w:r>
        <w:t>Nature Communications</w:t>
      </w:r>
      <w:r>
        <w:t xml:space="preserve">    </w:t>
      </w:r>
      <w:r>
        <w:rPr>
          <w:b/>
        </w:rPr>
        <w:t xml:space="preserve">Pub date: </w:t>
      </w:r>
      <w:r>
        <w:t>2026-03-15 00:00:00+00:00</w:t>
      </w:r>
      <w:r>
        <w:t xml:space="preserve">    </w:t>
      </w:r>
      <w:r>
        <w:rPr>
          <w:b/>
        </w:rPr>
        <w:t xml:space="preserve">DOI: </w:t>
      </w:r>
      <w:hyperlink r:id="rId298">
        <w:r>
          <w:rPr>
            <w:color w:val="1155CC"/>
            <w:u w:val="single"/>
          </w:rPr>
          <w:t>10.1038/s41467-026-70503-2</w:t>
        </w:r>
      </w:hyperlink>
    </w:p>
    <w:p>
      <w:pPr>
        <w:spacing w:before="0" w:after="120"/>
      </w:pPr>
      <w:r>
        <w:rPr>
          <w:b/>
        </w:rPr>
        <w:t xml:space="preserve">Notes: </w:t>
      </w:r>
      <w:r>
        <w:t>abstract_source=nature_html</w:t>
      </w:r>
    </w:p>
    <w:p>
      <w:pPr>
        <w:spacing w:before="0" w:after="80" w:lineRule="auto" w:line="276"/>
      </w:pPr>
      <w:r>
        <w:rPr>
          <w:b/>
        </w:rPr>
        <w:t xml:space="preserve">摘要（ZH）: </w:t>
      </w:r>
      <w:r>
        <w:t>铅卤化物钙钛矿在人工光合作用中具有前景，但存在水不稳定性。在此，我们通过多位点原子氯钝化将CsPbI3量子点稳定在疏水氯功能化共价有机框架内，形成界面上的双Cl-Pb配位和Cl-I卤素键合。这抑制了离子迁移，同时创造了气-固-液三相界面以增强O2扩散。所得的S-型异质结空间分离载流子，同时驱动两电子氧还原和水氧化以合成H2O2，无需牺牲剂。该系统在海水中实现了20.37 mmol h−1 g−1的产率，太阳能到化学能的转换效率为1.38%，并稳定运行20小时。重要</w:t>
      </w:r>
    </w:p>
    <w:p>
      <w:pPr>
        <w:spacing w:before="0" w:after="200" w:lineRule="auto" w:line="276"/>
      </w:pPr>
      <w:r>
        <w:rPr>
          <w:b/>
        </w:rPr>
        <w:t xml:space="preserve">Abstract (EN): </w:t>
      </w:r>
      <w:r>
        <w:t>Lead halide perovskites are promising for artificial photosynthesis but suffer from aqueous instability. Here, we stabilize CsPbI3 quantum dots within a hydrophobic chlorine-functionalized covalent organic framework through multisite atomic-chlorine passivation, forms dual Cl-Pb coordination and Cl-I halogen bonding at the interface. This suppresses ionic migration while creating a gas-solid-liquid triphase interface for enhanced O2 diffusion. The resulting S-scheme heterojunction spatially separates carriers to concurrently drive two-electron oxygen reduction and water oxidation for H2O2 synthesis without sacrificial agents. The system achieves production rates of 20.37 mmol h−1 g−1 in seawater, with a solar-to-chemical conversion efficiency of 1.38%, and operates stably for 20 h. Importantly, natural sunlight tests yield 11.7 mmol L−1 H2O2 in 10 h. Mechanistic studies confirm synergistic interfacial charge transfer and dual-reaction pathways via both oxygen reduction and water oxidation. This work demonstrates an approach for robust perovskite-based photocatalysts toward solar-driven chemical synthesis from seawater.</w:t>
      </w:r>
    </w:p>
    <w:p>
      <w:pPr>
        <w:spacing w:before="120" w:after="120"/>
      </w:pPr>
      <w:r>
        <w:rPr>
          <w:sz w:val="18"/>
        </w:rPr>
        <w:t>——————————————————————————————————————————————————————————————————————</w:t>
      </w:r>
    </w:p>
    <w:p>
      <w:pPr>
        <w:spacing w:before="160" w:after="40" w:line="240" w:lineRule="auto"/>
      </w:pPr>
      <w:r>
        <w:rPr>
          <w:b/>
        </w:rPr>
        <w:t xml:space="preserve">[48] </w:t>
      </w:r>
      <w:hyperlink r:id="rId299">
        <w:r>
          <w:rPr>
            <w:color w:val="1155CC"/>
            <w:u w:val="single"/>
          </w:rPr>
          <w:t>安装在高反射建筑外皮上的双面光伏模块的性能评估：实验测试和耦合光学-热-电模型</w:t>
        </w:r>
      </w:hyperlink>
    </w:p>
    <w:p>
      <w:pPr>
        <w:spacing w:before="0" w:after="80"/>
      </w:pPr>
      <w:r>
        <w:rPr>
          <w:i/>
          <w:sz w:val="20"/>
        </w:rPr>
        <w:t>EN: Performance assessment of bifacial photovoltaic modules mounted on highly reflective building skins: Experiment test and coupled optical–thermal–electrical modeling</w:t>
      </w:r>
    </w:p>
    <w:p>
      <w:pPr>
        <w:spacing w:before="0" w:after="120"/>
      </w:pPr>
      <w:r>
        <w:rPr>
          <w:b/>
        </w:rPr>
        <w:t xml:space="preserve">Source: </w:t>
      </w:r>
      <w:r>
        <w:t>ScienceDirect Publication: Applied Energy</w:t>
      </w:r>
      <w:r>
        <w:t xml:space="preserve">    </w:t>
      </w:r>
      <w:r>
        <w:rPr>
          <w:b/>
        </w:rPr>
        <w:t xml:space="preserve">Pub date: </w:t>
      </w:r>
      <w:r>
        <w:t>2026-03-15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300">
        <w:r>
          <w:rPr>
            <w:color w:val="1155CC"/>
            <w:u w:val="single"/>
          </w:rPr>
          <w:t>[ASAP] 用于克服耐药生物膜的光催化激活策略顺序前药释放</w:t>
        </w:r>
      </w:hyperlink>
    </w:p>
    <w:p>
      <w:pPr>
        <w:spacing w:before="0" w:after="80"/>
      </w:pPr>
      <w:r>
        <w:rPr>
          <w:i/>
          <w:sz w:val="20"/>
        </w:rPr>
        <w:t>EN: [ASAP] Photocatalytic Activation Strategy for Sequential Prodrug Release to Overcome Resistant Biofilms</w:t>
      </w:r>
    </w:p>
    <w:p>
      <w:pPr>
        <w:spacing w:before="0" w:after="120"/>
      </w:pPr>
      <w:r>
        <w:rPr>
          <w:b/>
        </w:rPr>
        <w:t xml:space="preserve">Source: </w:t>
      </w:r>
      <w:r>
        <w:t>Journal of the American Chemical Society: Latest Articles (ACS Publications)</w:t>
      </w:r>
      <w:r>
        <w:t xml:space="preserve">    </w:t>
      </w:r>
      <w:r>
        <w:rPr>
          <w:b/>
        </w:rPr>
        <w:t xml:space="preserve">Pub date: </w:t>
      </w:r>
      <w:r>
        <w:t>2026-03-15 17:59:38+00:00</w:t>
      </w:r>
      <w:r>
        <w:t xml:space="preserve">    </w:t>
      </w:r>
      <w:r>
        <w:rPr>
          <w:b/>
        </w:rPr>
        <w:t xml:space="preserve">DOI: </w:t>
      </w:r>
      <w:hyperlink r:id="rId301">
        <w:r>
          <w:rPr>
            <w:color w:val="1155CC"/>
            <w:u w:val="single"/>
          </w:rPr>
          <w:t>10.1021/jacs.5c19856</w:t>
        </w:r>
      </w:hyperlink>
    </w:p>
    <w:p>
      <w:pPr>
        <w:spacing w:before="0" w:after="120"/>
      </w:pPr>
      <w:r>
        <w:rPr>
          <w:b/>
        </w:rPr>
        <w:t xml:space="preserve">Notes: </w:t>
      </w:r>
      <w:r>
        <w:t>abstract_source=pubmed</w:t>
      </w:r>
    </w:p>
    <w:p>
      <w:pPr>
        <w:spacing w:before="0" w:after="80" w:lineRule="auto" w:line="276"/>
      </w:pPr>
      <w:r>
        <w:rPr>
          <w:b/>
        </w:rPr>
        <w:t xml:space="preserve">摘要（ZH）: </w:t>
      </w:r>
      <w:r>
        <w:t>耐药性生物膜通过限制抗生素渗透和增强细菌耐受性，构成了一个强大的治疗挑战。一种合理的方法是首先分散生物膜以使嵌入的细菌敏感，然后通过有效的抗生素介导根除。这种精确排序的顺序释放对于同步生物膜分散和细菌杀灭至关重要，从而在最大化治疗效果的同时最小化感染传播。然而，实现不同治疗剂的时间分辨、时间门控释放仍然极具挑战性，特别是在单组分系统中。在此，我们报告了一种纳米限域光催化平台，能够从单组分p中顺序释放一氧化氮（NO）和左氧氟沙星（LEV）</w:t>
      </w:r>
    </w:p>
    <w:p>
      <w:pPr>
        <w:spacing w:before="0" w:after="200" w:lineRule="auto" w:line="276"/>
      </w:pPr>
      <w:r>
        <w:rPr>
          <w:b/>
        </w:rPr>
        <w:t xml:space="preserve">Abstract (EN): </w:t>
      </w:r>
      <w:r>
        <w:t>Drug-resistant biofilms present a formidable therapeutic challenge by limiting the antibiotic penetration and enhancing bacterial tolerance. A rational approach is to first disperse the biofilm to sensitize the embedded bacteria, followed by efficient antibiotic-mediated eradication. Such precisely ordered sequential release is essential to synchronizing biofilm dispersion with bacterial killing, thereby maximizing therapeutic efficacy while minimizing infection spread. However, achieving temporally resolved, time-gated release of distinct therapeutic agents remains highly challenging, particularly within a single-component system. Here, we report a nanoconfined photocatalytic platform that enables the sequential release of nitric oxide (NO) and levofloxacin (LEV) from a single-component prodrug. This strategy ensures an initial NO-mediated downregulation of antibiotic-resistant gene expression and enhanced bacterial susceptibility, followed by LEV-mediated bacterial eradication. The synchronized therapeutic sequence achieved potent antibiofilm efficacy in diabetic mice infected with LEV-resistant Pseudomonas aeruginosa, resulting in biofilm eradication, accelerated wound closure, and attenuated inflammation. Beyond antibacterial therapy, this one-component sequential release paradigm establishes a generalizable strategy for temporally programmed delivery of chemotherapeutic, anti-inflammatory, or anesthetic agents, underscoring both its conceptual novelty and broad translational potential.</w:t>
      </w:r>
    </w:p>
    <w:p>
      <w:pPr>
        <w:spacing w:before="120" w:after="120"/>
      </w:pPr>
      <w:r>
        <w:rPr>
          <w:sz w:val="18"/>
        </w:rPr>
        <w:t>——————————————————————————————————————————————————————————————————————</w:t>
      </w:r>
    </w:p>
    <w:p>
      <w:pPr>
        <w:spacing w:before="160" w:after="40" w:line="240" w:lineRule="auto"/>
      </w:pPr>
      <w:r>
        <w:rPr>
          <w:b/>
        </w:rPr>
        <w:t xml:space="preserve">[50] </w:t>
      </w:r>
      <w:hyperlink r:id="rId302">
        <w:r>
          <w:rPr>
            <w:color w:val="1155CC"/>
            <w:u w:val="single"/>
          </w:rPr>
          <w:t>[ASAP] 通过赖氨酰化扩展遗传密码</w:t>
        </w:r>
      </w:hyperlink>
    </w:p>
    <w:p>
      <w:pPr>
        <w:spacing w:before="0" w:after="80"/>
      </w:pPr>
      <w:r>
        <w:rPr>
          <w:i/>
          <w:sz w:val="20"/>
        </w:rPr>
        <w:t>EN: [ASAP] Expanding the Genetic Code with Lysine Aminoacylation</w:t>
      </w:r>
    </w:p>
    <w:p>
      <w:pPr>
        <w:spacing w:before="0" w:after="120"/>
      </w:pPr>
      <w:r>
        <w:rPr>
          <w:b/>
        </w:rPr>
        <w:t xml:space="preserve">Source: </w:t>
      </w:r>
      <w:r>
        <w:t>Journal of the American Chemical Society: Latest Articles (ACS Publications)</w:t>
      </w:r>
      <w:r>
        <w:t xml:space="preserve">    </w:t>
      </w:r>
      <w:r>
        <w:rPr>
          <w:b/>
        </w:rPr>
        <w:t xml:space="preserve">Pub date: </w:t>
      </w:r>
      <w:r>
        <w:t>2026-03-15 18:00:52+00:00</w:t>
      </w:r>
      <w:r>
        <w:t xml:space="preserve">    </w:t>
      </w:r>
      <w:r>
        <w:rPr>
          <w:b/>
        </w:rPr>
        <w:t xml:space="preserve">DOI: </w:t>
      </w:r>
      <w:hyperlink r:id="rId303">
        <w:r>
          <w:rPr>
            <w:color w:val="1155CC"/>
            <w:u w:val="single"/>
          </w:rPr>
          <w:t>10.1021/jacs.6c03157</w:t>
        </w:r>
      </w:hyperlink>
    </w:p>
    <w:p>
      <w:pPr>
        <w:spacing w:before="0" w:after="120"/>
      </w:pPr>
      <w:r>
        <w:rPr>
          <w:b/>
        </w:rPr>
        <w:t xml:space="preserve">Notes: </w:t>
      </w:r>
      <w:r>
        <w:t>abstract_source=pubmed</w:t>
      </w:r>
    </w:p>
    <w:p>
      <w:pPr>
        <w:spacing w:before="0" w:after="80" w:lineRule="auto" w:line="276"/>
      </w:pPr>
      <w:r>
        <w:rPr>
          <w:b/>
        </w:rPr>
        <w:t xml:space="preserve">摘要（ZH）: </w:t>
      </w:r>
      <w:r>
        <w:t>赖氨酸氨酰化是一种新发现的人类蛋白质翻译后修饰。然而，由于缺乏工具来在特定位点产生具有均一氨酰化赖氨酸残基的目标蛋白质，关于其功能的研究很少。为了实现这一目标，我们应用了遗传密码扩展策略，工程化了吡咯赖氨酰-tRNA合成酶，并建立了适用于细菌和哺乳动物细胞的十种赖氨酸氨酰化的正交翻译系统。由于代谢酶是赖氨酸氨酰化的优选底物蛋白，我们测试了赖氨酸氨酰化对代谢酶的影响，并证明赖氨酸缬氨酰化和酪氨酰化损害了丙酮酸激酶和gl</w:t>
      </w:r>
    </w:p>
    <w:p>
      <w:pPr>
        <w:spacing w:before="0" w:after="200" w:lineRule="auto" w:line="276"/>
      </w:pPr>
      <w:r>
        <w:rPr>
          <w:b/>
        </w:rPr>
        <w:t xml:space="preserve">Abstract (EN): </w:t>
      </w:r>
      <w:r>
        <w:t>Lysine aminoacylation is a newly discovered protein post-translational modification that is found in humans. However, few studies have been implemented to further investigate its function, possibly due to limited tools to produce target proteins with homogeneously aminoacylated lysine residues at specific sites. To achieve this goal, we applied the genetic code expansion strategy, engineered pyrrolysyl-tRNA synthetase, and established orthogonal translation systems for ten types of lysine aminoacylation compatible for both bacterial and mammalian cells. Because metabolic enzymes are preferred substrate proteins of lysine aminoacylation, we tested the effect of lysine aminoacylation on metabolic enzymes and demonstrated that lysine valylation and tyrosylation impaired pyruvate kinase and glucose-6-phosphate dehydrogenase activities, respectively. Further in vivo studies showed that lysine valylation of pyruvate kinase decreased the basal glycolytic rate in living human cells. In summary, this work provides a toolbox to study lysine aminoacylation.</w:t>
      </w:r>
    </w:p>
    <w:p>
      <w:pPr>
        <w:spacing w:before="120" w:after="120"/>
      </w:pPr>
      <w:r>
        <w:rPr>
          <w:sz w:val="18"/>
        </w:rPr>
        <w:t>——————————————————————————————————————————————————————————————————————</w:t>
      </w:r>
    </w:p>
    <w:p>
      <w:pPr>
        <w:spacing w:before="160" w:after="40" w:line="240" w:lineRule="auto"/>
      </w:pPr>
      <w:r>
        <w:rPr>
          <w:b/>
        </w:rPr>
        <w:t xml:space="preserve">[51] </w:t>
      </w:r>
      <w:hyperlink r:id="rId304">
        <w:r>
          <w:rPr>
            <w:color w:val="1155CC"/>
            <w:u w:val="single"/>
          </w:rPr>
          <w:t>[ASAP] 饱和N-羰基杂环中C(sp3)–N键的电还原断裂</w:t>
        </w:r>
      </w:hyperlink>
    </w:p>
    <w:p>
      <w:pPr>
        <w:spacing w:before="0" w:after="80"/>
      </w:pPr>
      <w:r>
        <w:rPr>
          <w:i/>
          <w:sz w:val="20"/>
        </w:rPr>
        <w:t>EN: [ASAP] Electroreductive Cleavage of C(sp3)–N Bonds in Saturated N-Carbonyl Heterocycles</w:t>
      </w:r>
    </w:p>
    <w:p>
      <w:pPr>
        <w:spacing w:before="0" w:after="120"/>
      </w:pPr>
      <w:r>
        <w:rPr>
          <w:b/>
        </w:rPr>
        <w:t xml:space="preserve">Source: </w:t>
      </w:r>
      <w:r>
        <w:t>Journal of the American Chemical Society: Latest Articles (ACS Publications)</w:t>
      </w:r>
      <w:r>
        <w:t xml:space="preserve">    </w:t>
      </w:r>
      <w:r>
        <w:rPr>
          <w:b/>
        </w:rPr>
        <w:t xml:space="preserve">Pub date: </w:t>
      </w:r>
      <w:r>
        <w:t>2026-03-15 18:01:18+00:00</w:t>
      </w:r>
      <w:r>
        <w:t xml:space="preserve">    </w:t>
      </w:r>
      <w:r>
        <w:rPr>
          <w:b/>
        </w:rPr>
        <w:t xml:space="preserve">DOI: </w:t>
      </w:r>
      <w:hyperlink r:id="rId305">
        <w:r>
          <w:rPr>
            <w:color w:val="1155CC"/>
            <w:u w:val="single"/>
          </w:rPr>
          <w:t>10.1021/jacs.5c21454</w:t>
        </w:r>
      </w:hyperlink>
    </w:p>
    <w:p>
      <w:pPr>
        <w:spacing w:before="0" w:after="120"/>
      </w:pPr>
      <w:r>
        <w:rPr>
          <w:b/>
        </w:rPr>
        <w:t xml:space="preserve">Notes: </w:t>
      </w:r>
      <w:r>
        <w:t>abstract_source=pubmed</w:t>
      </w:r>
    </w:p>
    <w:p>
      <w:pPr>
        <w:spacing w:before="0" w:after="80" w:lineRule="auto" w:line="276"/>
      </w:pPr>
      <w:r>
        <w:rPr>
          <w:b/>
        </w:rPr>
        <w:t xml:space="preserve">摘要（ZH）: </w:t>
      </w:r>
      <w:r>
        <w:t>开环C-N键断裂反应提供了一种有效的方法，将广泛存在且易于获取的手性N-杂环转化为难以获得的立体定义的线性胺。目前的策略要么依赖于小的氮杂环丙烷和氮杂环丁烷环的应变释放，要么对于较大的环系统，需要高度亲电的试剂、氧化条件或预先安装的反应性功能团来实现开环事件。最近，利用α-氨基酮基自由基的反应性（通过单电子转移（SET）还原常见的N-羰基保护基形成）而出现了互补的自由基策略。然而，这些方法仅促进多达5元氮杂环的均裂碎片化。在本研究中，我们利用电还原c</w:t>
      </w:r>
    </w:p>
    <w:p>
      <w:pPr>
        <w:spacing w:before="0" w:after="200" w:lineRule="auto" w:line="276"/>
      </w:pPr>
      <w:r>
        <w:rPr>
          <w:b/>
        </w:rPr>
        <w:t xml:space="preserve">Abstract (EN): </w:t>
      </w:r>
      <w:r>
        <w:t>Ring-opening C-N bond cleavage reactions provide an effective means to convert widespread, readily accessible chiral N-heterocycles into hard-to-attain stereodefined linear amines. Current strategies either rely on the strain-induced release of small aziridine and azetidine rings or, for larger ring systems, require highly electrophilic reagents, oxidative conditions, or preinstalled reactive functionalities to enable the ring-opening event. Recently, complementary radical strategies that exploit the reactivity of α-amino-ketyl radicals, formed upon single-electron transfer (SET) reduction of common N-carbonyl protecting groups, have emerged. Nevertheless, these methods facilitate the homolytic fragmentation only of up to 5-membered azacycles. In this study, we leveraged electroreductive conditions to switch the nature of the above C-N bond cleavage manifold from radical to ionic and enable the heterolytic ring-opening of a broad array of unstrained cyclic amines (comprising pyrrolidines, piperidines, azepines, azocanes, and N-macrocycles), protected as N-(thio)amides, carbamates, or ureas. Crucially, this electrochemically enabled reactivity switch grants complementary functional group compatibility and a broader ring size and N-carbonyl group scope. Computational and experimental studies indicate that electrochemical settings are crucial for generating the Mg(II)-Lewis acid catalyst, activating the N-carbonyl moiety while prompting the so-formed oxy-iminium ion intermediates to undergo two consecutive cathodic SET reductions, generating "umpoled" α-amino-α-oxy-carbanion species. These, via irreversible E1cB fragmentation of the adjacent C-N bond, lead to the desired ring-opened products. Our electrochemical procedure can be scaled up and miniaturized (enabling its application to high-throughput experimentation screening), and its synthetic utility has been demonstrated by accessing decorated stereodefined linear amides from stereochemically rich pyrrolidine and azepane derivatives.</w:t>
      </w:r>
    </w:p>
    <w:p>
      <w:pPr>
        <w:spacing w:before="120" w:after="120"/>
      </w:pPr>
      <w:r>
        <w:rPr>
          <w:sz w:val="18"/>
        </w:rPr>
        <w:t>——————————————————————————————————————————————————————————————————————</w:t>
      </w:r>
    </w:p>
    <w:p>
      <w:pPr>
        <w:spacing w:before="160" w:after="40" w:line="240" w:lineRule="auto"/>
      </w:pPr>
      <w:r>
        <w:rPr>
          <w:b/>
        </w:rPr>
        <w:t xml:space="preserve">[52] </w:t>
      </w:r>
      <w:hyperlink r:id="rId306">
        <w:r>
          <w:rPr>
            <w:color w:val="1155CC"/>
            <w:u w:val="single"/>
          </w:rPr>
          <w:t>[ASAP] 聚合伴侣用于脯氨酸基均聚和共聚肽的可控、均匀合成</w:t>
        </w:r>
      </w:hyperlink>
    </w:p>
    <w:p>
      <w:pPr>
        <w:spacing w:before="0" w:after="80"/>
      </w:pPr>
      <w:r>
        <w:rPr>
          <w:i/>
          <w:sz w:val="20"/>
        </w:rPr>
        <w:t>EN: [ASAP] Polymerization Chaperone for the Controlled, Homogeneous Synthesis of Proline-Based Homo- and Copolypeptides</w:t>
      </w:r>
    </w:p>
    <w:p>
      <w:pPr>
        <w:spacing w:before="0" w:after="120"/>
      </w:pPr>
      <w:r>
        <w:rPr>
          <w:b/>
        </w:rPr>
        <w:t xml:space="preserve">Source: </w:t>
      </w:r>
      <w:r>
        <w:t>Journal of the American Chemical Society: Latest Articles (ACS Publications)</w:t>
      </w:r>
      <w:r>
        <w:t xml:space="preserve">    </w:t>
      </w:r>
      <w:r>
        <w:rPr>
          <w:b/>
        </w:rPr>
        <w:t xml:space="preserve">Pub date: </w:t>
      </w:r>
      <w:r>
        <w:t>2026-03-15 18:20:53+00:00</w:t>
      </w:r>
      <w:r>
        <w:t xml:space="preserve">    </w:t>
      </w:r>
      <w:r>
        <w:rPr>
          <w:b/>
        </w:rPr>
        <w:t xml:space="preserve">DOI: </w:t>
      </w:r>
      <w:hyperlink r:id="rId307">
        <w:r>
          <w:rPr>
            <w:color w:val="1155CC"/>
            <w:u w:val="single"/>
          </w:rPr>
          <w:t>10.1021/jacs.5c22092</w:t>
        </w:r>
      </w:hyperlink>
    </w:p>
    <w:p>
      <w:pPr>
        <w:spacing w:before="0" w:after="120"/>
      </w:pPr>
      <w:r>
        <w:rPr>
          <w:b/>
        </w:rPr>
        <w:t xml:space="preserve">Notes: </w:t>
      </w:r>
      <w:r>
        <w:t>abstract_source=pubmed</w:t>
      </w:r>
    </w:p>
    <w:p>
      <w:pPr>
        <w:spacing w:before="0" w:after="80" w:lineRule="auto" w:line="276"/>
      </w:pPr>
      <w:r>
        <w:rPr>
          <w:b/>
        </w:rPr>
        <w:t xml:space="preserve">摘要（ZH）: </w:t>
      </w:r>
      <w:r>
        <w:t>受防止新生多肽链聚集并指导蛋白质折叠的伴侣蛋白启发，我们引入了一种“聚合伴侣”策略，以克服合成定义明确的聚-L-脯氨酸（PLP）和胶原样共聚多肽的长期挑战。我们证明了简单的乙酸在与脯氨酸N-羧基酸酐（Pro-NCA）单体的化学计量中用作多功能伴侣，在二氯甲烷中发挥作用。聚合伴侣扮演三重角色：通过氢键溶解和稳定生长的聚脯氨酸II型（PPII）螺旋，催化脯氨酸和羟脯氨酸衍生的NCA的开环聚合，具有高原位选择性的反式酰胺（反式比率0.89-0.99），并通过改进提高链末端保真度</w:t>
      </w:r>
    </w:p>
    <w:p>
      <w:pPr>
        <w:spacing w:before="0" w:after="200" w:lineRule="auto" w:line="276"/>
      </w:pPr>
      <w:r>
        <w:rPr>
          <w:b/>
        </w:rPr>
        <w:t xml:space="preserve">Abstract (EN): </w:t>
      </w:r>
      <w:r>
        <w:t>Inspired by chaperones that prevent nascent polypeptide chains from aggregation and guide protein folding in vivo, we introduce a "polymerization chaperone" strategy to overcome the longstanding challenges in synthesizing well-defined poly-l-proline (PLP) and collagen-like copolypeptides. We demonstrate that simple acetic acid, used in stoichiometry to proline N-carboxyanhydride (Pro-NCA) monomer, acts as a multifunctional chaperone in dichloromethane. The polymerization chaperone plays triple roles: it solubilizes and stabilizes the growing polyproline type II (PPII) helix via hydrogen bonding, catalyzes the ring-opening polymerization of proline and hydroxyproline derived NCAs with high in situ selectivity of trans amide (trans ratio 0.89-0.99), and enhances chain end fidelity by improving the selective addition of carbonyl. This enables the controlled synthesis of PLP with predictable degrees of polymerization up to 400 and narrow dispersity (Đ &lt; 1.22). Importantly, the system permits statistical copolymerization of Pro-NCA with sarcosine NCA and glycine NCA, yielding PPII helical copolypeptides that are unattainable with existing polymerization strategies. This work establishes a polymerization chaperone paradigm for in situ conformational regulation and polymerization catalysis, opening up a new avenue for the precision synthesis of insoluble homopolypeptides and collagen-like copolypeptides.</w:t>
      </w:r>
    </w:p>
    <w:p>
      <w:pPr>
        <w:spacing w:before="120" w:after="120"/>
      </w:pPr>
      <w:r>
        <w:rPr>
          <w:sz w:val="18"/>
        </w:rPr>
        <w:t>——————————————————————————————————————————————————————————————————————</w:t>
      </w:r>
    </w:p>
    <w:p>
      <w:pPr>
        <w:spacing w:before="160" w:after="40" w:line="240" w:lineRule="auto"/>
      </w:pPr>
      <w:r>
        <w:rPr>
          <w:b/>
        </w:rPr>
        <w:t xml:space="preserve">[53] </w:t>
      </w:r>
      <w:hyperlink r:id="rId308">
        <w:r>
          <w:rPr>
            <w:color w:val="1155CC"/>
            <w:u w:val="single"/>
          </w:rPr>
          <w:t>每日简报：实验室如何应对‘RAMmageddon’</w:t>
        </w:r>
      </w:hyperlink>
    </w:p>
    <w:p>
      <w:pPr>
        <w:spacing w:before="0" w:after="80"/>
      </w:pPr>
      <w:r>
        <w:rPr>
          <w:i/>
          <w:sz w:val="20"/>
        </w:rPr>
        <w:t>EN: Daily briefing: How labs are coping with ‘RAMmageddon’</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09">
        <w:r>
          <w:rPr>
            <w:color w:val="1155CC"/>
            <w:u w:val="single"/>
          </w:rPr>
          <w:t>10.1038/d41586-026-00872-7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310">
        <w:r>
          <w:rPr>
            <w:color w:val="1155CC"/>
            <w:u w:val="single"/>
          </w:rPr>
          <w:t>化学中的隐藏界面电场：接触电气化及其扩展</w:t>
        </w:r>
      </w:hyperlink>
    </w:p>
    <w:p>
      <w:pPr>
        <w:spacing w:before="0" w:after="80"/>
      </w:pPr>
      <w:r>
        <w:rPr>
          <w:i/>
          <w:sz w:val="20"/>
        </w:rPr>
        <w:t>EN: Hidden interfacial electric fields in chemistry: contact electrification and beyond</w:t>
      </w:r>
    </w:p>
    <w:p>
      <w:pPr>
        <w:spacing w:before="0" w:after="120"/>
      </w:pPr>
      <w:r>
        <w:rPr>
          <w:b/>
        </w:rPr>
        <w:t xml:space="preserve">Source: </w:t>
      </w:r>
      <w:r>
        <w:t>RSC - Chem. Soc. Rev. latest articles</w:t>
      </w:r>
      <w:r>
        <w:t xml:space="preserve">    </w:t>
      </w:r>
      <w:r>
        <w:rPr>
          <w:b/>
        </w:rPr>
        <w:t xml:space="preserve">Pub date: </w:t>
      </w:r>
      <w:r>
        <w:t>2026-03-16 00:00:00+00:00</w:t>
      </w:r>
    </w:p>
    <w:p>
      <w:pPr>
        <w:spacing w:before="0" w:after="120"/>
      </w:pPr>
      <w:r>
        <w:rPr>
          <w:b/>
        </w:rPr>
        <w:t xml:space="preserve">Notes: </w:t>
      </w:r>
      <w:r>
        <w:t>abstract_source=rsc_html</w:t>
      </w:r>
    </w:p>
    <w:p>
      <w:pPr>
        <w:spacing w:before="0" w:after="80" w:lineRule="auto" w:line="276"/>
      </w:pPr>
      <w:r>
        <w:rPr>
          <w:b/>
        </w:rPr>
        <w:t xml:space="preserve">摘要（ZH）: </w:t>
      </w:r>
      <w:r>
        <w:t>包括固体介电-液体、气-液和液-液界面在内的多种化学转化在不混溶的边界上进行，即使在没有光、热或外部施加电势的情况下。在这些边界上，由界面电荷转移、分子取向和不对称电荷分布产生的强烈界面电场可以深刻地重塑反应自由能景观。特别是在固体介电-液体界面，接触电气化（CE）主要驱动电子转移，产生大量的表面电荷密度和界面电场，这对自由基形成和氧化还原化学具有重要影响。气-液或不混溶液-液界面，以微滴反应为例，以及过程</w:t>
      </w:r>
    </w:p>
    <w:p>
      <w:pPr>
        <w:spacing w:before="0" w:after="200" w:lineRule="auto" w:line="276"/>
      </w:pPr>
      <w:r>
        <w:rPr>
          <w:b/>
        </w:rPr>
        <w:t xml:space="preserve">Abstract (EN): </w:t>
      </w:r>
      <w:r>
        <w:t>A wide range of chemical transformations proceed at immiscible boundaries, including solid dielectric–liquid, gas–liquid, and liquid–liquid interfaces, even in the absence of light, heat or externally applied potentials. At these boundaries, intense interfacial electric fields emerging from interfacial charge transfer, molecular orientation, and asymmetric charge distributions can profoundly reshape reaction free-energy landscapes. Especially at solid dielectric–liquid interfaces, contact electrification (CE) mainly drives electron transfer, generating substantial surface charge densities and interfacial electric fields that critically govern radical formation and redox chemistry. Gas–liquid or immiscible liquid–liquid interfaces, exemplified by microdroplet reactions, as well as processes at biomolecular condensate-solution boundaries, exhibit intrinsic fields on the order of ∼106–109 V m−1. Notwithstanding the burgeoning interest in this area, further fundamental scrutiny is necessary to establish a unified conceptual framework for interfacial electric field-driven reactions, moving beyond empirical observations toward predictive control. In this review, interfacial electric fields are described as emerging from cooperative effects, including CE, oriented water dipoles and ion redistribution, while their dynamic fluctuations are highlighted as a critical factor in driving interfacial chemical reactions. Mechanical excitation, material electronegativity, solvent structure, ionic strength, pH and dissolved gases are discussed as key parameters that modulate these fields and the resulting reactivity. We further emphasize some open questions concerning their spatial distribution, temporal dynamics and reaction-driven evolution and highlight the need for advanced operando techniques capable of resolving interfacial electric fields with nanometer spatial resolution and sub-microsecond temporal resolution to establish causal links between electric field dynamics and reaction outcomes. Overall, interfacial electric fields emerge as hidden forces with far-reaching implications and should be elevated from passive boundary conditions to explicit design parameters for sustainable, high-efficiency interfacial chemistry.</w:t>
      </w:r>
    </w:p>
    <w:p>
      <w:pPr>
        <w:spacing w:before="120" w:after="120"/>
      </w:pPr>
      <w:r>
        <w:rPr>
          <w:sz w:val="18"/>
        </w:rPr>
        <w:t>——————————————————————————————————————————————————————————————————————</w:t>
      </w:r>
    </w:p>
    <w:p>
      <w:pPr>
        <w:spacing w:before="160" w:after="40" w:line="240" w:lineRule="auto"/>
      </w:pPr>
      <w:r>
        <w:rPr>
          <w:b/>
        </w:rPr>
        <w:t xml:space="preserve">[55] </w:t>
      </w:r>
      <w:hyperlink r:id="rId311">
        <w:r>
          <w:rPr>
            <w:color w:val="1155CC"/>
            <w:u w:val="single"/>
          </w:rPr>
          <w:t>表面自由基开环聚合产生超长聚（对苯撑）以获取非苯环碳纳米带</w:t>
        </w:r>
      </w:hyperlink>
    </w:p>
    <w:p>
      <w:pPr>
        <w:spacing w:before="0" w:after="80"/>
      </w:pPr>
      <w:r>
        <w:rPr>
          <w:i/>
          <w:sz w:val="20"/>
        </w:rPr>
        <w:t>EN: On-surface radical ring-opening polymerization produces ultralong poly(para-phenylene) for access to non-benzenoid carbon nanoribbons</w:t>
      </w:r>
    </w:p>
    <w:p>
      <w:pPr>
        <w:spacing w:before="0" w:after="120"/>
      </w:pPr>
      <w:r>
        <w:rPr>
          <w:b/>
        </w:rPr>
        <w:t xml:space="preserve">Source: </w:t>
      </w:r>
      <w:r>
        <w:t>Nature Chemistry</w:t>
      </w:r>
      <w:r>
        <w:t xml:space="preserve">    </w:t>
      </w:r>
      <w:r>
        <w:rPr>
          <w:b/>
        </w:rPr>
        <w:t xml:space="preserve">Pub date: </w:t>
      </w:r>
      <w:r>
        <w:t>2026-03-16 00:00:00+00:00</w:t>
      </w:r>
      <w:r>
        <w:t xml:space="preserve">    </w:t>
      </w:r>
      <w:r>
        <w:rPr>
          <w:b/>
        </w:rPr>
        <w:t xml:space="preserve">DOI: </w:t>
      </w:r>
      <w:hyperlink r:id="rId312">
        <w:r>
          <w:rPr>
            <w:color w:val="1155CC"/>
            <w:u w:val="single"/>
          </w:rPr>
          <w:t>10.1038/s41557-026-02092-y</w:t>
        </w:r>
      </w:hyperlink>
    </w:p>
    <w:p>
      <w:pPr>
        <w:spacing w:before="0" w:after="120"/>
      </w:pPr>
      <w:r>
        <w:rPr>
          <w:b/>
        </w:rPr>
        <w:t xml:space="preserve">Notes: </w:t>
      </w:r>
      <w:r>
        <w:t>abstract_source=nature_html</w:t>
      </w:r>
    </w:p>
    <w:p>
      <w:pPr>
        <w:spacing w:before="0" w:after="80" w:lineRule="auto" w:line="276"/>
      </w:pPr>
      <w:r>
        <w:rPr>
          <w:b/>
        </w:rPr>
        <w:t xml:space="preserve">摘要（ZH）: </w:t>
      </w:r>
      <w:r>
        <w:t>延长导电聚合物的链长，如未取代的聚（对苯撑）（PPP），对于其在高性能有机器件中的应用和加工成高质量功能材料至关重要。虽然表面辅助的乌尔曼偶联已将PPP链长增加到约100 nm，从溶液反应中达到的约32 nm，但其逐步增长的反应机制限制了进一步延长。在此，我们报告了通过在Cu(111)表面上进行[6]环（对苯撑）的自由基开环聚合合成PPP。这一过程被确定为链增长聚合，显著增强了PPP链长至微米范围（约0.9 μm）。在其他情况下干净的表面上获得的超长PPP链经历选择性C–H键断裂，形成</w:t>
      </w:r>
    </w:p>
    <w:p>
      <w:pPr>
        <w:spacing w:before="0" w:after="200" w:lineRule="auto" w:line="276"/>
      </w:pPr>
      <w:r>
        <w:rPr>
          <w:b/>
        </w:rPr>
        <w:t xml:space="preserve">Abstract (EN): </w:t>
      </w:r>
      <w:r>
        <w:t>Extending the chain lengths of conductive polymers, such as unsubstituted poly(para-phenylene) (PPP), is crucial for their application in high-performance organic devices and processing into high-quality functional materials. While surface-assisted Ullmann coupling has increased PPP chain lengths to ~100 nm, from ~32 nm achieved by solution-based reactions, its step-growth reaction mechanism limits further elongation. Here we report the synthesis of PPP via radical ring-opening polymerization of [6]cyclo(para-phenylene) on a Cu(111) surface. This process has been identified as a chain-growth polymerization, substantially enhancing the PPP chain length to the micrometre range (~0.9 μm). The obtained ultralong PPP chains on an otherwise clean surface undergo selective C–H bond scission, forming an upright-standing poly(para-benzyne) intermediate, which further couples into the unsubstituted biphenylene ribbon with length up to ~40 nm. The ring-opening polymerization provides a versatile route to high-quality polymers and non-benzenoid carbon nanoribbons with precise structural control.</w:t>
      </w:r>
    </w:p>
    <w:p>
      <w:pPr>
        <w:spacing w:before="120" w:after="120"/>
      </w:pPr>
      <w:r>
        <w:rPr>
          <w:sz w:val="18"/>
        </w:rPr>
        <w:t>——————————————————————————————————————————————————————————————————————</w:t>
      </w:r>
    </w:p>
    <w:p>
      <w:pPr>
        <w:spacing w:before="160" w:after="40" w:line="240" w:lineRule="auto"/>
      </w:pPr>
      <w:r>
        <w:rPr>
          <w:b/>
        </w:rPr>
        <w:t xml:space="preserve">[56] </w:t>
      </w:r>
      <w:hyperlink r:id="rId313">
        <w:r>
          <w:rPr>
            <w:color w:val="1155CC"/>
            <w:u w:val="single"/>
          </w:rPr>
          <w:t>光学锁定低噪声光子微波振荡器</w:t>
        </w:r>
      </w:hyperlink>
    </w:p>
    <w:p>
      <w:pPr>
        <w:spacing w:before="0" w:after="80"/>
      </w:pPr>
      <w:r>
        <w:rPr>
          <w:i/>
          <w:sz w:val="20"/>
        </w:rPr>
        <w:t>EN: Optically locked low-noise photonic microwave oscillator</w:t>
      </w:r>
    </w:p>
    <w:p>
      <w:pPr>
        <w:spacing w:before="0" w:after="120"/>
      </w:pPr>
      <w:r>
        <w:rPr>
          <w:b/>
        </w:rPr>
        <w:t xml:space="preserve">Source: </w:t>
      </w:r>
      <w:r>
        <w:t>National Science Review Advance Access</w:t>
      </w:r>
      <w:r>
        <w:t xml:space="preserve">    </w:t>
      </w:r>
      <w:r>
        <w:rPr>
          <w:b/>
        </w:rPr>
        <w:t xml:space="preserve">Pub date: </w:t>
      </w:r>
      <w:r>
        <w:t>2026-03-16 00:00:00+00:00</w:t>
      </w:r>
      <w:r>
        <w:t xml:space="preserve">    </w:t>
      </w:r>
      <w:r>
        <w:rPr>
          <w:b/>
        </w:rPr>
        <w:t xml:space="preserve">DOI: </w:t>
      </w:r>
      <w:hyperlink r:id="rId314">
        <w:r>
          <w:rPr>
            <w:color w:val="1155CC"/>
            <w:u w:val="single"/>
          </w:rPr>
          <w:t>10.1093/nsr/nwag135</w:t>
        </w:r>
      </w:hyperlink>
    </w:p>
    <w:p>
      <w:pPr>
        <w:spacing w:before="0" w:after="120"/>
      </w:pPr>
      <w:r>
        <w:rPr>
          <w:b/>
        </w:rPr>
        <w:t xml:space="preserve">Notes: </w:t>
      </w:r>
      <w:r>
        <w:t>abstract_source=rss_oup</w:t>
      </w:r>
    </w:p>
    <w:p>
      <w:pPr>
        <w:spacing w:before="0" w:after="80" w:lineRule="auto" w:line="276"/>
      </w:pPr>
      <w:r>
        <w:rPr>
          <w:b/>
        </w:rPr>
        <w:t xml:space="preserve">摘要（ZH）: </w:t>
      </w:r>
      <w:r>
        <w:t>下一代传感和通信应用依赖于低噪声的高频微波生成。微波光子技术具有很高的前景；然而，其实际应用迄今受到现有系统架构复杂性的限制。在此，我们展示了一种光学锁定的低噪声光子微波振荡器，其中所有光学组件都封装在一个166 mL的小模块中，并在10.4 GHz实现低噪声微波生成，单边带相位噪声在10 Hz时为-54 dBc/Hz，在10 kHz时为-141 dBc/Hz，在10 MHz偏移时为-162 dBc/Hz。上述性能源于双激光自注入锁定方案到单个法布里-珀罗腔，其高Q值超过108，具有超过20 dB的共模噪声抑制。</w:t>
      </w:r>
    </w:p>
    <w:p>
      <w:pPr>
        <w:spacing w:before="0" w:after="200" w:lineRule="auto" w:line="276"/>
      </w:pPr>
      <w:r>
        <w:rPr>
          <w:b/>
        </w:rPr>
        <w:t xml:space="preserve">Abstract (EN): </w:t>
      </w:r>
      <w:r>
        <w:t>The next-generation sensing and communication applications rely on high-frequency microwave generation with low noise. Microwave photonic technology is highly promising; however, its practical applications have so far been limited by the complexity of existing system architectures. Here, we demonstrate an optically locked low-noise photonic microwave oscillator, in which all the optical components are packaged within a small module of 166 mL, and low noise microwave generation is achieved at 10.4 GHz with single-sideband phase noise of − 54 dBc/Hz at 10 Hz, −141 dBc/Hz at 10 kHz, and − 162 dBc/Hz at 10 MHz offset. Above performance arises from a dual-laser self-injection-locking scheme to a single Fabry–Pérot cavity with high Q exceeding 108, with over 20 dB common-mode noise suppression. The low-noise nature of this reference is coherently transferred to the X-band through a high-performance TFLN electro-optic comb chip, thereby overcoming long-standing barriers in photonic microwave integration to enable truly field-deployable low-noise microwave generation.</w:t>
      </w:r>
    </w:p>
    <w:p>
      <w:pPr>
        <w:spacing w:before="120" w:after="120"/>
      </w:pPr>
      <w:r>
        <w:rPr>
          <w:sz w:val="18"/>
        </w:rPr>
        <w:t>——————————————————————————————————————————————————————————————————————</w:t>
      </w:r>
    </w:p>
    <w:p>
      <w:pPr>
        <w:spacing w:before="160" w:after="40" w:line="240" w:lineRule="auto"/>
      </w:pPr>
      <w:r>
        <w:rPr>
          <w:b/>
        </w:rPr>
        <w:t xml:space="preserve">[57] </w:t>
      </w:r>
      <w:hyperlink r:id="rId315">
        <w:r>
          <w:rPr>
            <w:color w:val="1155CC"/>
            <w:u w:val="single"/>
          </w:rPr>
          <w:t>利用木质素的分子复杂性制备高性能生物基材料</w:t>
        </w:r>
      </w:hyperlink>
    </w:p>
    <w:p>
      <w:pPr>
        <w:spacing w:before="0" w:after="80"/>
      </w:pPr>
      <w:r>
        <w:rPr>
          <w:i/>
          <w:sz w:val="20"/>
        </w:rPr>
        <w:t>EN: Leveraging the molecular complexity of lignin for high-performance bio-based materials</w:t>
      </w:r>
    </w:p>
    <w:p>
      <w:pPr>
        <w:spacing w:before="0" w:after="120"/>
      </w:pPr>
      <w:r>
        <w:rPr>
          <w:b/>
        </w:rPr>
        <w:t xml:space="preserve">Source: </w:t>
      </w:r>
      <w:r>
        <w:t>Nature Reviews Materials</w:t>
      </w:r>
      <w:r>
        <w:t xml:space="preserve">    </w:t>
      </w:r>
      <w:r>
        <w:rPr>
          <w:b/>
        </w:rPr>
        <w:t xml:space="preserve">Pub date: </w:t>
      </w:r>
      <w:r>
        <w:t>2026-03-16 00:00:00+00:00</w:t>
      </w:r>
      <w:r>
        <w:t xml:space="preserve">    </w:t>
      </w:r>
      <w:r>
        <w:rPr>
          <w:b/>
        </w:rPr>
        <w:t xml:space="preserve">DOI: </w:t>
      </w:r>
      <w:hyperlink r:id="rId316">
        <w:r>
          <w:rPr>
            <w:color w:val="1155CC"/>
            <w:u w:val="single"/>
          </w:rPr>
          <w:t>10.1038/s41578-026-00910-w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317">
        <w:r>
          <w:rPr>
            <w:color w:val="1155CC"/>
            <w:u w:val="single"/>
          </w:rPr>
          <w:t>在向有机农业过渡时优化生物多样性、多功能性和产量</w:t>
        </w:r>
      </w:hyperlink>
    </w:p>
    <w:p>
      <w:pPr>
        <w:spacing w:before="0" w:after="80"/>
      </w:pPr>
      <w:r>
        <w:rPr>
          <w:i/>
          <w:sz w:val="20"/>
        </w:rPr>
        <w:t>EN: Optimizing biodiversity, multifunctionality and yield when transitioning to organic farming</w:t>
      </w:r>
    </w:p>
    <w:p>
      <w:pPr>
        <w:spacing w:before="0" w:after="120"/>
      </w:pPr>
      <w:r>
        <w:rPr>
          <w:b/>
        </w:rPr>
        <w:t xml:space="preserve">Source: </w:t>
      </w:r>
      <w:r>
        <w:t>Nature Sustainability</w:t>
      </w:r>
      <w:r>
        <w:t xml:space="preserve">    </w:t>
      </w:r>
      <w:r>
        <w:rPr>
          <w:b/>
        </w:rPr>
        <w:t xml:space="preserve">Pub date: </w:t>
      </w:r>
      <w:r>
        <w:t>2026-03-16 00:00:00+00:00</w:t>
      </w:r>
      <w:r>
        <w:t xml:space="preserve">    </w:t>
      </w:r>
      <w:r>
        <w:rPr>
          <w:b/>
        </w:rPr>
        <w:t xml:space="preserve">DOI: </w:t>
      </w:r>
      <w:hyperlink r:id="rId318">
        <w:r>
          <w:rPr>
            <w:color w:val="1155CC"/>
            <w:u w:val="single"/>
          </w:rPr>
          <w:t>10.1038/s41893-026-01791-1</w:t>
        </w:r>
      </w:hyperlink>
    </w:p>
    <w:p>
      <w:pPr>
        <w:spacing w:before="0" w:after="120"/>
      </w:pPr>
      <w:r>
        <w:rPr>
          <w:b/>
        </w:rPr>
        <w:t xml:space="preserve">Notes: </w:t>
      </w:r>
      <w:r>
        <w:t>abstract_source=nature_html</w:t>
      </w:r>
    </w:p>
    <w:p>
      <w:pPr>
        <w:spacing w:before="0" w:after="80" w:lineRule="auto" w:line="276"/>
      </w:pPr>
      <w:r>
        <w:rPr>
          <w:b/>
        </w:rPr>
        <w:t xml:space="preserve">摘要（ZH）: </w:t>
      </w:r>
      <w:r>
        <w:t>农业集约化增加了作物产量，但往往导致土壤生物多样性和功能的下降，从而威胁到长期的环境可持续性。为了缓解这些影响，环境政策旨在增加有机农业的数量；然而，这可能会影响产量以及氮和磷的可用性。鉴于这种复杂性，我们通过比较传统农业与有机农业对土壤生物多样性（6个动物和微生物群体的丰富度）、功能（21个指标）和作物产量的影响，评估了农业管理转变的整体影响，研究范围涵盖179个全球农田，涉及广泛的生态背景，包括不同程度的土壤退化。高作物产量不一定与土壤</w:t>
      </w:r>
    </w:p>
    <w:p>
      <w:pPr>
        <w:spacing w:before="0" w:after="200" w:lineRule="auto" w:line="276"/>
      </w:pPr>
      <w:r>
        <w:rPr>
          <w:b/>
        </w:rPr>
        <w:t xml:space="preserve">Abstract (EN): </w:t>
      </w:r>
      <w:r>
        <w:t>Agricultural intensification increases crop production but often causes declines in soil biodiversity and functioning, thus threatening long-term environmental sustainability. To buffer these impacts, environmental policies aim to increase the amount of organic farming; however, this potentially compromises yield and nitrogen and phosphorus availability. Given such complexities, we evaluated the overall impacts of shifting agricultural management by comparing the effects of conventional versus organic farming on soil biodiversity (richness of 6 faunal and microbial groups), functioning (21 indicators) and crop yield on 179 global croplands across a wide range of ecological contexts, including contrasting levels of soil degradation. High crop yields did not necessarily trade off against soil biodiversity, ecosystem multifunctionality or nitrogen availability, with often positive correlations found between them. Yield, biodiversity and functioning variables showed a broad range of values within and between conventional and organic sites. Despite this large variation, we found that landscapes with 50% organic agriculture could optimize crop yields, biodiversity and multifunctionality. Our findings provide guidelines for sustainable agriculture, showing how prioritizing the transition to organic farming in moderately to highly degraded soils would maximize its benefits while minimizing yield loss.</w:t>
      </w:r>
    </w:p>
    <w:p>
      <w:pPr>
        <w:spacing w:before="120" w:after="120"/>
      </w:pPr>
      <w:r>
        <w:rPr>
          <w:sz w:val="18"/>
        </w:rPr>
        <w:t>——————————————————————————————————————————————————————————————————————</w:t>
      </w:r>
    </w:p>
    <w:p>
      <w:pPr>
        <w:spacing w:before="160" w:after="40" w:line="240" w:lineRule="auto"/>
      </w:pPr>
      <w:r>
        <w:rPr>
          <w:b/>
        </w:rPr>
        <w:t xml:space="preserve">[59] </w:t>
      </w:r>
      <w:hyperlink r:id="rId319">
        <w:r>
          <w:rPr>
            <w:color w:val="1155CC"/>
            <w:u w:val="single"/>
          </w:rPr>
          <w:t>从非平衡到结构</w:t>
        </w:r>
      </w:hyperlink>
    </w:p>
    <w:p>
      <w:pPr>
        <w:spacing w:before="0" w:after="80"/>
      </w:pPr>
      <w:r>
        <w:rPr>
          <w:i/>
          <w:sz w:val="20"/>
        </w:rPr>
        <w:t>EN: Out of equilibrium and into structure</w:t>
      </w:r>
    </w:p>
    <w:p>
      <w:pPr>
        <w:spacing w:before="0" w:after="120"/>
      </w:pPr>
      <w:r>
        <w:rPr>
          <w:b/>
        </w:rPr>
        <w:t xml:space="preserve">Source: </w:t>
      </w:r>
      <w:r>
        <w:t>Nature Chemical Engineering</w:t>
      </w:r>
      <w:r>
        <w:t xml:space="preserve">    </w:t>
      </w:r>
      <w:r>
        <w:rPr>
          <w:b/>
        </w:rPr>
        <w:t xml:space="preserve">Pub date: </w:t>
      </w:r>
      <w:r>
        <w:t>2026-03-16 00:00:00+00:00</w:t>
      </w:r>
      <w:r>
        <w:t xml:space="preserve">    </w:t>
      </w:r>
      <w:r>
        <w:rPr>
          <w:b/>
        </w:rPr>
        <w:t xml:space="preserve">DOI: </w:t>
      </w:r>
      <w:hyperlink r:id="rId320">
        <w:r>
          <w:rPr>
            <w:color w:val="1155CC"/>
            <w:u w:val="single"/>
          </w:rPr>
          <w:t>10.1038/s44286-026-00369-0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321">
        <w:r>
          <w:rPr>
            <w:color w:val="1155CC"/>
            <w:u w:val="single"/>
          </w:rPr>
          <w:t>光驱动的可逆环收缩和扩张以调节应变、构象和反应性</w:t>
        </w:r>
      </w:hyperlink>
    </w:p>
    <w:p>
      <w:pPr>
        <w:spacing w:before="0" w:after="80"/>
      </w:pPr>
      <w:r>
        <w:rPr>
          <w:i/>
          <w:sz w:val="20"/>
        </w:rPr>
        <w:t>EN: Light-driven reversible ring contraction and expansion to modulate strain, conformation, and reactivity</w:t>
      </w:r>
    </w:p>
    <w:p>
      <w:pPr>
        <w:spacing w:before="0" w:after="120"/>
      </w:pPr>
      <w:r>
        <w:rPr>
          <w:b/>
        </w:rPr>
        <w:t xml:space="preserve">Source: </w:t>
      </w:r>
      <w:r>
        <w:t>Chem</w:t>
      </w:r>
      <w:r>
        <w:t xml:space="preserve">    </w:t>
      </w:r>
      <w:r>
        <w:rPr>
          <w:b/>
        </w:rPr>
        <w:t xml:space="preserve">Pub date: </w:t>
      </w:r>
      <w:r>
        <w:t>2026-03-16 00:00:00+00:00</w:t>
      </w:r>
      <w:r>
        <w:t xml:space="preserve">    </w:t>
      </w:r>
      <w:r>
        <w:rPr>
          <w:b/>
        </w:rPr>
        <w:t xml:space="preserve">DOI: </w:t>
      </w:r>
      <w:hyperlink r:id="rId322">
        <w:r>
          <w:rPr>
            <w:color w:val="1155CC"/>
            <w:u w:val="single"/>
          </w:rPr>
          <w:t>10.1016/j.chempr.2026.102947</w:t>
        </w:r>
      </w:hyperlink>
    </w:p>
    <w:p>
      <w:pPr>
        <w:spacing w:before="0" w:after="120"/>
      </w:pPr>
      <w:r>
        <w:rPr>
          <w:b/>
        </w:rPr>
        <w:t xml:space="preserve">Notes: </w:t>
      </w:r>
      <w:r>
        <w:t>abstract_source=rss_cell</w:t>
      </w:r>
    </w:p>
    <w:p>
      <w:pPr>
        <w:spacing w:before="0" w:after="80" w:lineRule="auto" w:line="276"/>
      </w:pPr>
      <w:r>
        <w:rPr>
          <w:b/>
        </w:rPr>
        <w:t xml:space="preserve">摘要（ZH）: </w:t>
      </w:r>
      <w:r>
        <w:t>本研究介绍了环状二芳乙烯光开关，它们可以通过光可逆地改变环的大小，从而调节分子应变。通过光生成的闭合异构体的诊断吸收最大值监测应变。在环区引入了一个炔烃功能，使得在与重氮乙酸酯的偶极环加成反应中实现远程控制的反应性调节。</w:t>
      </w:r>
    </w:p>
    <w:p>
      <w:pPr>
        <w:spacing w:before="0" w:after="200" w:lineRule="auto" w:line="276"/>
      </w:pPr>
      <w:r>
        <w:rPr>
          <w:b/>
        </w:rPr>
        <w:t xml:space="preserve">Abstract (EN): </w:t>
      </w:r>
      <w:r>
        <w:t>This study introduces looped diarylethene photoswitches that reversibly alter ring size and thereby modulate molecular strain using light. The strain was monitored via the diagnostic absorption maxima of the photogenerated closed isomers. Incorporation of an allene functionality into the loop region allowed for remote-controlled reactivity tuning in a dipolar cycloaddition with diazoacetate.</w:t>
      </w:r>
    </w:p>
    <w:p>
      <w:pPr>
        <w:spacing w:before="120" w:after="120"/>
      </w:pPr>
      <w:r>
        <w:rPr>
          <w:sz w:val="18"/>
        </w:rPr>
        <w:t>——————————————————————————————————————————————————————————————————————</w:t>
      </w:r>
    </w:p>
    <w:p>
      <w:pPr>
        <w:spacing w:before="160" w:after="40" w:line="240" w:lineRule="auto"/>
      </w:pPr>
      <w:r>
        <w:rPr>
          <w:b/>
        </w:rPr>
        <w:t xml:space="preserve">[61] </w:t>
      </w:r>
      <w:hyperlink r:id="rId323">
        <w:r>
          <w:rPr>
            <w:color w:val="1155CC"/>
            <w:u w:val="single"/>
          </w:rPr>
          <w:t>AI模型能否可靠地预测极端天气事件？</w:t>
        </w:r>
      </w:hyperlink>
    </w:p>
    <w:p>
      <w:pPr>
        <w:spacing w:before="0" w:after="80"/>
      </w:pPr>
      <w:r>
        <w:rPr>
          <w:i/>
          <w:sz w:val="20"/>
        </w:rPr>
        <w:t>EN: Can AI models reliably forecast extreme weather events?</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24">
        <w:r>
          <w:rPr>
            <w:color w:val="1155CC"/>
            <w:u w:val="single"/>
          </w:rPr>
          <w:t>10.1038/d41586-026-00842-z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325">
        <w:r>
          <w:rPr>
            <w:color w:val="1155CC"/>
            <w:u w:val="single"/>
          </w:rPr>
          <w:t>非平衡溶液燃烧合成的原位见解：从半导体薄膜到金属纳米结构</w:t>
        </w:r>
      </w:hyperlink>
    </w:p>
    <w:p>
      <w:pPr>
        <w:spacing w:before="0" w:after="80"/>
      </w:pPr>
      <w:r>
        <w:rPr>
          <w:i/>
          <w:sz w:val="20"/>
        </w:rPr>
        <w:t>EN: In situ insights from non-equilibrium solution combustion synthesis: From semiconducting thin films to metallic nanostructures</w:t>
      </w:r>
    </w:p>
    <w:p>
      <w:pPr>
        <w:spacing w:before="0" w:after="120"/>
      </w:pPr>
      <w:r>
        <w:rPr>
          <w:b/>
        </w:rPr>
        <w:t xml:space="preserve">Source: </w:t>
      </w:r>
      <w:r>
        <w:t>Chem</w:t>
      </w:r>
      <w:r>
        <w:t xml:space="preserve">    </w:t>
      </w:r>
      <w:r>
        <w:rPr>
          <w:b/>
        </w:rPr>
        <w:t xml:space="preserve">Pub date: </w:t>
      </w:r>
      <w:r>
        <w:t>2026-03-16 00:00:00+00:00</w:t>
      </w:r>
      <w:r>
        <w:t xml:space="preserve">    </w:t>
      </w:r>
      <w:r>
        <w:rPr>
          <w:b/>
        </w:rPr>
        <w:t xml:space="preserve">DOI: </w:t>
      </w:r>
      <w:hyperlink r:id="rId326">
        <w:r>
          <w:rPr>
            <w:color w:val="1155CC"/>
            <w:u w:val="single"/>
          </w:rPr>
          <w:t>10.1016/j.chempr.2026.102943</w:t>
        </w:r>
      </w:hyperlink>
    </w:p>
    <w:p>
      <w:pPr>
        <w:spacing w:before="0" w:after="120"/>
      </w:pPr>
      <w:r>
        <w:rPr>
          <w:b/>
        </w:rPr>
        <w:t xml:space="preserve">Notes: </w:t>
      </w:r>
      <w:r>
        <w:t>abstract_source=rss_cell</w:t>
      </w:r>
    </w:p>
    <w:p>
      <w:pPr>
        <w:spacing w:before="0" w:after="80" w:lineRule="auto" w:line="276"/>
      </w:pPr>
      <w:r>
        <w:rPr>
          <w:b/>
        </w:rPr>
        <w:t xml:space="preserve">摘要（ZH）: </w:t>
      </w:r>
      <w:r>
        <w:t>溶液燃烧反应的同步加速器X射线吸收光谱揭示了基于前体化学和反应几何形状的多孔镍金属泡沫或透明氧化物薄膜的受控形成。这种快速（≤1分钟）和低温技术使催化剂、钙钛矿太阳能设备和电池材料的可扩展制造成为可能。</w:t>
      </w:r>
    </w:p>
    <w:p>
      <w:pPr>
        <w:spacing w:before="0" w:after="200" w:lineRule="auto" w:line="276"/>
      </w:pPr>
      <w:r>
        <w:rPr>
          <w:b/>
        </w:rPr>
        <w:t xml:space="preserve">Abstract (EN): </w:t>
      </w:r>
      <w:r>
        <w:t>Synchrotron X-ray absorption spectroscopy of solution combustion reactions reveals the controlled formation of porous nickel metal foams or transparent oxide thin films based on precursor chemistry and reaction geometry. This rapid (≤1 min) and low-temperature technique enables scalable manufacturing of materials for catalysts, perovskite solar devices, and batteries.</w:t>
      </w:r>
    </w:p>
    <w:p>
      <w:pPr>
        <w:spacing w:before="120" w:after="120"/>
      </w:pPr>
      <w:r>
        <w:rPr>
          <w:sz w:val="18"/>
        </w:rPr>
        <w:t>——————————————————————————————————————————————————————————————————————</w:t>
      </w:r>
    </w:p>
    <w:p>
      <w:pPr>
        <w:spacing w:before="160" w:after="40" w:line="240" w:lineRule="auto"/>
      </w:pPr>
      <w:r>
        <w:rPr>
          <w:b/>
        </w:rPr>
        <w:t xml:space="preserve">[63] </w:t>
      </w:r>
      <w:hyperlink r:id="rId327">
        <w:r>
          <w:rPr>
            <w:color w:val="1155CC"/>
            <w:u w:val="single"/>
          </w:rPr>
          <w:t>智能手表数据揭示胰岛素抵抗的早期迹象</w:t>
        </w:r>
      </w:hyperlink>
    </w:p>
    <w:p>
      <w:pPr>
        <w:spacing w:before="0" w:after="80"/>
      </w:pPr>
      <w:r>
        <w:rPr>
          <w:i/>
          <w:sz w:val="20"/>
        </w:rPr>
        <w:t>EN: Data from smart watches reveal early signs of insulin resistance</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28">
        <w:r>
          <w:rPr>
            <w:color w:val="1155CC"/>
            <w:u w:val="single"/>
          </w:rPr>
          <w:t>10.1038/d41586-026-00380-8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329">
        <w:r>
          <w:rPr>
            <w:color w:val="1155CC"/>
            <w:u w:val="single"/>
          </w:rPr>
          <w:t>单次抗生素疗程可导致肠道微生物的持久变化</w:t>
        </w:r>
      </w:hyperlink>
    </w:p>
    <w:p>
      <w:pPr>
        <w:spacing w:before="0" w:after="80"/>
      </w:pPr>
      <w:r>
        <w:rPr>
          <w:i/>
          <w:sz w:val="20"/>
        </w:rPr>
        <w:t>EN: A single course of antibiotics can cause lingering changes in gut microbes</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30">
        <w:r>
          <w:rPr>
            <w:color w:val="1155CC"/>
            <w:u w:val="single"/>
          </w:rPr>
          <w:t>10.1038/d41586-026-00769-5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331">
        <w:r>
          <w:rPr>
            <w:color w:val="1155CC"/>
            <w:u w:val="single"/>
          </w:rPr>
          <w:t>可穿戴电子纺织品的工业化探索：从材料、设备到系统</w:t>
        </w:r>
      </w:hyperlink>
    </w:p>
    <w:p>
      <w:pPr>
        <w:spacing w:before="0" w:after="80"/>
      </w:pPr>
      <w:r>
        <w:rPr>
          <w:i/>
          <w:sz w:val="20"/>
        </w:rPr>
        <w:t>EN: Industrialization exploration of wearable electronic textiles: From materials, devices, to systems</w:t>
      </w:r>
    </w:p>
    <w:p>
      <w:pPr>
        <w:spacing w:before="0" w:after="120"/>
      </w:pPr>
      <w:r>
        <w:rPr>
          <w:b/>
        </w:rPr>
        <w:t xml:space="preserve">Source: </w:t>
      </w:r>
      <w:r>
        <w:t>Matter</w:t>
      </w:r>
      <w:r>
        <w:t xml:space="preserve">    </w:t>
      </w:r>
      <w:r>
        <w:rPr>
          <w:b/>
        </w:rPr>
        <w:t xml:space="preserve">Pub date: </w:t>
      </w:r>
      <w:r>
        <w:t>2026-03-16 00:00:00+00:00</w:t>
      </w:r>
      <w:r>
        <w:t xml:space="preserve">    </w:t>
      </w:r>
      <w:r>
        <w:rPr>
          <w:b/>
        </w:rPr>
        <w:t xml:space="preserve">DOI: </w:t>
      </w:r>
      <w:hyperlink r:id="rId332">
        <w:r>
          <w:rPr>
            <w:color w:val="1155CC"/>
            <w:u w:val="single"/>
          </w:rPr>
          <w:t>10.1016/j.matt.2026.102672</w:t>
        </w:r>
      </w:hyperlink>
    </w:p>
    <w:p>
      <w:pPr>
        <w:spacing w:before="0" w:after="120"/>
      </w:pPr>
      <w:r>
        <w:rPr>
          <w:b/>
        </w:rPr>
        <w:t xml:space="preserve">Notes: </w:t>
      </w:r>
      <w:r>
        <w:t>abstract_source=rss_cell</w:t>
      </w:r>
    </w:p>
    <w:p>
      <w:pPr>
        <w:spacing w:before="0" w:after="80" w:lineRule="auto" w:line="276"/>
      </w:pPr>
      <w:r>
        <w:rPr>
          <w:b/>
        </w:rPr>
        <w:t xml:space="preserve">摘要（ZH）: </w:t>
      </w:r>
      <w:r>
        <w:t>可穿戴电子纺织品正在从单一功能材料演变为集成电子系统。本文综述了实现可扩展电子纺织平台的材料、设备设计和集成策略，涵盖传感、能源、反馈、通信和计算领域，重点介绍了系统级集成的最新进展，并识别出在可靠性、可制造性和互操作性方面的关键瓶颈。它提供了一个面向工业化的框架，并指出了可穿戴电子、智能纺织品和人机界面中的新兴应用。</w:t>
      </w:r>
    </w:p>
    <w:p>
      <w:pPr>
        <w:spacing w:before="0" w:after="200" w:lineRule="auto" w:line="276"/>
      </w:pPr>
      <w:r>
        <w:rPr>
          <w:b/>
        </w:rPr>
        <w:t xml:space="preserve">Abstract (EN): </w:t>
      </w:r>
      <w:r>
        <w:t>Wearable electronic textiles are evolving from single-function materials into integrated electronic systems. This Perspective reviews the materials, device designs, and integration strategies that enable scalable e-textile platforms across sensing, energy, feedback, communication, and computation, highlighting recent advances in system-level integration and identifying key bottlenecks in reliability, manufacturability, and interoperability. It offers an industrialization-oriented framework and points to emerging applications in wearable electronics, smart textiles, and human-machine interfaces.</w:t>
      </w:r>
    </w:p>
    <w:p>
      <w:pPr>
        <w:spacing w:before="120" w:after="120"/>
      </w:pPr>
      <w:r>
        <w:rPr>
          <w:sz w:val="18"/>
        </w:rPr>
        <w:t>——————————————————————————————————————————————————————————————————————</w:t>
      </w:r>
    </w:p>
    <w:p>
      <w:pPr>
        <w:spacing w:before="160" w:after="40" w:line="240" w:lineRule="auto"/>
      </w:pPr>
      <w:r>
        <w:rPr>
          <w:b/>
        </w:rPr>
        <w:t xml:space="preserve">[66] </w:t>
      </w:r>
      <w:hyperlink r:id="rId333">
        <w:r>
          <w:rPr>
            <w:color w:val="1155CC"/>
            <w:u w:val="single"/>
          </w:rPr>
          <w:t>使用金属层状Nb0.3W0.7Se2的p型单层二硒化钨晶体管的低电阻接触</w:t>
        </w:r>
      </w:hyperlink>
    </w:p>
    <w:p>
      <w:pPr>
        <w:spacing w:before="0" w:after="80"/>
      </w:pPr>
      <w:r>
        <w:rPr>
          <w:i/>
          <w:sz w:val="20"/>
        </w:rPr>
        <w:t>EN: Low-resistance contacts for p-type monolayer tungsten diselenide transistors using metallic layered Nb0.3W0.7Se2</w:t>
      </w:r>
    </w:p>
    <w:p>
      <w:pPr>
        <w:spacing w:before="0" w:after="120"/>
      </w:pPr>
      <w:r>
        <w:rPr>
          <w:b/>
        </w:rPr>
        <w:t xml:space="preserve">Source: </w:t>
      </w:r>
      <w:r>
        <w:t>Nature Electronics</w:t>
      </w:r>
      <w:r>
        <w:t xml:space="preserve">    </w:t>
      </w:r>
      <w:r>
        <w:rPr>
          <w:b/>
        </w:rPr>
        <w:t xml:space="preserve">Pub date: </w:t>
      </w:r>
      <w:r>
        <w:t>2026-03-16 00:00:00+00:00</w:t>
      </w:r>
      <w:r>
        <w:t xml:space="preserve">    </w:t>
      </w:r>
      <w:r>
        <w:rPr>
          <w:b/>
        </w:rPr>
        <w:t xml:space="preserve">DOI: </w:t>
      </w:r>
      <w:hyperlink r:id="rId334">
        <w:r>
          <w:rPr>
            <w:color w:val="1155CC"/>
            <w:u w:val="single"/>
          </w:rPr>
          <w:t>10.1038/s41928-026-01568-6</w:t>
        </w:r>
      </w:hyperlink>
    </w:p>
    <w:p>
      <w:pPr>
        <w:spacing w:before="0" w:after="120"/>
      </w:pPr>
      <w:r>
        <w:rPr>
          <w:b/>
        </w:rPr>
        <w:t xml:space="preserve">Notes: </w:t>
      </w:r>
      <w:r>
        <w:t>abstract_source=nature_html</w:t>
      </w:r>
    </w:p>
    <w:p>
      <w:pPr>
        <w:spacing w:before="0" w:after="80" w:lineRule="auto" w:line="276"/>
      </w:pPr>
      <w:r>
        <w:rPr>
          <w:b/>
        </w:rPr>
        <w:t xml:space="preserve">摘要（ZH）: </w:t>
      </w:r>
      <w:r>
        <w:t>实现低接触电阻是开发使用单层过渡金属二硫属化物（如二硒化钨（WSe2））作为通道材料的p型晶体管的关键挑战。使用高功函数金属制成的接触需要在高温下沉积，这通常会在金属-通道界面处产生缺陷或应变。一种解决方案是使用具有原子级平坦表面并可以在低温下沉积的金属二维（2D）材料，正如在n型半导体中所报道的。然而，WSe2的相对较大的带隙阻碍了p型晶体管的实验进展。在这里，我们展示了金属层状Nb0.3W0.7Se2可以用于创建单层和双层WSe2场效应晶体管的接触。</w:t>
      </w:r>
    </w:p>
    <w:p>
      <w:pPr>
        <w:spacing w:before="0" w:after="200" w:lineRule="auto" w:line="276"/>
      </w:pPr>
      <w:r>
        <w:rPr>
          <w:b/>
        </w:rPr>
        <w:t xml:space="preserve">Abstract (EN): </w:t>
      </w:r>
      <w:r>
        <w:t>Achieving low contact resistance is a critical challenge in the development of p-type transistors that use monolayer transition metal dichalcogenides, such as tungsten diselenide (WSe2), as their channel material. Contacts made with high work function metals require deposition at high temperatures, which typically creates defects or strain at the metal–channel interface. One solution is to use metallic two-dimensional (2D) materials that have atomically flat surfaces and can be deposited at low temperatures, as have been reported for n-type semiconductors. However, the comparatively large bandgap of WSe2 has hindered experimental progress with p-type transistors. Here we show that metallic layered Nb0.3W0.7Se2 can be used to create contacts for monolayer and bilayer WSe2 field-effect transistors with channel lengths down to 100 nm. Our 2D–2D contacted field-effect transistors exhibit on-current densities of up to 358 µA µm−1 and 1.1 mA µm−1 on monolayer and bilayer WSe2 channels, respectively. In combination with scaled gate dielectrics (effective oxide thickness of 1.3 nm), the fabricated 2D–2D contacted monolayer WSe2 devices achieve a subthreshold swing of 88 mV dec−1.</w:t>
      </w:r>
    </w:p>
    <w:p>
      <w:pPr>
        <w:spacing w:before="120" w:after="120"/>
      </w:pPr>
      <w:r>
        <w:rPr>
          <w:sz w:val="18"/>
        </w:rPr>
        <w:t>——————————————————————————————————————————————————————————————————————</w:t>
      </w:r>
    </w:p>
    <w:p>
      <w:pPr>
        <w:spacing w:before="160" w:after="40" w:line="240" w:lineRule="auto"/>
      </w:pPr>
      <w:r>
        <w:rPr>
          <w:b/>
        </w:rPr>
        <w:t xml:space="preserve">[67] </w:t>
      </w:r>
      <w:hyperlink r:id="rId335">
        <w:r>
          <w:rPr>
            <w:color w:val="1155CC"/>
            <w:u w:val="single"/>
          </w:rPr>
          <w:t>混合钙钛矿-纳米光栅光子结构在室温下实现超固态</w:t>
        </w:r>
      </w:hyperlink>
    </w:p>
    <w:p>
      <w:pPr>
        <w:spacing w:before="0" w:after="80"/>
      </w:pPr>
      <w:r>
        <w:rPr>
          <w:i/>
          <w:sz w:val="20"/>
        </w:rPr>
        <w:t>EN: Hybrid perovskite–nanograting photonic architecture enables supersolidity at room temperature</w:t>
      </w:r>
    </w:p>
    <w:p>
      <w:pPr>
        <w:spacing w:before="0" w:after="120"/>
      </w:pPr>
      <w:r>
        <w:rPr>
          <w:b/>
        </w:rPr>
        <w:t xml:space="preserve">Source: </w:t>
      </w:r>
      <w:r>
        <w:t>Nature Nanotechnology</w:t>
      </w:r>
      <w:r>
        <w:t xml:space="preserve">    </w:t>
      </w:r>
      <w:r>
        <w:rPr>
          <w:b/>
        </w:rPr>
        <w:t xml:space="preserve">Pub date: </w:t>
      </w:r>
      <w:r>
        <w:t>2026-03-16 00:00:00+00:00</w:t>
      </w:r>
      <w:r>
        <w:t xml:space="preserve">    </w:t>
      </w:r>
      <w:r>
        <w:rPr>
          <w:b/>
        </w:rPr>
        <w:t xml:space="preserve">DOI: </w:t>
      </w:r>
      <w:hyperlink r:id="rId336">
        <w:r>
          <w:rPr>
            <w:color w:val="1155CC"/>
            <w:u w:val="single"/>
          </w:rPr>
          <w:t>10.1038/s41565-026-02141-0</w:t>
        </w:r>
      </w:hyperlink>
    </w:p>
    <w:p>
      <w:pPr>
        <w:spacing w:before="0" w:after="120"/>
      </w:pPr>
      <w:r>
        <w:rPr>
          <w:b/>
        </w:rPr>
        <w:t xml:space="preserve">Notes: </w:t>
      </w:r>
      <w:r>
        <w:t>abstract_source=nature_html</w:t>
      </w:r>
    </w:p>
    <w:p>
      <w:pPr>
        <w:spacing w:before="0" w:after="80" w:lineRule="auto" w:line="276"/>
      </w:pPr>
      <w:r>
        <w:rPr>
          <w:b/>
        </w:rPr>
        <w:t xml:space="preserve">摘要（ZH）: </w:t>
      </w:r>
      <w:r>
        <w:t>超固体相是一种自组织的物质状态，同时表现出固体的晶体结构和超流体的无摩擦流动。其形成需要同时破坏相位和平移对称性——这是一种严格的条件，使得实验观察具有挑战性。在这里，我们展示了通过将单晶卤化物钙钛矿与激子-极化子纳米光栅集成，可以在室温下实现超固体相。这种结构支持具有大带隙（18.2 meV）和两个侧模的混合极化子连续体中的束缚态。随着泵浦强度的增加，光学参量振荡将系统从连续体中的束缚态极化子凝聚态驱动到两个侧模，形成自组织。</w:t>
      </w:r>
    </w:p>
    <w:p>
      <w:pPr>
        <w:spacing w:before="0" w:after="200" w:lineRule="auto" w:line="276"/>
      </w:pPr>
      <w:r>
        <w:rPr>
          <w:b/>
        </w:rPr>
        <w:t xml:space="preserve">Abstract (EN): </w:t>
      </w:r>
      <w:r>
        <w:t>The supersolid phase is a self-organized state of matter that simultaneously exhibits the crystalline order of a solid and the frictionless flow of a superfluid. Its formation requires the simultaneous breaking of phase and translational symmetries—a stringent condition that makes experimental observation challenging. Here we show that it is possible to achieve a room-temperature supersolid phase by integrating single-crystal halide perovskites with an exciton–polariton nanograting. This architecture supports a hybrid polaritonic bound-state-in-continuum state with a large bandgap (18.2 meV) and two side modes. As the pumping intensity increases, optical parametric oscillation drives the system from a bound-state-in-continuum polariton condensate into the two side modes, forming a self-organized supersolid phase characterized by a striped one-dimensional lattice spanning the condensate. Crucially, single-shot real-space imaging shows stochastic phase selection of the stripe pattern, evidenced by strong suppression of the density modulation on multishot averaging. The observation of supersolidity is further supported by long-range spatiotemporal coherence measured interferometrically and by a non-rigid supersolid lattice. The realization of supersolidity at room temperature in a polaritonic nanograting platform can be useful to control exotic quantum orders and for exploring spontaneous symmetry breaking, quantum coherence and collective excitations in driven quantum materials.</w:t>
      </w:r>
    </w:p>
    <w:p>
      <w:pPr>
        <w:spacing w:before="120" w:after="120"/>
      </w:pPr>
      <w:r>
        <w:rPr>
          <w:sz w:val="18"/>
        </w:rPr>
        <w:t>——————————————————————————————————————————————————————————————————————</w:t>
      </w:r>
    </w:p>
    <w:p>
      <w:pPr>
        <w:spacing w:before="160" w:after="40" w:line="240" w:lineRule="auto"/>
      </w:pPr>
      <w:r>
        <w:rPr>
          <w:b/>
        </w:rPr>
        <w:t xml:space="preserve">[68] </w:t>
      </w:r>
      <w:hyperlink r:id="rId337">
        <w:r>
          <w:rPr>
            <w:color w:val="1155CC"/>
            <w:u w:val="single"/>
          </w:rPr>
          <w:t>从烯烃直接转化为炔烃</w:t>
        </w:r>
      </w:hyperlink>
    </w:p>
    <w:p>
      <w:pPr>
        <w:spacing w:before="0" w:after="80"/>
      </w:pPr>
      <w:r>
        <w:rPr>
          <w:i/>
          <w:sz w:val="20"/>
        </w:rPr>
        <w:t>EN: Direct conversion from alkenes to alkynes</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38">
        <w:r>
          <w:rPr>
            <w:color w:val="1155CC"/>
            <w:u w:val="single"/>
          </w:rPr>
          <w:t>10.1038/s41586-026-10372-3</w:t>
        </w:r>
      </w:hyperlink>
    </w:p>
    <w:p>
      <w:pPr>
        <w:spacing w:before="0" w:after="120"/>
      </w:pPr>
      <w:r>
        <w:rPr>
          <w:b/>
        </w:rPr>
        <w:t xml:space="preserve">Notes: </w:t>
      </w:r>
      <w:r>
        <w:t>abstract_source=nature_html</w:t>
      </w:r>
    </w:p>
    <w:p>
      <w:pPr>
        <w:spacing w:before="0" w:after="80" w:lineRule="auto" w:line="276"/>
      </w:pPr>
      <w:r>
        <w:rPr>
          <w:b/>
        </w:rPr>
        <w:t xml:space="preserve">摘要（ZH）: </w:t>
      </w:r>
      <w:r>
        <w:t>炔烃在有机化学中被广泛用作原料化学品和官能团。然而，尽管从炔烃到烯烃的氢化反应已经成熟，但逆反应——将烯烃转化为炔烃的典型方法是基于19世纪60年代报道的消除化学，并使用强迫条件（强碱或高温）。这限制了在官能分子上的更广泛应用。在这里，我们报告了一种可回收的硒蒽试剂，可以在温和条件下介导烯烃脱氢生成炔烃。该方法显示出与经典离去基团和敏感官能团的广泛兼容性，能够在复杂炔烃的高效合成中进行后期应用。此外，该平台还支持Z/E烯烃构型。</w:t>
      </w:r>
    </w:p>
    <w:p>
      <w:pPr>
        <w:spacing w:before="0" w:after="200" w:lineRule="auto" w:line="276"/>
      </w:pPr>
      <w:r>
        <w:rPr>
          <w:b/>
        </w:rPr>
        <w:t xml:space="preserve">Abstract (EN): </w:t>
      </w:r>
      <w:r>
        <w:t>Alkynes are widely used as feedstock chemicals and functional groups in organic chemistry1,2. However, while the hydrogenation from an alkyne to an alkene is well established, typical methods for the reverse reaction – conversion of an alkene to an alkyne, are based on elimination chemistry reported in the 1860s3 and use forcing conditions (strong base or high temperatures)4-6. This precludes more general application on functional molecules. Here we report a recyclable selenanthrene reagent that mediates alkenes desaturation to alkynes under mild conditions. This method shows broad compatibility with both classical leaving groups and sensitive functional groups, enabling application late-stage in the efficient synthesis of complex alkynes. Moreover, this platform enables Z/E alkenes configuration inversion or sorting that are inaccessible with existing methods, highlighting its potential for diverse downstream derivatizations.</w:t>
      </w:r>
    </w:p>
    <w:p>
      <w:pPr>
        <w:spacing w:before="120" w:after="120"/>
      </w:pPr>
      <w:r>
        <w:rPr>
          <w:sz w:val="18"/>
        </w:rPr>
        <w:t>——————————————————————————————————————————————————————————————————————</w:t>
      </w:r>
    </w:p>
    <w:p>
      <w:pPr>
        <w:spacing w:before="160" w:after="40" w:line="240" w:lineRule="auto"/>
      </w:pPr>
      <w:r>
        <w:rPr>
          <w:b/>
        </w:rPr>
        <w:t xml:space="preserve">[69] </w:t>
      </w:r>
      <w:hyperlink r:id="rId339">
        <w:r>
          <w:rPr>
            <w:color w:val="1155CC"/>
            <w:u w:val="single"/>
          </w:rPr>
          <w:t>中国批准用于治疗瘫痪的脑芯片——全球首例</w:t>
        </w:r>
      </w:hyperlink>
    </w:p>
    <w:p>
      <w:pPr>
        <w:spacing w:before="0" w:after="80"/>
      </w:pPr>
      <w:r>
        <w:rPr>
          <w:i/>
          <w:sz w:val="20"/>
        </w:rPr>
        <w:t>EN: China approves brain chip to treat paralysis — a world first</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40">
        <w:r>
          <w:rPr>
            <w:color w:val="1155CC"/>
            <w:u w:val="single"/>
          </w:rPr>
          <w:t>10.1038/d41586-026-00849-6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341">
        <w:r>
          <w:rPr>
            <w:color w:val="1155CC"/>
            <w:u w:val="single"/>
          </w:rPr>
          <w:t>《自然》调查发现，博士生正在转向副业以维持生计</w:t>
        </w:r>
      </w:hyperlink>
    </w:p>
    <w:p>
      <w:pPr>
        <w:spacing w:before="0" w:after="80"/>
      </w:pPr>
      <w:r>
        <w:rPr>
          <w:i/>
          <w:sz w:val="20"/>
        </w:rPr>
        <w:t>EN: PhD students are turning to side hustles to make ends meet, finds Nature poll</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42">
        <w:r>
          <w:rPr>
            <w:color w:val="1155CC"/>
            <w:u w:val="single"/>
          </w:rPr>
          <w:t>10.1038/d41586-026-00422-1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343">
        <w:r>
          <w:rPr>
            <w:color w:val="1155CC"/>
            <w:u w:val="single"/>
          </w:rPr>
          <w:t>中国科技成功背后的真实故事</w:t>
        </w:r>
      </w:hyperlink>
    </w:p>
    <w:p>
      <w:pPr>
        <w:spacing w:before="0" w:after="80"/>
      </w:pPr>
      <w:r>
        <w:rPr>
          <w:i/>
          <w:sz w:val="20"/>
        </w:rPr>
        <w:t>EN: The real story behind China’s technology triumph</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44">
        <w:r>
          <w:rPr>
            <w:color w:val="1155CC"/>
            <w:u w:val="single"/>
          </w:rPr>
          <w:t>10.1038/d41586-026-00841-0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 </w:t>
      </w:r>
      <w:hyperlink r:id="rId345">
        <w:r>
          <w:rPr>
            <w:color w:val="1155CC"/>
            <w:u w:val="single"/>
          </w:rPr>
          <w:t>人工智能与博士生：朋友还是敌人？</w:t>
        </w:r>
      </w:hyperlink>
    </w:p>
    <w:p>
      <w:pPr>
        <w:spacing w:before="0" w:after="80"/>
      </w:pPr>
      <w:r>
        <w:rPr>
          <w:i/>
          <w:sz w:val="20"/>
        </w:rPr>
        <w:t>EN: AI and the PhD student: friend or foe?</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46">
        <w:r>
          <w:rPr>
            <w:color w:val="1155CC"/>
            <w:u w:val="single"/>
          </w:rPr>
          <w:t>10.1038/d41586-026-00843-y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347">
        <w:r>
          <w:rPr>
            <w:color w:val="1155CC"/>
            <w:u w:val="single"/>
          </w:rPr>
          <w:t>共价有机框架的环境转化</w:t>
        </w:r>
      </w:hyperlink>
    </w:p>
    <w:p>
      <w:pPr>
        <w:spacing w:before="0" w:after="80"/>
      </w:pPr>
      <w:r>
        <w:rPr>
          <w:i/>
          <w:sz w:val="20"/>
        </w:rPr>
        <w:t>EN: Environmental transformation of covalent organic frameworks</w:t>
      </w:r>
    </w:p>
    <w:p>
      <w:pPr>
        <w:spacing w:before="0" w:after="120"/>
      </w:pPr>
      <w:r>
        <w:rPr>
          <w:b/>
        </w:rPr>
        <w:t xml:space="preserve">Source: </w:t>
      </w:r>
      <w:r>
        <w:t>Nature Reviews Materials</w:t>
      </w:r>
      <w:r>
        <w:t xml:space="preserve">    </w:t>
      </w:r>
      <w:r>
        <w:rPr>
          <w:b/>
        </w:rPr>
        <w:t xml:space="preserve">Pub date: </w:t>
      </w:r>
      <w:r>
        <w:t>2026-03-16 00:00:00+00:00</w:t>
      </w:r>
      <w:r>
        <w:t xml:space="preserve">    </w:t>
      </w:r>
      <w:r>
        <w:rPr>
          <w:b/>
        </w:rPr>
        <w:t xml:space="preserve">DOI: </w:t>
      </w:r>
      <w:hyperlink r:id="rId348">
        <w:r>
          <w:rPr>
            <w:color w:val="1155CC"/>
            <w:u w:val="single"/>
          </w:rPr>
          <w:t>10.1038/s41578-026-00908-4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349">
        <w:r>
          <w:rPr>
            <w:color w:val="1155CC"/>
            <w:u w:val="single"/>
          </w:rPr>
          <w:t>通过可穿戴设备和常规血液生物标志物预测胰岛素抵抗</w:t>
        </w:r>
      </w:hyperlink>
    </w:p>
    <w:p>
      <w:pPr>
        <w:spacing w:before="0" w:after="80"/>
      </w:pPr>
      <w:r>
        <w:rPr>
          <w:i/>
          <w:sz w:val="20"/>
        </w:rPr>
        <w:t>EN: Insulin resistance prediction from wearables and routine blood biomarkers</w:t>
      </w:r>
    </w:p>
    <w:p>
      <w:pPr>
        <w:spacing w:before="0" w:after="120"/>
      </w:pPr>
      <w:r>
        <w:rPr>
          <w:b/>
        </w:rPr>
        <w:t xml:space="preserve">Source: </w:t>
      </w:r>
      <w:r>
        <w:t>Nature</w:t>
      </w:r>
      <w:r>
        <w:t xml:space="preserve">    </w:t>
      </w:r>
      <w:r>
        <w:rPr>
          <w:b/>
        </w:rPr>
        <w:t xml:space="preserve">Pub date: </w:t>
      </w:r>
      <w:r>
        <w:t>2026-03-16 00:00:00+00:00</w:t>
      </w:r>
      <w:r>
        <w:t xml:space="preserve">    </w:t>
      </w:r>
      <w:r>
        <w:rPr>
          <w:b/>
        </w:rPr>
        <w:t xml:space="preserve">DOI: </w:t>
      </w:r>
      <w:hyperlink r:id="rId350">
        <w:r>
          <w:rPr>
            <w:color w:val="1155CC"/>
            <w:u w:val="single"/>
          </w:rPr>
          <w:t>10.1038/s41586-026-10179-2</w:t>
        </w:r>
      </w:hyperlink>
    </w:p>
    <w:p>
      <w:pPr>
        <w:spacing w:before="0" w:after="120"/>
      </w:pPr>
      <w:r>
        <w:rPr>
          <w:b/>
        </w:rPr>
        <w:t xml:space="preserve">Notes: </w:t>
      </w:r>
      <w:r>
        <w:t>abstract_source=nature_html</w:t>
      </w:r>
    </w:p>
    <w:p>
      <w:pPr>
        <w:spacing w:before="0" w:after="80" w:lineRule="auto" w:line="276"/>
      </w:pPr>
      <w:r>
        <w:rPr>
          <w:b/>
        </w:rPr>
        <w:t xml:space="preserve">摘要（ZH）: </w:t>
      </w:r>
      <w:r>
        <w:t>胰岛素抵抗（IR）是2型糖尿病的主要前兆，其特征是组织中胰岛素作用受损。然而，诊断方法仍然昂贵且难以获得，这阻碍了早期干预。我们在此介绍WEAR-ME研究，这是一项大规模、远程进行的IR研究（n = 1,165名参与者；中位体重指数（BMI）= 28 kg m−2，中位年龄= 45岁，中位糖化血红蛋白A1c（HbA1c）= 5.4%），该研究使用可穿戴设备的时间序列数据和常规血液生物标志物来训练深度神经网络，以对抗IR的真实测量（稳态模型评估IR；HOMA-IR）。使用HOMA-IR的2.9临界值，我们的多模态模型实现了稳健的性能（接收者操作特征曲线下面积（AUROC）= 0.80，灵敏度= 76%，特异性</w:t>
      </w:r>
    </w:p>
    <w:p>
      <w:pPr>
        <w:spacing w:before="0" w:after="200" w:lineRule="auto" w:line="276"/>
      </w:pPr>
      <w:r>
        <w:rPr>
          <w:b/>
        </w:rPr>
        <w:t xml:space="preserve">Abstract (EN): </w:t>
      </w:r>
      <w:r>
        <w:t>Insulin resistance (IR), a primary precursor to type 2 diabetes, is characterized by impaired insulin action in tissues1. However, diagnostic methods remain expensive and inaccessible, which hinders early intervention2,3. Here we present the WEAR-ME study, a large, remotely conducted study of IR (n = 1,165 participants; median body mass index (BMI) = 28 kg m−2, median age = 45 years, median haemoglobin A1c (HbA1c) = 5.4%) that uses time-series data from wearable devices and routine blood biomarkers to train deep neural networks against a ground-truth measure of IR (homeostatic model assessment of IR; HOMA-IR). Using a HOMA-IR cut-off of 2.9, our multimodal model achieved robust performance (area under the receiver operating characteristic curve (AUROC) = 0.80, sensitivity = 76%, specificity = 84%) with data from wearable devices, together with demographic and routine blood biomarker data. To enhance the use of time-series data from wearables, we fine-tuned a wearable foundation model (WFM) pretrained on 40 million hours of sensor data. In an independent validation cohort (n = 72), a model integrating WFM-derived representations with demographic data surpassed a demographics-only baseline (AUROC = 0.75 versus 0.66). Moreover, adding WFM-derived representations to a model with demographics, fasting glucose and a lipid panel substantially improved performance, compared with an identical model without data from wearables (AUROC = 0.88 versus 0.76). We integrate IR prediction into a large language model to contextualize the results and facilitate personalized recommendations. This work establishes a scalable, accessible framework for the early detection of metabolic risk, which could enable timely lifestyle interventions to prevent progression to type 2 diabetes.</w:t>
      </w:r>
    </w:p>
    <w:p>
      <w:pPr>
        <w:spacing w:before="120" w:after="120"/>
      </w:pPr>
      <w:r>
        <w:rPr>
          <w:sz w:val="18"/>
        </w:rPr>
        <w:t>——————————————————————————————————————————————————————————————————————</w:t>
      </w:r>
    </w:p>
    <w:p>
      <w:pPr>
        <w:spacing w:before="160" w:after="40" w:line="240" w:lineRule="auto"/>
      </w:pPr>
      <w:r>
        <w:rPr>
          <w:b/>
        </w:rPr>
        <w:t xml:space="preserve">[75] </w:t>
      </w:r>
      <w:hyperlink r:id="rId351">
        <w:r>
          <w:rPr>
            <w:color w:val="1155CC"/>
            <w:u w:val="single"/>
          </w:rPr>
          <w:t>可展开的3D打印血管支架，具有表面催化的内源性一氧化氮生成</w:t>
        </w:r>
      </w:hyperlink>
    </w:p>
    <w:p>
      <w:pPr>
        <w:spacing w:before="0" w:after="80"/>
      </w:pPr>
      <w:r>
        <w:rPr>
          <w:i/>
          <w:sz w:val="20"/>
        </w:rPr>
        <w:t>EN: Deployable 3D‐Printed Vascular Stent with Surface‐Catalysed Endogenous Nitric Oxide Generation</w:t>
      </w:r>
    </w:p>
    <w:p>
      <w:pPr>
        <w:spacing w:before="0" w:after="120"/>
      </w:pPr>
      <w:r>
        <w:rPr>
          <w:b/>
        </w:rPr>
        <w:t xml:space="preserve">Source: </w:t>
      </w:r>
      <w:r>
        <w:t>Wiley: Advanced Materials: Table of Contents</w:t>
      </w:r>
      <w:r>
        <w:t xml:space="preserve">    </w:t>
      </w:r>
      <w:r>
        <w:rPr>
          <w:b/>
        </w:rPr>
        <w:t xml:space="preserve">Pub date: </w:t>
      </w:r>
      <w:r>
        <w:t>2026-03-16 05:25:38+00:00</w:t>
      </w:r>
      <w:r>
        <w:t xml:space="preserve">    </w:t>
      </w:r>
      <w:r>
        <w:rPr>
          <w:b/>
        </w:rPr>
        <w:t xml:space="preserve">DOI: </w:t>
      </w:r>
      <w:hyperlink r:id="rId352">
        <w:r>
          <w:rPr>
            <w:color w:val="1155CC"/>
            <w:u w:val="single"/>
          </w:rPr>
          <w:t>10.1002/adma.202520199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动脉粥样硬化是通过形成血管阻塞导致心脏病发作和中风的主要原因，已成为全球主要的医疗挑战，预计患者数量将增加。基于气球的血管成形术和支架植入术是最常见的临床治疗方法，随着材料生物相容性、生物降解性和设备设计的进步，这些方法已经发展了数十年。然而，它们仍然面临关键问题，如组织损伤、炎症和再狭窄，这可能导致植入失败并需要重复手术，严重影响患者的生活质量。为了解决对长期稳定支架系统的迫切需求，我们提出了一种可部署的3D打印血管支架，具有表面催化的内源性一氧化氮（NO）生成（DSENO），</w:t>
      </w:r>
    </w:p>
    <w:p>
      <w:pPr>
        <w:spacing w:before="0" w:after="200" w:lineRule="auto" w:line="276"/>
      </w:pPr>
      <w:r>
        <w:rPr>
          <w:b/>
        </w:rPr>
        <w:t xml:space="preserve">Abstract (EN): </w:t>
      </w:r>
      <w:r>
        <w:t>Atherosclerosis, a leading cause of heart attacks and strokes through the formation of vascular blockages, has become a major global healthcare challenge, with patient numbers expected to rise. Balloon‐based angioplasty and stenting, the most common clinical treatments, have evolved over decades with advances in material biocompatibility, biodegradability, and device design. However, they still face critical issues such as tissue damage, inflammation, and restenosis, which can lead to implant failure and necessitate repeated surgeries, severely affecting patients’ quality of life. To address the urgent need for a long‐term stable stent system, we present a deployable 3D‐printed vascular stent with surface‐catalyzed endogenous nitric oxide (NO) generation (DSENO), offering a promising new direction for stent development. Unlike traditional stents, the DSENO can be deployed remotely using magnetic force and heat, eliminating the need for a catheter or balloon and thereby reducing the risk of tissue injury. Furthermore, its surface is modified to catalyze intracellular NO generation from endogenous S‐nitrosothiols, which inhibits smooth muscle cell proliferation to prevent restenosis.</w:t>
      </w:r>
    </w:p>
    <w:p>
      <w:pPr>
        <w:spacing w:before="120" w:after="120"/>
      </w:pPr>
      <w:r>
        <w:rPr>
          <w:sz w:val="18"/>
        </w:rPr>
        <w:t>——————————————————————————————————————————————————————————————————————</w:t>
      </w:r>
    </w:p>
    <w:p>
      <w:pPr>
        <w:spacing w:before="160" w:after="40" w:line="240" w:lineRule="auto"/>
      </w:pPr>
      <w:r>
        <w:rPr>
          <w:b/>
        </w:rPr>
        <w:t xml:space="preserve">[76] </w:t>
      </w:r>
      <w:hyperlink r:id="rId353">
        <w:r>
          <w:rPr>
            <w:color w:val="1155CC"/>
            <w:u w:val="single"/>
          </w:rPr>
          <w:t>具有氧化还原介质的电致变色动态窗</w:t>
        </w:r>
      </w:hyperlink>
    </w:p>
    <w:p>
      <w:pPr>
        <w:spacing w:before="0" w:after="80"/>
      </w:pPr>
      <w:r>
        <w:rPr>
          <w:i/>
          <w:sz w:val="20"/>
        </w:rPr>
        <w:t>EN: Electrochromic Dynamic Windows with Redox Mediators</w:t>
      </w:r>
    </w:p>
    <w:p>
      <w:pPr>
        <w:spacing w:before="0" w:after="120"/>
      </w:pPr>
      <w:r>
        <w:rPr>
          <w:b/>
        </w:rPr>
        <w:t xml:space="preserve">Source: </w:t>
      </w:r>
      <w:r>
        <w:t>Wiley: Advanced Materials: Table of Contents</w:t>
      </w:r>
      <w:r>
        <w:t xml:space="preserve">    </w:t>
      </w:r>
      <w:r>
        <w:rPr>
          <w:b/>
        </w:rPr>
        <w:t xml:space="preserve">Pub date: </w:t>
      </w:r>
      <w:r>
        <w:t>2026-03-16 05:26:10+00:00</w:t>
      </w:r>
      <w:r>
        <w:t xml:space="preserve">    </w:t>
      </w:r>
      <w:r>
        <w:rPr>
          <w:b/>
        </w:rPr>
        <w:t xml:space="preserve">DOI: </w:t>
      </w:r>
      <w:hyperlink r:id="rId354">
        <w:r>
          <w:rPr>
            <w:color w:val="1155CC"/>
            <w:u w:val="single"/>
          </w:rPr>
          <w:t>10.1002/adma.72800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建筑和运输行业主导了全球能源消耗，使得建筑围护结构和车辆窗户的智能光热调节对于节能和人类舒适至关重要。虽然电致变色（EC）动态窗户具有显著潜力，但传统技术面临规模化和成本障碍。可逆金属电沉积（RME）提供了一种有前景的替代方案，其独特的潜力在于高效控制光热透射。然而，对称双电极RME架构对于均匀光学切换至关重要，但由于电压驱动的寄生反应而遭受操作不稳定性。在此，我们介绍了一种独特的策略，整合了氧化还原介质</w:t>
      </w:r>
    </w:p>
    <w:p>
      <w:pPr>
        <w:spacing w:before="0" w:after="200" w:lineRule="auto" w:line="276"/>
      </w:pPr>
      <w:r>
        <w:rPr>
          <w:b/>
        </w:rPr>
        <w:t xml:space="preserve">Abstract (EN): </w:t>
      </w:r>
      <w:r>
        <w:t>The construction and transportation sectors dominate global energy consumption, making intelligent opto‐thermal regulation of building envelopes and vehicle windows critical for energy conservation and human comfort. While electrochromic (EC) dynamic windows offer significant potential, conventional technologies face scalability and cost barriers. Reversible metal electrodeposition (RME) presents a promising alternative, distinguished by its unique potential to efficiently control opto‐thermal transmittance. However, the symmetric dual‐electrode RME architectures, which are essential for uniform optical switching, have suffered from operational instability due to voltage‐driven parasitic reactions. Herein, we introduce a unique strategy integrating redox mediators (RMs) into EC dynamic windows to overcome this limitation. Using poly(3,4‐ethylenedioxythiophene):poly(styrenesulfonate) (PEDOT:PSS) in the Cu and Bi‐based RME hydrogel systems, we demonstrate accelerated interfacial kinetics and decreased overpotential. This reduces the operational voltage from −1.9 V to −1.2 V while enhancing long‐term working stability (18,000 s vs. 180 s). The RM‐engineered EC dynamic windows achieve 6 000 cycles without degradation and maintain stable optical modulation, with the apparent enhancement of optical switching speed. Crucially, the approach universally improves performance in traditional EC systems (e.g., tungsten oxides, viologen derivatives). This RM strategy establishes a material‐agnostic platform technology, enabling scalable fabrication of next‐generation dynamic glazing through a unified design paradigm.</w:t>
      </w:r>
    </w:p>
    <w:p>
      <w:pPr>
        <w:spacing w:before="120" w:after="120"/>
      </w:pPr>
      <w:r>
        <w:rPr>
          <w:sz w:val="18"/>
        </w:rPr>
        <w:t>——————————————————————————————————————————————————————————————————————</w:t>
      </w:r>
    </w:p>
    <w:p>
      <w:pPr>
        <w:spacing w:before="160" w:after="40" w:line="240" w:lineRule="auto"/>
      </w:pPr>
      <w:r>
        <w:rPr>
          <w:b/>
        </w:rPr>
        <w:t xml:space="preserve">[77] </w:t>
      </w:r>
      <w:hyperlink r:id="rId355">
        <w:r>
          <w:rPr>
            <w:color w:val="1155CC"/>
            <w:u w:val="single"/>
          </w:rPr>
          <w:t>纳米级级联工程研讨会用于协同微环境重编程和精确糖尿病伤口治疗中的EpSC复活</w:t>
        </w:r>
      </w:hyperlink>
    </w:p>
    <w:p>
      <w:pPr>
        <w:spacing w:before="0" w:after="80"/>
      </w:pPr>
      <w:r>
        <w:rPr>
          <w:i/>
          <w:sz w:val="20"/>
        </w:rPr>
        <w:t>EN: Nanocascade Engineering Workshop for Synergistic Microenvironment Reprogramming and EpSC Revitalization in Precise Diabetic Wound Therapy</w:t>
      </w:r>
    </w:p>
    <w:p>
      <w:pPr>
        <w:spacing w:before="0" w:after="120"/>
      </w:pPr>
      <w:r>
        <w:rPr>
          <w:b/>
        </w:rPr>
        <w:t xml:space="preserve">Source: </w:t>
      </w:r>
      <w:r>
        <w:t>Wiley: Advanced Materials: Table of Contents</w:t>
      </w:r>
      <w:r>
        <w:t xml:space="preserve">    </w:t>
      </w:r>
      <w:r>
        <w:rPr>
          <w:b/>
        </w:rPr>
        <w:t xml:space="preserve">Pub date: </w:t>
      </w:r>
      <w:r>
        <w:t>2026-03-16 05:26:14+00:00</w:t>
      </w:r>
      <w:r>
        <w:t xml:space="preserve">    </w:t>
      </w:r>
      <w:r>
        <w:rPr>
          <w:b/>
        </w:rPr>
        <w:t xml:space="preserve">DOI: </w:t>
      </w:r>
      <w:hyperlink r:id="rId356">
        <w:r>
          <w:rPr>
            <w:color w:val="1155CC"/>
            <w:u w:val="single"/>
          </w:rPr>
          <w:t>10.1002/adma.202522987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慢性伤口是以愈合受损为特征的危及生命的状况。慢性炎症和再生修复受损导致慢性糖尿病伤口的病理表型，并降低药物疗效。在本研究中，我们发现炎症微环境中表皮干细胞（EpSCs）的增殖和分化能力差是导致慢性糖尿病伤口愈合延迟的关键因素。为了解决这个问题，我们设计了一种纳米级工程工作坊（Cu</w:t>
      </w:r>
      <w:r>
        <w:t xml:space="preserve"> </w:t>
      </w:r>
      <w:r>
        <w:t>5.4</w:t>
      </w:r>
      <w:r>
        <w:t xml:space="preserve"> </w:t>
      </w:r>
      <w:r>
        <w:t>O@LL‐37/pDNA），能够同时重塑炎症微环境并激活EpSC功能以促进快速伤口愈合。该工作坊采用核心-壳结构</w:t>
      </w:r>
    </w:p>
    <w:p>
      <w:pPr>
        <w:spacing w:before="0" w:after="200" w:lineRule="auto" w:line="276"/>
      </w:pPr>
      <w:r>
        <w:rPr>
          <w:b/>
        </w:rPr>
        <w:t xml:space="preserve">Abstract (EN): </w:t>
      </w:r>
      <w:r>
        <w:t>Chronic wounds are life‐threatening conditions characterized by impaired closure. Chronic inflammation and impaired regeneration and repair lead to the pathological phenotype of chronic diabetic wounds and reduce drug efficacy. In this study, we found that the poor proliferative and differentiative ability of epidermal stem cells (EpSCs) within an inflammatory microenvironment is a key factor contributing to the delayed healing of chronic diabetic wounds. To address this issue, we designed a nanocascade engineering workshop (Cu</w:t>
      </w:r>
      <w:r>
        <w:t xml:space="preserve"> </w:t>
      </w:r>
      <w:r>
        <w:t>5.4</w:t>
      </w:r>
      <w:r>
        <w:t xml:space="preserve"> </w:t>
      </w:r>
      <w:r>
        <w:t>O@LL‐37/pDNA) capable of simultaneously reshaping the inflammatory microenvironment and activating EpSC functions to promote rapid wound closure. The workshop used a core–shell structure design. The core, an ultrasmall Cu</w:t>
      </w:r>
      <w:r>
        <w:t xml:space="preserve"> </w:t>
      </w:r>
      <w:r>
        <w:t>5.4</w:t>
      </w:r>
      <w:r>
        <w:t xml:space="preserve"> </w:t>
      </w:r>
      <w:r>
        <w:t>O nanozyme, can efficiently eliminate reactive oxygen species, enhance the inflammatory response, and transform the pathological wound microenvironment into a niche facilitating regeneration. The shell is constructed through the electrostatic assembly of plasmid DNA (pDNA) and the antibacterial peptide LL‐37, enhancing gene transfection efficiency and inhibiting bacterial infection effectively. By leveraging its dual advantages in microenvironment modulation and structural design, the system substantially improves gene delivery and facilitates sustained P311 expression, thereby promoting EpSC proliferation and differentiation. This nanotherapy reshaping the microenvironment and activating EpSC function accelerates re‐epithelialization and wound closure in both diabetes and infection models. This treatment strategy is a novel approach to achieve durable and effective healing in chronic wounds.</w:t>
      </w:r>
    </w:p>
    <w:p>
      <w:pPr>
        <w:spacing w:before="120" w:after="120"/>
      </w:pPr>
      <w:r>
        <w:rPr>
          <w:sz w:val="18"/>
        </w:rPr>
        <w:t>——————————————————————————————————————————————————————————————————————</w:t>
      </w:r>
    </w:p>
    <w:p>
      <w:pPr>
        <w:spacing w:before="160" w:after="40" w:line="240" w:lineRule="auto"/>
      </w:pPr>
      <w:r>
        <w:rPr>
          <w:b/>
        </w:rPr>
        <w:t xml:space="preserve">[78] </w:t>
      </w:r>
      <w:hyperlink r:id="rId357">
        <w:r>
          <w:rPr>
            <w:color w:val="1155CC"/>
            <w:u w:val="single"/>
          </w:rPr>
          <w:t>长程类体块间Dzyaloshinskii-Moriya相互作用实现稳定的3D磁性纹理</w:t>
        </w:r>
      </w:hyperlink>
    </w:p>
    <w:p>
      <w:pPr>
        <w:spacing w:before="0" w:after="80"/>
      </w:pPr>
      <w:r>
        <w:rPr>
          <w:i/>
          <w:sz w:val="20"/>
        </w:rPr>
        <w:t>EN: Long‐Range Bulk‐Like Interlayer Dzyaloshinskii‐Moriya Interaction Enables Stabilized 3D Magnetic Textures</w:t>
      </w:r>
    </w:p>
    <w:p>
      <w:pPr>
        <w:spacing w:before="0" w:after="120"/>
      </w:pPr>
      <w:r>
        <w:rPr>
          <w:b/>
        </w:rPr>
        <w:t xml:space="preserve">Source: </w:t>
      </w:r>
      <w:r>
        <w:t>Wiley: Advanced Materials: Table of Contents</w:t>
      </w:r>
      <w:r>
        <w:t xml:space="preserve">    </w:t>
      </w:r>
      <w:r>
        <w:rPr>
          <w:b/>
        </w:rPr>
        <w:t xml:space="preserve">Pub date: </w:t>
      </w:r>
      <w:r>
        <w:t>2026-03-16 05:27:38+00:00</w:t>
      </w:r>
      <w:r>
        <w:t xml:space="preserve">    </w:t>
      </w:r>
      <w:r>
        <w:rPr>
          <w:b/>
        </w:rPr>
        <w:t xml:space="preserve">DOI: </w:t>
      </w:r>
      <w:hyperlink r:id="rId358">
        <w:r>
          <w:rPr>
            <w:color w:val="1155CC"/>
            <w:u w:val="single"/>
          </w:rPr>
          <w:t>10.1002/adma.202516452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一种反对称交换相互作用，Dzyaloshinskii‐Moriya相互作用（DMI）有利于倾斜自旋排列并稳定手性自旋纹理。然而，现有的DMI效应，如界面DMI、体DMI和层间DMI，无法同时实现长程特性和垂直手性，阻碍了三维（3D）拓扑磁性纹理的实现。在此，我们首次通过工程化面内（IP）和面外（OOP）对称性破坏，在梯度磁性多层中实现了类似体的层间DMI（BIL‐DMI）效应，呈现出前所未有的长程垂直手性。BIL‐DMI诱导的IP/OOP DMI有效场的方向和大小取决于DMI梯度，OOP有效场</w:t>
      </w:r>
    </w:p>
    <w:p>
      <w:pPr>
        <w:spacing w:before="0" w:after="200" w:lineRule="auto" w:line="276"/>
      </w:pPr>
      <w:r>
        <w:rPr>
          <w:b/>
        </w:rPr>
        <w:t xml:space="preserve">Abstract (EN): </w:t>
      </w:r>
      <w:r>
        <w:t>As an antisymmetric exchange interaction, the Dzyaloshinskii‐Moriya interaction (DMI) favors canted spin alignment and stabilizes chiral spin textures. However, the existing DMI effects, e.g., interfacial DMI, bulk DMI, and interlayer DMI, cannot achieve long‐range characteristics and vertical chirality simultaneously, hindering the implementation of three‐dimensional (3D) topological magnetic textures. Here, we first achieve a bulk‐like interlayer DMI (BIL‐DMI) effect in gradient magnetic multilayers by engineering in‐plane (IP) and out‐of‐plane (OOP) symmetry breaking, which presents unprecedented long‐range vertical chirality. The direction and magnitude of the BIL‐DMI‐induced IP/OOP DMI effective fields depend on the DMI gradient, and the OOP effective field exhibits exotically linear dependence on external magnetic fields, distinctly different from the existing saturation behaviors of interlayer DMI. Moreover, a continuum model is built to explain the mechanism of BIL‐DMI and quantitatively describe the experimental observations. Based on the BIL‐DMI, unique 3D transverse skyrmion/bimeron strings applicable to next‐generation magnonic circuits are first stabilized in theory, which is unachievable relying on existing DMI effects. The discovery of BIL‐DMI achieves access to a long‐range version of IL‐DMI through gradient engineering, providing a platform for the investigation and application of 3D topological magnetic textures.</w:t>
      </w:r>
    </w:p>
    <w:p>
      <w:pPr>
        <w:spacing w:before="120" w:after="120"/>
      </w:pPr>
      <w:r>
        <w:rPr>
          <w:sz w:val="18"/>
        </w:rPr>
        <w:t>——————————————————————————————————————————————————————————————————————</w:t>
      </w:r>
    </w:p>
    <w:p>
      <w:pPr>
        <w:spacing w:before="160" w:after="40" w:line="240" w:lineRule="auto"/>
      </w:pPr>
      <w:r>
        <w:rPr>
          <w:b/>
        </w:rPr>
        <w:t xml:space="preserve">[79] </w:t>
      </w:r>
      <w:hyperlink r:id="rId359">
        <w:r>
          <w:rPr>
            <w:color w:val="1155CC"/>
            <w:u w:val="single"/>
          </w:rPr>
          <w:t>在小鼠和猪模型中评估5-氟尿嘧啶、伊立替康和奥沙利铂负载植入物用于胰腺癌治疗的疗效和安全性</w:t>
        </w:r>
      </w:hyperlink>
    </w:p>
    <w:p>
      <w:pPr>
        <w:spacing w:before="0" w:after="80"/>
      </w:pPr>
      <w:r>
        <w:rPr>
          <w:i/>
          <w:sz w:val="20"/>
        </w:rPr>
        <w:t>EN: Efficacy and Safety Assessment of 5‐Fluorouracil, Irinotecan and Oxaliplatin‐Loaded Implants in Mouse and Pig Models for Pancreatic Cancer Therapy</w:t>
      </w:r>
    </w:p>
    <w:p>
      <w:pPr>
        <w:spacing w:before="0" w:after="120"/>
      </w:pPr>
      <w:r>
        <w:rPr>
          <w:b/>
        </w:rPr>
        <w:t xml:space="preserve">Source: </w:t>
      </w:r>
      <w:r>
        <w:t>Wiley: Advanced Materials: Table of Contents</w:t>
      </w:r>
      <w:r>
        <w:t xml:space="preserve">    </w:t>
      </w:r>
      <w:r>
        <w:rPr>
          <w:b/>
        </w:rPr>
        <w:t xml:space="preserve">Pub date: </w:t>
      </w:r>
      <w:r>
        <w:t>2026-03-16 05:53:41+00:00</w:t>
      </w:r>
      <w:r>
        <w:t xml:space="preserve">    </w:t>
      </w:r>
      <w:r>
        <w:rPr>
          <w:b/>
        </w:rPr>
        <w:t xml:space="preserve">DOI: </w:t>
      </w:r>
      <w:hyperlink r:id="rId360">
        <w:r>
          <w:rPr>
            <w:color w:val="1155CC"/>
            <w:u w:val="single"/>
          </w:rPr>
          <w:t>10.1002/adma.202522617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胰腺导管腺癌（PDAC）对治疗高度耐药，尽管癌症治疗取得了进展，但死亡率几乎没有变化。对于约80%的边缘性、不可切除或转移性病例，化疗主要是姑息性的，这突显了改进药物递送方法的必要性。本研究介绍了一种新型聚合物植入物的开发、表征和体内评估，该植入物负载5-氟尿嘧啶、伊立替康和奥沙利铂（FIRINOX）。FIRINOX植入物的扫描电子显微镜显示药物负载后内部微结构得以保留，而微CT和X射线成像揭示了从体内实验中取回的植入物的形态和降解的宝贵见解。在小鼠PDAC模型中，</w:t>
      </w:r>
    </w:p>
    <w:p>
      <w:pPr>
        <w:spacing w:before="0" w:after="200" w:lineRule="auto" w:line="276"/>
      </w:pPr>
      <w:r>
        <w:rPr>
          <w:b/>
        </w:rPr>
        <w:t xml:space="preserve">Abstract (EN): </w:t>
      </w:r>
      <w:r>
        <w:t>Pancreatic ductal adenocarcinoma (PDAC) remains highly resistant to treatment, with mortality rates largely unchanged despite advances in cancer therapies. For ∼80% of borderline, non‐resectable, or metastatic cases, chemotherapy is predominantly palliative, underscoring the need for improved drug delivery approaches. This study presents the development, characterization and in vivo evaluation of a novel polymeric implant loaded with 5‐fluorouracil, irinotecan, and oxaliplatin (FIRINOX). Scanning electron microscopy of FIRINOX implants showed internal microstructure was preserved upon drug loading, while micro‐CT and X‐ray imaging revealed valuable insights into the morphology and degradation of implants retrieved from in vivo experiments. In murine PDAC models, dose‐escalation identified 4 × FIRINOX implants as the maximum tolerated dose, while 2 × implants achieved significant therapeutic efficacy at lower doses than IV administration, without compromising animal safety. In healthy pigs, 20 × FIRINOX implants were well‐tolerated, as confirmed by histopathology and blood analysis. Finally, laser ablation‐inductively coupled plasma‐mass spectrometry imaging and microbiome analysis confirmed localized drug perfusion within tissues, and minimal off‐target effects, including preservation of gut microbiota diversity. These findings support the potential of this implantable platform to improve outcomes in borderline or non‐resectable PDAC and enhance tolerability of cytotoxic chemotherapy through localized, controlled delivery, addressing a key gap where current treatment options are limited.</w:t>
      </w:r>
    </w:p>
    <w:p>
      <w:pPr>
        <w:spacing w:before="120" w:after="120"/>
      </w:pPr>
      <w:r>
        <w:rPr>
          <w:sz w:val="18"/>
        </w:rPr>
        <w:t>——————————————————————————————————————————————————————————————————————</w:t>
      </w:r>
    </w:p>
    <w:p>
      <w:pPr>
        <w:spacing w:before="160" w:after="40" w:line="240" w:lineRule="auto"/>
      </w:pPr>
      <w:r>
        <w:rPr>
          <w:b/>
        </w:rPr>
        <w:t xml:space="preserve">[80] </w:t>
      </w:r>
      <w:hyperlink r:id="rId361">
        <w:r>
          <w:rPr>
            <w:color w:val="1155CC"/>
            <w:u w:val="single"/>
          </w:rPr>
          <w:t>从微观到纳米尺度的阴影电化学发光显微镜</w:t>
        </w:r>
      </w:hyperlink>
    </w:p>
    <w:p>
      <w:pPr>
        <w:spacing w:before="0" w:after="80"/>
      </w:pPr>
      <w:r>
        <w:rPr>
          <w:i/>
          <w:sz w:val="20"/>
        </w:rPr>
        <w:t>EN: From Microscale to Nanoscale Shadow Electrochemiluminescence Microscopy</w:t>
      </w:r>
    </w:p>
    <w:p>
      <w:pPr>
        <w:spacing w:before="0" w:after="120"/>
      </w:pPr>
      <w:r>
        <w:rPr>
          <w:b/>
        </w:rPr>
        <w:t xml:space="preserve">Source: </w:t>
      </w:r>
      <w:r>
        <w:t>Wiley: Angewandte Chemie International Edition: Table of Contents</w:t>
      </w:r>
      <w:r>
        <w:t xml:space="preserve">    </w:t>
      </w:r>
      <w:r>
        <w:rPr>
          <w:b/>
        </w:rPr>
        <w:t xml:space="preserve">Pub date: </w:t>
      </w:r>
      <w:r>
        <w:t>2026-03-16 06:19:35+00:00</w:t>
      </w:r>
      <w:r>
        <w:t xml:space="preserve">    </w:t>
      </w:r>
      <w:r>
        <w:rPr>
          <w:b/>
        </w:rPr>
        <w:t xml:space="preserve">DOI: </w:t>
      </w:r>
      <w:hyperlink r:id="rId362">
        <w:r>
          <w:rPr>
            <w:color w:val="1155CC"/>
            <w:u w:val="single"/>
          </w:rPr>
          <w:t>10.1002/anie.202521654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发光（ECL）已成为一种有前途的基于化学的成像技术，但其在光学纳米成像中的潜力仍处于早期阶段。我们报告了具有尖锐负光学对比度的微物体和纳米物体的无标记成像。获得的阴影ECL图像是电子转移反应被物体沉积在电极上所阻挡的光学特征，这与ECL试剂的化学反应性和局部扩散障碍相结合。在此，我们首先解决了阴影ECL显微镜成像的最小球形纳米颗粒的关键方面。通过研究阴影ECL的成像极限，我们展示了其成像单个纳米颗粒至50 nm的能力。</w:t>
      </w:r>
    </w:p>
    <w:p>
      <w:pPr>
        <w:spacing w:before="0" w:after="200" w:lineRule="auto" w:line="276"/>
      </w:pPr>
      <w:r>
        <w:rPr>
          <w:b/>
        </w:rPr>
        <w:t xml:space="preserve">Abstract (EN): </w:t>
      </w:r>
      <w:r>
        <w:t>Electrochemiluminescence (ECL) has emerged as a promising chemistry‐based imaging technique, yet its potential in optical nano‐imaging is still in the early stages. We report the label‐free imaging of microobjects and nanoobjects with a sharp negative optical contrast. The shadow ECL images obtained are the optical signatures of the blocking of the electron‐transfer reaction convoluted by the chemical reactivity and local diffusional hindrance of the ECL reagents by the object deposited on the electrode. Here, we address first the critical aspect of the smallest spherical nanoparticle imaged by shadow ECL microscopy. By investigating the imaging limits of shadow ECL, we demonstrate its capability to image single nanoparticles down to 50 nm. This work uncovers the sensitivity of the method by not only showing the smallest particles imaged by shadow ECL to date, but also, counterintuitively, a contrastive behavior of the single insulating particles with increased electrochemical rates at the insulator‐electrolyte‐electrode triple point. Finally, the practical utility of this shadow ECL method is illustrated by imaging complex samples such as densely packed particle assemblies or microbial</w:t>
      </w:r>
      <w:r>
        <w:t xml:space="preserve"> </w:t>
      </w:r>
      <w:r>
        <w:t>Bacillus subtilis</w:t>
      </w:r>
      <w:r>
        <w:t xml:space="preserve"> </w:t>
      </w:r>
      <w:r>
        <w:t>spores. It also opens new avenues for single‐molecule and shadow ECL nano imaging of catalytic and biological systems.</w:t>
      </w:r>
    </w:p>
    <w:p>
      <w:pPr>
        <w:spacing w:before="120" w:after="120"/>
      </w:pPr>
      <w:r>
        <w:rPr>
          <w:sz w:val="18"/>
        </w:rPr>
        <w:t>——————————————————————————————————————————————————————————————————————</w:t>
      </w:r>
    </w:p>
    <w:p>
      <w:pPr>
        <w:spacing w:before="160" w:after="40" w:line="240" w:lineRule="auto"/>
      </w:pPr>
      <w:r>
        <w:rPr>
          <w:b/>
        </w:rPr>
        <w:t xml:space="preserve">[81] </w:t>
      </w:r>
      <w:hyperlink r:id="rId363">
        <w:r>
          <w:rPr>
            <w:color w:val="1155CC"/>
            <w:u w:val="single"/>
          </w:rPr>
          <w:t>铑催化的化学多样性平行动力学拆分和炔烯与二炔烯的去对称化与丙烯酰胺</w:t>
        </w:r>
      </w:hyperlink>
    </w:p>
    <w:p>
      <w:pPr>
        <w:spacing w:before="0" w:after="80"/>
      </w:pPr>
      <w:r>
        <w:rPr>
          <w:i/>
          <w:sz w:val="20"/>
        </w:rPr>
        <w:t>EN: Rh‐Catalyzed Chemodivergent Parallel Kinetic Resolution and Desymmetrization of Enynes and Dienynes with Acrylamides</w:t>
      </w:r>
    </w:p>
    <w:p>
      <w:pPr>
        <w:spacing w:before="0" w:after="120"/>
      </w:pPr>
      <w:r>
        <w:rPr>
          <w:b/>
        </w:rPr>
        <w:t xml:space="preserve">Source: </w:t>
      </w:r>
      <w:r>
        <w:t>Wiley: Angewandte Chemie International Edition: Table of Contents</w:t>
      </w:r>
      <w:r>
        <w:t xml:space="preserve">    </w:t>
      </w:r>
      <w:r>
        <w:rPr>
          <w:b/>
        </w:rPr>
        <w:t xml:space="preserve">Pub date: </w:t>
      </w:r>
      <w:r>
        <w:t>2026-03-16 06:20:57+00:00</w:t>
      </w:r>
      <w:r>
        <w:t xml:space="preserve">    </w:t>
      </w:r>
      <w:r>
        <w:rPr>
          <w:b/>
        </w:rPr>
        <w:t xml:space="preserve">DOI: </w:t>
      </w:r>
      <w:hyperlink r:id="rId364">
        <w:r>
          <w:rPr>
            <w:color w:val="1155CC"/>
            <w:u w:val="single"/>
          </w:rPr>
          <w:t>10.1002/anie.9965825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性对映选择性合成结构多样的三维分子仍然是有机化学中的一个核心挑战。通过C─C键形成使用单一催化剂对外消旋底物进行分子间化学多样性平行动力学分辨（PKR）以产生不同产物的情况很少见。在此，我们报告了铑催化的外消旋1,6-炔烯与α-氟丙烯酰胺或不同丙烯酰胺混合物的化学多样性PKR，通过[2+2+2]环加成和C–H烷基化在温和条件下以高选择性提供结构和立体化学上不同的产物。此外，实现了对称二烯炔的取代基依赖的对映选择性去对称化。计算研究表明，取决于t的立体化学，</w:t>
      </w:r>
    </w:p>
    <w:p>
      <w:pPr>
        <w:spacing w:before="0" w:after="200" w:lineRule="auto" w:line="276"/>
      </w:pPr>
      <w:r>
        <w:rPr>
          <w:b/>
        </w:rPr>
        <w:t xml:space="preserve">Abstract (EN): </w:t>
      </w:r>
      <w:r>
        <w:t>Catalytic enantioselective synthesis of structurally diverse 3D molecules remains a central challenge in organic chemistry. Intermolecular chemodivergent parallel kinetic resolution (PKR) of racemic substrates through C─C bond formation using a single catalyst to yield distinct products is rare. Here, we report Rh‐catalyzed chemodivergent PKR of racemic 1,6‐enynes with α‐fluoroacrylamides or mixtures of different acrylamides, proceeding via [2+2+2] cycloaddition and C–H alkylation to afford structurally and stereochemically distinct products with high selectivity under mild conditions. Additionally, substituent‐dependent enantioselective desymmetrization of symmetric dienynes was achieved. Computational studies revealed that, depending on the stereochemistry of the 1,6‐enyne, steric repulsion between the ligand and the enyne favors a compact C–H activation transition state, whereas its absence favors a C═C insertion transition state involving a smaller bond dissociation energy. These findings establish a versatile catalytic platform for the selective generation of 3D molecular complexity, advancing diversity‐oriented synthesis from racemic or symmetric precursors.</w:t>
      </w:r>
    </w:p>
    <w:p>
      <w:pPr>
        <w:spacing w:before="120" w:after="120"/>
      </w:pPr>
      <w:r>
        <w:rPr>
          <w:sz w:val="18"/>
        </w:rPr>
        <w:t>——————————————————————————————————————————————————————————————————————</w:t>
      </w:r>
    </w:p>
    <w:p>
      <w:pPr>
        <w:spacing w:before="160" w:after="40" w:line="240" w:lineRule="auto"/>
      </w:pPr>
      <w:r>
        <w:rPr>
          <w:b/>
        </w:rPr>
        <w:t xml:space="preserve">[82] </w:t>
      </w:r>
      <w:hyperlink r:id="rId365">
        <w:r>
          <w:rPr>
            <w:color w:val="1155CC"/>
            <w:u w:val="single"/>
          </w:rPr>
          <w:t>一种用于氮杂芳烃meta硫化的去芳构化[3,3]-σ迁移重排策略</w:t>
        </w:r>
      </w:hyperlink>
    </w:p>
    <w:p>
      <w:pPr>
        <w:spacing w:before="0" w:after="80"/>
      </w:pPr>
      <w:r>
        <w:rPr>
          <w:i/>
          <w:sz w:val="20"/>
        </w:rPr>
        <w:t>EN: A Dearomative [3,3]‐Sigmatropic Rearrangement Strategy for the meta‐Thiolation of Azaarenes</w:t>
      </w:r>
    </w:p>
    <w:p>
      <w:pPr>
        <w:spacing w:before="0" w:after="120"/>
      </w:pPr>
      <w:r>
        <w:rPr>
          <w:b/>
        </w:rPr>
        <w:t xml:space="preserve">Source: </w:t>
      </w:r>
      <w:r>
        <w:t>Wiley: Angewandte Chemie International Edition: Table of Contents</w:t>
      </w:r>
      <w:r>
        <w:t xml:space="preserve">    </w:t>
      </w:r>
      <w:r>
        <w:rPr>
          <w:b/>
        </w:rPr>
        <w:t xml:space="preserve">Pub date: </w:t>
      </w:r>
      <w:r>
        <w:t>2026-03-16 06:21:38+00:00</w:t>
      </w:r>
      <w:r>
        <w:t xml:space="preserve">    </w:t>
      </w:r>
      <w:r>
        <w:rPr>
          <w:b/>
        </w:rPr>
        <w:t xml:space="preserve">DOI: </w:t>
      </w:r>
      <w:hyperlink r:id="rId366">
        <w:r>
          <w:rPr>
            <w:color w:val="1155CC"/>
            <w:u w:val="single"/>
          </w:rPr>
          <w:t>10.1002/anie.8135901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C–H官能化的氮杂芳烃是多样化这些杂环的一个非常强大的工具。然而，精确控制化学选择性和位点选择性仍然是主要挑战，这主要源于氮杂芳烃固有的复杂电子特征和众多反应位点。在此背景下，开发创新、高效的催化策略，特别是那些能够实现远程芳香C─H键活化的策略，不仅具有重要意义，而且是一个相当大的合成挑战。在此，我们提出了一种有机催化的去芳构化[3,3]‐σ迁移重排策略，实现了喹啉的位点选择性C–H官能化，具有优异的化学选择性。具体而言，1,8‐二氮杂双环</w:t>
      </w:r>
    </w:p>
    <w:p>
      <w:pPr>
        <w:spacing w:before="0" w:after="200" w:lineRule="auto" w:line="276"/>
      </w:pPr>
      <w:r>
        <w:rPr>
          <w:b/>
        </w:rPr>
        <w:t xml:space="preserve">Abstract (EN): </w:t>
      </w:r>
      <w:r>
        <w:t>Direct C–H functionalization of azaarenes stands as a remarkably powerful tool for diversifying these heterocycles. However, precise control over chemo‐ and site‐selectivity remains the primary challenge, largely stemming from the complex electronic features and numerous reactive sites inherent to azaarenes. Against this backdrop, developing innovative, efficient catalytic strategies, especially those enabling remote aromatic C─H bond activation, is not only of paramount significance but also a considerable synthetic challenge. Herein, we present an organocatalytic dearomative [3,3]‐sigmatropic rearrangement strategy, which achieves site‐selective C–H functionalization of quinolines with excellent chemoselectivity. Specifically, 1,8‐diazabicyclo[5.4.0]undec‐7‐ene (DBU) serves as a potent catalyst that facilitates a unique sequence of sulfinylation, dearomatization, [3,3]‐sigmatropic rearrangement, and rearomatization. Employing this cascade, a broad range of quinoline</w:t>
      </w:r>
      <w:r>
        <w:t xml:space="preserve"> </w:t>
      </w:r>
      <w:r>
        <w:t>N</w:t>
      </w:r>
      <w:r>
        <w:t xml:space="preserve"> </w:t>
      </w:r>
      <w:r>
        <w:t>‐oxides undergo reaction with commercially available dimethylcarbamothioic chloride (DMTC) to selectively deliver</w:t>
      </w:r>
      <w:r>
        <w:t xml:space="preserve"> </w:t>
      </w:r>
      <w:r>
        <w:t>meta</w:t>
      </w:r>
      <w:r>
        <w:t xml:space="preserve"> </w:t>
      </w:r>
      <w:r>
        <w:t>‐thiolated quinolines. The utility of this strategy is highlighted by its application to the late‐stage</w:t>
      </w:r>
      <w:r>
        <w:t xml:space="preserve"> </w:t>
      </w:r>
      <w:r>
        <w:t>meta</w:t>
      </w:r>
      <w:r>
        <w:t xml:space="preserve"> </w:t>
      </w:r>
      <w:r>
        <w:t>‐thiolation of drug‐related compounds and the total synthesis of an organic light‐emitting device (OLED) material.</w:t>
      </w:r>
    </w:p>
    <w:p>
      <w:pPr>
        <w:spacing w:before="120" w:after="120"/>
      </w:pPr>
      <w:r>
        <w:rPr>
          <w:sz w:val="18"/>
        </w:rPr>
        <w:t>——————————————————————————————————————————————————————————————————————</w:t>
      </w:r>
    </w:p>
    <w:p>
      <w:pPr>
        <w:spacing w:before="160" w:after="40" w:line="240" w:lineRule="auto"/>
      </w:pPr>
      <w:r>
        <w:rPr>
          <w:b/>
        </w:rPr>
        <w:t xml:space="preserve">[83] </w:t>
      </w:r>
      <w:hyperlink r:id="rId367">
        <w:r>
          <w:rPr>
            <w:color w:val="1155CC"/>
            <w:u w:val="single"/>
          </w:rPr>
          <w:t>桥联吡咯并吲哚-CAYC-金配合物：在金(I)催化中利用弱的次级分子内Au···H−C(sp3)相互作用</w:t>
        </w:r>
      </w:hyperlink>
    </w:p>
    <w:p>
      <w:pPr>
        <w:spacing w:before="0" w:after="80"/>
      </w:pPr>
      <w:r>
        <w:rPr>
          <w:i/>
          <w:sz w:val="20"/>
        </w:rPr>
        <w:t>EN: Bridged Pyrroloindole‐CAYC‐Gold Complexes: Harnessing Weak Secondary Intramolecular Au···H−C(sp3) Interactions in Gold(I) Catalysis</w:t>
      </w:r>
    </w:p>
    <w:p>
      <w:pPr>
        <w:spacing w:before="0" w:after="120"/>
      </w:pPr>
      <w:r>
        <w:rPr>
          <w:b/>
        </w:rPr>
        <w:t xml:space="preserve">Source: </w:t>
      </w:r>
      <w:r>
        <w:t>Wiley: Angewandte Chemie International Edition: Table of Contents</w:t>
      </w:r>
      <w:r>
        <w:t xml:space="preserve">    </w:t>
      </w:r>
      <w:r>
        <w:rPr>
          <w:b/>
        </w:rPr>
        <w:t xml:space="preserve">Pub date: </w:t>
      </w:r>
      <w:r>
        <w:t>2026-03-16 06:24:02+00:00</w:t>
      </w:r>
      <w:r>
        <w:t xml:space="preserve">    </w:t>
      </w:r>
      <w:r>
        <w:rPr>
          <w:b/>
        </w:rPr>
        <w:t xml:space="preserve">DOI: </w:t>
      </w:r>
      <w:hyperlink r:id="rId368">
        <w:r>
          <w:rPr>
            <w:color w:val="1155CC"/>
            <w:u w:val="single"/>
          </w:rPr>
          <w:t>10.1002/anie.202526091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I)催化已被确立为有机合成和催化中的一个极其强大的工具。在此，我们引入了一类新的电子和空间位阻的N-杂环卡宾配体，称为桥式环状氨基(亚胺)卡宾（bCAYC），其包含9H-吡咯[1,2-a]吲哚作为卡宾核心和二芳基磺鎓作为亚胺配体。高度电子丰富的bCAYC配体适用于合成相应的金(I)配合物，这些配合物表现出弱的分子内Au···H−C(sp3)相互作用作为一个标志</w:t>
      </w:r>
    </w:p>
    <w:p>
      <w:pPr>
        <w:spacing w:before="0" w:after="200" w:lineRule="auto" w:line="276"/>
      </w:pPr>
      <w:r>
        <w:rPr>
          <w:b/>
        </w:rPr>
        <w:t xml:space="preserve">Abstract (EN): </w:t>
      </w:r>
      <w:r>
        <w:t>Gold(I) catalysis has been established as a tremendously powerful tool in organic synthesis and catalysis. Herein, we introduce a new class of electronically‐ and sterically‐hindered N‐heterocyclic carbene ligands, termed as bridged cyclic amino(ylide)carbene (</w:t>
      </w:r>
      <w:r>
        <w:t xml:space="preserve"> </w:t>
      </w:r>
      <w:r>
        <w:t>b</w:t>
      </w:r>
      <w:r>
        <w:t xml:space="preserve"> </w:t>
      </w:r>
      <w:r>
        <w:t>CAYC), containing 9H‐pyrrolo[1,2‐a]indoles as the carbene core and diaryl sulfonium as the ylide partner. Highly electron‐rich</w:t>
      </w:r>
      <w:r>
        <w:t xml:space="preserve"> </w:t>
      </w:r>
      <w:r>
        <w:t>b</w:t>
      </w:r>
      <w:r>
        <w:t xml:space="preserve"> </w:t>
      </w:r>
      <w:r>
        <w:t>CAYC ligands are suitable for synthesizing the corresponding gold(I) complexes, which exhibit a weak intramolecular Au···H−C(sp</w:t>
      </w:r>
      <w:r>
        <w:rPr>
          <w:vertAlign w:val="subscript"/>
        </w:rPr>
        <w:t>3</w:t>
      </w:r>
      <w:r>
        <w:t>) interaction as a secondary interaction where the gold d‐orbitals act as electron donors and the C–H σ* orbitals act as acceptors. Properties and parameters of Au···H−C(sp</w:t>
      </w:r>
      <w:r>
        <w:rPr>
          <w:vertAlign w:val="subscript"/>
        </w:rPr>
        <w:t>3</w:t>
      </w:r>
      <w:r>
        <w:t>) interactions were investigated through X‐ray, NMR, DFT, AIM, and NBO studies. This study reports a remarkably short Au···H−C(sp</w:t>
      </w:r>
      <w:r>
        <w:rPr>
          <w:vertAlign w:val="subscript"/>
        </w:rPr>
        <w:t>3</w:t>
      </w:r>
      <w:r>
        <w:t>) distance of 2.26 Å, as determined through X‐ray crystallographic analysis. DFT and TEP data analysis revealed that</w:t>
      </w:r>
      <w:r>
        <w:t xml:space="preserve"> </w:t>
      </w:r>
      <w:r>
        <w:t>b</w:t>
      </w:r>
      <w:r>
        <w:t xml:space="preserve"> </w:t>
      </w:r>
      <w:r>
        <w:t>CAYCs are among the most σ‐donating carbene ligands to date, than other widely used NHC ligands. The steric impact of</w:t>
      </w:r>
      <w:r>
        <w:t xml:space="preserve"> </w:t>
      </w:r>
      <w:r>
        <w:t>b</w:t>
      </w:r>
      <w:r>
        <w:t xml:space="preserve"> </w:t>
      </w:r>
      <w:r>
        <w:t>CAYCs has shown excellent potential for steric shielding, with %V</w:t>
      </w:r>
      <w:r>
        <w:t xml:space="preserve"> </w:t>
      </w:r>
      <w:r>
        <w:t>bur</w:t>
      </w:r>
      <w:r>
        <w:t xml:space="preserve"> </w:t>
      </w:r>
      <w:r>
        <w:t>reaching up to 42.6%. These unique properties were well‐reflected through the room‐temperature hydroamination and one‐pot C–N and C–C bond‐forming reactions.</w:t>
      </w:r>
    </w:p>
    <w:p>
      <w:pPr>
        <w:spacing w:before="120" w:after="120"/>
      </w:pPr>
      <w:r>
        <w:rPr>
          <w:sz w:val="18"/>
        </w:rPr>
        <w:t>——————————————————————————————————————————————————————————————————————</w:t>
      </w:r>
    </w:p>
    <w:p>
      <w:pPr>
        <w:spacing w:before="160" w:after="40" w:line="240" w:lineRule="auto"/>
      </w:pPr>
      <w:r>
        <w:rPr>
          <w:b/>
        </w:rPr>
        <w:t xml:space="preserve">[84] </w:t>
      </w:r>
      <w:hyperlink r:id="rId369">
        <w:r>
          <w:rPr>
            <w:color w:val="1155CC"/>
            <w:u w:val="single"/>
          </w:rPr>
          <w:t>可编程的共聚体-膜相互作用指导膜化原胞中的内部和集体组织</w:t>
        </w:r>
      </w:hyperlink>
    </w:p>
    <w:p>
      <w:pPr>
        <w:spacing w:before="0" w:after="80"/>
      </w:pPr>
      <w:r>
        <w:rPr>
          <w:i/>
          <w:sz w:val="20"/>
        </w:rPr>
        <w:t>EN: Programmable Coacervate–Membrane Interactions Direct Internal and Collective Organization in Membranized Protocells</w:t>
      </w:r>
    </w:p>
    <w:p>
      <w:pPr>
        <w:spacing w:before="0" w:after="120"/>
      </w:pPr>
      <w:r>
        <w:rPr>
          <w:b/>
        </w:rPr>
        <w:t xml:space="preserve">Source: </w:t>
      </w:r>
      <w:r>
        <w:t>Wiley: Angewandte Chemie International Edition: Table of Contents</w:t>
      </w:r>
      <w:r>
        <w:t xml:space="preserve">    </w:t>
      </w:r>
      <w:r>
        <w:rPr>
          <w:b/>
        </w:rPr>
        <w:t xml:space="preserve">Pub date: </w:t>
      </w:r>
      <w:r>
        <w:t>2026-03-16 06:27:48+00:00</w:t>
      </w:r>
      <w:r>
        <w:t xml:space="preserve">    </w:t>
      </w:r>
      <w:r>
        <w:rPr>
          <w:b/>
        </w:rPr>
        <w:t xml:space="preserve">DOI: </w:t>
      </w:r>
      <w:hyperlink r:id="rId370">
        <w:r>
          <w:rPr>
            <w:color w:val="1155CC"/>
            <w:u w:val="single"/>
          </w:rPr>
          <w:t>10.1002/anie.202525899</w:t>
        </w:r>
      </w:hyperlink>
    </w:p>
    <w:p>
      <w:pPr>
        <w:spacing w:before="0" w:after="120"/>
      </w:pPr>
      <w:r>
        <w:rPr>
          <w:b/>
        </w:rPr>
        <w:t xml:space="preserve">Notes: </w:t>
      </w:r>
      <w:r>
        <w:t>abstract_source=crossref</w:t>
      </w:r>
    </w:p>
    <w:p>
      <w:pPr>
        <w:spacing w:before="0" w:after="80" w:lineRule="auto" w:line="276"/>
      </w:pPr>
      <w:r>
        <w:rPr>
          <w:b/>
        </w:rPr>
        <w:t xml:space="preserve">摘要（ZH）: </w:t>
      </w:r>
      <w:r>
        <w:t>摘要 在真核细胞中，无膜细胞器通过与质膜及其下方皮层的调控相互作用进行重组，其中细胞骨架耦合和内层生物化学调节凝聚体的位置、润湿性和功能。在合成系统中重现这种适应性、皮层介导的控制仍然是一个挑战，需要一个结合界面可编程性与机械韧性以承受自下而上组装的渗透和静电应力的底盘。在此，我们介绍多糖体（P-somes）；半透性、机械坚固的原细胞，作为膜可编程底盘，用于指导共聚物-膜耦合。通过在内膜上建立一个薄的、类似皮层的蛋白质层</w:t>
      </w:r>
    </w:p>
    <w:p>
      <w:pPr>
        <w:spacing w:before="0" w:after="200" w:lineRule="auto" w:line="276"/>
      </w:pPr>
      <w:r>
        <w:rPr>
          <w:b/>
        </w:rPr>
        <w:t xml:space="preserve">Abstract (EN): </w:t>
      </w:r>
      <w:r>
        <w:t>In eukaryotic cells, membraneless organelles reorganize through regulated interactions with the plasma membrane and its underlying cortex, where cytoskeletal coupling and inner‐leaflet biochemistry tune condensate positioning, wetting, and function. Recreating such adaptive, cortex‐mediated control in synthetic systems remains a challenge, requiring a chassis that combines interfacial programmability with the mechanical resilience necessary to withstand the osmotic and electrostatic stresses of bottom‐up assembly. Here, we introduce polysaccharidosomes (P‐somes); semipermeable, mechanically robust protocells that function as membrane‐programmable chassis for directing coacervate–membrane coupling. By establishing a thin, cortex‐like protein layer on the inner membrane leaflet via template‐directed assembly, we demonstrate that in situ protein succinylation enables precise tuning of surface charge and coacervate–membrane wetting. Together with the systematic variation of membrane building blocks, this platform allows for fine control over coacervate wetting, morphology, and spatial organization. The uptake of external DNA adds a second tier of regulation: on nonpassivated membranes, DNA‐reconfigured coacervates generate interfacial protrusions that bridge neighboring P‐somes to promote tissue‐like clustering, whereas on passivated membranes, they coalesce into a single, nonwetting, nucleus‐like droplet centered within the lumen. This membrane–cortex‐inspired framework integrates mechanical resilience with chemical programmability, providing a scalable route to constructing membranized protocells with self‐organizing interiors and emergent collective behaviors.</w:t>
      </w:r>
    </w:p>
    <w:p>
      <w:pPr>
        <w:spacing w:before="120" w:after="120"/>
      </w:pPr>
      <w:r>
        <w:rPr>
          <w:sz w:val="18"/>
        </w:rPr>
        <w:t>——————————————————————————————————————————————————————————————————————</w:t>
      </w:r>
    </w:p>
    <w:p>
      <w:pPr>
        <w:spacing w:before="160" w:after="40" w:line="240" w:lineRule="auto"/>
      </w:pPr>
      <w:r>
        <w:rPr>
          <w:b/>
        </w:rPr>
        <w:t xml:space="preserve">[85] </w:t>
      </w:r>
      <w:hyperlink r:id="rId371">
        <w:r>
          <w:rPr>
            <w:color w:val="1155CC"/>
            <w:u w:val="single"/>
          </w:rPr>
          <w:t>用于正电子发射断层扫描成像实体肿瘤的氟-18标记核苷酸类似物靶向外切5'-核苷酸酶（CD73）</w:t>
        </w:r>
      </w:hyperlink>
    </w:p>
    <w:p>
      <w:pPr>
        <w:spacing w:before="0" w:after="80"/>
      </w:pPr>
      <w:r>
        <w:rPr>
          <w:i/>
          <w:sz w:val="20"/>
        </w:rPr>
        <w:t>EN: Fluorine‐18‐Labeled Nucleotide Analogs Targeting Ecto‐5'‐Nucleotidase (CD73) for Positron Emission Tomography Imaging of Solid Tumors</w:t>
      </w:r>
    </w:p>
    <w:p>
      <w:pPr>
        <w:spacing w:before="0" w:after="120"/>
      </w:pPr>
      <w:r>
        <w:rPr>
          <w:b/>
        </w:rPr>
        <w:t xml:space="preserve">Source: </w:t>
      </w:r>
      <w:r>
        <w:t>Wiley: Angewandte Chemie International Edition: Table of Contents</w:t>
      </w:r>
      <w:r>
        <w:t xml:space="preserve">    </w:t>
      </w:r>
      <w:r>
        <w:rPr>
          <w:b/>
        </w:rPr>
        <w:t xml:space="preserve">Pub date: </w:t>
      </w:r>
      <w:r>
        <w:t>2026-03-16 06:30:36+00:00</w:t>
      </w:r>
      <w:r>
        <w:t xml:space="preserve">    </w:t>
      </w:r>
      <w:r>
        <w:rPr>
          <w:b/>
        </w:rPr>
        <w:t xml:space="preserve">DOI: </w:t>
      </w:r>
      <w:hyperlink r:id="rId372">
        <w:r>
          <w:rPr>
            <w:color w:val="1155CC"/>
            <w:u w:val="single"/>
          </w:rPr>
          <w:t>10.1002/anie.202522758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Ecto-5'-核苷酸酶（CD73）是癌症免疫治疗的潜在新药靶点。其过表达与多种侵袭性癌症相关，包括三阴性乳腺癌（TNBC）和胰腺癌，使其成为诊断成像的有前途的靶点。除了抗体外，小分子CD73抑制剂已被开发并正在进行临床试验。本研究旨在开发和评估氟-18标记的高亲和力CD73抑制剂，作为非侵入性正电子发射断层扫描（PET）成像癌症中CD73表达的示踪剂。基于其高效力（K</w:t>
      </w:r>
      <w:r>
        <w:t xml:space="preserve"> </w:t>
      </w:r>
      <w:r>
        <w:t>i</w:t>
      </w:r>
      <w:r>
        <w:t xml:space="preserve"> </w:t>
      </w:r>
      <w:r>
        <w:t>值约为1 nM）和良好的药代动力学，选择了两种CD73抑制剂进行放射性标记。</w:t>
      </w:r>
    </w:p>
    <w:p>
      <w:pPr>
        <w:spacing w:before="0" w:after="200" w:lineRule="auto" w:line="276"/>
      </w:pPr>
      <w:r>
        <w:rPr>
          <w:b/>
        </w:rPr>
        <w:t xml:space="preserve">Abstract (EN): </w:t>
      </w:r>
      <w:r>
        <w:t>Ecto‐5’‐nucleotidase (CD73) is a potential new drug target for cancer immunotherapy. Its overexpression is associated with various aggressive cancers, including triple‐negative breast cancer (TNBC) and pancreatic cancer, making it a promising target for diagnostic imaging. Besides antibodies, small‐molecule CD73 inhibitors have been developed and are currently in clinical trials. This study aimed to develop and evaluate fluorine‐18 labeled high‐affinity CD73 inhibitors as tracers for the non‐invasive positron emission tomography (PET) imaging of CD73 expression in cancer. Two CD73 inhibitors were selected for radiolabeling based on their high potency (K</w:t>
      </w:r>
      <w:r>
        <w:t xml:space="preserve"> </w:t>
      </w:r>
      <w:r>
        <w:t>i</w:t>
      </w:r>
      <w:r>
        <w:t xml:space="preserve"> </w:t>
      </w:r>
      <w:r>
        <w:t>values of ca. 1 nM) and favorable pharmacokinetic properties, yielding [</w:t>
      </w:r>
      <w:r>
        <w:rPr>
          <w:vertAlign w:val="subscript"/>
        </w:rPr>
        <w:t>18</w:t>
      </w:r>
      <w:r>
        <w:t>F]PSB‐19427 ([</w:t>
      </w:r>
      <w:r>
        <w:rPr>
          <w:vertAlign w:val="subscript"/>
        </w:rPr>
        <w:t>18</w:t>
      </w:r>
      <w:r>
        <w:t>F]</w:t>
      </w:r>
      <w:r>
        <w:rPr>
          <w:vertAlign w:val="subscript"/>
        </w:rPr>
        <w:t>1</w:t>
      </w:r>
      <w:r>
        <w:t>) and [</w:t>
      </w:r>
      <w:r>
        <w:rPr>
          <w:vertAlign w:val="subscript"/>
        </w:rPr>
        <w:t>18</w:t>
      </w:r>
      <w:r>
        <w:t>F]MRS‐4648 ([</w:t>
      </w:r>
      <w:r>
        <w:rPr>
          <w:vertAlign w:val="subscript"/>
        </w:rPr>
        <w:t>18</w:t>
      </w:r>
      <w:r>
        <w:t>F]</w:t>
      </w:r>
      <w:r>
        <w:rPr>
          <w:vertAlign w:val="subscript"/>
        </w:rPr>
        <w:t>2</w:t>
      </w:r>
      <w:r>
        <w:t>). Ex vivo imaging studies on human breast cancer tissues indicated specific binding of both radiotracers. Subsequent in vivo studies proved [</w:t>
      </w:r>
      <w:r>
        <w:rPr>
          <w:vertAlign w:val="subscript"/>
        </w:rPr>
        <w:t>18</w:t>
      </w:r>
      <w:r>
        <w:t>F]</w:t>
      </w:r>
      <w:r>
        <w:rPr>
          <w:vertAlign w:val="subscript"/>
        </w:rPr>
        <w:t>1</w:t>
      </w:r>
      <w:r>
        <w:t>to be superior due to its long elimination half‐life and its accumulation in TNBC and pancreatic cancer tissues, suggesting its potential as a versatile PET tracer for imaging of various solid tumors. Compared to [</w:t>
      </w:r>
      <w:r>
        <w:rPr>
          <w:vertAlign w:val="subscript"/>
        </w:rPr>
        <w:t>18</w:t>
      </w:r>
      <w:r>
        <w:t>F]FDG, [</w:t>
      </w:r>
      <w:r>
        <w:rPr>
          <w:vertAlign w:val="subscript"/>
        </w:rPr>
        <w:t>18</w:t>
      </w:r>
      <w:r>
        <w:t>F]</w:t>
      </w:r>
      <w:r>
        <w:rPr>
          <w:vertAlign w:val="subscript"/>
        </w:rPr>
        <w:t>1</w:t>
      </w:r>
      <w:r>
        <w:t>was superior in visualizing TNBC, offering potential advantages over [</w:t>
      </w:r>
      <w:r>
        <w:rPr>
          <w:vertAlign w:val="subscript"/>
        </w:rPr>
        <w:t>18</w:t>
      </w:r>
      <w:r>
        <w:t>F]FDG in terms of specificity and diagnostic accuracy. Thus, [</w:t>
      </w:r>
      <w:r>
        <w:rPr>
          <w:vertAlign w:val="subscript"/>
        </w:rPr>
        <w:t>18</w:t>
      </w:r>
      <w:r>
        <w:t>F]</w:t>
      </w:r>
      <w:r>
        <w:rPr>
          <w:vertAlign w:val="subscript"/>
        </w:rPr>
        <w:t>1</w:t>
      </w:r>
      <w:r>
        <w:t>is a PET tracer with outstanding properties suitable for broad application in cancer diagnosis and personalized medicine.</w:t>
      </w:r>
    </w:p>
    <w:p>
      <w:pPr>
        <w:spacing w:before="120" w:after="120"/>
      </w:pPr>
      <w:r>
        <w:rPr>
          <w:sz w:val="18"/>
        </w:rPr>
        <w:t>——————————————————————————————————————————————————————————————————————</w:t>
      </w:r>
    </w:p>
    <w:p>
      <w:pPr>
        <w:spacing w:before="160" w:after="40" w:line="240" w:lineRule="auto"/>
      </w:pPr>
      <w:r>
        <w:rPr>
          <w:b/>
        </w:rPr>
        <w:t xml:space="preserve">[86] </w:t>
      </w:r>
      <w:hyperlink r:id="rId373">
        <w:r>
          <w:rPr>
            <w:color w:val="1155CC"/>
            <w:u w:val="single"/>
          </w:rPr>
          <w:t>具有白蛋白引导肿瘤靶向的自毁性纳米治疗剂用于氧化应激放大的光动力治疗</w:t>
        </w:r>
      </w:hyperlink>
    </w:p>
    <w:p>
      <w:pPr>
        <w:spacing w:before="0" w:after="80"/>
      </w:pPr>
      <w:r>
        <w:rPr>
          <w:i/>
          <w:sz w:val="20"/>
        </w:rPr>
        <w:t>EN: Self‐Immolative Nanotheranostics with Albumin‐Guided Tumor Targeting for Oxidative Stress‐Amplified Photodynamic Therapy</w:t>
      </w:r>
    </w:p>
    <w:p>
      <w:pPr>
        <w:spacing w:before="0" w:after="120"/>
      </w:pPr>
      <w:r>
        <w:rPr>
          <w:b/>
        </w:rPr>
        <w:t xml:space="preserve">Source: </w:t>
      </w:r>
      <w:r>
        <w:t>Wiley: Angewandte Chemie International Edition: Table of Contents</w:t>
      </w:r>
      <w:r>
        <w:t xml:space="preserve">    </w:t>
      </w:r>
      <w:r>
        <w:rPr>
          <w:b/>
        </w:rPr>
        <w:t xml:space="preserve">Pub date: </w:t>
      </w:r>
      <w:r>
        <w:t>2026-03-16 06:31:10+00:00</w:t>
      </w:r>
      <w:r>
        <w:t xml:space="preserve">    </w:t>
      </w:r>
      <w:r>
        <w:rPr>
          <w:b/>
        </w:rPr>
        <w:t xml:space="preserve">DOI: </w:t>
      </w:r>
      <w:hyperlink r:id="rId374">
        <w:r>
          <w:rPr>
            <w:color w:val="1155CC"/>
            <w:u w:val="single"/>
          </w:rPr>
          <w:t>10.1002/anie.202524115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光敏剂在光动力疗法（PDT）中存在固有的局限性，包括肿瘤选择性差、系统清除迅速以及在缺氧肿瘤微环境中活性氧（ROS）生成效率低。在此，我们报告了一种自毁性纳米诊疗剂（SINT），它结合了白蛋白引导的运输与肿瘤微环境激活的级联降解，实现了共价肿瘤锚定、持续滞留以及荧光成像和PDT的同时激活。SINT由带有新型吲哚菁绿（NIG）和马来酰亚胺（MI）功能基团的自毁性聚合物骨架组成。静脉注射后，MI基团与循环白蛋白的Cys34残基共价结合，形成一个</w:t>
      </w:r>
    </w:p>
    <w:p>
      <w:pPr>
        <w:spacing w:before="0" w:after="200" w:lineRule="auto" w:line="276"/>
      </w:pPr>
      <w:r>
        <w:rPr>
          <w:b/>
        </w:rPr>
        <w:t xml:space="preserve">Abstract (EN): </w:t>
      </w:r>
      <w:r>
        <w:t>Conventional photosensitizers suffer from intrinsic limitations in photodynamic therapy (PDT), including poor tumor selectivity, rapid systemic clearance, and inefficient reactive oxygen species (ROS) generation in the hypoxic tumor microenvironment. Herein, we report a self‐immolative nanotheranostic (SINT) that integrates albumin‐guided transport with tumor microenvironment‐activated cascade degradation, achieving covalent tumor anchoring, sustained retention, and simultaneous activation of fluorescence imaging and PDT. SINT is composed of a self‐immolative polymer backbone bearing New Indocyanine Green (NIG) and maleimide (MI) functional groups. After intravenous injection, the MI groups covalently bind to the Cys34 residues of circulating albumin, forming an albumin‐enriched corona that enhances tumor targeting. In acidic tumor conditions, SINT undergoes self‐immolation to generate an azaquinone methide‐NIG (AQM‐NIG) intermediate. This electrophilic species reacts with thiol‐containing biomolecules, leading to covalent anchoring within tumor tissues, disruption of intracellular redox homeostasis, and amplified PDT efficiency. Pharmacokinetic analyses revealed that tumor accumulation of SINT was 7.75‐fold higher than that of NIG at 24 h post‐injection, and over 48% of the maximal fluorescence persisted after 96 h. The prolonged retention and amplified oxidative stress enabled complete tumor suppression without recurrence in murine models.</w:t>
      </w:r>
    </w:p>
    <w:p>
      <w:pPr>
        <w:spacing w:before="120" w:after="120"/>
      </w:pPr>
      <w:r>
        <w:rPr>
          <w:sz w:val="18"/>
        </w:rPr>
        <w:t>——————————————————————————————————————————————————————————————————————</w:t>
      </w:r>
    </w:p>
    <w:p>
      <w:pPr>
        <w:spacing w:before="160" w:after="40" w:line="240" w:lineRule="auto"/>
      </w:pPr>
      <w:r>
        <w:rPr>
          <w:b/>
        </w:rPr>
        <w:t xml:space="preserve">[87] </w:t>
      </w:r>
      <w:hyperlink r:id="rId375">
        <w:r>
          <w:rPr>
            <w:color w:val="1155CC"/>
            <w:u w:val="single"/>
          </w:rPr>
          <w:t>第二代晶体海绵在标准化条件下实现多样分子的稳定结构分析</w:t>
        </w:r>
      </w:hyperlink>
    </w:p>
    <w:p>
      <w:pPr>
        <w:spacing w:before="0" w:after="80"/>
      </w:pPr>
      <w:r>
        <w:rPr>
          <w:i/>
          <w:sz w:val="20"/>
        </w:rPr>
        <w:t>EN: Second‐Generation Crystalline Sponges Enabling Consistent Structure Analysis Under Standardized Conditions for Diverse Molecules</w:t>
      </w:r>
    </w:p>
    <w:p>
      <w:pPr>
        <w:spacing w:before="0" w:after="120"/>
      </w:pPr>
      <w:r>
        <w:rPr>
          <w:b/>
        </w:rPr>
        <w:t xml:space="preserve">Source: </w:t>
      </w:r>
      <w:r>
        <w:t>Wiley: Angewandte Chemie International Edition: Table of Contents</w:t>
      </w:r>
      <w:r>
        <w:t xml:space="preserve">    </w:t>
      </w:r>
      <w:r>
        <w:rPr>
          <w:b/>
        </w:rPr>
        <w:t xml:space="preserve">Pub date: </w:t>
      </w:r>
      <w:r>
        <w:t>2026-03-16 06:31:16+00:00</w:t>
      </w:r>
      <w:r>
        <w:t xml:space="preserve">    </w:t>
      </w:r>
      <w:r>
        <w:rPr>
          <w:b/>
        </w:rPr>
        <w:t xml:space="preserve">DOI: </w:t>
      </w:r>
      <w:hyperlink r:id="rId376">
        <w:r>
          <w:rPr>
            <w:color w:val="1155CC"/>
            <w:u w:val="single"/>
          </w:rPr>
          <w:t>10.1002/anie.202524615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晶通常对目标分子中即使是微小的结构差异也高度敏感。因此，获得复杂化合物的晶体通常需要对每个目标分子进行广泛的试验和错误实验。我们最近报道了第二代晶体海绵（2G-CS），其中配位笼固定在晶格内。在2G-CS中，目标分子首先在溶液中被笼子包裹，然后与对称不匹配的多阴离子形成盐，导致形成适合结构分析的单晶。然而，实际应用仍然需要对结晶条件进行逐案优化。在本研究中，我们证明了将笼与特定的多</w:t>
      </w:r>
    </w:p>
    <w:p>
      <w:pPr>
        <w:spacing w:before="0" w:after="200" w:lineRule="auto" w:line="276"/>
      </w:pPr>
      <w:r>
        <w:rPr>
          <w:b/>
        </w:rPr>
        <w:t xml:space="preserve">Abstract (EN): </w:t>
      </w:r>
      <w:r>
        <w:t>Crystallization is typically highly sensitive to even minor structural differences in target molecules. As a result, obtaining crystals of complex compounds often requires extensive trial‐and‐error experiments for each target molecule. We recently reported a second‐generation crystalline sponge (2G‐CS), in which a coordination cage is fixed within a crystal lattice. In the 2G‐CS, target molecules are first encapsulated within the cage in solution, followed by salt formation with a symmetry‐mismatched polyanion, leading to the formation of single crystals suitable for structure analysis. However, practical implementation still requires case‐by‐case optimization of crystallization conditions. In this study, we demonstrate that combining the cage with a specific polyanion enables crystallization of a wide range of structurally distinct guest molecules under a single set of standardized conditions. In a test set comprising 39 guest molecules, 31 cases (80%) were successfully crystallized using the same conditions. These examples include polar, medium‐sized, and structurally complex molecules, most of which are of pharmaceutical interest. Crystal structures showed that the polyanion induced a predominant packing type for cages and anions in crystals. We suggest that this recurrent packing type may contribute to the ability to obtain crystals under standardized conditions despite variations in guest structures.</w:t>
      </w:r>
    </w:p>
    <w:p>
      <w:pPr>
        <w:spacing w:before="120" w:after="120"/>
      </w:pPr>
      <w:r>
        <w:rPr>
          <w:sz w:val="18"/>
        </w:rPr>
        <w:t>——————————————————————————————————————————————————————————————————————</w:t>
      </w:r>
    </w:p>
    <w:p>
      <w:pPr>
        <w:spacing w:before="160" w:after="40" w:line="240" w:lineRule="auto"/>
      </w:pPr>
      <w:r>
        <w:rPr>
          <w:b/>
        </w:rPr>
        <w:t xml:space="preserve">[88] </w:t>
      </w:r>
      <w:hyperlink r:id="rId377">
        <w:r>
          <w:rPr>
            <w:color w:val="1155CC"/>
            <w:u w:val="single"/>
          </w:rPr>
          <w:t>使用氘氧化物和高分辨率质谱法定量和定位新脑脂质合成</w:t>
        </w:r>
      </w:hyperlink>
    </w:p>
    <w:p>
      <w:pPr>
        <w:spacing w:before="0" w:after="80"/>
      </w:pPr>
      <w:r>
        <w:rPr>
          <w:i/>
          <w:sz w:val="20"/>
        </w:rPr>
        <w:t>EN: Quantification and Localisation of New Brain Lipid Synthesis Using Deuterium Oxide and High Resolution Mass Spectrometry</w:t>
      </w:r>
    </w:p>
    <w:p>
      <w:pPr>
        <w:spacing w:before="0" w:after="120"/>
      </w:pPr>
      <w:r>
        <w:rPr>
          <w:b/>
        </w:rPr>
        <w:t xml:space="preserve">Source: </w:t>
      </w:r>
      <w:r>
        <w:t>Wiley: Angewandte Chemie International Edition: Table of Contents</w:t>
      </w:r>
      <w:r>
        <w:t xml:space="preserve">    </w:t>
      </w:r>
      <w:r>
        <w:rPr>
          <w:b/>
        </w:rPr>
        <w:t xml:space="preserve">Pub date: </w:t>
      </w:r>
      <w:r>
        <w:t>2026-03-16 06:33:44+00:00</w:t>
      </w:r>
      <w:r>
        <w:t xml:space="preserve">    </w:t>
      </w:r>
      <w:r>
        <w:rPr>
          <w:b/>
        </w:rPr>
        <w:t xml:space="preserve">DOI: </w:t>
      </w:r>
      <w:hyperlink r:id="rId378">
        <w:r>
          <w:rPr>
            <w:color w:val="1155CC"/>
            <w:u w:val="single"/>
          </w:rPr>
          <w:t>10.1002/anie.202524636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髓鞘是包围神经轴突的富含脂质的膜，对脊椎动物的神经功能至关重要。开发刺激髓鞘修复的治疗方法以治疗多发性硬化症等脱髓鞘疾病受到无法区分新合成髓鞘与预先存在髓鞘的限制。本研究旨在开发一种方法，以量化和定位小鼠大脑中新髓鞘脂质的合成。小鼠在正常饲料、含脱髓鞘毒素铜离子酮的饲料或铜离子酮撤除后的自发再髓鞘化期间，在饮用水中给予氘氧化物两周。使用液相色谱-串联质谱和质谱成像来量化和定位新合成的髓鞘脂质。</w:t>
      </w:r>
    </w:p>
    <w:p>
      <w:pPr>
        <w:spacing w:before="0" w:after="200" w:lineRule="auto" w:line="276"/>
      </w:pPr>
      <w:r>
        <w:rPr>
          <w:b/>
        </w:rPr>
        <w:t xml:space="preserve">Abstract (EN): </w:t>
      </w:r>
      <w:r>
        <w:t>Myelin is the lipid‐rich membrane that surrounds neuronal axons and is essential for neurological function in vertebrates. The development of therapeutics that stimulate myelin repair to treat demyelinating disorders such as multiple sclerosis is hampered by the inability to distinguish newly synthesised from pre‐existing myelin. This study aimed to develop a method to quantify and localise new myelin lipid synthesis in the mouse brain. Deuterium oxide was administered for two weeks in the drinking water of mice fed normal chow, chow containing the demyelinating toxin cuprizone, or during spontaneous remyelination following cuprizone withdrawal. Liquid chromatography‐tandem mass spectrometry and mass spectrometry imaging were used to quantify and localise the newly synthesised, deuterated lipids. While most glycerophospholipids were constitutively deuterated, deuteration of myelin‐enriched sulfatides, hexosylceramides, and phosphatidylethanolamine plasmalogens was only apparent during remyelination. Most deuterium atoms were found in the fatty acyl chains, indicative of de novo lipid synthesis. Deuterated hexosylceramide and phosphatidylethanolamine plasmalogen species were localised primarily to the corpus callosum, the white matter tract that is most heavily affected by cuprizone. The method described herein provides the means to quantify and spatially profile dynamic lipid synthesis across diverse biological contexts, including understanding myelin homeostasis and preclinical evaluation of remyelinating therapeutics.</w:t>
      </w:r>
    </w:p>
    <w:p>
      <w:pPr>
        <w:spacing w:before="120" w:after="120"/>
      </w:pPr>
      <w:r>
        <w:rPr>
          <w:sz w:val="18"/>
        </w:rPr>
        <w:t>——————————————————————————————————————————————————————————————————————</w:t>
      </w:r>
    </w:p>
    <w:p>
      <w:pPr>
        <w:spacing w:before="160" w:after="40" w:line="240" w:lineRule="auto"/>
      </w:pPr>
      <w:r>
        <w:rPr>
          <w:b/>
        </w:rPr>
        <w:t xml:space="preserve">[89] </w:t>
      </w:r>
      <w:hyperlink r:id="rId379">
        <w:r>
          <w:rPr>
            <w:color w:val="1155CC"/>
            <w:u w:val="single"/>
          </w:rPr>
          <w:t>设计一种具有长期稳定锂提取的互生结构锂离子筛膜</w:t>
        </w:r>
      </w:hyperlink>
    </w:p>
    <w:p>
      <w:pPr>
        <w:spacing w:before="0" w:after="80"/>
      </w:pPr>
      <w:r>
        <w:rPr>
          <w:i/>
          <w:sz w:val="20"/>
        </w:rPr>
        <w:t>EN: Designing an Intergrowth‐Structure Li Ion‐Sieve Membrane for Long‐Term Stable Lithium Extraction</w:t>
      </w:r>
    </w:p>
    <w:p>
      <w:pPr>
        <w:spacing w:before="0" w:after="120"/>
      </w:pPr>
      <w:r>
        <w:rPr>
          <w:b/>
        </w:rPr>
        <w:t xml:space="preserve">Source: </w:t>
      </w:r>
      <w:r>
        <w:t>Wiley: Angewandte Chemie International Edition: Table of Contents</w:t>
      </w:r>
      <w:r>
        <w:t xml:space="preserve">    </w:t>
      </w:r>
      <w:r>
        <w:rPr>
          <w:b/>
        </w:rPr>
        <w:t xml:space="preserve">Pub date: </w:t>
      </w:r>
      <w:r>
        <w:t>2026-03-16 06:34:20+00:00</w:t>
      </w:r>
      <w:r>
        <w:t xml:space="preserve">    </w:t>
      </w:r>
      <w:r>
        <w:rPr>
          <w:b/>
        </w:rPr>
        <w:t xml:space="preserve">DOI: </w:t>
      </w:r>
      <w:hyperlink r:id="rId380">
        <w:r>
          <w:rPr>
            <w:color w:val="1155CC"/>
            <w:u w:val="single"/>
          </w:rPr>
          <w:t>10.1002/anie.202525608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从海水中提取锂提供了额外的锂来源，但受到Li</w:t>
      </w:r>
      <w:r>
        <w:t xml:space="preserve"> </w:t>
      </w:r>
      <w:r>
        <w:t>1.5</w:t>
      </w:r>
      <w:r>
        <w:t xml:space="preserve"> </w:t>
      </w:r>
      <w:r>
        <w:t>Al</w:t>
      </w:r>
      <w:r>
        <w:t xml:space="preserve"> </w:t>
      </w:r>
      <w:r>
        <w:t>0.5</w:t>
      </w:r>
      <w:r>
        <w:t xml:space="preserve"> </w:t>
      </w:r>
      <w:r>
        <w:t>Ge</w:t>
      </w:r>
      <w:r>
        <w:t xml:space="preserve"> </w:t>
      </w:r>
      <w:r>
        <w:t>1.5</w:t>
      </w:r>
      <w:r>
        <w:t xml:space="preserve"> </w:t>
      </w:r>
      <w:r>
        <w:t>(PO</w:t>
      </w:r>
      <w:r>
        <w:rPr>
          <w:vertAlign w:val="subscript"/>
        </w:rPr>
        <w:t>4</w:t>
      </w:r>
      <w:r>
        <w:t>)</w:t>
      </w:r>
      <w:r>
        <w:rPr>
          <w:vertAlign w:val="subscript"/>
        </w:rPr>
        <w:t>3</w:t>
      </w:r>
      <w:r>
        <w:t>(LAGP)腐蚀和传统涂层层附着力弱的阻碍。在此，我们提出一种渗透生长策略，以在LAGP膜上构建交错生长的TiO</w:t>
      </w:r>
      <w:r>
        <w:rPr>
          <w:vertAlign w:val="subscript"/>
        </w:rPr>
        <w:t>2</w:t>
      </w:r>
      <w:r>
        <w:t>保护层（具有交错生长层的LAGP膜），用于长期稳定地从海水中提取锂。酸性TiO</w:t>
      </w:r>
      <w:r>
        <w:rPr>
          <w:vertAlign w:val="subscript"/>
        </w:rPr>
        <w:t>2</w:t>
      </w:r>
      <w:r>
        <w:t>溶胶被旋涂到抛光的LAGP膜上并烧结，</w:t>
      </w:r>
    </w:p>
    <w:p>
      <w:pPr>
        <w:spacing w:before="0" w:after="200" w:lineRule="auto" w:line="276"/>
      </w:pPr>
      <w:r>
        <w:rPr>
          <w:b/>
        </w:rPr>
        <w:t xml:space="preserve">Abstract (EN): </w:t>
      </w:r>
      <w:r>
        <w:t>Extracting lithium from seawater offers an additional Li source but is hindered by corrosion of Li</w:t>
      </w:r>
      <w:r>
        <w:t xml:space="preserve"> </w:t>
      </w:r>
      <w:r>
        <w:t>1.5</w:t>
      </w:r>
      <w:r>
        <w:t xml:space="preserve"> </w:t>
      </w:r>
      <w:r>
        <w:t>Al</w:t>
      </w:r>
      <w:r>
        <w:t xml:space="preserve"> </w:t>
      </w:r>
      <w:r>
        <w:t>0.5</w:t>
      </w:r>
      <w:r>
        <w:t xml:space="preserve"> </w:t>
      </w:r>
      <w:r>
        <w:t>Ge</w:t>
      </w:r>
      <w:r>
        <w:t xml:space="preserve"> </w:t>
      </w:r>
      <w:r>
        <w:t>1.5</w:t>
      </w:r>
      <w:r>
        <w:t xml:space="preserve"> </w:t>
      </w:r>
      <w:r>
        <w:t>(PO</w:t>
      </w:r>
      <w:r>
        <w:rPr>
          <w:vertAlign w:val="subscript"/>
        </w:rPr>
        <w:t>4</w:t>
      </w:r>
      <w:r>
        <w:t>)</w:t>
      </w:r>
      <w:r>
        <w:rPr>
          <w:vertAlign w:val="subscript"/>
        </w:rPr>
        <w:t>3</w:t>
      </w:r>
      <w:r>
        <w:t>(LAGP) and weak adhesion of conventional coating layers. Here we propose a permeation growth strategy to construct an intergrowth TiO</w:t>
      </w:r>
      <w:r>
        <w:rPr>
          <w:vertAlign w:val="subscript"/>
        </w:rPr>
        <w:t>2</w:t>
      </w:r>
      <w:r>
        <w:t>protection layer on a LAGP membrane (LAGP membrane with intergrowth layer) for long‐term stable lithium extraction from seawater. An acidic TiO</w:t>
      </w:r>
      <w:r>
        <w:rPr>
          <w:vertAlign w:val="subscript"/>
        </w:rPr>
        <w:t>2</w:t>
      </w:r>
      <w:r>
        <w:t>sol is spin‐coated onto a polished LAGP membrane and sintered, during which acid etching and Ti</w:t>
      </w:r>
      <w:r>
        <w:t xml:space="preserve"> </w:t>
      </w:r>
      <w:r>
        <w:t>4+</w:t>
      </w:r>
      <w:r>
        <w:t xml:space="preserve"> </w:t>
      </w:r>
      <w:r>
        <w:t>/Ge</w:t>
      </w:r>
      <w:r>
        <w:t xml:space="preserve"> </w:t>
      </w:r>
      <w:r>
        <w:t>4+</w:t>
      </w:r>
      <w:r>
        <w:t xml:space="preserve"> </w:t>
      </w:r>
      <w:r>
        <w:t>ion exchange generate a lattice‐matched Li</w:t>
      </w:r>
      <w:r>
        <w:t xml:space="preserve"> </w:t>
      </w:r>
      <w:r>
        <w:t>1+x</w:t>
      </w:r>
      <w:r>
        <w:t xml:space="preserve"> </w:t>
      </w:r>
      <w:r>
        <w:t>Al</w:t>
      </w:r>
      <w:r>
        <w:t xml:space="preserve"> </w:t>
      </w:r>
      <w:r>
        <w:t>x</w:t>
      </w:r>
      <w:r>
        <w:t xml:space="preserve"> </w:t>
      </w:r>
      <w:r>
        <w:t>Ti</w:t>
      </w:r>
      <w:r>
        <w:t xml:space="preserve"> </w:t>
      </w:r>
      <w:r>
        <w:t>2‐x</w:t>
      </w:r>
      <w:r>
        <w:t xml:space="preserve"> </w:t>
      </w:r>
      <w:r>
        <w:t>(PO</w:t>
      </w:r>
      <w:r>
        <w:rPr>
          <w:vertAlign w:val="subscript"/>
        </w:rPr>
        <w:t>4</w:t>
      </w:r>
      <w:r>
        <w:t>)</w:t>
      </w:r>
      <w:r>
        <w:rPr>
          <w:vertAlign w:val="subscript"/>
        </w:rPr>
        <w:t>3</w:t>
      </w:r>
      <w:r>
        <w:t>/LAGP interfacial phase beneath a dense TiO</w:t>
      </w:r>
      <w:r>
        <w:rPr>
          <w:vertAlign w:val="subscript"/>
        </w:rPr>
        <w:t>2</w:t>
      </w:r>
      <w:r>
        <w:t>intergrowth layer. This intergrowth‐structure eliminates interfacial gaps, enhances peel strength and hardness, and provides continuous Li</w:t>
      </w:r>
      <w:r>
        <w:t xml:space="preserve"> </w:t>
      </w:r>
      <w:r>
        <w:t>+</w:t>
      </w:r>
      <w:r>
        <w:t xml:space="preserve"> </w:t>
      </w:r>
      <w:r>
        <w:t>transport pathways, delivering an ionic conductivity of 2.40 × 10</w:t>
      </w:r>
      <w:r>
        <w:t xml:space="preserve"> </w:t>
      </w:r>
      <w:r>
        <w:t>−4</w:t>
      </w:r>
      <w:r>
        <w:t xml:space="preserve"> </w:t>
      </w:r>
      <w:r>
        <w:t>S cm</w:t>
      </w:r>
      <w:r>
        <w:t xml:space="preserve"> </w:t>
      </w:r>
      <w:r>
        <w:t>−1</w:t>
      </w:r>
      <w:r>
        <w:t xml:space="preserve"> </w:t>
      </w:r>
      <w:r>
        <w:t>at room temperature and excellent chemical stability in seawater. Applied in a lithium extraction device using natural seawater as anolyte and an organic electrolyte as catholyte, the LAGP membrane with intergrowth layer maintains integrity, Li</w:t>
      </w:r>
      <w:r>
        <w:t xml:space="preserve"> </w:t>
      </w:r>
      <w:r>
        <w:t>+</w:t>
      </w:r>
      <w:r>
        <w:t xml:space="preserve"> </w:t>
      </w:r>
      <w:r>
        <w:t>/Na</w:t>
      </w:r>
      <w:r>
        <w:t xml:space="preserve"> </w:t>
      </w:r>
      <w:r>
        <w:t>+</w:t>
      </w:r>
      <w:r>
        <w:t xml:space="preserve"> </w:t>
      </w:r>
      <w:r>
        <w:t>selectivity, and stable operation for 650 h, achieving a Coulombic efficiency of 97.4% and an energy consumption of 17.4 kWh kg</w:t>
      </w:r>
      <w:r>
        <w:t xml:space="preserve"> </w:t>
      </w:r>
      <w:r>
        <w:t>−1</w:t>
      </w:r>
      <w:r>
        <w:t xml:space="preserve"> </w:t>
      </w:r>
      <w:r>
        <w:t>Li</w:t>
      </w:r>
      <w:r>
        <w:t xml:space="preserve"> </w:t>
      </w:r>
      <w:r>
        <w:t>. This permeation growth strategy offers a general route to construct intergrowth‐structure Li ion‐sieve membranes with chemical stability and Li</w:t>
      </w:r>
      <w:r>
        <w:t xml:space="preserve"> </w:t>
      </w:r>
      <w:r>
        <w:t>+</w:t>
      </w:r>
      <w:r>
        <w:t xml:space="preserve"> </w:t>
      </w:r>
      <w:r>
        <w:t>transport for seawater lithium extraction.</w:t>
      </w:r>
    </w:p>
    <w:p>
      <w:pPr>
        <w:spacing w:before="120" w:after="120"/>
      </w:pPr>
      <w:r>
        <w:rPr>
          <w:sz w:val="18"/>
        </w:rPr>
        <w:t>——————————————————————————————————————————————————————————————————————</w:t>
      </w:r>
    </w:p>
    <w:p>
      <w:pPr>
        <w:spacing w:before="160" w:after="40" w:line="240" w:lineRule="auto"/>
      </w:pPr>
      <w:r>
        <w:rPr>
          <w:b/>
        </w:rPr>
        <w:t xml:space="preserve">[90] </w:t>
      </w:r>
      <w:hyperlink r:id="rId381">
        <w:r>
          <w:rPr>
            <w:color w:val="1155CC"/>
            <w:u w:val="single"/>
          </w:rPr>
          <w:t>在无手性准二维钙钛矿铁电体中表现出异常大的A位阳离子的手性非线性光学响应</w:t>
        </w:r>
      </w:hyperlink>
    </w:p>
    <w:p>
      <w:pPr>
        <w:spacing w:before="0" w:after="80"/>
      </w:pPr>
      <w:r>
        <w:rPr>
          <w:i/>
          <w:sz w:val="20"/>
        </w:rPr>
        <w:t>EN: Chiral Nonlinear Optical Response in Achiral Quasi‐2D Perovskite Ferroelectric Featuring Unusually Large A‐Site Cation</w:t>
      </w:r>
    </w:p>
    <w:p>
      <w:pPr>
        <w:spacing w:before="0" w:after="120"/>
      </w:pPr>
      <w:r>
        <w:rPr>
          <w:b/>
        </w:rPr>
        <w:t xml:space="preserve">Source: </w:t>
      </w:r>
      <w:r>
        <w:t>Wiley: Angewandte Chemie International Edition: Table of Contents</w:t>
      </w:r>
      <w:r>
        <w:t xml:space="preserve">    </w:t>
      </w:r>
      <w:r>
        <w:rPr>
          <w:b/>
        </w:rPr>
        <w:t xml:space="preserve">Pub date: </w:t>
      </w:r>
      <w:r>
        <w:t>2026-03-16 06:35:49+00:00</w:t>
      </w:r>
      <w:r>
        <w:t xml:space="preserve">    </w:t>
      </w:r>
      <w:r>
        <w:rPr>
          <w:b/>
        </w:rPr>
        <w:t xml:space="preserve">DOI: </w:t>
      </w:r>
      <w:hyperlink r:id="rId382">
        <w:r>
          <w:rPr>
            <w:color w:val="1155CC"/>
            <w:u w:val="single"/>
          </w:rPr>
          <w:t>10.1002/anie.3136861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结构可调性和强光学响应，2D钙钛矿和手性非线性光学材料的探索引起了极大兴趣。然而，准2D钙钛矿的发展长期受到传统容忍因子施加的A位阳离子选择限制。在本研究中，我们提出了一种新的2D三层铅溴钙钛矿(4AM)</w:t>
      </w:r>
      <w:r>
        <w:rPr>
          <w:vertAlign w:val="subscript"/>
        </w:rPr>
        <w:t>4</w:t>
      </w:r>
      <w:r>
        <w:t>Pb</w:t>
      </w:r>
      <w:r>
        <w:rPr>
          <w:vertAlign w:val="subscript"/>
        </w:rPr>
        <w:t>3</w:t>
      </w:r>
      <w:r>
        <w:t>Br</w:t>
      </w:r>
      <w:r>
        <w:rPr>
          <w:vertAlign w:val="subscript"/>
        </w:rPr>
        <w:t>10</w:t>
      </w:r>
      <w:r>
        <w:t>(</w:t>
      </w:r>
      <w:r>
        <w:t xml:space="preserve"> </w:t>
      </w:r>
      <w:r>
        <w:t>n</w:t>
      </w:r>
      <w:r>
        <w:t xml:space="preserve"> </w:t>
      </w:r>
      <w:r>
        <w:t>= 3)，其通用公式为(A</w:t>
      </w:r>
      <w:r>
        <w:t xml:space="preserve"> </w:t>
      </w:r>
      <w:r>
        <w:t>′</w:t>
      </w:r>
      <w:r>
        <w:t xml:space="preserve"> </w:t>
      </w:r>
      <w:r>
        <w:t>)</w:t>
      </w:r>
      <w:r>
        <w:rPr>
          <w:vertAlign w:val="subscript"/>
        </w:rPr>
        <w:t>2</w:t>
      </w:r>
      <w:r>
        <w:t>(A)</w:t>
      </w:r>
      <w:r>
        <w:t xml:space="preserve"> </w:t>
      </w:r>
      <w:r>
        <w:t>n</w:t>
      </w:r>
      <w:r>
        <w:t xml:space="preserve"> </w:t>
      </w:r>
      <w:r>
        <w:t>。</w:t>
      </w:r>
    </w:p>
    <w:p>
      <w:pPr>
        <w:spacing w:before="0" w:after="200" w:lineRule="auto" w:line="276"/>
      </w:pPr>
      <w:r>
        <w:rPr>
          <w:b/>
        </w:rPr>
        <w:t xml:space="preserve">Abstract (EN): </w:t>
      </w:r>
      <w:r>
        <w:t>The exploration of 2D perovskites and chiral nonlinear optical materials has drawn significant interest due to their structural tunability and strong optical responses. However, the development of quasi‐2D perovskites has long been constrained by the limited choice of A‐site cations imposed by the traditional tolerance factor. In this study, we present a new 2D tri‐layered lead bromide perovskite (4AM)</w:t>
      </w:r>
      <w:r>
        <w:rPr>
          <w:vertAlign w:val="subscript"/>
        </w:rPr>
        <w:t>4</w:t>
      </w:r>
      <w:r>
        <w:t>Pb</w:t>
      </w:r>
      <w:r>
        <w:rPr>
          <w:vertAlign w:val="subscript"/>
        </w:rPr>
        <w:t>3</w:t>
      </w:r>
      <w:r>
        <w:t>Br</w:t>
      </w:r>
      <w:r>
        <w:rPr>
          <w:vertAlign w:val="subscript"/>
        </w:rPr>
        <w:t>10</w:t>
      </w:r>
      <w:r>
        <w:t>(</w:t>
      </w:r>
      <w:r>
        <w:t xml:space="preserve"> </w:t>
      </w:r>
      <w:r>
        <w:t>n</w:t>
      </w:r>
      <w:r>
        <w:t xml:space="preserve"> </w:t>
      </w:r>
      <w:r>
        <w:t>= 3) with the general formula (A</w:t>
      </w:r>
      <w:r>
        <w:t xml:space="preserve"> </w:t>
      </w:r>
      <w:r>
        <w:t>′</w:t>
      </w:r>
      <w:r>
        <w:t xml:space="preserve"> </w:t>
      </w:r>
      <w:r>
        <w:t>)</w:t>
      </w:r>
      <w:r>
        <w:rPr>
          <w:vertAlign w:val="subscript"/>
        </w:rPr>
        <w:t>2</w:t>
      </w:r>
      <w:r>
        <w:t>(A)</w:t>
      </w:r>
      <w:r>
        <w:t xml:space="preserve"> </w:t>
      </w:r>
      <w:r>
        <w:t>n</w:t>
      </w:r>
      <w:r>
        <w:t xml:space="preserve"> </w:t>
      </w:r>
      <w:r>
        <w:t>−1</w:t>
      </w:r>
      <w:r>
        <w:t xml:space="preserve"> </w:t>
      </w:r>
      <w:r>
        <w:t>M</w:t>
      </w:r>
      <w:r>
        <w:t xml:space="preserve"> </w:t>
      </w:r>
      <w:r>
        <w:t>n</w:t>
      </w:r>
      <w:r>
        <w:t xml:space="preserve"> </w:t>
      </w:r>
      <w:r>
        <w:t>X</w:t>
      </w:r>
      <w:r>
        <w:rPr>
          <w:vertAlign w:val="subscript"/>
        </w:rPr>
        <w:t>3</w:t>
      </w:r>
      <w:r>
        <w:t xml:space="preserve"> </w:t>
      </w:r>
      <w:r>
        <w:t>n</w:t>
      </w:r>
      <w:r>
        <w:t xml:space="preserve"> </w:t>
      </w:r>
      <w:r>
        <w:t>+1</w:t>
      </w:r>
      <w:r>
        <w:t xml:space="preserve"> </w:t>
      </w:r>
      <w:r>
        <w:t>, in which 4‐aminomonpholine cations (4AM) that act simultaneously as A‐site and spacer components, exhibiting an ultrahigh tolerance factor of 1.74—far beyond conventional limits. Crystallizing in the polar space group</w:t>
      </w:r>
      <w:r>
        <w:t xml:space="preserve"> </w:t>
      </w:r>
      <w:r>
        <w:t>Cc</w:t>
      </w:r>
      <w:r>
        <w:t xml:space="preserve"> </w:t>
      </w:r>
      <w:r>
        <w:t>, the compound shows an order‐disorder ferroelectric phase transition at 418 K. Interestingly it also exhibits notable chiral nonlinear optical properties, including strong second‐harmonic generation circular dichroism (</w:t>
      </w:r>
      <w:r>
        <w:t xml:space="preserve"> </w:t>
      </w:r>
      <w:r>
        <w:t>g</w:t>
      </w:r>
      <w:r>
        <w:t xml:space="preserve"> </w:t>
      </w:r>
      <w:r>
        <w:t>SHG‐CD</w:t>
      </w:r>
      <w:r>
        <w:t xml:space="preserve"> </w:t>
      </w:r>
      <w:r>
        <w:t>≈ 0.63). This work breaks the classic tolerance factor constraint and opens a pathway for designing new chiral nonlinear optical materials in low‐dimensional perovskites.</w:t>
      </w:r>
    </w:p>
    <w:p>
      <w:pPr>
        <w:spacing w:before="120" w:after="120"/>
      </w:pPr>
      <w:r>
        <w:rPr>
          <w:sz w:val="18"/>
        </w:rPr>
        <w:t>——————————————————————————————————————————————————————————————————————</w:t>
      </w:r>
    </w:p>
    <w:p>
      <w:pPr>
        <w:spacing w:before="160" w:after="40" w:line="240" w:lineRule="auto"/>
      </w:pPr>
      <w:r>
        <w:rPr>
          <w:b/>
        </w:rPr>
        <w:t xml:space="preserve">[91] </w:t>
      </w:r>
      <w:hyperlink r:id="rId383">
        <w:r>
          <w:rPr>
            <w:color w:val="1155CC"/>
            <w:u w:val="single"/>
          </w:rPr>
          <w:t>NiH催化的碳酰化合物的对映收敛α-烯基化通过Markovnikov炔烃氢镍化</w:t>
        </w:r>
      </w:hyperlink>
    </w:p>
    <w:p>
      <w:pPr>
        <w:spacing w:before="0" w:after="80"/>
      </w:pPr>
      <w:r>
        <w:rPr>
          <w:i/>
          <w:sz w:val="20"/>
        </w:rPr>
        <w:t>EN: NiH‐Catalyzed Enantioconvergent α‐Alkenylation of Carbonyl Compounds via Markovnikov Alkyne Hydronickellation</w:t>
      </w:r>
    </w:p>
    <w:p>
      <w:pPr>
        <w:spacing w:before="0" w:after="120"/>
      </w:pPr>
      <w:r>
        <w:rPr>
          <w:b/>
        </w:rPr>
        <w:t xml:space="preserve">Source: </w:t>
      </w:r>
      <w:r>
        <w:t>Wiley: Angewandte Chemie International Edition: Table of Contents</w:t>
      </w:r>
      <w:r>
        <w:t xml:space="preserve">    </w:t>
      </w:r>
      <w:r>
        <w:rPr>
          <w:b/>
        </w:rPr>
        <w:t xml:space="preserve">Pub date: </w:t>
      </w:r>
      <w:r>
        <w:t>2026-03-16 06:44:59+00:00</w:t>
      </w:r>
      <w:r>
        <w:t xml:space="preserve">    </w:t>
      </w:r>
      <w:r>
        <w:rPr>
          <w:b/>
        </w:rPr>
        <w:t xml:space="preserve">DOI: </w:t>
      </w:r>
      <w:hyperlink r:id="rId384">
        <w:r>
          <w:rPr>
            <w:color w:val="1155CC"/>
            <w:u w:val="single"/>
          </w:rPr>
          <w:t>10.1002/anie.8854855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β-亚甲基羰基基序构成了特权的结构框架，作为药效团发挥重要作用，并作为组装结构复杂分子的关键中间体。尽管它们在合成中具有重要性，但其制备的非对称方法仍然稀缺，并且主要限于底物控制或化学计量手性辅助方法。在此，我们报告了一种镍氢催化的对映收敛α-烯基化羰基化合物与炔烃的反应，提供了一种直接且通用的途径来制备α-手性β-亚甲基羰基衍生物。该转化过程</w:t>
      </w:r>
    </w:p>
    <w:p>
      <w:pPr>
        <w:spacing w:before="0" w:after="200" w:lineRule="auto" w:line="276"/>
      </w:pPr>
      <w:r>
        <w:rPr>
          <w:b/>
        </w:rPr>
        <w:t xml:space="preserve">Abstract (EN): </w:t>
      </w:r>
      <w:r>
        <w:t>β</w:t>
      </w:r>
      <w:r>
        <w:t xml:space="preserve"> </w:t>
      </w:r>
      <w:r>
        <w:t>‐Methylene carbonyl motifs constitute privileged structural frameworks that play vital roles as a pharmacophore and serve as key intermediates in the assembly of architecturally complex molecules. Despite their synthetic importance, asymmetric approaches for their preparation remain scarce and are largely confined to substrate‐controlled or stoichiometric chiral auxiliary methods. Herein, we report a nickel hydride‐catalyzed enantioconvergent</w:t>
      </w:r>
      <w:r>
        <w:t xml:space="preserve"> </w:t>
      </w:r>
      <w:r>
        <w:t>α</w:t>
      </w:r>
      <w:r>
        <w:t xml:space="preserve"> </w:t>
      </w:r>
      <w:r>
        <w:t>‐alkenylation of carbonyl compounds with alkynes, providing a direct and general route to</w:t>
      </w:r>
      <w:r>
        <w:t xml:space="preserve"> </w:t>
      </w:r>
      <w:r>
        <w:t>α</w:t>
      </w:r>
      <w:r>
        <w:t xml:space="preserve"> </w:t>
      </w:r>
      <w:r>
        <w:t>‐chiral</w:t>
      </w:r>
      <w:r>
        <w:t xml:space="preserve"> </w:t>
      </w:r>
      <w:r>
        <w:t>β</w:t>
      </w:r>
      <w:r>
        <w:t xml:space="preserve"> </w:t>
      </w:r>
      <w:r>
        <w:t>‐methylene carbonyl derivatives. The transformation proceeds via Markovnikov‐selective alkyne hydronickellation followed by nickel‐radical recombination to forge the</w:t>
      </w:r>
      <w:r>
        <w:t xml:space="preserve"> </w:t>
      </w:r>
      <w:r>
        <w:t>α</w:t>
      </w:r>
      <w:r>
        <w:t xml:space="preserve"> </w:t>
      </w:r>
      <w:r>
        <w:t>‐stereogenic center, delivering the desired products with high levels of regio‐ and enantioselectivity. The protocol accommodates a wide range of alkynes and</w:t>
      </w:r>
      <w:r>
        <w:t xml:space="preserve"> </w:t>
      </w:r>
      <w:r>
        <w:t>α</w:t>
      </w:r>
      <w:r>
        <w:t xml:space="preserve"> </w:t>
      </w:r>
      <w:r>
        <w:t>‐halocarbonyl partners, displays excellent functional group tolerance, and can be applied to the modification of biologically relevant molecules. Mechanistic investigations indicate that a partially protic Ni(II)H species governs the observed regioselectivity, while enantio‐discrimination occurs during the radical capture step. This work establishes NiH catalysis as a versatile platform for expanding the synthetic repertoire for enantioenriched</w:t>
      </w:r>
      <w:r>
        <w:t xml:space="preserve"> </w:t>
      </w:r>
      <w:r>
        <w:t>β</w:t>
      </w:r>
      <w:r>
        <w:t xml:space="preserve"> </w:t>
      </w:r>
      <w:r>
        <w:t>‐methylene carbonyl architectures.</w:t>
      </w:r>
    </w:p>
    <w:p>
      <w:pPr>
        <w:spacing w:before="120" w:after="120"/>
      </w:pPr>
      <w:r>
        <w:rPr>
          <w:sz w:val="18"/>
        </w:rPr>
        <w:t>——————————————————————————————————————————————————————————————————————</w:t>
      </w:r>
    </w:p>
    <w:p>
      <w:pPr>
        <w:spacing w:before="160" w:after="40" w:line="240" w:lineRule="auto"/>
      </w:pPr>
      <w:r>
        <w:rPr>
          <w:b/>
        </w:rPr>
        <w:t xml:space="preserve">[92] </w:t>
      </w:r>
      <w:hyperlink r:id="rId385">
        <w:r>
          <w:rPr>
            <w:color w:val="1155CC"/>
            <w:u w:val="single"/>
          </w:rPr>
          <w:t>关于CUB2结构域在肠肽酶介导的胰蛋白酶原激活中的作用的结构见解</w:t>
        </w:r>
      </w:hyperlink>
    </w:p>
    <w:p>
      <w:pPr>
        <w:spacing w:before="0" w:after="80"/>
      </w:pPr>
      <w:r>
        <w:rPr>
          <w:i/>
          <w:sz w:val="20"/>
        </w:rPr>
        <w:t>EN: Structural insight into the CUB2 domain’s role in enteropeptidase-mediated trypsinogen activation</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386">
        <w:r>
          <w:rPr>
            <w:color w:val="1155CC"/>
            <w:u w:val="single"/>
          </w:rPr>
          <w:t>10.1073/pnas.2521394123</w:t>
        </w:r>
      </w:hyperlink>
    </w:p>
    <w:p>
      <w:pPr>
        <w:spacing w:before="0" w:after="120"/>
      </w:pPr>
      <w:r>
        <w:rPr>
          <w:b/>
        </w:rPr>
        <w:t xml:space="preserve">Notes: </w:t>
      </w:r>
      <w:r>
        <w:t>abstract_source=crossref</w:t>
      </w:r>
    </w:p>
    <w:p>
      <w:pPr>
        <w:spacing w:before="0" w:after="80" w:lineRule="auto" w:line="276"/>
      </w:pPr>
      <w:r>
        <w:rPr>
          <w:b/>
        </w:rPr>
        <w:t xml:space="preserve">摘要（ZH）: </w:t>
      </w:r>
      <w:r>
        <w:t>阐明肠肽酶（EP）的结构和功能对于推进我们对其生物学意义的理解至关重要，特别是在调节胰蛋白酶原激活方面。通过使用冷冻电镜和酶活性，我们揭示了CUB2结构域在介导大分子底物切割中的重要性。我们确定了EP蛋白水解功能的关键结合环和关键残基。突变E574A增强了EP的蛋白水解活性，而突变N619A降低了其切割效率，突显了表面电荷相互作用在调节EP活性中的重要性。提出了一个蛋白水解循环，以加深我们对EP激活胰蛋白酶原的理解。这项工作为揭示</w:t>
      </w:r>
    </w:p>
    <w:p>
      <w:pPr>
        <w:spacing w:before="0" w:after="200" w:lineRule="auto" w:line="276"/>
      </w:pPr>
      <w:r>
        <w:rPr>
          <w:b/>
        </w:rPr>
        <w:t xml:space="preserve">Abstract (EN): </w:t>
      </w:r>
      <w:r>
        <w:t>Elucidating the structure and function of enteropeptidase (EP) is essential for advancing our understanding of its biological significance, particularly in regulating trypsinogen activation. Using cryo-EM and enzymatic activity, we uncovered the significance of the CUB2 domain in mediating the cleavage of macromolecular substrates. We identified crucial binding loops and key residues for EP’s proteolytic function. The mutation E574A enhanced the proteolytic activity of EP, whereas the mutation N619A diminished its cleavage efficiency, highlighting the importance of surface-charged interactions in modulating EP’s activity. A proteolytic cycle was proposed to deepen our understanding of the trypsinogen activation by EP. This work offers valuable insights into the molecular mechanisms underlying EP’s interaction with its substrate, and opens up avenues for therapeutically modulating EP-mediated proteolysis.</w:t>
      </w:r>
    </w:p>
    <w:p>
      <w:pPr>
        <w:spacing w:before="120" w:after="120"/>
      </w:pPr>
      <w:r>
        <w:rPr>
          <w:sz w:val="18"/>
        </w:rPr>
        <w:t>——————————————————————————————————————————————————————————————————————</w:t>
      </w:r>
    </w:p>
    <w:p>
      <w:pPr>
        <w:spacing w:before="160" w:after="40" w:line="240" w:lineRule="auto"/>
      </w:pPr>
      <w:r>
        <w:rPr>
          <w:b/>
        </w:rPr>
        <w:t xml:space="preserve">[93] </w:t>
      </w:r>
      <w:hyperlink r:id="rId387">
        <w:r>
          <w:rPr>
            <w:color w:val="1155CC"/>
            <w:u w:val="single"/>
          </w:rPr>
          <w:t>没有因果关系的相关性不支持人类-LLM推理一致性的主张</w:t>
        </w:r>
      </w:hyperlink>
    </w:p>
    <w:p>
      <w:pPr>
        <w:spacing w:before="0" w:after="80"/>
      </w:pPr>
      <w:r>
        <w:rPr>
          <w:i/>
          <w:sz w:val="20"/>
        </w:rPr>
        <w:t>EN: Correlations without causation do not support claims of human–LLM reasoning alignment</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388">
        <w:r>
          <w:rPr>
            <w:color w:val="1155CC"/>
            <w:u w:val="single"/>
          </w:rPr>
          <w:t>10.1073/pnas.2536362123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389">
        <w:r>
          <w:rPr>
            <w:color w:val="1155CC"/>
            <w:u w:val="single"/>
          </w:rPr>
          <w:t>由去泛素化酶DUO-1在秀丽隐杆线虫中主动维持减数分裂特异性染色体结构</w:t>
        </w:r>
      </w:hyperlink>
    </w:p>
    <w:p>
      <w:pPr>
        <w:spacing w:before="0" w:after="80"/>
      </w:pPr>
      <w:r>
        <w:rPr>
          <w:i/>
          <w:sz w:val="20"/>
        </w:rPr>
        <w:t>EN: Active maintenance of meiosis-specific chromosome structures in Caenorhabditis elegans by the deubiquitinase DUO-1</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390">
        <w:r>
          <w:rPr>
            <w:color w:val="1155CC"/>
            <w:u w:val="single"/>
          </w:rPr>
          <w:t>10.1073/pnas.2532671123</w:t>
        </w:r>
      </w:hyperlink>
    </w:p>
    <w:p>
      <w:pPr>
        <w:spacing w:before="0" w:after="120"/>
      </w:pPr>
      <w:r>
        <w:rPr>
          <w:b/>
        </w:rPr>
        <w:t xml:space="preserve">Notes: </w:t>
      </w:r>
      <w:r>
        <w:t>abstract_source=crossref</w:t>
      </w:r>
    </w:p>
    <w:p>
      <w:pPr>
        <w:spacing w:before="0" w:after="80" w:lineRule="auto" w:line="276"/>
      </w:pPr>
      <w:r>
        <w:rPr>
          <w:b/>
        </w:rPr>
        <w:t xml:space="preserve">摘要（ZH）: </w:t>
      </w:r>
      <w:r>
        <w:t>减数分裂前期的特征是一个动态程序，其中生殖细胞经历一系列复杂的蛋白质复合物的结合和解离，这些复合物驱动减数分裂特定染色体结构的组装、重塑和解体，以及染色体压缩的显著变化。未能正确协调这些过程可能导致染色体分离不当，产生非整倍体配子和不可存活的合子。在此，我们研究了</w:t>
      </w:r>
      <w:r>
        <w:t xml:space="preserve"> </w:t>
      </w:r>
      <w:r>
        <w:t>Caenorhabditis elegans</w:t>
      </w:r>
      <w:r>
        <w:t xml:space="preserve"> </w:t>
      </w:r>
      <w:r>
        <w:t>DUO-1的作用，DUO-1是哺乳动物泛素特异性蛋白酶USP26和USP29的同源物，在减数分裂前期介导这些动态染色体事件。对</w:t>
      </w:r>
      <w:r>
        <w:t xml:space="preserve"> </w:t>
      </w:r>
      <w:r>
        <w:t>duo-1</w:t>
      </w:r>
      <w:r>
        <w:t xml:space="preserve"> </w:t>
      </w:r>
      <w:r>
        <w:t>null突变体的细胞学分析表明，DUO-1功能的丧失</w:t>
      </w:r>
    </w:p>
    <w:p>
      <w:pPr>
        <w:spacing w:before="0" w:after="200" w:lineRule="auto" w:line="276"/>
      </w:pPr>
      <w:r>
        <w:rPr>
          <w:b/>
        </w:rPr>
        <w:t xml:space="preserve">Abstract (EN): </w:t>
      </w:r>
      <w:r>
        <w:t>Meiotic prophase is characterized by a dynamic program in which germ cells undergo a complex series of associations and dissociations of protein complexes that drive assembly, remodeling, and disassembly of meiosis-specific chromosome structures and dramatic changes in chromosome compaction. Failure to properly coordinate these processes can result in improper chromosome segregation, producing aneuploid gametes and inviable zygotes. Here, we investigate the roles of</w:t>
      </w:r>
      <w:r>
        <w:t xml:space="preserve"> </w:t>
      </w:r>
      <w:r>
        <w:t>Caenorhabditis elegans</w:t>
      </w:r>
      <w:r>
        <w:t xml:space="preserve"> </w:t>
      </w:r>
      <w:r>
        <w:t>DUO-1, an ortholog of mammalian ubiquitin-specific proteases USP26 and USP29, in mediating these dynamic chromosomal events during meiotic prophase. Cytological analyses of</w:t>
      </w:r>
      <w:r>
        <w:t xml:space="preserve"> </w:t>
      </w:r>
      <w:r>
        <w:t>duo-1</w:t>
      </w:r>
      <w:r>
        <w:t xml:space="preserve"> </w:t>
      </w:r>
      <w:r>
        <w:t>null mutants indicate that loss of DUO-1 function leads to impaired assembly of meiotic chromosome axes and synaptonemal complexes (SCs), loss of integrity of meiotic chromosome axes, ineffective homolog pairing, premature separation of sister chromatids, and late-prophase chromosome decompaction. Further, axis/SC instability in</w:t>
      </w:r>
      <w:r>
        <w:t xml:space="preserve"> </w:t>
      </w:r>
      <w:r>
        <w:t>duo-1</w:t>
      </w:r>
      <w:r>
        <w:t xml:space="preserve"> </w:t>
      </w:r>
      <w:r>
        <w:t>mutants correlates with depletion of REC-8 cohesin complexes and is accompanied by massive accumulation of early DSB repair intermediates. By using a dual-AID-tagged allele to deplete DUO-1 during meiotic development, we demonstrate that DUO-1 is continually required throughout meiotic prophase progression, to promote proper axis/SC assembly in early prophase, to maintain axis/SC stability during the late pachytene stage, and to promote/maintain chromosome compaction at the end of meiotic prophase. Together, our data emphasize the importance of mechanisms that actively maintain meiotic chromosome structure and meiosis-specific chromosome architecture throughout meiotic prophase and implicate DUO-1 as a key player in these active maintenance processes.</w:t>
      </w:r>
    </w:p>
    <w:p>
      <w:pPr>
        <w:spacing w:before="120" w:after="120"/>
      </w:pPr>
      <w:r>
        <w:rPr>
          <w:sz w:val="18"/>
        </w:rPr>
        <w:t>——————————————————————————————————————————————————————————————————————</w:t>
      </w:r>
    </w:p>
    <w:p>
      <w:pPr>
        <w:spacing w:before="160" w:after="40" w:line="240" w:lineRule="auto"/>
      </w:pPr>
      <w:r>
        <w:rPr>
          <w:b/>
        </w:rPr>
        <w:t xml:space="preserve">[95] </w:t>
      </w:r>
      <w:hyperlink r:id="rId391">
        <w:r>
          <w:rPr>
            <w:color w:val="1155CC"/>
            <w:u w:val="single"/>
          </w:rPr>
          <w:t>活细胞3D-SIM揭示裂谷热病毒NSs丝状体的多边形网状结构</w:t>
        </w:r>
      </w:hyperlink>
    </w:p>
    <w:p>
      <w:pPr>
        <w:spacing w:before="0" w:after="80"/>
      </w:pPr>
      <w:r>
        <w:rPr>
          <w:i/>
          <w:sz w:val="20"/>
        </w:rPr>
        <w:t>EN: Live-cell 3D-SIM of Rift Valley fever virus NSs filaments reveals a polygon web architecture</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392">
        <w:r>
          <w:rPr>
            <w:color w:val="1155CC"/>
            <w:u w:val="single"/>
          </w:rPr>
          <w:t>10.1073/pnas.2534404123</w:t>
        </w:r>
      </w:hyperlink>
    </w:p>
    <w:p>
      <w:pPr>
        <w:spacing w:before="0" w:after="120"/>
      </w:pPr>
      <w:r>
        <w:rPr>
          <w:b/>
        </w:rPr>
        <w:t xml:space="preserve">Notes: </w:t>
      </w:r>
      <w:r>
        <w:t>abstract_source=crossref</w:t>
      </w:r>
    </w:p>
    <w:p>
      <w:pPr>
        <w:spacing w:before="0" w:after="80" w:lineRule="auto" w:line="276"/>
      </w:pPr>
      <w:r>
        <w:rPr>
          <w:b/>
        </w:rPr>
        <w:t xml:space="preserve">摘要（ZH）: </w:t>
      </w:r>
      <w:r>
        <w:t>裂谷热病毒（RVFV）的一个定义特征是NSs蛋白在感染细胞核内形成大型丝状结构[R. Swanepoel, N. K. Blackburn,</w:t>
      </w:r>
      <w:r>
        <w:t xml:space="preserve"> </w:t>
      </w:r>
      <w:r>
        <w:t>J. Gen. Virol.</w:t>
      </w:r>
      <w:r>
        <w:rPr>
          <w:vertAlign w:val="subscript"/>
        </w:rPr>
        <w:t>34</w:t>
      </w:r>
      <w:r>
        <w:t>, 557–561 (1977).]，这是从固定标本中判断的。为了深入了解活细胞核内NSs丝状结构的3D结构，我们使用遗传密码扩展（GCE）将反-环辛-2-烯-L-赖氨酸引入蛋白质中。这使得能够使用四唑染料进行活细胞结构化照明显微镜（SIM）的位点特异性荧光标记。我们的超分辨图像揭示了NSs丝状结构的完整天然架构，呈现出具有离散域特征的微米级多边形纤维网，推翻了之前的</w:t>
      </w:r>
    </w:p>
    <w:p>
      <w:pPr>
        <w:spacing w:before="0" w:after="200" w:lineRule="auto" w:line="276"/>
      </w:pPr>
      <w:r>
        <w:rPr>
          <w:b/>
        </w:rPr>
        <w:t xml:space="preserve">Abstract (EN): </w:t>
      </w:r>
      <w:r>
        <w:t>A defining feature of Rift Valley fever virus (RVFV) is the incorporation of the NSs protein into large filamentous assemblies inside infected nuclei [R. Swanepoel, N. K. Blackburn,</w:t>
      </w:r>
      <w:r>
        <w:t xml:space="preserve"> </w:t>
      </w:r>
      <w:r>
        <w:t>J. Gen. Virol.</w:t>
      </w:r>
      <w:r>
        <w:rPr>
          <w:vertAlign w:val="subscript"/>
        </w:rPr>
        <w:t>34</w:t>
      </w:r>
      <w:r>
        <w:t>, 557–561 (1977).], as judged from fixed specimens. To gain insight into the 3D structure of NSs filaments within live-cell nuclei, we used genetic-code expansion (GCE) to incorporate trans-cyclooct-2-en-L-lysine into the protein. This enabled site-specific fluorescent labeling with tetrazine dyes for live-cell structured illumination microscopy (SIM). Our superresolved images revealed the complete native architecture of NSs filaments as a micron-scale polygon web of fibers with discrete domain characteristics, overturning previous assumptions of simple linear filaments. Parallel experiments on fixed RVFV-infected cells confirmed that native NSs filaments also display this morphology. Overall, our 3D-SIM analysis reveals distinct structural plasticity within NSs filaments, establishing a quantitative structure–function relationship that support the importance of polygon organization for NSs filament function during RVFV infection.</w:t>
      </w:r>
    </w:p>
    <w:p>
      <w:pPr>
        <w:spacing w:before="120" w:after="120"/>
      </w:pPr>
      <w:r>
        <w:rPr>
          <w:sz w:val="18"/>
        </w:rPr>
        <w:t>——————————————————————————————————————————————————————————————————————</w:t>
      </w:r>
    </w:p>
    <w:p>
      <w:pPr>
        <w:spacing w:before="160" w:after="40" w:line="240" w:lineRule="auto"/>
      </w:pPr>
      <w:r>
        <w:rPr>
          <w:b/>
        </w:rPr>
        <w:t xml:space="preserve">[96] </w:t>
      </w:r>
      <w:hyperlink r:id="rId393">
        <w:r>
          <w:rPr>
            <w:color w:val="1155CC"/>
            <w:u w:val="single"/>
          </w:rPr>
          <w:t>关于智能代理在网络系统中最佳整合以引导合作</w:t>
        </w:r>
      </w:hyperlink>
    </w:p>
    <w:p>
      <w:pPr>
        <w:spacing w:before="0" w:after="80"/>
      </w:pPr>
      <w:r>
        <w:rPr>
          <w:i/>
          <w:sz w:val="20"/>
        </w:rPr>
        <w:t>EN: On the optimal integration of intelligent agents into network systems to steer cooperation</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394">
        <w:r>
          <w:rPr>
            <w:color w:val="1155CC"/>
            <w:u w:val="single"/>
          </w:rPr>
          <w:t>10.1073/pnas.2537939123</w:t>
        </w:r>
      </w:hyperlink>
    </w:p>
    <w:p>
      <w:pPr>
        <w:spacing w:before="0" w:after="120"/>
      </w:pPr>
      <w:r>
        <w:rPr>
          <w:b/>
        </w:rPr>
        <w:t xml:space="preserve">Notes: </w:t>
      </w:r>
      <w:r>
        <w:t>abstract_source=crossref</w:t>
      </w:r>
    </w:p>
    <w:p>
      <w:pPr>
        <w:spacing w:before="0" w:after="80" w:lineRule="auto" w:line="276"/>
      </w:pPr>
      <w:r>
        <w:rPr>
          <w:b/>
        </w:rPr>
        <w:t xml:space="preserve">摘要（ZH）: </w:t>
      </w:r>
      <w:r>
        <w:t>社会技术网络中，人类和技术作为交互实体（也称为“混合系统”）越来越多地面临自动化代理的干扰。这对集体行为的沉浸式引导意味着什么，以及这如何塑造合作的稳定性和弹性，仍不清楚。在此，我们通过引入一种代表嵌入式智能代理的独特节点类型，即在交互过程中自主实施规定行为响应的算法节点，扩展了进化图论。这些代理随机放置在社交网络中，并在社会困境游戏中对其邻域施加局部影响。个体行为变化由进化动力学驱动。我们推导出封闭形式的分析结果，表征</w:t>
      </w:r>
    </w:p>
    <w:p>
      <w:pPr>
        <w:spacing w:before="0" w:after="200" w:lineRule="auto" w:line="276"/>
      </w:pPr>
      <w:r>
        <w:rPr>
          <w:b/>
        </w:rPr>
        <w:t xml:space="preserve">Abstract (EN): </w:t>
      </w:r>
      <w:r>
        <w:t>Sociotechnical networks, in which humans and technologies act as interacting entities (also known as “hybrid systems”), increasingly face perturbations by automated agents. What this implies for immersive steering of collective behavior, and how this shapes the stability and resilience of cooperation, remain unclear. Here, we extend evolutionary graph theory by incorporating a distinct type of node representing embedded intelligent agents, namely, algorithmic nodes that autonomously implement prescribed behavioral responses during interactions. These agents are randomly placed within a social network and exert local influence in their neighborhood in social dilemma games. Individual behavior changes are driven by evolutionary dynamics. We derive closed-form analytical results characterizing evolutionary stability and long-run cooperation levels, and show that there exists an optimal, intermediate prevalence of intelligent agents that best promotes cooperation. Our work offers insights into the optimal alignment of human populations with respect to the social good using intelligent agents.</w:t>
      </w:r>
    </w:p>
    <w:p>
      <w:pPr>
        <w:spacing w:before="120" w:after="120"/>
      </w:pPr>
      <w:r>
        <w:rPr>
          <w:sz w:val="18"/>
        </w:rPr>
        <w:t>——————————————————————————————————————————————————————————————————————</w:t>
      </w:r>
    </w:p>
    <w:p>
      <w:pPr>
        <w:spacing w:before="160" w:after="40" w:line="240" w:lineRule="auto"/>
      </w:pPr>
      <w:r>
        <w:rPr>
          <w:b/>
        </w:rPr>
        <w:t xml:space="preserve">[97] </w:t>
      </w:r>
      <w:hyperlink r:id="rId395">
        <w:r>
          <w:rPr>
            <w:color w:val="1155CC"/>
            <w:u w:val="single"/>
          </w:rPr>
          <w:t>共享能力构成鳃弓和成对鳍序列同源性的基础</w:t>
        </w:r>
      </w:hyperlink>
    </w:p>
    <w:p>
      <w:pPr>
        <w:spacing w:before="0" w:after="80"/>
      </w:pPr>
      <w:r>
        <w:rPr>
          <w:i/>
          <w:sz w:val="20"/>
        </w:rPr>
        <w:t>EN: Shared competence forms the basis of gill arch and paired fin serial homology</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396">
        <w:r>
          <w:rPr>
            <w:color w:val="1155CC"/>
            <w:u w:val="single"/>
          </w:rPr>
          <w:t>10.1073/pnas.2529365123</w:t>
        </w:r>
      </w:hyperlink>
    </w:p>
    <w:p>
      <w:pPr>
        <w:spacing w:before="0" w:after="120"/>
      </w:pPr>
      <w:r>
        <w:rPr>
          <w:b/>
        </w:rPr>
        <w:t xml:space="preserve">Notes: </w:t>
      </w:r>
      <w:r>
        <w:t>abstract_source=crossref</w:t>
      </w:r>
    </w:p>
    <w:p>
      <w:pPr>
        <w:spacing w:before="0" w:after="80" w:lineRule="auto" w:line="276"/>
      </w:pPr>
      <w:r>
        <w:rPr>
          <w:b/>
        </w:rPr>
        <w:t xml:space="preserve">摘要（ZH）: </w:t>
      </w:r>
      <w:r>
        <w:t>成对鳍的起源是脊椎动物进化生物学中一个未解决的争议。卡尔·格根鲍尔（Karl Gegenbaur）著名地提出，成对鳍是通过鳃弓的转变进化而来的，但这一假说在化石记录中仍然缺乏支持。此外，与鳃弓-成对鳍的系列同源性似乎不一致的是，它们分别从神经嵴和侧板中胚层中起源。我们之前已经表明，鳐鱼鳃弓的骨骼元素可能仅来自神经嵴，或来自神经嵴和中胚层的混合体，并且我们已经表明鳐鱼鳃弓和有颌脊椎动物的鳍/肢体共享几种分子模式机制。在此，我们展示了小鳐鱼（</w:t>
      </w:r>
      <w:r>
        <w:t xml:space="preserve"> </w:t>
      </w:r>
      <w:r>
        <w:t>Leucoraja erinacea</w:t>
      </w:r>
      <w:r>
        <w:t xml:space="preserve"> </w:t>
      </w:r>
      <w:r>
        <w:t>）中神经嵴的情况。</w:t>
      </w:r>
    </w:p>
    <w:p>
      <w:pPr>
        <w:spacing w:before="0" w:after="200" w:lineRule="auto" w:line="276"/>
      </w:pPr>
      <w:r>
        <w:rPr>
          <w:b/>
        </w:rPr>
        <w:t xml:space="preserve">Abstract (EN): </w:t>
      </w:r>
      <w:r>
        <w:t>The origin of paired fins is an unresolved controversy in vertebrate evolutionary biology. Karl Gegenbaur famously proposed that paired fins evolved by the transformation of a gill arch, but this hypothesis remains largely unsupported by the fossil record. Also, seemingly at odds with gill arch-paired fin serial homology are their distinct embryonic origins from neural crest and lateral plate mesoderm, respectively. We have previously shown that skate gill arch skeletal elements may derive solely from neural crest, or from a mixture of neural crest and mesoderm, and we have shown that skate gill arches and jawed vertebrate fins/limbs share several molecular patterning mechanisms. Here, we show in the little skate (</w:t>
      </w:r>
      <w:r>
        <w:t xml:space="preserve"> </w:t>
      </w:r>
      <w:r>
        <w:t>Leucoraja erinacea</w:t>
      </w:r>
      <w:r>
        <w:t xml:space="preserve"> </w:t>
      </w:r>
      <w:r>
        <w:t>) that neural crest and lateral plate mesoderm-derived mesenchyme are developmentally equivalent and interchangeable in the pharyngeal arches and fin buds. Using heterotopic transplantation experiments, we find that neural crest cells can contribute to the typically mesoderm-derived fin skeleton, and that lateral plate mesodermal mesenchyme can contribute to the typically neural crest-derived jaw skeleton. These findings point to shared skeletogenic competence of neural crest and mesoderm-derived mesenchyme at the head–trunk interface. We argue that this shared competence accounts for the anatomical and developmental parallels of the gill arch and paired fin/limb skeletons and forms the basis of their serial homology.</w:t>
      </w:r>
    </w:p>
    <w:p>
      <w:pPr>
        <w:spacing w:before="120" w:after="120"/>
      </w:pPr>
      <w:r>
        <w:rPr>
          <w:sz w:val="18"/>
        </w:rPr>
        <w:t>——————————————————————————————————————————————————————————————————————</w:t>
      </w:r>
    </w:p>
    <w:p>
      <w:pPr>
        <w:spacing w:before="160" w:after="40" w:line="240" w:lineRule="auto"/>
      </w:pPr>
      <w:r>
        <w:rPr>
          <w:b/>
        </w:rPr>
        <w:t xml:space="preserve">[98] </w:t>
      </w:r>
      <w:hyperlink r:id="rId397">
        <w:r>
          <w:rPr>
            <w:color w:val="1155CC"/>
            <w:u w:val="single"/>
          </w:rPr>
          <w:t>来自37年实验的幼年蓝蟹的同类相食、捕食和避难所</w:t>
        </w:r>
      </w:hyperlink>
    </w:p>
    <w:p>
      <w:pPr>
        <w:spacing w:before="0" w:after="80"/>
      </w:pPr>
      <w:r>
        <w:rPr>
          <w:i/>
          <w:sz w:val="20"/>
        </w:rPr>
        <w:t>EN: Cannibalism, predation, and refuges of juvenile blue crabs from a 37-year experiment</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398">
        <w:r>
          <w:rPr>
            <w:color w:val="1155CC"/>
            <w:u w:val="single"/>
          </w:rPr>
          <w:t>10.1073/pnas.2533461123</w:t>
        </w:r>
      </w:hyperlink>
    </w:p>
    <w:p>
      <w:pPr>
        <w:spacing w:before="0" w:after="120"/>
      </w:pPr>
      <w:r>
        <w:rPr>
          <w:b/>
        </w:rPr>
        <w:t xml:space="preserve">Notes: </w:t>
      </w:r>
      <w:r>
        <w:t>abstract_source=crossref</w:t>
      </w:r>
    </w:p>
    <w:p>
      <w:pPr>
        <w:spacing w:before="0" w:after="80" w:lineRule="auto" w:line="276"/>
      </w:pPr>
      <w:r>
        <w:rPr>
          <w:b/>
        </w:rPr>
        <w:t xml:space="preserve">摘要（ZH）: </w:t>
      </w:r>
      <w:r>
        <w:t>这项37年的田野实验记录（1989-2025）测试了切萨皮克湾（Chesapeake Bay），美国的一个代表性中盐度地点中对幼年蓝蟹（</w:t>
      </w:r>
      <w:r>
        <w:t xml:space="preserve"> </w:t>
      </w:r>
      <w:r>
        <w:t>Callinectes sapidus</w:t>
      </w:r>
      <w:r>
        <w:t xml:space="preserve"> </w:t>
      </w:r>
      <w:r>
        <w:t>）的季节性和年度捕食变化，该物种是主要的底栖捕食者和重要的渔业资源。我们使用复制的单独系绳蟹组提供了对蜕皮间个体的致命和亚致命捕食率的相对指标，作为大小和栖息地的函数。大型成年蟹的同类相食占幼蟹捕食的97%以上；未观察到鱼类捕食；生理压力导致的死亡率很少（&lt;1%）。按深度采样显示，幼蟹出现在近岸浅滩，而成年蟹则在较深的水域。同类相食</w:t>
      </w:r>
    </w:p>
    <w:p>
      <w:pPr>
        <w:spacing w:before="0" w:after="200" w:lineRule="auto" w:line="276"/>
      </w:pPr>
      <w:r>
        <w:rPr>
          <w:b/>
        </w:rPr>
        <w:t xml:space="preserve">Abstract (EN): </w:t>
      </w:r>
      <w:r>
        <w:t>This 37-y record (1989–2025) of field experiments tested seasonal and annual variation in predation on juvenile blue crabs (</w:t>
      </w:r>
      <w:r>
        <w:t xml:space="preserve"> </w:t>
      </w:r>
      <w:r>
        <w:t>Callinectes sapidus</w:t>
      </w:r>
      <w:r>
        <w:t xml:space="preserve"> </w:t>
      </w:r>
      <w:r>
        <w:t>) in a representative mesohaline site of Chesapeake Bay, USA, where the species is a dominant epibenthic predator and major fishery. We used replicated sets of individually tethered crabs to provide a relative index of lethal and sublethal predation rates on intermolt individuals as a function of size and habitats. Cannibalism by large adult crabs accounted for &amp;gt;97% of predation of juvenile crabs; predation by fish was not observed; and mortality from physiological stress was rare (&amp;lt;1%). Sampling by depth showed that juveniles occurred in nearshore shallows, while adults were in deeper water. Cannibalism was also depth-dependent: Rates were high at 75 cm depth; intermediate at 40 cm; and lowest at 15 cm shallows, which provided partial refuge. Cannibalism was size-dependent: 30 to 50 mm juveniles experienced high rates of predation; 90 to 110 mm preadults had low rates; and &amp;gt;120 mm adults had no predation. Cannibalism rates on juveniles varied seasonally, peaking during summer when adult crabs were most active; no tethering predation occurred in cold months. Variation in adult crab abundance accounted for 51% of annual variation in predation on tethered juveniles. Cannibalism by adult blue crabs provides a density-dependent regulation of juveniles by adults, with juvenile survivorship dependent on shallow-water refuge habitats in the mesohaline zone of the estuary. The refuge habitat appears increasingly restricted both by predatory fish common in high and recently introduced in low salinities, and by shoreline hardening.</w:t>
      </w:r>
    </w:p>
    <w:p>
      <w:pPr>
        <w:spacing w:before="120" w:after="120"/>
      </w:pPr>
      <w:r>
        <w:rPr>
          <w:sz w:val="18"/>
        </w:rPr>
        <w:t>——————————————————————————————————————————————————————————————————————</w:t>
      </w:r>
    </w:p>
    <w:p>
      <w:pPr>
        <w:spacing w:before="160" w:after="40" w:line="240" w:lineRule="auto"/>
      </w:pPr>
      <w:r>
        <w:rPr>
          <w:b/>
        </w:rPr>
        <w:t xml:space="preserve">[99] </w:t>
      </w:r>
      <w:hyperlink r:id="rId399">
        <w:r>
          <w:rPr>
            <w:color w:val="1155CC"/>
            <w:u w:val="single"/>
          </w:rPr>
          <w:t>水下文化遗产与极端事件：气候变化下的风暴影响</w:t>
        </w:r>
      </w:hyperlink>
    </w:p>
    <w:p>
      <w:pPr>
        <w:spacing w:before="0" w:after="80"/>
      </w:pPr>
      <w:r>
        <w:rPr>
          <w:i/>
          <w:sz w:val="20"/>
        </w:rPr>
        <w:t>EN: Underwater cultural heritage and extreme events: Storm impacts under climate change</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00">
        <w:r>
          <w:rPr>
            <w:color w:val="1155CC"/>
            <w:u w:val="single"/>
          </w:rPr>
          <w:t>10.1073/pnas.2523844123</w:t>
        </w:r>
      </w:hyperlink>
    </w:p>
    <w:p>
      <w:pPr>
        <w:spacing w:before="0" w:after="120"/>
      </w:pPr>
      <w:r>
        <w:rPr>
          <w:b/>
        </w:rPr>
        <w:t xml:space="preserve">Notes: </w:t>
      </w:r>
      <w:r>
        <w:t>abstract_source=crossref</w:t>
      </w:r>
    </w:p>
    <w:p>
      <w:pPr>
        <w:spacing w:before="0" w:after="80" w:lineRule="auto" w:line="276"/>
      </w:pPr>
      <w:r>
        <w:rPr>
          <w:b/>
        </w:rPr>
        <w:t xml:space="preserve">摘要（ZH）: </w:t>
      </w:r>
      <w:r>
        <w:t>极端天气事件对海洋环境和社会经济产生严重的生态破坏，同时也威胁到水下人类历史证据。风暴尤其会产生高强度的水流，导致大量物质损失和纹理改变。我们对暴露于风暴事件的水下文化遗产进行了定量风险评估，考虑了气候变化和历史石材的脆弱性。我们通过创新的水槽模拟和表面三维建模监测了石材侵蚀的量、速率和模式，研究其随时间、水流速度、材料性质和悬浮沉积物的变化。实验结果与全球风暴模型相结合。</w:t>
      </w:r>
    </w:p>
    <w:p>
      <w:pPr>
        <w:spacing w:before="0" w:after="200" w:lineRule="auto" w:line="276"/>
      </w:pPr>
      <w:r>
        <w:rPr>
          <w:b/>
        </w:rPr>
        <w:t xml:space="preserve">Abstract (EN): </w:t>
      </w:r>
      <w:r>
        <w:t>Extreme weather events cause severe ecological disruptions to the marine environment and socioeconomic impacts, while also endangering the evidences of human history resting underwater. Storms, in particular, generate high-intensity currents that lead to substantial material loss and textural alteration. We present a quantitative risk assessment of underwater cultural heritage exposed to storm events, considering climate change and the vulnerability of historical stone materials. We monitored the amount, rate, and patterns of stone erosion through innovative flume simulations and surface three-dimensional modeling, investigating its changes with time, current velocity, and properties of the materials and suspended sediments. The experimental results were combined with global models of storms and ocean currents under present and future climate, accounting for projected changes in storm intensity and frequency, climate scenarios, geographic settings, and seabed environments. Our findings show that even a single storm may result in irreversible damage to historical surfaces, erasing key morphological and textural features and compromising their legibility—especially in global hotspots such as tropical regions. In a future dominated by high greenhouse gas emissions and increasing extreme events, the vulnerability of archaeological stone could locally rise to more than double present levels. Extreme events and climate change pose major threats to the preservation of underwater cultural heritage and its historical, touristic, educational, and scientific values, requiring the development of long-term adaptation and protection strategies.</w:t>
      </w:r>
    </w:p>
    <w:p>
      <w:pPr>
        <w:spacing w:before="120" w:after="120"/>
      </w:pPr>
      <w:r>
        <w:rPr>
          <w:sz w:val="18"/>
        </w:rPr>
        <w:t>——————————————————————————————————————————————————————————————————————</w:t>
      </w:r>
    </w:p>
    <w:p>
      <w:pPr>
        <w:spacing w:before="160" w:after="40" w:line="240" w:lineRule="auto"/>
      </w:pPr>
      <w:r>
        <w:rPr>
          <w:b/>
        </w:rPr>
        <w:t xml:space="preserve">[100] </w:t>
      </w:r>
      <w:hyperlink r:id="rId401">
        <w:r>
          <w:rPr>
            <w:color w:val="1155CC"/>
            <w:u w:val="single"/>
          </w:rPr>
          <w:t>理性量子力学：用量子计算机测试量子理论</w:t>
        </w:r>
      </w:hyperlink>
    </w:p>
    <w:p>
      <w:pPr>
        <w:spacing w:before="0" w:after="80"/>
      </w:pPr>
      <w:r>
        <w:rPr>
          <w:i/>
          <w:sz w:val="20"/>
        </w:rPr>
        <w:t>EN: Rational quantum mechanics: Testing quantum theory with quantum computers</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02">
        <w:r>
          <w:rPr>
            <w:color w:val="1155CC"/>
            <w:u w:val="single"/>
          </w:rPr>
          <w:t>10.1073/pnas.2523350123</w:t>
        </w:r>
      </w:hyperlink>
    </w:p>
    <w:p>
      <w:pPr>
        <w:spacing w:before="0" w:after="120"/>
      </w:pPr>
      <w:r>
        <w:rPr>
          <w:b/>
        </w:rPr>
        <w:t xml:space="preserve">Notes: </w:t>
      </w:r>
      <w:r>
        <w:t>abstract_source=crossref</w:t>
      </w:r>
    </w:p>
    <w:p>
      <w:pPr>
        <w:spacing w:before="0" w:after="80" w:lineRule="auto" w:line="276"/>
      </w:pPr>
      <w:r>
        <w:rPr>
          <w:b/>
        </w:rPr>
        <w:t xml:space="preserve">摘要（ZH）: </w:t>
      </w:r>
      <w:r>
        <w:t>部分受到约翰·惠勒（John Wheeler）断言希尔伯特空间的连续性掩盖了量子波函数的“it-from-bit”信息理论特性的启发，提出了一种基于复数希尔伯特空间特定离散化的量子物理学理论（理性量子力学–RaQM）。在RaQM中，薛定谔方程没有被修改，即使在测量过程中也是如此。然而，定义量子态的基底必须满足某些有理数约束。这些约束导致有限量子比特信息容量的概念</w:t>
      </w:r>
      <w:r>
        <w:t xml:space="preserve"> </w:t>
      </w:r>
      <w:r>
        <w:t>N</w:t>
      </w:r>
      <w:r>
        <w:t xml:space="preserve"> </w:t>
      </w:r>
      <w:r>
        <w:t>max</w:t>
      </w:r>
    </w:p>
    <w:p>
      <w:pPr>
        <w:spacing w:before="0" w:after="200" w:lineRule="auto" w:line="276"/>
      </w:pPr>
      <w:r>
        <w:rPr>
          <w:b/>
        </w:rPr>
        <w:t xml:space="preserve">Abstract (EN): </w:t>
      </w:r>
      <w:r>
        <w:t>Motivated in part by John Wheeler’s assertion that the continuum nature of Hilbert Space conceals the “it-from-bit” information-theoretic character of the quantum wavefunction, a theory of quantum physics (Rational Quantum Mechanics–RaQM) is proposed based on a specific discretization of complex Hilbert Space. The Schrödinger equation is not modified in RaQM, even during measurement. However, the bases in which the quantum state is defined must satisfy certain rational-number constraints. These constraints lead to the notion of finite qubit information capacity</w:t>
      </w:r>
      <w:r>
        <w:t xml:space="preserve"> </w:t>
      </w:r>
      <w:r>
        <w:t>N</w:t>
      </w:r>
      <w:r>
        <w:t xml:space="preserve"> </w:t>
      </w:r>
      <w:r>
        <w:t>max</w:t>
      </w:r>
      <w:r>
        <w:t xml:space="preserve"> </w:t>
      </w:r>
      <w:r>
        <w:t>: For any</w:t>
      </w:r>
      <w:r>
        <w:t xml:space="preserve"> </w:t>
      </w:r>
      <w:r>
        <w:t>N</w:t>
      </w:r>
      <w:r>
        <w:t xml:space="preserve"> </w:t>
      </w:r>
      <w:r>
        <w:t>&amp;gt;</w:t>
      </w:r>
      <w:r>
        <w:t xml:space="preserve"> </w:t>
      </w:r>
      <w:r>
        <w:t>N</w:t>
      </w:r>
      <w:r>
        <w:t xml:space="preserve"> </w:t>
      </w:r>
      <w:r>
        <w:t>max</w:t>
      </w:r>
      <w:r>
        <w:t xml:space="preserve"> </w:t>
      </w:r>
      <w:r>
        <w:t>qubit state, there is insufficient information in the</w:t>
      </w:r>
      <w:r>
        <w:t xml:space="preserve"> </w:t>
      </w:r>
      <w:r>
        <w:t>N</w:t>
      </w:r>
      <w:r>
        <w:t xml:space="preserve"> </w:t>
      </w:r>
      <w:r>
        <w:t>qubits (linearly growing in</w:t>
      </w:r>
      <w:r>
        <w:t xml:space="preserve"> </w:t>
      </w:r>
      <w:r>
        <w:t>N</w:t>
      </w:r>
      <w:r>
        <w:t xml:space="preserve"> </w:t>
      </w:r>
      <w:r>
        <w:t>) to allocate even one bit to each of all</w:t>
      </w:r>
      <w:r>
        <w:t xml:space="preserve"> </w:t>
      </w:r>
      <w:r>
        <w:rPr>
          <w:vertAlign w:val="subscript"/>
        </w:rPr>
        <w:t>2</w:t>
      </w:r>
      <w:r>
        <w:t xml:space="preserve"> </w:t>
      </w:r>
      <w:r>
        <w:t>N</w:t>
      </w:r>
      <w:r>
        <w:t xml:space="preserve"> </w:t>
      </w:r>
      <w:r>
        <w:t>+</w:t>
      </w:r>
      <w:r>
        <w:rPr>
          <w:vertAlign w:val="subscript"/>
        </w:rPr>
        <w:t>1</w:t>
      </w:r>
      <w:r>
        <w:t xml:space="preserve"> </w:t>
      </w:r>
      <w:r>
        <w:t>−</w:t>
      </w:r>
      <w:r>
        <w:rPr>
          <w:vertAlign w:val="subscript"/>
        </w:rPr>
        <w:t>2</w:t>
      </w:r>
      <w:r>
        <w:t xml:space="preserve"> </w:t>
      </w:r>
      <w:r>
        <w:t>continuum degrees of freedom (exponentially growing in</w:t>
      </w:r>
      <w:r>
        <w:t xml:space="preserve"> </w:t>
      </w:r>
      <w:r>
        <w:t>N</w:t>
      </w:r>
      <w:r>
        <w:t xml:space="preserve"> </w:t>
      </w:r>
      <w:r>
        <w:t>) associated with quantum mechanics/theory (QM, where</w:t>
      </w:r>
      <w:r>
        <w:t xml:space="preserve"> </w:t>
      </w:r>
      <w:r>
        <w:t>N</w:t>
      </w:r>
      <w:r>
        <w:t xml:space="preserve"> </w:t>
      </w:r>
      <w:r>
        <w:t>max</w:t>
      </w:r>
      <w:r>
        <w:t xml:space="preserve"> </w:t>
      </w:r>
      <w:r>
        <w:t>=</w:t>
      </w:r>
      <w:r>
        <w:t xml:space="preserve"> </w:t>
      </w:r>
      <w:r>
        <w:t>∞</w:t>
      </w:r>
      <w:r>
        <w:t xml:space="preserve"> </w:t>
      </w:r>
      <w:r>
        <w:t>). It is proposed that the discretization of Hilbert Space in RaQM is due to gravity, hence QM is the (singular) continuum limit of RaQM at</w:t>
      </w:r>
      <w:r>
        <w:t xml:space="preserve"> </w:t>
      </w:r>
      <w:r>
        <w:t>G</w:t>
      </w:r>
      <w:r>
        <w:t xml:space="preserve"> </w:t>
      </w:r>
      <w:r>
        <w:t>=</w:t>
      </w:r>
      <w:r>
        <w:rPr>
          <w:vertAlign w:val="subscript"/>
        </w:rPr>
        <w:t>0</w:t>
      </w:r>
      <w:r>
        <w:t xml:space="preserve"> </w:t>
      </w:r>
      <w:r>
        <w:t>. On this basis, it is estimated that</w:t>
      </w:r>
      <w:r>
        <w:t xml:space="preserve"> </w:t>
      </w:r>
      <w:r>
        <w:t>N</w:t>
      </w:r>
      <w:r>
        <w:t xml:space="preserve"> </w:t>
      </w:r>
      <w:r>
        <w:t>max</w:t>
      </w:r>
      <w:r>
        <w:t xml:space="preserve"> </w:t>
      </w:r>
      <w:r>
        <w:t>lies between about 200 and 400 for current qubit technologies, and will never exceed 1,000. While QM and RaQM are experimentally indistinguishable for small numbers of qubits, RaQM predicts that the exponential advantage of quantum algorithms which, like Shor’s, require bases with maximal</w:t>
      </w:r>
      <w:r>
        <w:t xml:space="preserve"> </w:t>
      </w:r>
      <w:r>
        <w:t>N</w:t>
      </w:r>
      <w:r>
        <w:t xml:space="preserve"> </w:t>
      </w:r>
      <w:r>
        <w:t>-qubit superposition/entanglement, will have saturated at 1,000 perfect qubits. Hence, insofar as a classical computer will never factor a 2,048-bit RSA integer, RaQM predicts that a quantum computer will not either. This predicted breakdown of QM could be testable in less than 5 y.</w:t>
      </w:r>
    </w:p>
    <w:p>
      <w:pPr>
        <w:spacing w:before="120" w:after="120"/>
      </w:pPr>
      <w:r>
        <w:rPr>
          <w:sz w:val="18"/>
        </w:rPr>
        <w:t>——————————————————————————————————————————————————————————————————————</w:t>
      </w:r>
    </w:p>
    <w:p>
      <w:pPr>
        <w:spacing w:before="160" w:after="40" w:line="240" w:lineRule="auto"/>
      </w:pPr>
      <w:r>
        <w:rPr>
          <w:b/>
        </w:rPr>
        <w:t xml:space="preserve">[101] </w:t>
      </w:r>
      <w:hyperlink r:id="rId403">
        <w:r>
          <w:rPr>
            <w:color w:val="1155CC"/>
            <w:u w:val="single"/>
          </w:rPr>
          <w:t>肺上皮细胞中有缺陷的RNA聚合酶III对线粒体DNA的感知损害了对SARS-CoV-2的I型IFN免疫</w:t>
        </w:r>
      </w:hyperlink>
    </w:p>
    <w:p>
      <w:pPr>
        <w:spacing w:before="0" w:after="80"/>
      </w:pPr>
      <w:r>
        <w:rPr>
          <w:i/>
          <w:sz w:val="20"/>
        </w:rPr>
        <w:t>EN: Defective RNA Polymerase III sensing of mitochondrial DNA in pulmonary epithelial cells impairs type I IFN immunity to SARS-CoV-2</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04">
        <w:r>
          <w:rPr>
            <w:color w:val="1155CC"/>
            <w:u w:val="single"/>
          </w:rPr>
          <w:t>10.1073/pnas.2522111123</w:t>
        </w:r>
      </w:hyperlink>
    </w:p>
    <w:p>
      <w:pPr>
        <w:spacing w:before="0" w:after="120"/>
      </w:pPr>
      <w:r>
        <w:rPr>
          <w:b/>
        </w:rPr>
        <w:t xml:space="preserve">Notes: </w:t>
      </w:r>
      <w:r>
        <w:t>abstract_source=crossref</w:t>
      </w:r>
    </w:p>
    <w:p>
      <w:pPr>
        <w:spacing w:before="0" w:after="80" w:lineRule="auto" w:line="276"/>
      </w:pPr>
      <w:r>
        <w:rPr>
          <w:b/>
        </w:rPr>
        <w:t xml:space="preserve">摘要（ZH）: </w:t>
      </w:r>
      <w:r>
        <w:t>严重急性呼吸综合征冠状病毒2（SARS-CoV-2）感染的临床谱系从无症状病例到危重COVID-19肺炎不等。为了研究宿主遗传学在易感危重COVID-19中的作用并识别病理生理机制和途径，我们分析了来自COVID人类遗传努力的全外显子组和全基因组测序数据。我们在</w:t>
      </w:r>
      <w:r>
        <w:t xml:space="preserve"> </w:t>
      </w:r>
      <w:r>
        <w:t>POLR3A</w:t>
      </w:r>
      <w:r>
        <w:t xml:space="preserve"> </w:t>
      </w:r>
      <w:r>
        <w:t>和</w:t>
      </w:r>
      <w:r>
        <w:t xml:space="preserve"> </w:t>
      </w:r>
      <w:r>
        <w:t>POLR3C</w:t>
      </w:r>
      <w:r>
        <w:t xml:space="preserve"> </w:t>
      </w:r>
      <w:r>
        <w:t>中识别出18名患者中的10个罕见的、单等位基因预测的功能丧失变异，这两个基因编码RNA聚合酶III（POL III）的两个亚基，这是一种核多亚基酶，与胞质DNA感应有关。这些变异对全长POLR3A和POLR3C蛋白的表达有害</w:t>
      </w:r>
    </w:p>
    <w:p>
      <w:pPr>
        <w:spacing w:before="0" w:after="200" w:lineRule="auto" w:line="276"/>
      </w:pPr>
      <w:r>
        <w:rPr>
          <w:b/>
        </w:rPr>
        <w:t xml:space="preserve">Abstract (EN): </w:t>
      </w:r>
      <w:r>
        <w:t>The clinical spectrum of severe acute respiratory syndrome coronavirus 2 (SARS-CoV-2) infection ranges from asymptomatic cases to critical COVID-19 pneumonia. To investigate the role of host genetics in susceptibility to critical COVID-19 and identify pathophysiological mechanisms and pathways, we analyzed whole-exome and whole-genome sequencing data from the COVID Human Genetic Effort. We identified 10 rare, monoallelic predicted loss-of-function variants in 18 patients in</w:t>
      </w:r>
      <w:r>
        <w:t xml:space="preserve"> </w:t>
      </w:r>
      <w:r>
        <w:t>POLR3A</w:t>
      </w:r>
      <w:r>
        <w:t xml:space="preserve"> </w:t>
      </w:r>
      <w:r>
        <w:t>and</w:t>
      </w:r>
      <w:r>
        <w:t xml:space="preserve"> </w:t>
      </w:r>
      <w:r>
        <w:t>POLR3C</w:t>
      </w:r>
      <w:r>
        <w:t xml:space="preserve"> </w:t>
      </w:r>
      <w:r>
        <w:t>encoding two subunits of RNA polymerase III (POL III), a nuclear multisubunit enzyme, which has been implicated in cytosolic DNA sensing. These variants were deleterious for expression of full-length POLR3A and POLR3C proteins. We demonstrate that human pulmonary A549-hACE2 cells with reduced POLR3A or POLR3C expression exhibit impaired type I IFN responses to transfected mitochondrial DNA (mtDNA) or SARS-CoV-2 infection, together with increased viral replication. Mechanistically, we show that SARS-CoV-2 induces cellular mtDNA release via oligomerization of the mitochondrial voltage-dependent anion channel under virus-induced oxidative stress, enabling POL III–mtDNA interaction. These findings establish POL III as a sensor of endogenous mtDNA released during viral infection and indicate that autosomal dominant POL III haploinsufficiency may predispose individuals to critical COVID-19.</w:t>
      </w:r>
    </w:p>
    <w:p>
      <w:pPr>
        <w:spacing w:before="120" w:after="120"/>
      </w:pPr>
      <w:r>
        <w:rPr>
          <w:sz w:val="18"/>
        </w:rPr>
        <w:t>——————————————————————————————————————————————————————————————————————</w:t>
      </w:r>
    </w:p>
    <w:p>
      <w:pPr>
        <w:spacing w:before="160" w:after="40" w:line="240" w:lineRule="auto"/>
      </w:pPr>
      <w:r>
        <w:rPr>
          <w:b/>
        </w:rPr>
        <w:t xml:space="preserve">[102] </w:t>
      </w:r>
      <w:hyperlink r:id="rId405">
        <w:r>
          <w:rPr>
            <w:color w:val="1155CC"/>
            <w:u w:val="single"/>
          </w:rPr>
          <w:t>无脊椎动物miRNA pva-small RNA-11881/pva-miR-11881作为感染虾中白斑综合症病毒的潜在RNA治疗剂</w:t>
        </w:r>
      </w:hyperlink>
    </w:p>
    <w:p>
      <w:pPr>
        <w:spacing w:before="0" w:after="80"/>
      </w:pPr>
      <w:r>
        <w:rPr>
          <w:i/>
          <w:sz w:val="20"/>
        </w:rPr>
        <w:t>EN: Invertebrate miRNA pva-small RNA-11881/pva-miR-11881 as a potential RNA-based therapeutic against white spot syndrome virus in infected shrimp</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06">
        <w:r>
          <w:rPr>
            <w:color w:val="1155CC"/>
            <w:u w:val="single"/>
          </w:rPr>
          <w:t>10.1073/pnas.2525793123</w:t>
        </w:r>
      </w:hyperlink>
    </w:p>
    <w:p>
      <w:pPr>
        <w:spacing w:before="0" w:after="120"/>
      </w:pPr>
      <w:r>
        <w:rPr>
          <w:b/>
        </w:rPr>
        <w:t xml:space="preserve">Notes: </w:t>
      </w:r>
      <w:r>
        <w:t>abstract_source=crossref</w:t>
      </w:r>
    </w:p>
    <w:p>
      <w:pPr>
        <w:spacing w:before="0" w:after="80" w:lineRule="auto" w:line="276"/>
      </w:pPr>
      <w:r>
        <w:rPr>
          <w:b/>
        </w:rPr>
        <w:t xml:space="preserve">摘要（ZH）: </w:t>
      </w:r>
      <w:r>
        <w:t>小RNA和微RNA（miRNA）在宿主病毒相互作用中发挥多种作用，并在治疗应用中具有潜力。鉴定并表征了一种未被表征的对虾miRNA，其对水产养殖中的主要双链DNA病原体白斑综合症病毒（WSSV）具有强效活性。在</w:t>
      </w:r>
      <w:r>
        <w:t xml:space="preserve"> </w:t>
      </w:r>
      <w:r>
        <w:t>Penaeus vannamei</w:t>
      </w:r>
      <w:r>
        <w:t xml:space="preserve"> </w:t>
      </w:r>
      <w:r>
        <w:t>血细胞中，1,239种差异表达的未注释小RNA中，最强烈下调的候选者之一，被称为pva-small RNA-11881或pva-miR-11881，被预测为靶向多个WSSV基因。识别出一种源自宿主</w:t>
      </w:r>
      <w:r>
        <w:t xml:space="preserve"> </w:t>
      </w:r>
      <w:r>
        <w:t>lipase 3-like</w:t>
      </w:r>
      <w:r>
        <w:t xml:space="preserve"> </w:t>
      </w:r>
      <w:r>
        <w:t>基因5′非翻译区的pva-small RNA-11881/pva-miR-11881同源异构体。其主要转录本包含Drosha</w:t>
      </w:r>
    </w:p>
    <w:p>
      <w:pPr>
        <w:spacing w:before="0" w:after="200" w:lineRule="auto" w:line="276"/>
      </w:pPr>
      <w:r>
        <w:rPr>
          <w:b/>
        </w:rPr>
        <w:t xml:space="preserve">Abstract (EN): </w:t>
      </w:r>
      <w:r>
        <w:t>Small RNAs and microRNAs (miRNAs) play diverse roles in host virus interactions and hold promise for therapeutic applications. An uncharacterized shrimp miRNA with potent activity against white spot syndrome virus (WSSV), a major double-stranded DNA pathogen in aquaculture, was identified and characterized. Among the 1,239 differentially expressed unannotated small RNAs in</w:t>
      </w:r>
      <w:r>
        <w:t xml:space="preserve"> </w:t>
      </w:r>
      <w:r>
        <w:t>Penaeus vannamei</w:t>
      </w:r>
      <w:r>
        <w:t xml:space="preserve"> </w:t>
      </w:r>
      <w:r>
        <w:t>hemocytes, one of the most strongly downregulated candidates, termed pva-small RNA-11881 or pva-miR-11881, was predicted to target multiple WSSV genes. A pva-small RNA-11881/pva-miR-11881 isomir that originates from the 5′ untranslated region of a host</w:t>
      </w:r>
      <w:r>
        <w:t xml:space="preserve"> </w:t>
      </w:r>
      <w:r>
        <w:t>lipase 3-like</w:t>
      </w:r>
      <w:r>
        <w:t xml:space="preserve"> </w:t>
      </w:r>
      <w:r>
        <w:t>gene was identified. Its primary transcript contains Drosha and Dicer processing sites, and the precursor exhibits canonical pre-miRNA features. In vivo administration of its primary transcript, pva-pri-miR-11881, significantly reduced WSSV copy number and improved shrimp survival. Mechanistically, pva-miR-11881 directly suppresses crucial WSSV genes</w:t>
      </w:r>
      <w:r>
        <w:t xml:space="preserve"> </w:t>
      </w:r>
      <w:r>
        <w:t>WSSV004</w:t>
      </w:r>
      <w:r>
        <w:t xml:space="preserve"> </w:t>
      </w:r>
      <w:r>
        <w:t>,</w:t>
      </w:r>
      <w:r>
        <w:t xml:space="preserve"> </w:t>
      </w:r>
      <w:r>
        <w:t>WSSV164</w:t>
      </w:r>
      <w:r>
        <w:t xml:space="preserve"> </w:t>
      </w:r>
      <w:r>
        <w:t>, and</w:t>
      </w:r>
      <w:r>
        <w:t xml:space="preserve"> </w:t>
      </w:r>
      <w:r>
        <w:t>WSSV419</w:t>
      </w:r>
      <w:r>
        <w:t xml:space="preserve"> </w:t>
      </w:r>
      <w:r>
        <w:t>and modulates the host immune response against WSSV infection by enhancing phenoloxidase activity, thereby reducing apoptosis and necrosis, and promoting caspase-1-mediated cell death. These findings reveal that the pva-miR-11881 in</w:t>
      </w:r>
      <w:r>
        <w:t xml:space="preserve"> </w:t>
      </w:r>
      <w:r>
        <w:t>P. vannamei</w:t>
      </w:r>
      <w:r>
        <w:t xml:space="preserve"> </w:t>
      </w:r>
      <w:r>
        <w:t>holds strong potential as a biotherapeutic agent for managing viral diseases in shrimp.</w:t>
      </w:r>
    </w:p>
    <w:p>
      <w:pPr>
        <w:spacing w:before="120" w:after="120"/>
      </w:pPr>
      <w:r>
        <w:rPr>
          <w:sz w:val="18"/>
        </w:rPr>
        <w:t>——————————————————————————————————————————————————————————————————————</w:t>
      </w:r>
    </w:p>
    <w:p>
      <w:pPr>
        <w:spacing w:before="160" w:after="40" w:line="240" w:lineRule="auto"/>
      </w:pPr>
      <w:r>
        <w:rPr>
          <w:b/>
        </w:rPr>
        <w:t xml:space="preserve">[103] </w:t>
      </w:r>
      <w:hyperlink r:id="rId407">
        <w:r>
          <w:rPr>
            <w:color w:val="1155CC"/>
            <w:u w:val="single"/>
          </w:rPr>
          <w:t>细胞外镁离子对连接蛋白36半通道的功能状态及生物物理和结构特性的影响</w:t>
        </w:r>
      </w:hyperlink>
    </w:p>
    <w:p>
      <w:pPr>
        <w:spacing w:before="0" w:after="80"/>
      </w:pPr>
      <w:r>
        <w:rPr>
          <w:i/>
          <w:sz w:val="20"/>
        </w:rPr>
        <w:t>EN: Influence of extracellular magnesium ions on the functional state and biophysical and structural properties of connexin36 hemichannels</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08">
        <w:r>
          <w:rPr>
            <w:color w:val="1155CC"/>
            <w:u w:val="single"/>
          </w:rPr>
          <w:t>10.1073/pnas.2538150123</w:t>
        </w:r>
      </w:hyperlink>
    </w:p>
    <w:p>
      <w:pPr>
        <w:spacing w:before="0" w:after="120"/>
      </w:pPr>
      <w:r>
        <w:rPr>
          <w:b/>
        </w:rPr>
        <w:t xml:space="preserve">Notes: </w:t>
      </w:r>
      <w:r>
        <w:t>abstract_source=crossref</w:t>
      </w:r>
    </w:p>
    <w:p>
      <w:pPr>
        <w:spacing w:before="0" w:after="80" w:lineRule="auto" w:line="276"/>
      </w:pPr>
      <w:r>
        <w:rPr>
          <w:b/>
        </w:rPr>
        <w:t xml:space="preserve">摘要（ZH）: </w:t>
      </w:r>
      <w:r>
        <w:t>Connexin36 (Cx36) 在抑制性和兴奋性神经元以及胰腺β细胞中高度表达，在这些细胞中，它形成了协调代谢和电响应的缝隙连接通道。此外，Cx36 在胰腺β细胞中形成半通道，在内分泌细胞信号传导中可能起关键作用。尽管如此，Cx36 半通道的调控机制和生物物理特性仍然知之甚少。使用缺乏内源性大孔道表达并转染小鼠 Cx36-EGFP 的 HeLa 细胞，我们通过染料摄取实验和膜电流记录评估了半通道活性。我们发现 Cx36 半通道活性受到细胞外 Mg</w:t>
      </w:r>
      <w:r>
        <w:t xml:space="preserve"> </w:t>
      </w:r>
      <w:r>
        <w:t>2+</w:t>
      </w:r>
      <w:r>
        <w:t xml:space="preserve"> </w:t>
      </w:r>
      <w:r>
        <w:t>的强烈抑制，而不是 Ca</w:t>
      </w:r>
      <w:r>
        <w:t xml:space="preserve"> </w:t>
      </w:r>
      <w:r>
        <w:t>2+</w:t>
      </w:r>
    </w:p>
    <w:p>
      <w:pPr>
        <w:spacing w:before="0" w:after="200" w:lineRule="auto" w:line="276"/>
      </w:pPr>
      <w:r>
        <w:rPr>
          <w:b/>
        </w:rPr>
        <w:t xml:space="preserve">Abstract (EN): </w:t>
      </w:r>
      <w:r>
        <w:t>Connexin36 (Cx36) is highly expressed in inhibitory and excitatory neurons as well as pancreatic β-cells, where it forms gap junction channels that coordinate metabolic and electrical responses. In addition, Cx36 forms hemichannels in pancreatic β-cells, where it may play a critical role in endocrine cell signaling. Despite this, the regulatory mechanisms and biophysical properties of Cx36 HCs remain poorly understood. Using HeLa cells lacking endogenous expression of large-pore channels and transfected with mouse Cx36-EGFP, we evaluated hemichannel activity through dye uptake assays and membrane current recordings. We found that Cx36 hemichannel activity is strongly inhibited by extracellular Mg</w:t>
      </w:r>
      <w:r>
        <w:t xml:space="preserve"> </w:t>
      </w:r>
      <w:r>
        <w:t>2+</w:t>
      </w:r>
      <w:r>
        <w:t xml:space="preserve"> </w:t>
      </w:r>
      <w:r>
        <w:t>, rather than Ca</w:t>
      </w:r>
      <w:r>
        <w:t xml:space="preserve"> </w:t>
      </w:r>
      <w:r>
        <w:t>2+</w:t>
      </w:r>
      <w:r>
        <w:t xml:space="preserve"> </w:t>
      </w:r>
      <w:r>
        <w:t>, in contrast to hemichannels formed by other connexins. Under reduced extracellular Mg</w:t>
      </w:r>
      <w:r>
        <w:t xml:space="preserve"> </w:t>
      </w:r>
      <w:r>
        <w:t>2+</w:t>
      </w:r>
      <w:r>
        <w:t xml:space="preserve"> </w:t>
      </w:r>
      <w:r>
        <w:t>, or under alkaline extracellular pH conditions, Cx36 hemichannels exhibited increased activity and allowed Ca</w:t>
      </w:r>
      <w:r>
        <w:t xml:space="preserve"> </w:t>
      </w:r>
      <w:r>
        <w:t>2+</w:t>
      </w:r>
      <w:r>
        <w:t xml:space="preserve"> </w:t>
      </w:r>
      <w:r>
        <w:t>influx, as detected by ratiometric dye FURA-2. Under low extracellular Mg</w:t>
      </w:r>
      <w:r>
        <w:t xml:space="preserve"> </w:t>
      </w:r>
      <w:r>
        <w:t>2+</w:t>
      </w:r>
      <w:r>
        <w:t xml:space="preserve"> </w:t>
      </w:r>
      <w:r>
        <w:t>conditions, Cx36 hemichannels exhibited increased permeability to small molecules and were blocked by La</w:t>
      </w:r>
      <w:r>
        <w:t xml:space="preserve"> </w:t>
      </w:r>
      <w:r>
        <w:t>3+</w:t>
      </w:r>
      <w:r>
        <w:t xml:space="preserve"> </w:t>
      </w:r>
      <w:r>
        <w:t>and quinine, but not by high glucose concentration. In-silico studies revealed interactions between Mg</w:t>
      </w:r>
      <w:r>
        <w:t xml:space="preserve"> </w:t>
      </w:r>
      <w:r>
        <w:t>2+</w:t>
      </w:r>
      <w:r>
        <w:t xml:space="preserve"> </w:t>
      </w:r>
      <w:r>
        <w:t>and two amino acid residues within a pore constriction (D47–E49), which alter the electrostatic potential of the hemichannel pore. Consistent with these observations, mutation of either amino acid residue to alanine (D47A or E49A) markedly reduced the inhibitory effect of extracellular Mg</w:t>
      </w:r>
      <w:r>
        <w:t xml:space="preserve"> </w:t>
      </w:r>
      <w:r>
        <w:t>2+</w:t>
      </w:r>
      <w:r>
        <w:t xml:space="preserve"> </w:t>
      </w:r>
      <w:r>
        <w:t>. Together, these findings offer critical insights into the regulation of Cx36 hemichannels and suggest that alterations in Mg</w:t>
      </w:r>
      <w:r>
        <w:t xml:space="preserve"> </w:t>
      </w:r>
      <w:r>
        <w:t>2+</w:t>
      </w:r>
      <w:r>
        <w:t xml:space="preserve"> </w:t>
      </w:r>
      <w:r>
        <w:t>homeostasis may have significant consequences for Cx36-mediated signaling.</w:t>
      </w:r>
    </w:p>
    <w:p>
      <w:pPr>
        <w:spacing w:before="120" w:after="120"/>
      </w:pPr>
      <w:r>
        <w:rPr>
          <w:sz w:val="18"/>
        </w:rPr>
        <w:t>——————————————————————————————————————————————————————————————————————</w:t>
      </w:r>
    </w:p>
    <w:p>
      <w:pPr>
        <w:spacing w:before="160" w:after="40" w:line="240" w:lineRule="auto"/>
      </w:pPr>
      <w:r>
        <w:rPr>
          <w:b/>
        </w:rPr>
        <w:t xml:space="preserve">[104] </w:t>
      </w:r>
      <w:hyperlink r:id="rId409">
        <w:r>
          <w:rPr>
            <w:color w:val="1155CC"/>
            <w:u w:val="single"/>
          </w:rPr>
          <w:t>资源的伴侣偏好适应收入和性别经济不平等</w:t>
        </w:r>
      </w:hyperlink>
    </w:p>
    <w:p>
      <w:pPr>
        <w:spacing w:before="0" w:after="80"/>
      </w:pPr>
      <w:r>
        <w:rPr>
          <w:i/>
          <w:sz w:val="20"/>
        </w:rPr>
        <w:t>EN: Partner preferences for resources adapt to income and gender economic inequality</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10">
        <w:r>
          <w:rPr>
            <w:color w:val="1155CC"/>
            <w:u w:val="single"/>
          </w:rPr>
          <w:t>10.1073/pnas.2527295123</w:t>
        </w:r>
      </w:hyperlink>
    </w:p>
    <w:p>
      <w:pPr>
        <w:spacing w:before="0" w:after="120"/>
      </w:pPr>
      <w:r>
        <w:rPr>
          <w:b/>
        </w:rPr>
        <w:t xml:space="preserve">Notes: </w:t>
      </w:r>
      <w:r>
        <w:t>abstract_source=crossref</w:t>
      </w:r>
    </w:p>
    <w:p>
      <w:pPr>
        <w:spacing w:before="0" w:after="80" w:lineRule="auto" w:line="276"/>
      </w:pPr>
      <w:r>
        <w:rPr>
          <w:b/>
        </w:rPr>
        <w:t xml:space="preserve">摘要（ZH）: </w:t>
      </w:r>
      <w:r>
        <w:t>三十多年来，学者们一直争论理想伴侣在年龄、资源和身体吸引力上的性别差异主要是由进化还是文化性别不平等导致的。在此，我们测试了一种与这两种竞争观点兼容的视角：资源的伴侣偏好会战略性地适应，使得对于较贫穷的性别和较贫穷的个体，这种偏好变得更强，因为这些偏好对这些个体更有用。我们的预注册实验将来自五个国家的602人置于45个虚拟生态环境之一，改变参与者的个人收入和当地性别经济不平等。结果显示，当人们较贫穷且其性别较贫穷时，他们对资源的理想伴侣偏好更强</w:t>
      </w:r>
    </w:p>
    <w:p>
      <w:pPr>
        <w:spacing w:before="0" w:after="200" w:lineRule="auto" w:line="276"/>
      </w:pPr>
      <w:r>
        <w:rPr>
          <w:b/>
        </w:rPr>
        <w:t xml:space="preserve">Abstract (EN): </w:t>
      </w:r>
      <w:r>
        <w:t>For over three decades, scholars have contested whether sex differences in ideal partner preferences for age, resources, and physical attractiveness result chiefly from evolution or cultural gender inequality. Here, we test a perspective compatible with each of these competing views: partner preferences for resources adapt strategically, such that they become stronger for the sex that is poorer and individuals who are poorer, as such preferences are more useful to these individuals. Our preregistered experiment placed 602 people from five countries in one of 45 virtual ecologies, varying participants’ personal income and their local gender economic inequality. Results show that people exhibit stronger ideal partner preferences for resources when they are poorer and when their sex is poorer. This pattern was evident in three different measures of stated partner preferences for resources, namely, ranked preferences and rated preferences for resource-relevant traits (e.g., whether a potential partner has a good job), and importance placed on dating or marrying up, financially. Preferences regarding age gaps were, surprisingly, unaffected, even though older age is associated with access to resources in naturally varying populations. Consistent with our theoretical perspective, which expects ideal partner preferences will adapt primarily to environmental variables that alter the fitness of those preferences, sex differences in stated preferences for physical attractiveness in romantic partners were largely unaffected. These results are discussed in the context of behavioral ecology, which offers a framework to interpret both our results and the mixed findings of past literature.</w:t>
      </w:r>
    </w:p>
    <w:p>
      <w:pPr>
        <w:spacing w:before="120" w:after="120"/>
      </w:pPr>
      <w:r>
        <w:rPr>
          <w:sz w:val="18"/>
        </w:rPr>
        <w:t>——————————————————————————————————————————————————————————————————————</w:t>
      </w:r>
    </w:p>
    <w:p>
      <w:pPr>
        <w:spacing w:before="160" w:after="40" w:line="240" w:lineRule="auto"/>
      </w:pPr>
      <w:r>
        <w:rPr>
          <w:b/>
        </w:rPr>
        <w:t xml:space="preserve">[105] </w:t>
      </w:r>
      <w:hyperlink r:id="rId411">
        <w:r>
          <w:rPr>
            <w:color w:val="1155CC"/>
            <w:u w:val="single"/>
          </w:rPr>
          <w:t>移除漂移障碍：为什么突变率会变化？</w:t>
        </w:r>
      </w:hyperlink>
    </w:p>
    <w:p>
      <w:pPr>
        <w:spacing w:before="0" w:after="80"/>
      </w:pPr>
      <w:r>
        <w:rPr>
          <w:i/>
          <w:sz w:val="20"/>
        </w:rPr>
        <w:t>EN: Dislodging the drift barrier: Why do mutation rates vary?</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12">
        <w:r>
          <w:rPr>
            <w:color w:val="1155CC"/>
            <w:u w:val="single"/>
          </w:rPr>
          <w:t>10.1073/pnas.2601432123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[106] </w:t>
      </w:r>
      <w:hyperlink r:id="rId413">
        <w:r>
          <w:rPr>
            <w:color w:val="1155CC"/>
            <w:u w:val="single"/>
          </w:rPr>
          <w:t>生物圈扩张推动地球的长期氧化，而构造运动通过机器学习揭示氧气变异性</w:t>
        </w:r>
      </w:hyperlink>
    </w:p>
    <w:p>
      <w:pPr>
        <w:spacing w:before="0" w:after="80"/>
      </w:pPr>
      <w:r>
        <w:rPr>
          <w:i/>
          <w:sz w:val="20"/>
        </w:rPr>
        <w:t>EN: Biosphere expansion drives Earth’s secular oxygenation while tectonics modulate oxygen variability revealed by machine learning</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14">
        <w:r>
          <w:rPr>
            <w:color w:val="1155CC"/>
            <w:u w:val="single"/>
          </w:rPr>
          <w:t>10.1073/pnas.2536681123</w:t>
        </w:r>
      </w:hyperlink>
    </w:p>
    <w:p>
      <w:pPr>
        <w:spacing w:before="0" w:after="120"/>
      </w:pPr>
      <w:r>
        <w:rPr>
          <w:b/>
        </w:rPr>
        <w:t xml:space="preserve">Notes: </w:t>
      </w:r>
      <w:r>
        <w:t>abstract_source=crossref</w:t>
      </w:r>
    </w:p>
    <w:p>
      <w:pPr>
        <w:spacing w:before="0" w:after="80" w:lineRule="auto" w:line="276"/>
      </w:pPr>
      <w:r>
        <w:rPr>
          <w:b/>
        </w:rPr>
        <w:t xml:space="preserve">摘要（ZH）: </w:t>
      </w:r>
      <w:r>
        <w:t>大气氧气的增加从根本上改变了地球的表面环境，并使复杂生命的进化成为可能。然而，驱动长期氧气波动的过程仍然未得到很好解决，部分原因是代理分辨率和时间覆盖的有限性。沉积黄铁矿中的微量元素（TE）浓度提供了古代海洋氧化还原条件及其与大气氧气水平联系的可靠档案。在此，我们整合了跨越35亿年的黄铁矿颗粒的高分辨率地球化学数据，并使用机器学习重建大气氧气的演变。我们识别出两个一致的TE组，代表氧化还原敏感和热液影响。我们的结果揭示了大气氧气的长期世俗趋势与生物圈紧密耦合</w:t>
      </w:r>
    </w:p>
    <w:p>
      <w:pPr>
        <w:spacing w:before="0" w:after="200" w:lineRule="auto" w:line="276"/>
      </w:pPr>
      <w:r>
        <w:rPr>
          <w:b/>
        </w:rPr>
        <w:t xml:space="preserve">Abstract (EN): </w:t>
      </w:r>
      <w:r>
        <w:t>The rise of atmospheric oxygen fundamentally transformed Earth’s surface environment and enabled the evolution of complex life. However, the processes driving long-term oxygen fluctuations remain poorly resolved, partly from limited proxy resolution and temporal coverage. Trace element (TE) concentrations in sedimentary pyrite offer a robust archive of redox conditions in ancient oceans and their linkage to atmospheric oxygen levels. Here we integrate high-resolution geochemical data from pyrite grains spanning 3.5 billion years with machine learning to reconstruct atmospheric oxygen evolution. We identify two coherent TE groups representing redox-sensitive and hydrothermal influences. Our results reveal that the long-term, secular trend of atmospheric oxygen is tightly coupled with biosphere expansion, whereas superimposed short-term fluctuations are influenced by tectonic events, including supercontinent assembly and breakup. Specifically, we show that primary oxygenation events (GOE and NOE) correlate strongly with biological expansion. Episodes of prolonged oxygenation broadly overlap with continental assembly, reflecting enhanced weathering, nutrient fluxes, and organic carbon burial, whereas supercontinent breakup phases are commonly associated with more reducing conditions, likely linked to increased volcanic emissions and diminished net biospheric oxygen. This reconstruction not only refines the temporal dynamics of Earth’s redox evolution but also highlights the interconnected roles of biological productivity, tectonics, ocean chemistry, and Earth-system processes in shaping planetary habitability. These findings provide a comprehensive framework for understanding Earth’s atmospheric evolution and inform models of environmental change on early Earth and other habitable planets.</w:t>
      </w:r>
    </w:p>
    <w:p>
      <w:pPr>
        <w:spacing w:before="120" w:after="120"/>
      </w:pPr>
      <w:r>
        <w:rPr>
          <w:sz w:val="18"/>
        </w:rPr>
        <w:t>——————————————————————————————————————————————————————————————————————</w:t>
      </w:r>
    </w:p>
    <w:p>
      <w:pPr>
        <w:spacing w:before="160" w:after="40" w:line="240" w:lineRule="auto"/>
      </w:pPr>
      <w:r>
        <w:rPr>
          <w:b/>
        </w:rPr>
        <w:t xml:space="preserve">[107] </w:t>
      </w:r>
      <w:hyperlink r:id="rId415">
        <w:r>
          <w:rPr>
            <w:color w:val="1155CC"/>
            <w:u w:val="single"/>
          </w:rPr>
          <w:t>陈等人的更正，PHGDH的RNA结合活性在人脑类器官模型中驱动阿尔茨海默病的淀粉样蛋白β生成</w:t>
        </w:r>
      </w:hyperlink>
    </w:p>
    <w:p>
      <w:pPr>
        <w:spacing w:before="0" w:after="80"/>
      </w:pPr>
      <w:r>
        <w:rPr>
          <w:i/>
          <w:sz w:val="20"/>
        </w:rPr>
        <w:t>EN: Correction for Chen et al., RNA-binding activity of PHGDH drives amyloid-beta production in a human brain organoid model of sporadic Alzheimer’s disease</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16">
        <w:r>
          <w:rPr>
            <w:color w:val="1155CC"/>
            <w:u w:val="single"/>
          </w:rPr>
          <w:t>10.1073/pnas.2606894123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417">
        <w:r>
          <w:rPr>
            <w:color w:val="1155CC"/>
            <w:u w:val="single"/>
          </w:rPr>
          <w:t>王等人的更正，临床试验化合物NITD-688对登革热病毒抑制的机制见解</w:t>
        </w:r>
      </w:hyperlink>
    </w:p>
    <w:p>
      <w:pPr>
        <w:spacing w:before="0" w:after="80"/>
      </w:pPr>
      <w:r>
        <w:rPr>
          <w:i/>
          <w:sz w:val="20"/>
        </w:rPr>
        <w:t>EN: Correction for Wang et al., Mechanistic insights into dengue virus inhibition by a clinical trial compound NITD-688</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18">
        <w:r>
          <w:rPr>
            <w:color w:val="1155CC"/>
            <w:u w:val="single"/>
          </w:rPr>
          <w:t>10.1073/pnas.2606246123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419">
        <w:r>
          <w:rPr>
            <w:color w:val="1155CC"/>
            <w:u w:val="single"/>
          </w:rPr>
          <w:t>郭等人的更正，一种核糖体合成和翻译后修饰的肽与ADP-核糖基化</w:t>
        </w:r>
      </w:hyperlink>
    </w:p>
    <w:p>
      <w:pPr>
        <w:spacing w:before="0" w:after="80"/>
      </w:pPr>
      <w:r>
        <w:rPr>
          <w:i/>
          <w:sz w:val="20"/>
        </w:rPr>
        <w:t>EN: Correction for Guo et al., A ribosomally synthesized and posttranslationally modified peptide with ADP-ribosylation</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20">
        <w:r>
          <w:rPr>
            <w:color w:val="1155CC"/>
            <w:u w:val="single"/>
          </w:rPr>
          <w:t>10.1073/pnas.2607090123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[110] </w:t>
      </w:r>
      <w:hyperlink r:id="rId421">
        <w:r>
          <w:rPr>
            <w:color w:val="1155CC"/>
            <w:u w:val="single"/>
          </w:rPr>
          <w:t>鸟类的尘浴机制</w:t>
        </w:r>
      </w:hyperlink>
    </w:p>
    <w:p>
      <w:pPr>
        <w:spacing w:before="0" w:after="80"/>
      </w:pPr>
      <w:r>
        <w:rPr>
          <w:i/>
          <w:sz w:val="20"/>
        </w:rPr>
        <w:t>EN: Mechanics of dust bathing in birds</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22">
        <w:r>
          <w:rPr>
            <w:color w:val="1155CC"/>
            <w:u w:val="single"/>
          </w:rPr>
          <w:t>10.1073/pnas.2521949123</w:t>
        </w:r>
      </w:hyperlink>
    </w:p>
    <w:p>
      <w:pPr>
        <w:spacing w:before="0" w:after="120"/>
      </w:pPr>
      <w:r>
        <w:rPr>
          <w:b/>
        </w:rPr>
        <w:t xml:space="preserve">Notes: </w:t>
      </w:r>
      <w:r>
        <w:t>abstract_source=crossref</w:t>
      </w:r>
    </w:p>
    <w:p>
      <w:pPr>
        <w:spacing w:before="0" w:after="80" w:lineRule="auto" w:line="276"/>
      </w:pPr>
      <w:r>
        <w:rPr>
          <w:b/>
        </w:rPr>
        <w:t xml:space="preserve">摘要（ZH）: </w:t>
      </w:r>
      <w:r>
        <w:t>尘浴是一种广泛存在于鸟类中的行为，有助于去除体外寄生虫，但其机械基础仍然知之甚少。我们在此展示了在尘浴过程中，翅膀拍打产生的沙粒碰撞足以驱逐羽毛螨。通过对34种鸟类的高速视频分析，我们发现翅膀拍打频率与体重呈反比关系（f ∼ M^-0.20），范围从1到10 Hz。由于羽毛运动与</w:t>
      </w:r>
    </w:p>
    <w:p>
      <w:pPr>
        <w:spacing w:before="0" w:after="200" w:lineRule="auto" w:line="276"/>
      </w:pPr>
      <w:r>
        <w:rPr>
          <w:b/>
        </w:rPr>
        <w:t xml:space="preserve">Abstract (EN): </w:t>
      </w:r>
      <w:r>
        <w:t>Dust bathing is a widespread behavior among birds that helps remove ectoparasites, but its mechanical basis remains poorly understood. Here we show that wing flapping during dust bathing generates sand-particle collisions sufficient to dislodge feather mites. Using high-speed video analysis across 34 bird species, we found that wing-flapping frequency scales inversely with body mass (</w:t>
      </w:r>
      <w:r>
        <w:t xml:space="preserve"> </w:t>
      </w:r>
      <w:r>
        <w:t>f</w:t>
      </w:r>
      <w:r>
        <w:t xml:space="preserve"> </w:t>
      </w:r>
      <w:r>
        <w:t>∼</w:t>
      </w:r>
      <w:r>
        <w:t xml:space="preserve"> </w:t>
      </w:r>
      <w:r>
        <w:t>M</w:t>
      </w:r>
      <w:r>
        <w:t xml:space="preserve"> </w:t>
      </w:r>
      <w:r>
        <w:t>-</w:t>
      </w:r>
      <w:r>
        <w:t>0.20</w:t>
      </w:r>
      <w:r>
        <w:t xml:space="preserve"> </w:t>
      </w:r>
      <w:r>
        <w:t>), ranging from 1 to 10 Hz. Since feather motion matches wing motion, we use mechanical shakers to simulate dust-bathing dynamics. Mite-removal experiments reveal that parasite dislodgment efficiency increases rapidly up to around 5 Hz and plateaued thereafter. The frequencies around 5 Hz are sufficient to achieve maximal cleaning efficacy. Collision modeling indicates that the impact force from sand particles exceeds mite adhesion forces, thus collision is the dominant removal mechanism. Mites are removed within seconds when sand is present, suggesting that sand plays an active mechanical role in parasite dislodgment. These findings not only elucidate a physical mechanism underlying dust bathing, but also suggest that birds may have evolutionarily tuned their flapping behavior to optimize parasite removal through substrate interaction.</w:t>
      </w:r>
    </w:p>
    <w:p>
      <w:pPr>
        <w:spacing w:before="120" w:after="120"/>
      </w:pPr>
      <w:r>
        <w:rPr>
          <w:sz w:val="18"/>
        </w:rPr>
        <w:t>——————————————————————————————————————————————————————————————————————</w:t>
      </w:r>
    </w:p>
    <w:p>
      <w:pPr>
        <w:spacing w:before="160" w:after="40" w:line="240" w:lineRule="auto"/>
      </w:pPr>
      <w:r>
        <w:rPr>
          <w:b/>
        </w:rPr>
        <w:t xml:space="preserve">[111] </w:t>
      </w:r>
      <w:hyperlink r:id="rId423">
        <w:r>
          <w:rPr>
            <w:color w:val="1155CC"/>
            <w:u w:val="single"/>
          </w:rPr>
          <w:t>美国陆上风电改造加速能源转型的潜力</w:t>
        </w:r>
      </w:hyperlink>
    </w:p>
    <w:p>
      <w:pPr>
        <w:spacing w:before="0" w:after="80"/>
      </w:pPr>
      <w:r>
        <w:rPr>
          <w:i/>
          <w:sz w:val="20"/>
        </w:rPr>
        <w:t>EN: The potential for onshore wind repowering to hasten the energy transition in the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24">
        <w:r>
          <w:rPr>
            <w:color w:val="1155CC"/>
            <w:u w:val="single"/>
          </w:rPr>
          <w:t>10.1073/pnas.2521050123</w:t>
        </w:r>
      </w:hyperlink>
    </w:p>
    <w:p>
      <w:pPr>
        <w:spacing w:before="0" w:after="120"/>
      </w:pPr>
      <w:r>
        <w:rPr>
          <w:b/>
        </w:rPr>
        <w:t xml:space="preserve">Notes: </w:t>
      </w:r>
      <w:r>
        <w:t>abstract_source=crossref</w:t>
      </w:r>
    </w:p>
    <w:p>
      <w:pPr>
        <w:spacing w:before="0" w:after="80" w:lineRule="auto" w:line="276"/>
      </w:pPr>
      <w:r>
        <w:rPr>
          <w:b/>
        </w:rPr>
        <w:t xml:space="preserve">摘要（ZH）: </w:t>
      </w:r>
      <w:r>
        <w:t>本研究探讨了陆上风电场的重新动力化是否有助于美国（US）用风能满足更大比例的当前电力需求。重新动力化通过新涡轮机升级现有风电场，增加风电场容量和电力生产，所需新土地比新建项目少。我们分析了美国风力涡轮机数据库，并在不同情景下预测美国风电重新动力化的潜力。结果显示，仅重新动力化就可以使当前美国陆上风电的额定容量从153 GW增加到约314 GW。在现有风电场，年陆上风电发电量可以从2024年的453 TWh增加到重新动力化后同一气象年的约911 TWh。重新动力化可以使陆上风电</w:t>
      </w:r>
    </w:p>
    <w:p>
      <w:pPr>
        <w:spacing w:before="0" w:after="200" w:lineRule="auto" w:line="276"/>
      </w:pPr>
      <w:r>
        <w:rPr>
          <w:b/>
        </w:rPr>
        <w:t xml:space="preserve">Abstract (EN): </w:t>
      </w:r>
      <w:r>
        <w:t>This study explores whether repowering onshore wind farms will help the United States (US) meet a much larger share of its current electricity demand with wind. Repowering upgrades existing wind farms with new turbines, increasing wind-farm capacity and electricity generation, with less new land requirements than greenfield projects. We analyze the US Wind Turbine Database and project the potential of US wind repowering under different scenarios. Results show that repowering alone could more than double the current US onshore wind nameplate capacity, from 153 GW to ~314 GW, at existing farms. The resulting annual onshore wind electricity generation could increase from 453 TWh in 2024 to ~911 TWh for the same weather year after repowering the fleet. Repowering could allow onshore wind to meet 21%, instead of 10.5%, of 2024 US electricity demand. Repowering is a potential multi-billion-dollar industry in the United States.</w:t>
      </w:r>
    </w:p>
    <w:p>
      <w:pPr>
        <w:spacing w:before="120" w:after="120"/>
      </w:pPr>
      <w:r>
        <w:rPr>
          <w:sz w:val="18"/>
        </w:rPr>
        <w:t>——————————————————————————————————————————————————————————————————————</w:t>
      </w:r>
    </w:p>
    <w:p>
      <w:pPr>
        <w:spacing w:before="160" w:after="40" w:line="240" w:lineRule="auto"/>
      </w:pPr>
      <w:r>
        <w:rPr>
          <w:b/>
        </w:rPr>
        <w:t xml:space="preserve">[112] </w:t>
      </w:r>
      <w:hyperlink r:id="rId425">
        <w:r>
          <w:rPr>
            <w:color w:val="1155CC"/>
            <w:u w:val="single"/>
          </w:rPr>
          <w:t>狼害怕人类，但很快就会了解我们</w:t>
        </w:r>
      </w:hyperlink>
    </w:p>
    <w:p>
      <w:pPr>
        <w:spacing w:before="0" w:after="80"/>
      </w:pPr>
      <w:r>
        <w:rPr>
          <w:i/>
          <w:sz w:val="20"/>
        </w:rPr>
        <w:t>EN: Wolves fear humans but learn quickly about us</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26">
        <w:r>
          <w:rPr>
            <w:color w:val="1155CC"/>
            <w:u w:val="single"/>
          </w:rPr>
          <w:t>10.1073/pnas.2602695123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427">
        <w:r>
          <w:rPr>
            <w:color w:val="1155CC"/>
            <w:u w:val="single"/>
          </w:rPr>
          <w:t>登革热病毒利用蚊子Syntenin装载并分泌病毒RNA到唾液外泌体中</w:t>
        </w:r>
      </w:hyperlink>
    </w:p>
    <w:p>
      <w:pPr>
        <w:spacing w:before="0" w:after="80"/>
      </w:pPr>
      <w:r>
        <w:rPr>
          <w:i/>
          <w:sz w:val="20"/>
        </w:rPr>
        <w:t>EN: Dengue virus harnesses mosquito Syntenin to load and secrete viral RNA into salivary exosomes</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28">
        <w:r>
          <w:rPr>
            <w:color w:val="1155CC"/>
            <w:u w:val="single"/>
          </w:rPr>
          <w:t>10.1073/pnas.2520697123</w:t>
        </w:r>
      </w:hyperlink>
    </w:p>
    <w:p>
      <w:pPr>
        <w:spacing w:before="0" w:after="120"/>
      </w:pPr>
      <w:r>
        <w:rPr>
          <w:b/>
        </w:rPr>
        <w:t xml:space="preserve">Notes: </w:t>
      </w:r>
      <w:r>
        <w:t>abstract_source=crossref</w:t>
      </w:r>
    </w:p>
    <w:p>
      <w:pPr>
        <w:spacing w:before="0" w:after="80" w:lineRule="auto" w:line="276"/>
      </w:pPr>
      <w:r>
        <w:rPr>
          <w:b/>
        </w:rPr>
        <w:t xml:space="preserve">摘要（ZH）: </w:t>
      </w:r>
      <w:r>
        <w:t>病毒利用细胞外囊泡（EVs）转移增强感染的病毒RNA。然而，病毒RNA装载的机制仍然难以捉摸。我们利用之前发现的登革病毒分泌传染增强的亚基因组黄病毒RNA（sfRNA）进入蚊子唾液EVs来研究病毒RNA装载机制。我们通过显微镜和病毒基因编辑在体外和体内模型中证明，sfRNA单独促进了由蚊子EV生物发生蛋白AeSyntenin标记的含sfRNA的EVs的分泌。sfRNA通过其茎环结构在细胞内与蚊子AeSyntenin相互作用，并且这种相互作用在EVs中选择性地保持，如RNA亲和色谱和RNA免疫共沉淀以及基于AI的</w:t>
      </w:r>
    </w:p>
    <w:p>
      <w:pPr>
        <w:spacing w:before="0" w:after="200" w:lineRule="auto" w:line="276"/>
      </w:pPr>
      <w:r>
        <w:rPr>
          <w:b/>
        </w:rPr>
        <w:t xml:space="preserve">Abstract (EN): </w:t>
      </w:r>
      <w:r>
        <w:t>Viruses exploit extracellular vesicles (EVs) to transfer infection-enhancing viral RNAs. However, mechanisms underlying viral RNA loading remain elusive. We leveraged our previous discovery that dengue virus secretes transmission-enhancing subgenomic flaviviral RNA (sfRNA) into mosquito salivary EVs to investigate viral RNA loading mechanism. We demonstrate that sfRNA alone promotes the secretion of sfRNA-containing EVs marked by the mosquito EV biogenesis protein AeSyntenin, by applying microscopy and viral genetic editing in in vitro and in vivo models. SfRNA via its stem loop structures interacts intracellularly with mosquito AeSyntenin and this interaction is selectively maintained within EVs as shown by complementary RNA-affinity chromatography and RNA immunoprecipitation, and AI-based prediction. Finally, we used systemic and salivary gland-specific protein depletion to establish a functional role for mosquito AeSyntenin in exosome production and salivary secretion of sfRNA. We propose that sfRNA binds AeSyntenin to drive its selective packaging and release into exosomes, elucidating a mechanism for viral RNA incorporation into EVs.</w:t>
      </w:r>
    </w:p>
    <w:p>
      <w:pPr>
        <w:spacing w:before="120" w:after="120"/>
      </w:pPr>
      <w:r>
        <w:rPr>
          <w:sz w:val="18"/>
        </w:rPr>
        <w:t>——————————————————————————————————————————————————————————————————————</w:t>
      </w:r>
    </w:p>
    <w:p>
      <w:pPr>
        <w:spacing w:before="160" w:after="40" w:line="240" w:lineRule="auto"/>
      </w:pPr>
      <w:r>
        <w:rPr>
          <w:b/>
        </w:rPr>
        <w:t xml:space="preserve">[114] </w:t>
      </w:r>
      <w:hyperlink r:id="rId429">
        <w:r>
          <w:rPr>
            <w:color w:val="1155CC"/>
            <w:u w:val="single"/>
          </w:rPr>
          <w:t>通过毛细力介导的凝聚体形变细胞膜</w:t>
        </w:r>
      </w:hyperlink>
    </w:p>
    <w:p>
      <w:pPr>
        <w:spacing w:before="0" w:after="80"/>
      </w:pPr>
      <w:r>
        <w:rPr>
          <w:i/>
          <w:sz w:val="20"/>
        </w:rPr>
        <w:t>EN: Condensate-mediated shape transformations of cellular membranes by capillary forces</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30">
        <w:r>
          <w:rPr>
            <w:color w:val="1155CC"/>
            <w:u w:val="single"/>
          </w:rPr>
          <w:t>10.1073/pnas.2424126123</w:t>
        </w:r>
      </w:hyperlink>
    </w:p>
    <w:p>
      <w:pPr>
        <w:spacing w:before="0" w:after="120"/>
      </w:pPr>
      <w:r>
        <w:rPr>
          <w:b/>
        </w:rPr>
        <w:t xml:space="preserve">Notes: </w:t>
      </w:r>
      <w:r>
        <w:t>abstract_source=crossref</w:t>
      </w:r>
    </w:p>
    <w:p>
      <w:pPr>
        <w:spacing w:before="0" w:after="80" w:lineRule="auto" w:line="276"/>
      </w:pPr>
      <w:r>
        <w:rPr>
          <w:b/>
        </w:rPr>
        <w:t xml:space="preserve">摘要（ZH）: </w:t>
      </w:r>
      <w:r>
        <w:t>具有液体特性的相分离生物分子凝聚体在细胞内环境的组织和分区中起着关键作用。凝聚体介导的毛细力作用于膜上，驱动膜结合细胞器（如液泡和自噬体）的生理重要重塑。在此，我们探讨凝聚体介导的膜形状转变。我们采用植物体内活细胞成像、具有可调界面张力的体外重建系统以及弹性膜模型的计算机模拟来描述凝聚体界面局部化的膜结构的三种形态：管、片和杯。我们发现，与高界面张力相关的力驱动稳定片的形成，而管和杯</w:t>
      </w:r>
    </w:p>
    <w:p>
      <w:pPr>
        <w:spacing w:before="0" w:after="200" w:lineRule="auto" w:line="276"/>
      </w:pPr>
      <w:r>
        <w:rPr>
          <w:b/>
        </w:rPr>
        <w:t xml:space="preserve">Abstract (EN): </w:t>
      </w:r>
      <w:r>
        <w:t>Phase-separated biomolecular condensates with liquid-like properties play a key role in the organization and compartmentalization of the intracellular environment. Condensate-mediated capillary forces acting on membranes drive physiologically important reshaping of membrane-bound organelles, such as vacuoles and autophagosomes. Here, we explore condensate-mediated membrane shape transformations. We employ in planta live-cell imaging, an in vitro reconstitution system with tunable interfacial tension, and computer simulations of an elastic membrane model to describe three morphologies of membrane structures localized at condensate interfaces: tubes, sheets, and cups. We find that the forces associated with high interfacial tension drive the formation of stable sheets, while tubes and cups prevail at lower interfacial tension. We calculate the free energies of each membrane shape and identify the energy barriers that govern the transitions between the shapes. With this approach, we find that shape transformations depend on the history of the interfacial membrane and exhibit a tube-to-cup hysteresis. These findings indicate that temporal control of condensate surface properties can mediate the morphogenesis of cup-like structures in cells, such as the formation of “bulbs” within plant vacuoles. Our results further generalize how the interplay of condensates and membranes contributes to intracellular organization.</w:t>
      </w:r>
    </w:p>
    <w:p>
      <w:pPr>
        <w:spacing w:before="120" w:after="120"/>
      </w:pPr>
      <w:r>
        <w:rPr>
          <w:sz w:val="18"/>
        </w:rPr>
        <w:t>——————————————————————————————————————————————————————————————————————</w:t>
      </w:r>
    </w:p>
    <w:p>
      <w:pPr>
        <w:spacing w:before="160" w:after="40" w:line="240" w:lineRule="auto"/>
      </w:pPr>
      <w:r>
        <w:rPr>
          <w:b/>
        </w:rPr>
        <w:t xml:space="preserve">[115] </w:t>
      </w:r>
      <w:hyperlink r:id="rId431">
        <w:r>
          <w:rPr>
            <w:color w:val="1155CC"/>
            <w:u w:val="single"/>
          </w:rPr>
          <w:t>用于潜在癌症治疗的致命毒素装备效应细胞</w:t>
        </w:r>
      </w:hyperlink>
    </w:p>
    <w:p>
      <w:pPr>
        <w:spacing w:before="0" w:after="80"/>
      </w:pPr>
      <w:r>
        <w:rPr>
          <w:i/>
          <w:sz w:val="20"/>
        </w:rPr>
        <w:t>EN: Lethal toxin–equipped effector cells for the potential treatment of cancer</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32">
        <w:r>
          <w:rPr>
            <w:color w:val="1155CC"/>
            <w:u w:val="single"/>
          </w:rPr>
          <w:t>10.1073/pnas.2506991123</w:t>
        </w:r>
      </w:hyperlink>
    </w:p>
    <w:p>
      <w:pPr>
        <w:spacing w:before="0" w:after="120"/>
      </w:pPr>
      <w:r>
        <w:rPr>
          <w:b/>
        </w:rPr>
        <w:t xml:space="preserve">Notes: </w:t>
      </w:r>
      <w:r>
        <w:t>abstract_source=crossref</w:t>
      </w:r>
    </w:p>
    <w:p>
      <w:pPr>
        <w:spacing w:before="0" w:after="80" w:lineRule="auto" w:line="276"/>
      </w:pPr>
      <w:r>
        <w:rPr>
          <w:b/>
        </w:rPr>
        <w:t xml:space="preserve">摘要（ZH）: </w:t>
      </w:r>
      <w:r>
        <w:t>致命毒素可能成为对抗癌症的有效疗法，但其临床效用因全身给药引起的不良事件而受到限制。如果毒素由特异性渗透癌症的效应细胞递送，从而在肿瘤微环境中局部释放毒素，这些不良事件可能会减少。该策略的一个挑战是递送毒素的细胞必须对其具有抗性。我们通过展示从转化的人类细胞系中衍生的效应细胞经过基因工程改造以抵抗细菌腺苷二磷酸核糖基化毒素（ADPRTs），包括铜绿假单胞菌外毒素A（PE），可以产生靶向免疫毒素来解决这一障碍</w:t>
      </w:r>
    </w:p>
    <w:p>
      <w:pPr>
        <w:spacing w:before="0" w:after="200" w:lineRule="auto" w:line="276"/>
      </w:pPr>
      <w:r>
        <w:rPr>
          <w:b/>
        </w:rPr>
        <w:t xml:space="preserve">Abstract (EN): </w:t>
      </w:r>
      <w:r>
        <w:t>Lethal toxins could become potent therapies against cancer, but their clinical utility is limited by adverse events upon systemic administration. These could be reduced if the toxins were delivered by effector cells that specifically infiltrate cancers, thereby releasing toxins locally into the tumor microenvironment. One of the challenges underlying this strategy is that cells delivering toxins would have to be resistant to them. We address this obstacle by showing that effectors derived from transformed human cell lines genetically engineered for resistance to bacterial adenosine diphosphate ribosylating toxins (ADPRTs), including</w:t>
      </w:r>
      <w:r>
        <w:t xml:space="preserve"> </w:t>
      </w:r>
      <w:r>
        <w:t>Pseudomonas aeruginosa</w:t>
      </w:r>
      <w:r>
        <w:t xml:space="preserve"> </w:t>
      </w:r>
      <w:r>
        <w:t>exotoxin A (PE), can produce targeted immunotoxins that specifically kill cancer cells expressing cognate tumor-associated antigens. Resistance to immunotoxins was achieved by knockout of genes in the diphthamide biosynthesis pathway (</w:t>
      </w:r>
      <w:r>
        <w:t xml:space="preserve"> </w:t>
      </w:r>
      <w:r>
        <w:t>DPH1-4</w:t>
      </w:r>
      <w:r>
        <w:t xml:space="preserve"> </w:t>
      </w:r>
      <w:r>
        <w:t>) required for the posttranslational modification of eukaryotic elongation factor 2 (EEF2) that is the target of ADPRTs or by mutation of</w:t>
      </w:r>
      <w:r>
        <w:t xml:space="preserve"> </w:t>
      </w:r>
      <w:r>
        <w:t>EEF2</w:t>
      </w:r>
      <w:r>
        <w:t xml:space="preserve"> </w:t>
      </w:r>
      <w:r>
        <w:t>itself. We show that engineering resistance to ADPRTs, one of the most potent toxins acting on human cells, is essential to achieve robust function of armored effector cell lines. This work establishes a critical step on the path to equip effector cells with the ability to deliver powerful toxins to cancer cells and introduces a platform to investigate extension to primary autologous or allogeneic therapeutic cell types.</w:t>
      </w:r>
    </w:p>
    <w:p>
      <w:pPr>
        <w:spacing w:before="120" w:after="120"/>
      </w:pPr>
      <w:r>
        <w:rPr>
          <w:sz w:val="18"/>
        </w:rPr>
        <w:t>——————————————————————————————————————————————————————————————————————</w:t>
      </w:r>
    </w:p>
    <w:p>
      <w:pPr>
        <w:spacing w:before="160" w:after="40" w:line="240" w:lineRule="auto"/>
      </w:pPr>
      <w:r>
        <w:rPr>
          <w:b/>
        </w:rPr>
        <w:t xml:space="preserve">[116] </w:t>
      </w:r>
      <w:hyperlink r:id="rId433">
        <w:r>
          <w:rPr>
            <w:color w:val="1155CC"/>
            <w:u w:val="single"/>
          </w:rPr>
          <w:t>在全球循环失衡加剧的情况下，未来磷可持续性的策略</w:t>
        </w:r>
      </w:hyperlink>
    </w:p>
    <w:p>
      <w:pPr>
        <w:spacing w:before="0" w:after="80"/>
      </w:pPr>
      <w:r>
        <w:rPr>
          <w:i/>
          <w:sz w:val="20"/>
        </w:rPr>
        <w:t>EN: Future strategies for phosphorus sustainability amid worsening global cycle imbalances</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34">
        <w:r>
          <w:rPr>
            <w:color w:val="1155CC"/>
            <w:u w:val="single"/>
          </w:rPr>
          <w:t>10.1073/pnas.2512673123</w:t>
        </w:r>
      </w:hyperlink>
    </w:p>
    <w:p>
      <w:pPr>
        <w:spacing w:before="0" w:after="120"/>
      </w:pPr>
      <w:r>
        <w:rPr>
          <w:b/>
        </w:rPr>
        <w:t xml:space="preserve">Notes: </w:t>
      </w:r>
      <w:r>
        <w:t>abstract_source=crossref</w:t>
      </w:r>
    </w:p>
    <w:p>
      <w:pPr>
        <w:spacing w:before="0" w:after="80" w:lineRule="auto" w:line="276"/>
      </w:pPr>
      <w:r>
        <w:rPr>
          <w:b/>
        </w:rPr>
        <w:t xml:space="preserve">摘要（ZH）: </w:t>
      </w:r>
      <w:r>
        <w:t>全球人为磷（P）循环变化需要通过各国差异化的可持续性策略进行积极管理。本研究开发了一个通用框架，将综合的P流动过程与可持续性情景相结合，以评估全球人为P流动模式并探索未来的可持续性路径和潜力。结果表明，从1961年到2022年，全球P流动失衡加剧，其中超过80%归因于农田。关键是，全球贸易作为一个重要的驱动力，重新分配P资源并加强了由35个关键国家推动的P污染足迹的全球复杂性。我们的模型预测，到2050年，单独的措施如减少肥料施用、提高饲料转化效率</w:t>
      </w:r>
    </w:p>
    <w:p>
      <w:pPr>
        <w:spacing w:before="0" w:after="200" w:lineRule="auto" w:line="276"/>
      </w:pPr>
      <w:r>
        <w:rPr>
          <w:b/>
        </w:rPr>
        <w:t xml:space="preserve">Abstract (EN): </w:t>
      </w:r>
      <w:r>
        <w:t>Global anthropogenic phosphorus (P) cycle changes require active management with differentiated sustainability strategies across countries. This study developed a universal framework that integrates the comprehensive P flow process with sustainability scenarios to assess global anthropogenic P flow patterns and explore future sustainability pathways and potential. The results indicated that the global P flow imbalance intensified from 1961 to 2022, with over 80% attributed to croplands. Crucially, global trade serves as a significant driving force, redistributing P resources and reinforcing the global complexity of P-pollution footprints, driven by 35 key countries. Our model projects that by 2050, individual measures like reducing fertilizer applications, improving feed conversion efficiency, and recycling organic fertilizers could save 50% of P and reduce P losses by 39%. Crop–livestock integration significantly improved P use efficiency, potentially extending the global phosphate rock extraction period by 400 ± 87 y (mean ± SD). However, due to the low baseline P use efficiency in cropping systems, P recovery from waste in developing countries remains limited, necessitating additional measures alongside the above high-leverage measures. These findings underscore the indispensable role of human consumption and the transformative potential of dietary shifts, which are essential given that no country can achieve significant P sustainability gains solely by reducing food waste or processing losses. Coordinated supply and demand-side measures linking cropping, livestock, and consumption offer key strategies and benefits for systematically and differentially advancing P sustainability at both global and national levels.</w:t>
      </w:r>
    </w:p>
    <w:p>
      <w:pPr>
        <w:spacing w:before="120" w:after="120"/>
      </w:pPr>
      <w:r>
        <w:rPr>
          <w:sz w:val="18"/>
        </w:rPr>
        <w:t>——————————————————————————————————————————————————————————————————————</w:t>
      </w:r>
    </w:p>
    <w:p>
      <w:pPr>
        <w:spacing w:before="160" w:after="40" w:line="240" w:lineRule="auto"/>
      </w:pPr>
      <w:r>
        <w:rPr>
          <w:b/>
        </w:rPr>
        <w:t xml:space="preserve">[117] </w:t>
      </w:r>
      <w:hyperlink r:id="rId435">
        <w:r>
          <w:rPr>
            <w:color w:val="1155CC"/>
            <w:u w:val="single"/>
          </w:rPr>
          <w:t>回复Vankov等人：推理轨迹与准确性相关，并捕捉问题复杂性的关键维度</w:t>
        </w:r>
      </w:hyperlink>
    </w:p>
    <w:p>
      <w:pPr>
        <w:spacing w:before="0" w:after="80"/>
      </w:pPr>
      <w:r>
        <w:rPr>
          <w:i/>
          <w:sz w:val="20"/>
        </w:rPr>
        <w:t>EN: Reply to Vankov et al.: Reasoning traces are linked to accuracy and capture key dimensions of problem complexity</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36">
        <w:r>
          <w:rPr>
            <w:color w:val="1155CC"/>
            <w:u w:val="single"/>
          </w:rPr>
          <w:t>10.1073/pnas.2603574123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[118] </w:t>
      </w:r>
      <w:hyperlink r:id="rId437">
        <w:r>
          <w:rPr>
            <w:color w:val="1155CC"/>
            <w:u w:val="single"/>
          </w:rPr>
          <w:t>用于亨廷顿化学生物学研究的高亲和力、结构验证和选择性大环肽工具</w:t>
        </w:r>
      </w:hyperlink>
    </w:p>
    <w:p>
      <w:pPr>
        <w:spacing w:before="0" w:after="80"/>
      </w:pPr>
      <w:r>
        <w:rPr>
          <w:i/>
          <w:sz w:val="20"/>
        </w:rPr>
        <w:t>EN: High-affinity, structure-validated and selective macrocyclic peptide tools for chemical biology studies of Huntingtin</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38">
        <w:r>
          <w:rPr>
            <w:color w:val="1155CC"/>
            <w:u w:val="single"/>
          </w:rPr>
          <w:t>10.1073/pnas.2520462123</w:t>
        </w:r>
      </w:hyperlink>
    </w:p>
    <w:p>
      <w:pPr>
        <w:spacing w:before="0" w:after="120"/>
      </w:pPr>
      <w:r>
        <w:rPr>
          <w:b/>
        </w:rPr>
        <w:t xml:space="preserve">Notes: </w:t>
      </w:r>
      <w:r>
        <w:t>abstract_source=crossref</w:t>
      </w:r>
    </w:p>
    <w:p>
      <w:pPr>
        <w:spacing w:before="0" w:after="80" w:lineRule="auto" w:line="276"/>
      </w:pPr>
      <w:r>
        <w:rPr>
          <w:b/>
        </w:rPr>
        <w:t xml:space="preserve">摘要（ZH）: </w:t>
      </w:r>
      <w:r>
        <w:t>亨廷顿病（HD）是一种致命的神经退行性疾病，由亨廷顿（HTT）基因中的胞嘧啶-腺嘌呤-鸟嘌呤（CAG）重复扩展引起，目前尚无可用的疾病修饰疗法。HTT蛋白的精确分子功能尚不清楚，缺乏选择性化学工具限制了功能研究。我们已识别并表征了靶向HTT的宏环肽结合物。这些结合物在体外表现出低纳摩尔亲和力，并通过氢-氘交换质谱和冷冻电子显微镜揭示了不同的HTT和HTT-HAP40界面。化学蛋白质组学证实了在野生型但非HTT缺失细胞提取物中的选择性结合。</w:t>
      </w:r>
    </w:p>
    <w:p>
      <w:pPr>
        <w:spacing w:before="0" w:after="200" w:lineRule="auto" w:line="276"/>
      </w:pPr>
      <w:r>
        <w:rPr>
          <w:b/>
        </w:rPr>
        <w:t xml:space="preserve">Abstract (EN): </w:t>
      </w:r>
      <w:r>
        <w:t>Huntington’s disease (HD) is a fatal neurodegenerative disorder caused by a Cytosine-Adenosine-Guanine (CAG) repeat expansion in the</w:t>
      </w:r>
      <w:r>
        <w:t xml:space="preserve"> </w:t>
      </w:r>
      <w:r>
        <w:t>Huntingtin</w:t>
      </w:r>
      <w:r>
        <w:t xml:space="preserve"> </w:t>
      </w:r>
      <w:r>
        <w:t>(</w:t>
      </w:r>
      <w:r>
        <w:t xml:space="preserve"> </w:t>
      </w:r>
      <w:r>
        <w:t>HTT</w:t>
      </w:r>
      <w:r>
        <w:t xml:space="preserve"> </w:t>
      </w:r>
      <w:r>
        <w:t>) gene, with no disease-modifying therapies currently available. The precise molecular function of the HTT protein is unclear, and the lack of selective chemical tools has limited functional studies. We have identified and characterized macrocyclic peptide binders targeting HTT. These binders exhibit low-nanomolar affinity in vitro and engage distinct HTT and HTT-HAP40 interfaces, as revealed by hydrogen–deuterium exchange mass spectrometry and cryoelectron microscopy. Chemoproteomics confirmed selective binding in cell extracts from wildtype but not HTT-null cell lines. HAP40 consistently and stoichiometrically copurified with HTT across cell lines, including with HTT variants containing different CAG repeat lengths, highlighting the broad presence of the HTT-HAP40 complex.</w:t>
      </w:r>
    </w:p>
    <w:p>
      <w:pPr>
        <w:spacing w:before="120" w:after="120"/>
      </w:pPr>
      <w:r>
        <w:rPr>
          <w:sz w:val="18"/>
        </w:rPr>
        <w:t>——————————————————————————————————————————————————————————————————————</w:t>
      </w:r>
    </w:p>
    <w:p>
      <w:pPr>
        <w:spacing w:before="160" w:after="40" w:line="240" w:lineRule="auto"/>
      </w:pPr>
      <w:r>
        <w:rPr>
          <w:b/>
        </w:rPr>
        <w:t xml:space="preserve">[119] </w:t>
      </w:r>
      <w:hyperlink r:id="rId439">
        <w:r>
          <w:rPr>
            <w:color w:val="1155CC"/>
            <w:u w:val="single"/>
          </w:rPr>
          <w:t>药理行为分析识别出抑制自闭症基因相关表型的斑马鱼</w:t>
        </w:r>
      </w:hyperlink>
    </w:p>
    <w:p>
      <w:pPr>
        <w:spacing w:before="0" w:after="80"/>
      </w:pPr>
      <w:r>
        <w:rPr>
          <w:i/>
          <w:sz w:val="20"/>
        </w:rPr>
        <w:t>EN: Pharmaco-behavioral profiling identifies suppressors of autism gene–associated phenotypes in zebrafish</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40">
        <w:r>
          <w:rPr>
            <w:color w:val="1155CC"/>
            <w:u w:val="single"/>
          </w:rPr>
          <w:t>10.1073/pnas.2518846123</w:t>
        </w:r>
      </w:hyperlink>
    </w:p>
    <w:p>
      <w:pPr>
        <w:spacing w:before="0" w:after="120"/>
      </w:pPr>
      <w:r>
        <w:rPr>
          <w:b/>
        </w:rPr>
        <w:t xml:space="preserve">Notes: </w:t>
      </w:r>
      <w:r>
        <w:t>abstract_source=crossref</w:t>
      </w:r>
    </w:p>
    <w:p>
      <w:pPr>
        <w:spacing w:before="0" w:after="80" w:lineRule="auto" w:line="276"/>
      </w:pPr>
      <w:r>
        <w:rPr>
          <w:b/>
        </w:rPr>
        <w:t xml:space="preserve">摘要（ZH）: </w:t>
      </w:r>
      <w:r>
        <w:t>可扩展的体内系统中的药理行为筛选对于与大效应自闭症谱系障碍（ASD）基因相关的药物发现具有关键优势。在此，我们建立了一个数据库和开源网站，包含520种美国食品药品监督管理局（FDA）批准药物的行为特征，使用高通量测定幼鱼的基本感觉处理和唤醒行为。通过利用9种大效应ASD基因突变体的行为特征，我们识别出与具有共享行为表型的ASD基因亚组反相关的药理机制的富集。在两个ASD基因，SCN2A和DYRK1A的突变体中筛选反相关药物，发现化合物。</w:t>
      </w:r>
    </w:p>
    <w:p>
      <w:pPr>
        <w:spacing w:before="0" w:after="200" w:lineRule="auto" w:line="276"/>
      </w:pPr>
      <w:r>
        <w:rPr>
          <w:b/>
        </w:rPr>
        <w:t xml:space="preserve">Abstract (EN): </w:t>
      </w:r>
      <w:r>
        <w:t>Pharmaco-behavioral screens in scalable in vivo systems have critical advantages for drug discovery relevant to large-effect autism spectrum disorder (ASD) genes. Here, we establish a database and open-source website of the behavioral signatures of 520 US Food and Drug Administration (FDA)-approved drugs using high-throughput assays of basic sensory processing and arousal behaviors in larval zebrafish. By leveraging the behavioral profiles of 9 large-effect ASD gene mutants, we identify enrichment of pharmacological mechanisms that anticorrelate with subgroups of ASD genes with shared behavioral phenotypes. Screening of anticorrelating drugs in mutants of two ASD genes,</w:t>
      </w:r>
      <w:r>
        <w:t xml:space="preserve"> </w:t>
      </w:r>
      <w:r>
        <w:t>SCN2A</w:t>
      </w:r>
      <w:r>
        <w:t xml:space="preserve"> </w:t>
      </w:r>
      <w:r>
        <w:t>and</w:t>
      </w:r>
      <w:r>
        <w:t xml:space="preserve"> </w:t>
      </w:r>
      <w:r>
        <w:t>DYRK1A</w:t>
      </w:r>
      <w:r>
        <w:t xml:space="preserve"> </w:t>
      </w:r>
      <w:r>
        <w:t>, uncovers compounds that suppress mutant behavioral phenotypes. We identify estropipate, an estrogen receptor agonist, and paclitaxel, a microtubule inhibitor, as the top suppressors in</w:t>
      </w:r>
      <w:r>
        <w:t xml:space="preserve"> </w:t>
      </w:r>
      <w:r>
        <w:t>scn1lab</w:t>
      </w:r>
      <w:r>
        <w:t xml:space="preserve"> </w:t>
      </w:r>
      <w:r>
        <w:t>and</w:t>
      </w:r>
      <w:r>
        <w:t xml:space="preserve"> </w:t>
      </w:r>
      <w:r>
        <w:t>dyrk1a</w:t>
      </w:r>
      <w:r>
        <w:t xml:space="preserve"> </w:t>
      </w:r>
      <w:r>
        <w:t>mutants, respectively, and levocarnitine (LEVO), a mitochondrial modulator and carnitine supplement, as a top suppressor of both mutant behavioral phenotypes. Finally, we find that LEVO rescues regional brain activity deficits and dysregulated lipid metabolic pathways in mutants, as well as signaling deficits in human pluripotent stem cell–derived glutamatergic neurons carrying mutations in</w:t>
      </w:r>
      <w:r>
        <w:t xml:space="preserve"> </w:t>
      </w:r>
      <w:r>
        <w:t>SCN2A</w:t>
      </w:r>
      <w:r>
        <w:t xml:space="preserve"> </w:t>
      </w:r>
      <w:r>
        <w:t>and</w:t>
      </w:r>
      <w:r>
        <w:t xml:space="preserve"> </w:t>
      </w:r>
      <w:r>
        <w:t>DYRK1A</w:t>
      </w:r>
      <w:r>
        <w:t xml:space="preserve"> </w:t>
      </w:r>
      <w:r>
        <w:t>, demonstrating conservation of drug rescue across systems. Therefore, our study establishes a pharmaco-behavioral resource for precision medicine-based drug discovery, illuminating targets relevant to large-effect ASD genes.</w:t>
      </w:r>
    </w:p>
    <w:p>
      <w:pPr>
        <w:spacing w:before="120" w:after="120"/>
      </w:pPr>
      <w:r>
        <w:rPr>
          <w:sz w:val="18"/>
        </w:rPr>
        <w:t>——————————————————————————————————————————————————————————————————————</w:t>
      </w:r>
    </w:p>
    <w:p>
      <w:pPr>
        <w:spacing w:before="160" w:after="40" w:line="240" w:lineRule="auto"/>
      </w:pPr>
      <w:r>
        <w:rPr>
          <w:b/>
        </w:rPr>
        <w:t xml:space="preserve">[120] </w:t>
      </w:r>
      <w:hyperlink r:id="rId441">
        <w:r>
          <w:rPr>
            <w:color w:val="1155CC"/>
            <w:u w:val="single"/>
          </w:rPr>
          <w:t>α-突触核蛋白蛋白稳态网络及其在帕金森病中的转化应用</w:t>
        </w:r>
      </w:hyperlink>
    </w:p>
    <w:p>
      <w:pPr>
        <w:spacing w:before="0" w:after="80"/>
      </w:pPr>
      <w:r>
        <w:rPr>
          <w:i/>
          <w:sz w:val="20"/>
        </w:rPr>
        <w:t>EN: The α-synuclein proteostasis network and its translational applications in Parkinson’s disease</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42">
        <w:r>
          <w:rPr>
            <w:color w:val="1155CC"/>
            <w:u w:val="single"/>
          </w:rPr>
          <w:t>10.1073/pnas.2513317123</w:t>
        </w:r>
      </w:hyperlink>
    </w:p>
    <w:p>
      <w:pPr>
        <w:spacing w:before="0" w:after="120"/>
      </w:pPr>
      <w:r>
        <w:rPr>
          <w:b/>
        </w:rPr>
        <w:t xml:space="preserve">Notes: </w:t>
      </w:r>
      <w:r>
        <w:t>abstract_source=crossref</w:t>
      </w:r>
    </w:p>
    <w:p>
      <w:pPr>
        <w:spacing w:before="0" w:after="80" w:lineRule="auto" w:line="276"/>
      </w:pPr>
      <w:r>
        <w:rPr>
          <w:b/>
        </w:rPr>
        <w:t xml:space="preserve">摘要（ZH）: </w:t>
      </w:r>
      <w:r>
        <w:t>帕金森病（PD）是一种使人衰弱的神经退行性疾病，导致运动能力和肌肉控制的丧失。PD的神经病理学标志是异常包涵体的存在，称为路易病理，其中α-突触核蛋白（α-Syn）是主要成分。α-Syn的积累可能是由于调节α-Syn的蛋白质稳态系统失衡。为了研究这一假设，我们在蛋白质组学和转录组学水平上描绘了人类黑质中的α-Syn蛋白质稳态网络（PN）。然后我们定义了一个α-Syn蛋白质稳态活性评分（PAS），可以量化描述α-Syn PN在促进或抑制α-Syn聚集方面的相对活性。我们报告了一个相应的PAS特征，表明了不同的</w:t>
      </w:r>
    </w:p>
    <w:p>
      <w:pPr>
        <w:spacing w:before="0" w:after="200" w:lineRule="auto" w:line="276"/>
      </w:pPr>
      <w:r>
        <w:rPr>
          <w:b/>
        </w:rPr>
        <w:t xml:space="preserve">Abstract (EN): </w:t>
      </w:r>
      <w:r>
        <w:t>Parkinson’s disease (PD) is a debilitating neurodegenerative condition that results in a loss of mobility and muscle control. A neuropathological hallmark of PD is the presence of aberrant inclusions, known as Lewy pathology, of which α-synuclein (α-Syn) is a major component. The accumulation of α-Syn may be due to an imbalance in the proteostasis system regulating α-Syn. To investigate this hypothesis, we delineated the proteostasis network (PN) of α-Syn in the human</w:t>
      </w:r>
      <w:r>
        <w:t xml:space="preserve"> </w:t>
      </w:r>
      <w:r>
        <w:t>substantia nigra</w:t>
      </w:r>
      <w:r>
        <w:t xml:space="preserve"> </w:t>
      </w:r>
      <w:r>
        <w:t>at the proteomic and transcriptomic level. We then defined an α-Syn proteostasis activity score (PAS) that quantifiably describes the relative activity of the α-Syn PN in promoting or inhibiting α-Syn aggregation. We report a corresponding PAS signature indicative of disease state, age-of-death in PD patients, and brain regional vulnerability to α-Syn aggregation in PD and healthy brains. After establishing the relevance of our network to PD, we developed a transcriptome-derived network model as an operational digital twin of the α-Syn PN in human</w:t>
      </w:r>
      <w:r>
        <w:t xml:space="preserve"> </w:t>
      </w:r>
      <w:r>
        <w:t>substantia nigra</w:t>
      </w:r>
      <w:r>
        <w:t xml:space="preserve"> </w:t>
      </w:r>
      <w:r>
        <w:t>cells from single-cell data and used it to prioritize candidate targets for PD. We then further showed the application of the α-Syn PN toward facilitating drug repurposing. Overall, this proof-of-concept study illustrates how our computational framework can identify and prioritize putative therapeutic targets and repurposing candidates for PD, providing testable hypotheses for experimental validation.</w:t>
      </w:r>
    </w:p>
    <w:p>
      <w:pPr>
        <w:spacing w:before="120" w:after="120"/>
      </w:pPr>
      <w:r>
        <w:rPr>
          <w:sz w:val="18"/>
        </w:rPr>
        <w:t>——————————————————————————————————————————————————————————————————————</w:t>
      </w:r>
    </w:p>
    <w:p>
      <w:pPr>
        <w:spacing w:before="160" w:after="40" w:line="240" w:lineRule="auto"/>
      </w:pPr>
      <w:r>
        <w:rPr>
          <w:b/>
        </w:rPr>
        <w:t xml:space="preserve">[121] </w:t>
      </w:r>
      <w:hyperlink r:id="rId443">
        <w:r>
          <w:rPr>
            <w:color w:val="1155CC"/>
            <w:u w:val="single"/>
          </w:rPr>
          <w:t>识别关键对流敏感海洋区域以削弱ENSO春季可预测性障碍</w:t>
        </w:r>
      </w:hyperlink>
    </w:p>
    <w:p>
      <w:pPr>
        <w:spacing w:before="0" w:after="80"/>
      </w:pPr>
      <w:r>
        <w:rPr>
          <w:i/>
          <w:sz w:val="20"/>
        </w:rPr>
        <w:t>EN: Identifying key convection-sensitive oceanic regions to weaken the ENSO spring predictability barrier</w:t>
      </w:r>
    </w:p>
    <w:p>
      <w:pPr>
        <w:spacing w:before="0" w:after="120"/>
      </w:pPr>
      <w:r>
        <w:rPr>
          <w:b/>
        </w:rPr>
        <w:t xml:space="preserve">Source: </w:t>
      </w:r>
      <w:r>
        <w:t>Proceedings of the National Academy of Sciences: Keyword search for query</w:t>
      </w:r>
      <w:r>
        <w:t xml:space="preserve">    </w:t>
      </w:r>
      <w:r>
        <w:rPr>
          <w:b/>
        </w:rPr>
        <w:t xml:space="preserve">Pub date: </w:t>
      </w:r>
      <w:r>
        <w:t>2026-03-16 07:00:00+00:00</w:t>
      </w:r>
      <w:r>
        <w:t xml:space="preserve">    </w:t>
      </w:r>
      <w:r>
        <w:rPr>
          <w:b/>
        </w:rPr>
        <w:t xml:space="preserve">DOI: </w:t>
      </w:r>
      <w:hyperlink r:id="rId444">
        <w:r>
          <w:rPr>
            <w:color w:val="1155CC"/>
            <w:u w:val="single"/>
          </w:rPr>
          <w:t>10.1073/pnas.2512725123</w:t>
        </w:r>
      </w:hyperlink>
    </w:p>
    <w:p>
      <w:pPr>
        <w:spacing w:before="0" w:after="120"/>
      </w:pPr>
      <w:r>
        <w:rPr>
          <w:b/>
        </w:rPr>
        <w:t xml:space="preserve">Notes: </w:t>
      </w:r>
      <w:r>
        <w:t>abstract_source=crossref</w:t>
      </w:r>
    </w:p>
    <w:p>
      <w:pPr>
        <w:spacing w:before="0" w:after="80" w:lineRule="auto" w:line="276"/>
      </w:pPr>
      <w:r>
        <w:rPr>
          <w:b/>
        </w:rPr>
        <w:t xml:space="preserve">摘要（ZH）: </w:t>
      </w:r>
      <w:r>
        <w:t>厄尔尼诺-南方涛动（ENSO）在北半球春季表现出最弱的可预测性，这一现象被称为春季可预测性障碍（SPB）。SPB的产生是由于空气-海洋耦合较弱，限制了ENSO信号的增长和持续。因此，提高春季预测需要识别对对流变异性最相关的海洋区域。在此，我们引入了海表温度范围指数（SRI），该指数量化了有利于对流的海表温度的空间范围。利用SRI，我们表明在春季东中太平洋超过26°C和东大西洋超过28.5°C的区域对于启动持续强烈对流至关重要。这些对流敏感区域的扩展加强了Bjerknes反馈。</w:t>
      </w:r>
    </w:p>
    <w:p>
      <w:pPr>
        <w:spacing w:before="0" w:after="200" w:lineRule="auto" w:line="276"/>
      </w:pPr>
      <w:r>
        <w:rPr>
          <w:b/>
        </w:rPr>
        <w:t xml:space="preserve">Abstract (EN): </w:t>
      </w:r>
      <w:r>
        <w:t>The El Niño–Southern Oscillation (ENSO) exhibits its weakest predictability during boreal spring, a phenomenon known as the Spring Predictability Barrier (SPB). The SPB arises from weak air–sea coupling that limits the growth and persistence of the ENSO signal. Improving springtime prediction therefore requires identifying oceanic regions most relevant for convection variability. Here, we introduce a Sea Surface Temperature Range Index (SRI), which quantifies the spatial extent of Sea surface temperatures favorable for convection. Using SRI, we show that regions exceeding 26 °C in the east-central Pacific and 28.5 °C in the eastern Atlantic during spring are critical for initiating persistent intense convection. The expansion of these convection-sensitive areas strengthens the Bjerknes feedback by modulating the Walker circulation, providing an effective predictor of ENSO evolution. We further develop a Long Short-Term Memory deep learning model incorporating SRI, which achieves higher predictive skill than the average of dynamical and statistical models, especially for multiyear La Niña events. These results underscore the central role of convection-sensitive oceanic regions in alleviating the SPB.</w:t>
      </w:r>
    </w:p>
    <w:p>
      <w:pPr>
        <w:spacing w:before="120" w:after="120"/>
      </w:pPr>
      <w:r>
        <w:rPr>
          <w:sz w:val="18"/>
        </w:rPr>
        <w:t>——————————————————————————————————————————————————————————————————————</w:t>
      </w:r>
    </w:p>
    <w:p>
      <w:pPr>
        <w:spacing w:before="160" w:after="40" w:line="240" w:lineRule="auto"/>
      </w:pPr>
      <w:r>
        <w:rPr>
          <w:b/>
        </w:rPr>
        <w:t xml:space="preserve">[122] </w:t>
      </w:r>
      <w:hyperlink r:id="rId445">
        <w:r>
          <w:rPr>
            <w:color w:val="1155CC"/>
            <w:u w:val="single"/>
          </w:rPr>
          <w:t>[ASAP] 加热：用于多温度微尺度反应的无线感应加热</w:t>
        </w:r>
      </w:hyperlink>
    </w:p>
    <w:p>
      <w:pPr>
        <w:spacing w:before="0" w:after="80"/>
      </w:pPr>
      <w:r>
        <w:rPr>
          <w:i/>
          <w:sz w:val="20"/>
        </w:rPr>
        <w:t>EN: [ASAP] Turning Up the Heat: Wireless Induction Heating for Multitemperature Microscale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2026-03-16 08:15:49+00:00</w:t>
      </w:r>
      <w:r>
        <w:t xml:space="preserve">    </w:t>
      </w:r>
      <w:r>
        <w:rPr>
          <w:b/>
        </w:rPr>
        <w:t xml:space="preserve">DOI: </w:t>
      </w:r>
      <w:hyperlink r:id="rId446">
        <w:r>
          <w:rPr>
            <w:color w:val="1155CC"/>
            <w:u w:val="single"/>
          </w:rPr>
          <w:t>10.1021/jacs.5c19957</w:t>
        </w:r>
      </w:hyperlink>
    </w:p>
    <w:p>
      <w:pPr>
        <w:spacing w:before="0" w:after="120"/>
      </w:pPr>
      <w:r>
        <w:rPr>
          <w:b/>
        </w:rPr>
        <w:t xml:space="preserve">Notes: </w:t>
      </w:r>
      <w:r>
        <w:t>abstract_source=pubmed</w:t>
      </w:r>
    </w:p>
    <w:p>
      <w:pPr>
        <w:spacing w:before="0" w:after="80" w:lineRule="auto" w:line="276"/>
      </w:pPr>
      <w:r>
        <w:rPr>
          <w:b/>
        </w:rPr>
        <w:t xml:space="preserve">摘要（ZH）: </w:t>
      </w:r>
      <w:r>
        <w:t>温度控制是高通量实验（HTE）的核心，但在一次性塑料多孔板中实现可靠加热仍然具有挑战性。低热导率塑料中的整体加热效率低下，可能产生孔与孔之间的温度梯度，并可能在过度或不均匀加热下降解塑料器具或污染反应。在多个设定点进行温度筛选也是非常理想的，但用传统方法在板级实现这一点很困难，因为不同的温度通常需要单独的板或硬件，增加了工作量并引入了批次效应。在此，我们引入了一种无线感应加热平台，将小金属球放置在每个孔中以直接在反应混合物中产生热量。通过在</w:t>
      </w:r>
    </w:p>
    <w:p>
      <w:pPr>
        <w:spacing w:before="0" w:after="200" w:lineRule="auto" w:line="276"/>
      </w:pPr>
      <w:r>
        <w:rPr>
          <w:b/>
        </w:rPr>
        <w:t xml:space="preserve">Abstract (EN): </w:t>
      </w:r>
      <w:r>
        <w:t>Temperature control is central to high-throughput experimentation (HTE), yet reliable heating in disposable plastic multiwell plates remains challenging. Global heating is inefficient in low-thermal-conductivity plastics, can produce well-to-well temperature gradients, and may degrade plasticware or contaminate reactions under excessive or uneven heating. Temperature screening across multiple set points is also highly desirable but difficult to implement at plate scale with conventional approaches, because different temperatures typically require separate plates or hardware, increasing effort and introducing batch effects. Here, we introduce a wireless induction-heating platform that places small metal balls in each well to generate heat directly in the reaction mixture. By heating within each well of a disposable plastic plate, metal ball-mediated induction enables stable in-well temperatures and programs multiple discrete temperature zones within a single multiwell plate by varying only the metal ball count under a single global induction setting. Fiber-optic probe measurements of in-well temperature show a rapid approach to stable temperature plateaus with minimal thermal crosstalk under the conditions employed, and we provide calibration relationships linking induction setting and metal ball count to in-well temperature. The same metal balls also support tumble-stir mixing and can be reagent-coated for ChemBead-style solid delivery. We demonstrate the platform through temperature-resolved microscale cross-coupling screens and a 384-member library synthesis in disposable 384-well plates.</w:t>
      </w:r>
    </w:p>
    <w:p>
      <w:pPr>
        <w:spacing w:before="120" w:after="120"/>
      </w:pPr>
      <w:r>
        <w:rPr>
          <w:sz w:val="18"/>
        </w:rPr>
        <w:t>——————————————————————————————————————————————————————————————————————</w:t>
      </w:r>
    </w:p>
    <w:p>
      <w:pPr>
        <w:spacing w:before="160" w:after="40" w:line="240" w:lineRule="auto"/>
      </w:pPr>
      <w:r>
        <w:rPr>
          <w:b/>
        </w:rPr>
        <w:t xml:space="preserve">[123] </w:t>
      </w:r>
      <w:hyperlink r:id="rId447">
        <w:r>
          <w:rPr>
            <w:color w:val="1155CC"/>
            <w:u w:val="single"/>
          </w:rPr>
          <w:t>[ASAP] Mg-MOF-74中水吸附的原子模型：结构和等温线的量子化学预测</w:t>
        </w:r>
      </w:hyperlink>
    </w:p>
    <w:p>
      <w:pPr>
        <w:spacing w:before="0" w:after="80"/>
      </w:pPr>
      <w:r>
        <w:rPr>
          <w:i/>
          <w:sz w:val="20"/>
        </w:rPr>
        <w:t>EN: [ASAP] Atomistic Model for Water Adsorption in Mg-MOF-74: Quantum Chemical Prediction of Structures and Isotherms</w:t>
      </w:r>
    </w:p>
    <w:p>
      <w:pPr>
        <w:spacing w:before="0" w:after="120"/>
      </w:pPr>
      <w:r>
        <w:rPr>
          <w:b/>
        </w:rPr>
        <w:t xml:space="preserve">Source: </w:t>
      </w:r>
      <w:r>
        <w:t>Journal of the American Chemical Society: Latest Articles (ACS Publications)</w:t>
      </w:r>
      <w:r>
        <w:t xml:space="preserve">    </w:t>
      </w:r>
      <w:r>
        <w:rPr>
          <w:b/>
        </w:rPr>
        <w:t xml:space="preserve">Pub date: </w:t>
      </w:r>
      <w:r>
        <w:t>2026-03-16 10:02:15+00:00</w:t>
      </w:r>
      <w:r>
        <w:t xml:space="preserve">    </w:t>
      </w:r>
      <w:r>
        <w:rPr>
          <w:b/>
        </w:rPr>
        <w:t xml:space="preserve">DOI: </w:t>
      </w:r>
      <w:hyperlink r:id="rId448">
        <w:r>
          <w:rPr>
            <w:color w:val="1155CC"/>
            <w:u w:val="single"/>
          </w:rPr>
          <w:t>10.1021/jacs.6c01686</w:t>
        </w:r>
      </w:hyperlink>
    </w:p>
    <w:p>
      <w:pPr>
        <w:spacing w:before="0" w:after="120"/>
      </w:pPr>
      <w:r>
        <w:rPr>
          <w:b/>
        </w:rPr>
        <w:t xml:space="preserve">Notes: </w:t>
      </w:r>
      <w:r>
        <w:t>abstract_source=pubmed</w:t>
      </w:r>
    </w:p>
    <w:p>
      <w:pPr>
        <w:spacing w:before="0" w:after="80" w:lineRule="auto" w:line="276"/>
      </w:pPr>
      <w:r>
        <w:rPr>
          <w:b/>
        </w:rPr>
        <w:t xml:space="preserve">摘要（ZH）: </w:t>
      </w:r>
      <w:r>
        <w:t>改进金属有机框架（MOFs）用于水收集的设计需要可靠预测吸附等温线，即吸附的吉布斯自由能，仅需原子位置作为输入。我们采用密度泛函理论（DFT），并表明在Mg-MOF-74中，水负载为n = 1, 2, 3, 4和5个分子每Mg2+离子时，存在明确的吸附结构。第一个水分子附着在开放的金属位点上，而在后续分子吸附时，形成了每个分子具有越来越多氢键的结构：二聚体（n = 2）、孔方向的链（n = 3）和孔壁上的单层（n = 4）。对于n = 5，连接到单层的水三聚体的管状堆栈完全填充孔道，所有水分子都</w:t>
      </w:r>
    </w:p>
    <w:p>
      <w:pPr>
        <w:spacing w:before="0" w:after="200" w:lineRule="auto" w:line="276"/>
      </w:pPr>
      <w:r>
        <w:rPr>
          <w:b/>
        </w:rPr>
        <w:t xml:space="preserve">Abstract (EN): </w:t>
      </w:r>
      <w:r>
        <w:t>The design of improved metal-organic frameworks (MOFs) for water harvesting requires the reliable prediction of adsorption isotherms, i.e., Gibbs free energies of adsorption, with no other input than the atomic positions. We employ density functional theory (DFT) and show that, in Mg-MOF-74, well-defined adsorption structures exist for water loadings of n = 1, 2, 3, 4, and 5 molecules per Mg2+ ion. The first water molecule attaches to the open metal site, while on adsorption of subsequent molecules, structures with an increasing number of hydrogen bonds per molecule form: dimers (n = 2), chains in pore direction (n = 3), and a monolayer on the pore wall (n = 4). For n = 5, a tube-like stack of water trimers connected to the monolayer fills the pore completely, and all water molecules are 4-fold coordinated. For isotherm predictions, we use a Multisite Langmuir model with Gibbs free energies of -33, -19, -13, -10, and -21 kJ/mol for the steps leading to adsorption states with n = 1, 2, 3, 4, and 5 molecules, respectively. The close agreement of the predicted total isotherm with experiment corresponds to an accuracy of ±2 kJ/mol for Gibbs free energies. This is achieved only after adding "high-level" Coupled Cluster corrections (0, 3, 9, 8, and 11 kJ/mol for n = 1, 2, 3, 4, and 5, respectively) to the DFT energies. We show that the large variations observed between different experimental isotherms can be explained by sample imperfections or incomplete evacuation of samples before isotherm measurements.</w:t>
      </w:r>
    </w:p>
    <w:p>
      <w:pPr>
        <w:spacing w:before="120" w:after="120"/>
      </w:pPr>
      <w:r>
        <w:rPr>
          <w:sz w:val="18"/>
        </w:rPr>
        <w:t>——————————————————————————————————————————————————————————————————————</w:t>
      </w:r>
    </w:p>
    <w:p>
      <w:pPr>
        <w:spacing w:before="160" w:after="40" w:line="240" w:lineRule="auto"/>
      </w:pPr>
      <w:r>
        <w:rPr>
          <w:b/>
        </w:rPr>
        <w:t xml:space="preserve">[124] </w:t>
      </w:r>
      <w:hyperlink r:id="rId449">
        <w:r>
          <w:rPr>
            <w:color w:val="1155CC"/>
            <w:u w:val="single"/>
          </w:rPr>
          <w:t>[ASAP] 过渡金属掺杂卤化物钙钛矿用于近红外发射：超越氧化物</w:t>
        </w:r>
      </w:hyperlink>
    </w:p>
    <w:p>
      <w:pPr>
        <w:spacing w:before="0" w:after="80"/>
      </w:pPr>
      <w:r>
        <w:rPr>
          <w:i/>
          <w:sz w:val="20"/>
        </w:rPr>
        <w:t>EN: [ASAP] Transition-Metal-Doped Halide Perovskites for Near-Infrared Emissions: Beyond Oxides</w:t>
      </w:r>
    </w:p>
    <w:p>
      <w:pPr>
        <w:spacing w:before="0" w:after="120"/>
      </w:pPr>
      <w:r>
        <w:rPr>
          <w:b/>
        </w:rPr>
        <w:t xml:space="preserve">Source: </w:t>
      </w:r>
      <w:r>
        <w:t>ACS Energy Letters: Latest Articles (ACS Publications)</w:t>
      </w:r>
      <w:r>
        <w:t xml:space="preserve">    </w:t>
      </w:r>
      <w:r>
        <w:rPr>
          <w:b/>
        </w:rPr>
        <w:t xml:space="preserve">Pub date: </w:t>
      </w:r>
      <w:r>
        <w:t>2026-03-16 12:00:01+00:00</w:t>
      </w:r>
      <w:r>
        <w:t xml:space="preserve">    </w:t>
      </w:r>
      <w:r>
        <w:rPr>
          <w:b/>
        </w:rPr>
        <w:t xml:space="preserve">DOI: </w:t>
      </w:r>
      <w:hyperlink r:id="rId450">
        <w:r>
          <w:rPr>
            <w:color w:val="1155CC"/>
            <w:u w:val="single"/>
          </w:rPr>
          <w:t>10.1021/acsenergylett.6c00105</w:t>
        </w:r>
      </w:hyperlink>
    </w:p>
    <w:p>
      <w:pPr>
        <w:spacing w:before="0" w:after="120"/>
      </w:pPr>
      <w:r>
        <w:rPr>
          <w:b/>
        </w:rPr>
        <w:t xml:space="preserve">Notes: </w:t>
      </w:r>
      <w:r>
        <w:t>abstract_source=openalex</w:t>
      </w:r>
    </w:p>
    <w:p>
      <w:pPr>
        <w:spacing w:before="0" w:after="80" w:lineRule="auto" w:line="276"/>
      </w:pPr>
      <w:r>
        <w:rPr>
          <w:b/>
        </w:rPr>
        <w:t xml:space="preserve">摘要（ZH）: </w:t>
      </w:r>
      <w:r>
        <w:t>过渡金属掺杂的氧化物基磷光体导致了近红外（NIR）发光二极管和激光器的出现。大多数情况下，掺杂的是第一过渡系列（3d）金属离子，如Cr3+。有趣的是，较重的过渡金属离子，如Mo3+、Re4+和Os4+，在其低氧化态下可以掺杂到卤化物钙钛矿中，这与稳定较高氧化态的氧化物宿主不同。因此，在卤化物宿主中掺杂较重的过渡金属离子为定制NIR-I/II发射开辟了新途径，适用于窄带和宽带d–d跃迁。此外，（i）通过卤化物离子调节晶场参数的可调性，（ii）宿主发射，以及（iii）胶体纳米晶体合成等特性，为与氧化物相比的过渡金属掺杂卤化物钙钛矿增添了新的NIR功能</w:t>
      </w:r>
    </w:p>
    <w:p>
      <w:pPr>
        <w:spacing w:before="0" w:after="200" w:lineRule="auto" w:line="276"/>
      </w:pPr>
      <w:r>
        <w:rPr>
          <w:b/>
        </w:rPr>
        <w:t xml:space="preserve">Abstract (EN): </w:t>
      </w:r>
      <w:r>
        <w:t>Transition-metal-doped oxide-based phosphors led to near-infrared (NIR) light-emitting diodes and lasers. Mostly, the first transition series (3d) metal ions, like Cr3+, are doped. Interestingly, heavier transition-metal ions, like Mo3+, Re4+, and Os4+, in their low oxidation states, can be doped in halide perovskites, unlike the oxide hosts that stabilize the higher oxidation state. Consequently, doping heavier transition metal ions in halide hosts opens up new avenues to tailor NIR-I/II emissions for both narrow and broad-band d–d transitions. Furthermore, characteristics such as (i) tunability of crystal field parameters by halide ions, (ii) host emissions, and (iii) colloidal nanocrystal synthesis add new NIR functionalities to transition-metal-doped halide perovskites compared to oxides. Here we provide insights on recent progresses on the NIR emitting transition-metal-doped halides, connecting synthetic materials chemistry, spectroscopy and device fabrication. The present challenges and future opportunities are discussed.</w:t>
      </w:r>
    </w:p>
    <w:p>
      <w:pPr>
        <w:spacing w:before="120" w:after="120"/>
      </w:pPr>
      <w:r>
        <w:rPr>
          <w:sz w:val="18"/>
        </w:rPr>
        <w:t>——————————————————————————————————————————————————————————————————————</w:t>
      </w:r>
    </w:p>
    <w:p>
      <w:pPr>
        <w:spacing w:before="160" w:after="40" w:line="240" w:lineRule="auto"/>
      </w:pPr>
      <w:r>
        <w:rPr>
          <w:b/>
        </w:rPr>
        <w:t xml:space="preserve">[125] </w:t>
      </w:r>
      <w:hyperlink r:id="rId451">
        <w:r>
          <w:rPr>
            <w:color w:val="1155CC"/>
            <w:u w:val="single"/>
          </w:rPr>
          <w:t>[ASAP] 锌基配位网络中刺激诱导的微柔性纳米孔实现四种不同的吸附机制以高效分离轻烃</w:t>
        </w:r>
      </w:hyperlink>
    </w:p>
    <w:p>
      <w:pPr>
        <w:spacing w:before="0" w:after="80"/>
      </w:pPr>
      <w:r>
        <w:rPr>
          <w:i/>
          <w:sz w:val="20"/>
        </w:rPr>
        <w:t>EN: [ASAP] Stimulus-Induced Microflexible Nanopores in Zinc-Based Coordination Network Enable Four Distinct Adsorption Mechanisms for Efficient Light Hydrocarbon Separations</w:t>
      </w:r>
    </w:p>
    <w:p>
      <w:pPr>
        <w:spacing w:before="0" w:after="120"/>
      </w:pPr>
      <w:r>
        <w:rPr>
          <w:b/>
        </w:rPr>
        <w:t xml:space="preserve">Source: </w:t>
      </w:r>
      <w:r>
        <w:t>Journal of the American Chemical Society: Latest Articles (ACS Publications)</w:t>
      </w:r>
      <w:r>
        <w:t xml:space="preserve">    </w:t>
      </w:r>
      <w:r>
        <w:rPr>
          <w:b/>
        </w:rPr>
        <w:t xml:space="preserve">Pub date: </w:t>
      </w:r>
      <w:r>
        <w:t>2026-03-16 13:44:00+00:00</w:t>
      </w:r>
      <w:r>
        <w:t xml:space="preserve">    </w:t>
      </w:r>
      <w:r>
        <w:rPr>
          <w:b/>
        </w:rPr>
        <w:t xml:space="preserve">DOI: </w:t>
      </w:r>
      <w:hyperlink r:id="rId452">
        <w:r>
          <w:rPr>
            <w:color w:val="1155CC"/>
            <w:u w:val="single"/>
          </w:rPr>
          <w:t>10.1021/jacs.5c20939</w:t>
        </w:r>
      </w:hyperlink>
    </w:p>
    <w:p>
      <w:pPr>
        <w:spacing w:before="0" w:after="120"/>
      </w:pPr>
      <w:r>
        <w:rPr>
          <w:b/>
        </w:rPr>
        <w:t xml:space="preserve">Notes: </w:t>
      </w:r>
      <w:r>
        <w:t>abstract_source=pubmed</w:t>
      </w:r>
    </w:p>
    <w:p>
      <w:pPr>
        <w:spacing w:before="0" w:after="80" w:lineRule="auto" w:line="276"/>
      </w:pPr>
      <w:r>
        <w:rPr>
          <w:b/>
        </w:rPr>
        <w:t xml:space="preserve">摘要（ZH）: </w:t>
      </w:r>
      <w:r>
        <w:t>理解吸附机制对于推进气体分离科学和技术至关重要。然而，能够通过刺激诱导结构微调以实现多种吸附机制的吸附剂却很少被报道。在此，我们报告了一种锌基配位网络CALF-20，它表现出温度和客体诱导的微柔性，能够对九种轻烃气体展示四种不同且可调的吸附机制：(i) 热力学选择性（乙烷/乙烯分离）；(ii) 动力学限制吸附（丙烷、正丁烷和正丁烯）；(iii) 分子筛分（异丁烷/异丁烯）；(iv) 闸门开启柔性（在存在正烷烃杂质的情况下捕获丁二烯）。实际上，温度依赖的结构柔性使得调节成为可能。</w:t>
      </w:r>
    </w:p>
    <w:p>
      <w:pPr>
        <w:spacing w:before="0" w:after="200" w:lineRule="auto" w:line="276"/>
      </w:pPr>
      <w:r>
        <w:rPr>
          <w:b/>
        </w:rPr>
        <w:t xml:space="preserve">Abstract (EN): </w:t>
      </w:r>
      <w:r>
        <w:t>Understanding adsorption mechanisms is fundamental to advancing gas separation science and technology. Nevertheless, sorbents that undergo stimulus-induced fine-tuning of their structures to enable multiple adsorption mechanisms are rarely reported. Here, we report that CALF-20, a zinc-based coordination network, exhibits temperature and guest-induced microflexibility to exhibit four distinct and tunable adsorption mechanisms for nine light hydrocarbon gases: (i) thermodynamic selectivity (ethane/ethylene separation); (ii) kinetic-limited adsorption (propane, n-butane, and n-butene); (iii) molecular sieving (iso-butane/iso-butene); (iv) gate-opening flexibility (butadiene capture in the presence of n-alkane impurities). In effect, temperature-dependent structural flexibility enables modulation of guest diffusion kinetics and adsorption thermodynamics. CALF-20 thereby achieves propylene purification from propane and butadiene purification with exceptional selectivity. Structural and computational insights into the mechanisms governing the selective separation of light hydrocarbons using CALF-20 reveal the potential of targeted flexible nanoporous materials with dynamically tunable pore environments, paving the way for next-generation separation technologies in the petrochemical and energy sectors.</w:t>
      </w:r>
    </w:p>
    <w:p>
      <w:pPr>
        <w:spacing w:before="120" w:after="120"/>
      </w:pPr>
      <w:r>
        <w:rPr>
          <w:sz w:val="18"/>
        </w:rPr>
        <w:t>——————————————————————————————————————————————————————————————————————</w:t>
      </w:r>
    </w:p>
    <w:p>
      <w:pPr>
        <w:spacing w:before="160" w:after="40" w:line="240" w:lineRule="auto"/>
      </w:pPr>
      <w:r>
        <w:rPr>
          <w:b/>
        </w:rPr>
        <w:t xml:space="preserve">[126] </w:t>
      </w:r>
      <w:hyperlink r:id="rId453">
        <w:r>
          <w:rPr>
            <w:color w:val="1155CC"/>
            <w:u w:val="single"/>
          </w:rPr>
          <w:t>[ASAP] 原位拉曼光谱揭示电催化加氢中的氢溢出</w:t>
        </w:r>
      </w:hyperlink>
    </w:p>
    <w:p>
      <w:pPr>
        <w:spacing w:before="0" w:after="80"/>
      </w:pPr>
      <w:r>
        <w:rPr>
          <w:i/>
          <w:sz w:val="20"/>
        </w:rPr>
        <w:t>EN: [ASAP] In Situ Raman Spectroscopic Insight of Hydrogen Spillover in Electrocatalytic 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2026-03-16 13:47:27+00:00</w:t>
      </w:r>
      <w:r>
        <w:t xml:space="preserve">    </w:t>
      </w:r>
      <w:r>
        <w:rPr>
          <w:b/>
        </w:rPr>
        <w:t xml:space="preserve">DOI: </w:t>
      </w:r>
      <w:hyperlink r:id="rId454">
        <w:r>
          <w:rPr>
            <w:color w:val="1155CC"/>
            <w:u w:val="single"/>
          </w:rPr>
          <w:t>10.1021/jacs.6c00294</w:t>
        </w:r>
      </w:hyperlink>
    </w:p>
    <w:p>
      <w:pPr>
        <w:spacing w:before="0" w:after="120"/>
      </w:pPr>
      <w:r>
        <w:rPr>
          <w:b/>
        </w:rPr>
        <w:t xml:space="preserve">Notes: </w:t>
      </w:r>
      <w:r>
        <w:t>abstract_source=pubmed</w:t>
      </w:r>
    </w:p>
    <w:p>
      <w:pPr>
        <w:spacing w:before="0" w:after="80" w:lineRule="auto" w:line="276"/>
      </w:pPr>
      <w:r>
        <w:rPr>
          <w:b/>
        </w:rPr>
        <w:t xml:space="preserve">摘要（ZH）: </w:t>
      </w:r>
      <w:r>
        <w:t>鉴于吸附氢物种（*H）在电化学加氢反应中的关键作用，操控氢溢流以促进*H的生成和迁移是非常必要的。然而，氢活化位点与加氢位点之间的强耦合，以及在实际电催化系统中质子和水分子的共存，使得原位监测氢溢流成为一项巨大挑战。在此，使用单原子钌掺杂铜作为模型催化剂，通过原位表面增强拉曼光谱实现了电化学条件下氢溢流的光谱可视化。以对硝基苯硫酚为探针分子，我们阐明了氢溢流距离是与晶面相关的。</w:t>
      </w:r>
    </w:p>
    <w:p>
      <w:pPr>
        <w:spacing w:before="0" w:after="200" w:lineRule="auto" w:line="276"/>
      </w:pPr>
      <w:r>
        <w:rPr>
          <w:b/>
        </w:rPr>
        <w:t xml:space="preserve">Abstract (EN): </w:t>
      </w:r>
      <w:r>
        <w:t>Given the crucial role of adsorbed hydrogen species (*H) in electrochemical hydrogenation reactions, manipulating hydrogen spillover to facilitate the generation and migration of *H is highly necessary. However, the strong coupling between hydrogen activation sites and hydrogenation sites, together with the coexistence of protons and water molecules in practical electrocatalytic systems, renders a grand challenge for the in situ monitoring of hydrogen spillover. Herein, using single-atom Ru-doped Cu as a model catalyst, the spectroscopic visualization of hydrogen spillover under electrochemical conditions was realized by in situ surface-enhanced Raman spectroscopy. Taking para-nitrothiophenol as the probe molecule, we elucidated that the hydrogen spillover distance was facet-dependent, with Cu(111) being more active for electrocatalytic hydrogenation than Cu(100). Notably, electrochemical hydrogen spillover distances were tunable with the variation of applied potentials, which increased, ranging from 0.8 to 2.6 nm as the potentials shifted negatively. Moreover, by leveraging the hydrogen spillover effect to increase the hydrogen coverage on the Cu(111) surface, we found that the rate-determining step of nitrate electroreduction could be altered, resulting in a significant enhancement of catalytic performance.</w:t>
      </w:r>
    </w:p>
    <w:p>
      <w:pPr>
        <w:spacing w:before="120" w:after="120"/>
      </w:pPr>
      <w:r>
        <w:rPr>
          <w:sz w:val="18"/>
        </w:rPr>
        <w:t>——————————————————————————————————————————————————————————————————————</w:t>
      </w:r>
    </w:p>
    <w:p>
      <w:pPr>
        <w:spacing w:before="160" w:after="40" w:line="240" w:lineRule="auto"/>
      </w:pPr>
      <w:r>
        <w:rPr>
          <w:b/>
        </w:rPr>
        <w:t xml:space="preserve">[127] </w:t>
      </w:r>
      <w:hyperlink r:id="rId455">
        <w:r>
          <w:rPr>
            <w:color w:val="1155CC"/>
            <w:u w:val="single"/>
          </w:rPr>
          <w:t>[ASAP] 通过质子分辨NMR和从头算模拟对氧化物表面界面水的原子尺度映射</w:t>
        </w:r>
      </w:hyperlink>
    </w:p>
    <w:p>
      <w:pPr>
        <w:spacing w:before="0" w:after="80"/>
      </w:pPr>
      <w:r>
        <w:rPr>
          <w:i/>
          <w:sz w:val="20"/>
        </w:rPr>
        <w:t>EN: [ASAP] Atomic-Scale Mapping of Interfacial Water on Oxide Surfaces via Proton-Resolved NMR and Ab Initio Simulations</w:t>
      </w:r>
    </w:p>
    <w:p>
      <w:pPr>
        <w:spacing w:before="0" w:after="120"/>
      </w:pPr>
      <w:r>
        <w:rPr>
          <w:b/>
        </w:rPr>
        <w:t xml:space="preserve">Source: </w:t>
      </w:r>
      <w:r>
        <w:t>Journal of the American Chemical Society: Latest Articles (ACS Publications)</w:t>
      </w:r>
      <w:r>
        <w:t xml:space="preserve">    </w:t>
      </w:r>
      <w:r>
        <w:rPr>
          <w:b/>
        </w:rPr>
        <w:t xml:space="preserve">Pub date: </w:t>
      </w:r>
      <w:r>
        <w:t>2026-03-16 13:47:44+00:00</w:t>
      </w:r>
      <w:r>
        <w:t xml:space="preserve">    </w:t>
      </w:r>
      <w:r>
        <w:rPr>
          <w:b/>
        </w:rPr>
        <w:t xml:space="preserve">DOI: </w:t>
      </w:r>
      <w:hyperlink r:id="rId456">
        <w:r>
          <w:rPr>
            <w:color w:val="1155CC"/>
            <w:u w:val="single"/>
          </w:rPr>
          <w:t>10.1021/jacs.5c18863</w:t>
        </w:r>
      </w:hyperlink>
    </w:p>
    <w:p>
      <w:pPr>
        <w:spacing w:before="0" w:after="120"/>
      </w:pPr>
      <w:r>
        <w:rPr>
          <w:b/>
        </w:rPr>
        <w:t xml:space="preserve">Notes: </w:t>
      </w:r>
      <w:r>
        <w:t>abstract_source=openalex</w:t>
      </w:r>
    </w:p>
    <w:p>
      <w:pPr>
        <w:spacing w:before="0" w:after="80" w:lineRule="auto" w:line="276"/>
      </w:pPr>
      <w:r>
        <w:rPr>
          <w:b/>
        </w:rPr>
        <w:t xml:space="preserve">摘要（ZH）: </w:t>
      </w:r>
      <w:r>
        <w:t>理解固液界面处水的分子结构对于推进催化、能量转换和环境技术至关重要。然而，在过量液态水中直接表征界面水物种仍然是一个主要的实验挑战。在此，我们介绍了一种新策略，将高分辨率1H魔角旋转（MAS）核磁共振（NMR）光谱与第一性原理分子动力学模拟相结合，以解析和分配水合二氧化钛（TiO2）纳米颗粒上界面水和羟基物种的化学环境。通过部分质子-氘交换和快速MAS技术，我们实现了固液界面上表面结合的H2O和OH基团的位点特异性检测。这使得</w:t>
      </w:r>
    </w:p>
    <w:p>
      <w:pPr>
        <w:spacing w:before="0" w:after="200" w:lineRule="auto" w:line="276"/>
      </w:pPr>
      <w:r>
        <w:rPr>
          <w:b/>
        </w:rPr>
        <w:t xml:space="preserve">Abstract (EN): </w:t>
      </w:r>
      <w:r>
        <w:t>Understanding the molecular structure of water at solid–liquid interfaces is essential for advancing catalysis, energy conversion, and environmental technologies. However, directly characterizing interfacial water species in excess liquid water remains a major experimental challenge. Here, we introduce a new strategy that combines high-resolution 1H magic-angle spinning (MAS) nuclear magnetic resonance (NMR) spectroscopy with first-principles molecular dynamics simulations to resolve and assign the chemical environments of interfacial water and hydroxyl species on hydrated titanium dioxide (TiO2) nanoparticles. Using partial proton–deuteron exchange and fast MAS techniques, we achieve site-specific detection of surface-bound H2O and OH groups at the solid–liquid interface. This enables a detailed atomistic assessment of surface hydration states under ambient conditions. Our results reveal that the fully hydrated anatase (101) TiO2 surfaces are positively protonated and exhibit hydrophobic behavior, a counterintuitive finding with significant implications for interfacial reactivity. The approach developed in this work is widely applicable for unraveling complex hydration structures at oxide–water interfaces with molecular resolution.</w:t>
      </w:r>
    </w:p>
    <w:p>
      <w:pPr>
        <w:spacing w:before="120" w:after="120"/>
      </w:pPr>
      <w:r>
        <w:rPr>
          <w:sz w:val="18"/>
        </w:rPr>
        <w:t>——————————————————————————————————————————————————————————————————————</w:t>
      </w:r>
    </w:p>
    <w:p>
      <w:pPr>
        <w:spacing w:before="160" w:after="40" w:line="240" w:lineRule="auto"/>
      </w:pPr>
      <w:r>
        <w:rPr>
          <w:b/>
        </w:rPr>
        <w:t xml:space="preserve">[128] </w:t>
      </w:r>
      <w:hyperlink r:id="rId457">
        <w:r>
          <w:rPr>
            <w:color w:val="1155CC"/>
            <w:u w:val="single"/>
          </w:rPr>
          <w:t>[ASAP] 电催化C–S偶联用于从混合多元醇中高效合成有机硫化物，碳选择性超过99%</w:t>
        </w:r>
      </w:hyperlink>
    </w:p>
    <w:p>
      <w:pPr>
        <w:spacing w:before="0" w:after="80"/>
      </w:pPr>
      <w:r>
        <w:rPr>
          <w:i/>
          <w:sz w:val="20"/>
        </w:rPr>
        <w:t>EN: [ASAP] Electrocatalytic C–S Coupling for Efficient Organosulfur Electrosynthesis from Mixed Polyols with &gt;99% of Carbon Selectivity</w:t>
      </w:r>
    </w:p>
    <w:p>
      <w:pPr>
        <w:spacing w:before="0" w:after="120"/>
      </w:pPr>
      <w:r>
        <w:rPr>
          <w:b/>
        </w:rPr>
        <w:t xml:space="preserve">Source: </w:t>
      </w:r>
      <w:r>
        <w:t>Journal of the American Chemical Society: Latest Articles (ACS Publications)</w:t>
      </w:r>
      <w:r>
        <w:t xml:space="preserve">    </w:t>
      </w:r>
      <w:r>
        <w:rPr>
          <w:b/>
        </w:rPr>
        <w:t xml:space="preserve">Pub date: </w:t>
      </w:r>
      <w:r>
        <w:t>2026-03-16 13:54:07+00:00</w:t>
      </w:r>
      <w:r>
        <w:t xml:space="preserve">    </w:t>
      </w:r>
      <w:r>
        <w:rPr>
          <w:b/>
        </w:rPr>
        <w:t xml:space="preserve">DOI: </w:t>
      </w:r>
      <w:hyperlink r:id="rId458">
        <w:r>
          <w:rPr>
            <w:color w:val="1155CC"/>
            <w:u w:val="single"/>
          </w:rPr>
          <w:t>10.1021/jacs.6c02189</w:t>
        </w:r>
      </w:hyperlink>
    </w:p>
    <w:p>
      <w:pPr>
        <w:spacing w:before="0" w:after="120"/>
      </w:pPr>
      <w:r>
        <w:rPr>
          <w:b/>
        </w:rPr>
        <w:t xml:space="preserve">Notes: </w:t>
      </w:r>
      <w:r>
        <w:t>abstract_source=pubmed</w:t>
      </w:r>
    </w:p>
    <w:p>
      <w:pPr>
        <w:spacing w:before="0" w:after="80" w:lineRule="auto" w:line="276"/>
      </w:pPr>
      <w:r>
        <w:rPr>
          <w:b/>
        </w:rPr>
        <w:t xml:space="preserve">摘要（ZH）: </w:t>
      </w:r>
      <w:r>
        <w:t>从多元醇中电催化碳-硫（C-S）偶联提供了一种在温和条件下合成增值有机硫化合物的有效途径。尽管已有一些现有结果，但其性能，包括碳选择性和法拉第效率（FE），远低于实际应用的预期，尤其是来自生物质衍生的混合多元醇。在这项工作中，我们首次展示了多元醇在介孔（CuNi）O电催化剂上的次级羟基吸附，选择性地促进C-C键氧化裂解为甲醛中间体，用于C-S偶联生成增值的羟甲基磺酸盐（HMS），而不会过度氧化为不良的甲酸。以甘油为模型多元醇，该途径实现了可记录的碳选择性&gt;99%和超</w:t>
      </w:r>
    </w:p>
    <w:p>
      <w:pPr>
        <w:spacing w:before="0" w:after="200" w:lineRule="auto" w:line="276"/>
      </w:pPr>
      <w:r>
        <w:rPr>
          <w:b/>
        </w:rPr>
        <w:t xml:space="preserve">Abstract (EN): </w:t>
      </w:r>
      <w:r>
        <w:t>Electrocatalytic carbon-sulfur (C-S) coupling from polyols offers an efficient route for synthesizing value-added organosulfur compounds under mild conditions. Despite some existing results, their performance, including carbon selectivity and Faradaic efficiency (FE), is far behind what is expected for practical application, especially from biomass-derived mixed polyols. In this work, we present, for the first time, secondary hydroxyl adsorption of polyols on a mesoporous (CuNi)O electrocatalyst that selectively promotes C-C bond oxidation cleavage into a formaldehyde intermediate for C-S coupling to value-added hydroxymethanesulfonate (HMS), without overoxidation to undesirable formate. With glycerol as a model polyol, this route delivers a recordable carbon selectivity of &gt;99% and a superior HMS FE of 59.9% at a high yield rate of 11.8 mmol cm-2 h-1 in a flow cell. Meanwhile, this route holds a high economic viability for robust electrosynthesis of high-purity HMS in a large scale, with a total profit of $1450 per ton. More impressively, high performance is also achieved in simulated, biomass-derived mixed polyols, which further bypass costly separation and purification steps for HMS electrosynthesis. The findings provide new design principles to engineer chemisorption properties and optimize product selectivity for electrocatalytic upcycling of mixed feedstocks into high-value-added chemicals.</w:t>
      </w:r>
    </w:p>
    <w:p>
      <w:pPr>
        <w:spacing w:before="120" w:after="120"/>
      </w:pPr>
      <w:r>
        <w:rPr>
          <w:sz w:val="18"/>
        </w:rPr>
        <w:t>——————————————————————————————————————————————————————————————————————</w:t>
      </w:r>
    </w:p>
    <w:p>
      <w:pPr>
        <w:spacing w:before="160" w:after="40" w:line="240" w:lineRule="auto"/>
      </w:pPr>
      <w:r>
        <w:rPr>
          <w:b/>
        </w:rPr>
        <w:t xml:space="preserve">[129] </w:t>
      </w:r>
      <w:hyperlink r:id="rId459">
        <w:r>
          <w:rPr>
            <w:color w:val="1155CC"/>
            <w:u w:val="single"/>
          </w:rPr>
          <w:t>[ASAP] 阐明NH2OH介导的光电催化C–N偶联路径以实现太阳能驱动的六亚甲基四胺合成</w:t>
        </w:r>
      </w:hyperlink>
    </w:p>
    <w:p>
      <w:pPr>
        <w:spacing w:before="0" w:after="80"/>
      </w:pPr>
      <w:r>
        <w:rPr>
          <w:i/>
          <w:sz w:val="20"/>
        </w:rPr>
        <w:t>EN: [ASAP] Elucidating the NH2OH–Mediated Pathway for Photoelectrocatalytic C–N Coupling toward Solar-Driven Hexamethylenetetramine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2026-03-16 14:28:54+00:00</w:t>
      </w:r>
      <w:r>
        <w:t xml:space="preserve">    </w:t>
      </w:r>
      <w:r>
        <w:rPr>
          <w:b/>
        </w:rPr>
        <w:t xml:space="preserve">DOI: </w:t>
      </w:r>
      <w:hyperlink r:id="rId460">
        <w:r>
          <w:rPr>
            <w:color w:val="1155CC"/>
            <w:u w:val="single"/>
          </w:rPr>
          <w:t>10.1021/jacs.5c20896</w:t>
        </w:r>
      </w:hyperlink>
    </w:p>
    <w:p>
      <w:pPr>
        <w:spacing w:before="0" w:after="120"/>
      </w:pPr>
      <w:r>
        <w:rPr>
          <w:b/>
        </w:rPr>
        <w:t xml:space="preserve">Notes: </w:t>
      </w:r>
      <w:r>
        <w:t>abstract_source=pubmed</w:t>
      </w:r>
    </w:p>
    <w:p>
      <w:pPr>
        <w:spacing w:before="0" w:after="80" w:lineRule="auto" w:line="276"/>
      </w:pPr>
      <w:r>
        <w:rPr>
          <w:b/>
        </w:rPr>
        <w:t xml:space="preserve">摘要（ZH）: </w:t>
      </w:r>
      <w:r>
        <w:t>多C-N键的可持续构建仍然是一个基本挑战，特别是对于需要多电子和多步骤过程的复杂碳氮分子。六亚甲基四胺（HMTA）是一种重要的化学原料，而其传统合成过程能耗高且碳排放密集。最近的研究表明，基于铜的催化剂在电化学HMTA形成中具有潜力，但单一铜位点在协调多重氢化和缩合步骤以同时形成两个关键HMTA前体（即（CH2NH）3和N(CH2OH)3）方面固有地受到限制。在此，我们报告了一种可持续的光电催化（PEC）方法，通过使用与分层结构集成的硅基光电阴极偶联NO3-和HCHO进行HMTA合成。</w:t>
      </w:r>
    </w:p>
    <w:p>
      <w:pPr>
        <w:spacing w:before="0" w:after="200" w:lineRule="auto" w:line="276"/>
      </w:pPr>
      <w:r>
        <w:rPr>
          <w:b/>
        </w:rPr>
        <w:t xml:space="preserve">Abstract (EN): </w:t>
      </w:r>
      <w:r>
        <w:t>The sustainable construction of multiple C-N bonds remains a fundamental challenge, particularly for complex carbon-nitrogen molecules that require multielectron and multistep processes. Hexamethylenetetramine (HMTA) is an essential chemical feedstock, while its conventional synthesis is energy and carbon-emission intensive. Recent studies indicate the promise of Cu-based catalysts for electrochemical HMTA formation, yet a single Cu site is inherently limited in coordinating the multiple hydrogenation and condensation steps necessary for simultaneously forming the two key HMTA precursors (i.e., (CH2NH)3 and N(CH2OH)3). Herein, we report a sustainable photoelectrocatalytic (PEC) approach for HMTA synthesis via coupling NO3- and HCHO using a Si-based photocathode integrated with hierarchical Cu/Co nanoarray cocatalysts (Cu/Co-Si). This architecture decouples light absorption and catalytic reaction, delivering a high HMTA faradaic efficiency of 80.62% at 0.2 VRHE, over 3.2 times that of Cu-Si, and a yield rate of 5.43 μmol h-1 cm-2. Importantly, *NH2OH generated on Co sites during NO3- reduction is identified as a key intermediate that couples directly with *HCHO to form an oxime (*CH2═NOH), accelerating the formation of (CH2NH)3. Meanwhile, Cu sites favor the NH3-HCHO condensation pathway to generate N(CH2OH)3. The rational dual-site strategy and photovoltaic compatibility offer a scalable, sustainable platform for solar-driven C-N coupling toward high-value chemicals.</w:t>
      </w:r>
    </w:p>
    <w:p>
      <w:pPr>
        <w:spacing w:before="120" w:after="120"/>
      </w:pPr>
      <w:r>
        <w:rPr>
          <w:sz w:val="18"/>
        </w:rPr>
        <w:t>——————————————————————————————————————————————————————————————————————</w:t>
      </w:r>
    </w:p>
    <w:p>
      <w:pPr>
        <w:spacing w:before="160" w:after="40" w:line="240" w:lineRule="auto"/>
      </w:pPr>
      <w:r>
        <w:rPr>
          <w:b/>
        </w:rPr>
        <w:t xml:space="preserve">[130] </w:t>
      </w:r>
      <w:hyperlink r:id="rId461">
        <w:r>
          <w:rPr>
            <w:color w:val="1155CC"/>
            <w:u w:val="single"/>
          </w:rPr>
          <w:t>封面插图：使用DNA折纸摩擦技术进行膜蛋白相互作用的空间映射</w:t>
        </w:r>
      </w:hyperlink>
    </w:p>
    <w:p>
      <w:pPr>
        <w:spacing w:before="0" w:after="80"/>
      </w:pPr>
      <w:r>
        <w:rPr>
          <w:i/>
          <w:sz w:val="20"/>
        </w:rPr>
        <w:t>EN: Frontispiece: Spatial Mapping of Membrane Protein Interactions Using a DNA Origami Rubbing</w:t>
      </w:r>
    </w:p>
    <w:p>
      <w:pPr>
        <w:spacing w:before="0" w:after="120"/>
      </w:pPr>
      <w:r>
        <w:rPr>
          <w:b/>
        </w:rPr>
        <w:t xml:space="preserve">Source: </w:t>
      </w:r>
      <w:r>
        <w:t>Wiley: Angewandte Chemie International Edition: Table of Contents</w:t>
      </w:r>
      <w:r>
        <w:t xml:space="preserve">    </w:t>
      </w:r>
      <w:r>
        <w:rPr>
          <w:b/>
        </w:rPr>
        <w:t xml:space="preserve">Pub date: </w:t>
      </w:r>
      <w:r>
        <w:t>2026-03-16 15:09:23+00:00</w:t>
      </w:r>
      <w:r>
        <w:t xml:space="preserve">    </w:t>
      </w:r>
      <w:r>
        <w:rPr>
          <w:b/>
        </w:rPr>
        <w:t xml:space="preserve">DOI: </w:t>
      </w:r>
      <w:hyperlink r:id="rId462">
        <w:r>
          <w:rPr>
            <w:color w:val="1155CC"/>
            <w:u w:val="single"/>
          </w:rPr>
          <w:t>10.1002/anie.2026-m2402081700</w:t>
        </w:r>
      </w:hyperlink>
    </w:p>
    <w:p>
      <w:pPr>
        <w:spacing w:before="0" w:after="120"/>
      </w:pPr>
      <w:r>
        <w:rPr>
          <w:b/>
        </w:rPr>
        <w:t xml:space="preserve">Notes: </w:t>
      </w:r>
      <w:r>
        <w:t>abstract_source=openalex</w:t>
      </w:r>
    </w:p>
    <w:p>
      <w:pPr>
        <w:spacing w:before="0" w:after="80" w:lineRule="auto" w:line="276"/>
      </w:pPr>
      <w:r>
        <w:rPr>
          <w:b/>
        </w:rPr>
        <w:t xml:space="preserve">摘要（ZH）: </w:t>
      </w:r>
      <w:r>
        <w:t>一种名为DNA折纸拓印（DOR）的策略被开发用于利用DNA折纸技术和DNA聚合酶介导的链延伸在细胞膜中进行蛋白质-蛋白质相互作用（PPIs）的二维映射，模拟用宣纸和石墨进行石拓。结果表明，DOR可以映射由配体诱导的蛋白质二维分布波动，证明其揭示新型PPIs的可行性，并使其成为疾病筛查和预测医疗治疗结果的潜在工具。更多内容见研究文章（e13795），作者包括Da Han、Pei Guo及其合作者。</w:t>
      </w:r>
    </w:p>
    <w:p>
      <w:pPr>
        <w:spacing w:before="0" w:after="200" w:lineRule="auto" w:line="276"/>
      </w:pPr>
      <w:r>
        <w:rPr>
          <w:b/>
        </w:rPr>
        <w:t xml:space="preserve">Abstract (EN): </w:t>
      </w:r>
      <w:r>
        <w:t>A strategy named DNA origami rubbing (DOR) was developed for 2D mapping of protein-protein interactions (PPIs) in cell membrane using DNA origami technology and DNA polymerase-mediated strand-elongation, mimicking making stone rubbing with rice paper and graphite. The results showed that DOR can map the fluctuation of 2D distribution of proteins induced by ligands, demonstrating its feasibility for revealing novel PPIs and making it a potential tool for disease screening and predicting medical treatment outcomes. More in the Research Article (e13795), Da Han, Pei Guo, and co-workers.</w:t>
      </w:r>
    </w:p>
    <w:p>
      <w:pPr>
        <w:spacing w:before="120" w:after="120"/>
      </w:pPr>
      <w:r>
        <w:rPr>
          <w:sz w:val="18"/>
        </w:rPr>
        <w:t>——————————————————————————————————————————————————————————————————————</w:t>
      </w:r>
    </w:p>
    <w:p>
      <w:pPr>
        <w:spacing w:before="160" w:after="40" w:line="240" w:lineRule="auto"/>
      </w:pPr>
      <w:r>
        <w:rPr>
          <w:b/>
        </w:rPr>
        <w:t xml:space="preserve">[131] </w:t>
      </w:r>
      <w:hyperlink r:id="rId463">
        <w:r>
          <w:rPr>
            <w:color w:val="1155CC"/>
            <w:u w:val="single"/>
          </w:rPr>
          <w:t>通过完全分子筛分机制从八氟丙烷中捕获微量六氟丙烯在高度稳健的金属-有机框架中</w:t>
        </w:r>
      </w:hyperlink>
    </w:p>
    <w:p>
      <w:pPr>
        <w:spacing w:before="0" w:after="80"/>
      </w:pPr>
      <w:r>
        <w:rPr>
          <w:i/>
          <w:sz w:val="20"/>
        </w:rPr>
        <w:t>EN: Trace Capture Hexafluoropropylene From Octafluoropropane via Complete Molecular Sieving Mechanism in a Highly Robust Metal−Organic Framework</w:t>
      </w:r>
    </w:p>
    <w:p>
      <w:pPr>
        <w:spacing w:before="0" w:after="120"/>
      </w:pPr>
      <w:r>
        <w:rPr>
          <w:b/>
        </w:rPr>
        <w:t xml:space="preserve">Source: </w:t>
      </w:r>
      <w:r>
        <w:t>Wiley: Angewandte Chemie International Edition: Table of Contents</w:t>
      </w:r>
      <w:r>
        <w:t xml:space="preserve">    </w:t>
      </w:r>
      <w:r>
        <w:rPr>
          <w:b/>
        </w:rPr>
        <w:t xml:space="preserve">Pub date: </w:t>
      </w:r>
      <w:r>
        <w:t>2026-03-16 15:27:29+00:00</w:t>
      </w:r>
      <w:r>
        <w:t xml:space="preserve">    </w:t>
      </w:r>
      <w:r>
        <w:rPr>
          <w:b/>
        </w:rPr>
        <w:t xml:space="preserve">DOI: </w:t>
      </w:r>
      <w:hyperlink r:id="rId464">
        <w:r>
          <w:rPr>
            <w:color w:val="1155CC"/>
            <w:u w:val="single"/>
          </w:rPr>
          <w:t>10.1002/anie.6037453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多孔吸附剂深度去除八氟丙烷（C3F8）中的微量杂质六氟丙烯（C3F6）具有很高的前景，但该领域仍然缺乏能够克服吸附容量和吸附比之间固有权衡的基准吸附剂。在此，我们报告了一种高度稳健的金属有机框架Ni-pca-pyz，其具有电势互补表面和为C3F6量身定制的分子筛通道，实现了最佳的容纳。</w:t>
      </w:r>
    </w:p>
    <w:p>
      <w:pPr>
        <w:spacing w:before="0" w:after="200" w:lineRule="auto" w:line="276"/>
      </w:pPr>
      <w:r>
        <w:rPr>
          <w:b/>
        </w:rPr>
        <w:t xml:space="preserve">Abstract (EN): </w:t>
      </w:r>
      <w:r>
        <w:t>Deep removal of trace hexafluoropropylene (C</w:t>
      </w:r>
      <w:r>
        <w:rPr>
          <w:vertAlign w:val="subscript"/>
        </w:rPr>
        <w:t>3</w:t>
      </w:r>
      <w:r>
        <w:t>F</w:t>
      </w:r>
      <w:r>
        <w:rPr>
          <w:vertAlign w:val="subscript"/>
        </w:rPr>
        <w:t>6</w:t>
      </w:r>
      <w:r>
        <w:t>) impurity from octafluoropropane (C</w:t>
      </w:r>
      <w:r>
        <w:rPr>
          <w:vertAlign w:val="subscript"/>
        </w:rPr>
        <w:t>3</w:t>
      </w:r>
      <w:r>
        <w:t>F</w:t>
      </w:r>
      <w:r>
        <w:rPr>
          <w:vertAlign w:val="subscript"/>
        </w:rPr>
        <w:t>8</w:t>
      </w:r>
      <w:r>
        <w:t>) using porous adsorbents is highly promising, but the field still suffers from the lack of benchmark adsorbents capable of overcoming the inherent trade‐off between adsorption capacity and uptake ratio. Herein, we report a highly robust metal−organic framework, Ni‐pca‐pyz, which features an electrostatic‐potential complementary surface and molecular‐sieving channel tailored for C</w:t>
      </w:r>
      <w:r>
        <w:rPr>
          <w:vertAlign w:val="subscript"/>
        </w:rPr>
        <w:t>3</w:t>
      </w:r>
      <w:r>
        <w:t>F</w:t>
      </w:r>
      <w:r>
        <w:rPr>
          <w:vertAlign w:val="subscript"/>
        </w:rPr>
        <w:t>6</w:t>
      </w:r>
      <w:r>
        <w:t>, realizes the optimal accommodation of C</w:t>
      </w:r>
      <w:r>
        <w:rPr>
          <w:vertAlign w:val="subscript"/>
        </w:rPr>
        <w:t>3</w:t>
      </w:r>
      <w:r>
        <w:t>F</w:t>
      </w:r>
      <w:r>
        <w:rPr>
          <w:vertAlign w:val="subscript"/>
        </w:rPr>
        <w:t>6</w:t>
      </w:r>
      <w:r>
        <w:t>and complete exclusion of C</w:t>
      </w:r>
      <w:r>
        <w:rPr>
          <w:vertAlign w:val="subscript"/>
        </w:rPr>
        <w:t>3</w:t>
      </w:r>
      <w:r>
        <w:t>F</w:t>
      </w:r>
      <w:r>
        <w:rPr>
          <w:vertAlign w:val="subscript"/>
        </w:rPr>
        <w:t>8</w:t>
      </w:r>
      <w:r>
        <w:t>. Ni‐pca‐pyz exhibits a record‐high C</w:t>
      </w:r>
      <w:r>
        <w:rPr>
          <w:vertAlign w:val="subscript"/>
        </w:rPr>
        <w:t>3</w:t>
      </w:r>
      <w:r>
        <w:t>F</w:t>
      </w:r>
      <w:r>
        <w:rPr>
          <w:vertAlign w:val="subscript"/>
        </w:rPr>
        <w:t>6</w:t>
      </w:r>
      <w:r>
        <w:t>/C</w:t>
      </w:r>
      <w:r>
        <w:rPr>
          <w:vertAlign w:val="subscript"/>
        </w:rPr>
        <w:t>3</w:t>
      </w:r>
      <w:r>
        <w:t>F</w:t>
      </w:r>
      <w:r>
        <w:rPr>
          <w:vertAlign w:val="subscript"/>
        </w:rPr>
        <w:t>8</w:t>
      </w:r>
      <w:r>
        <w:t>uptake ratio (137.6), coupled with exceptional C</w:t>
      </w:r>
      <w:r>
        <w:rPr>
          <w:vertAlign w:val="subscript"/>
        </w:rPr>
        <w:t>3</w:t>
      </w:r>
      <w:r>
        <w:t>F</w:t>
      </w:r>
      <w:r>
        <w:rPr>
          <w:vertAlign w:val="subscript"/>
        </w:rPr>
        <w:t>6</w:t>
      </w:r>
      <w:r>
        <w:t>adsorption capacity (55.02 cm</w:t>
      </w:r>
      <w:r>
        <w:rPr>
          <w:vertAlign w:val="subscript"/>
        </w:rPr>
        <w:t>3</w:t>
      </w:r>
      <w:r>
        <w:t>g</w:t>
      </w:r>
      <w:r>
        <w:t xml:space="preserve"> </w:t>
      </w:r>
      <w:r>
        <w:t>−1</w:t>
      </w:r>
      <w:r>
        <w:t xml:space="preserve"> </w:t>
      </w:r>
      <w:r>
        <w:t>) at 298 K and 1.0 bar. Kinetic analysis further confirms negligible adsorption of C</w:t>
      </w:r>
      <w:r>
        <w:rPr>
          <w:vertAlign w:val="subscript"/>
        </w:rPr>
        <w:t>3</w:t>
      </w:r>
      <w:r>
        <w:t>F</w:t>
      </w:r>
      <w:r>
        <w:rPr>
          <w:vertAlign w:val="subscript"/>
        </w:rPr>
        <w:t>8</w:t>
      </w:r>
      <w:r>
        <w:t>(0.36 cm</w:t>
      </w:r>
      <w:r>
        <w:rPr>
          <w:vertAlign w:val="subscript"/>
        </w:rPr>
        <w:t>3</w:t>
      </w:r>
      <w:r>
        <w:t>g</w:t>
      </w:r>
      <w:r>
        <w:t xml:space="preserve"> </w:t>
      </w:r>
      <w:r>
        <w:t>−1</w:t>
      </w:r>
      <w:r>
        <w:t xml:space="preserve"> </w:t>
      </w:r>
      <w:r>
        <w:t>) in Ni‐pca‐pyz, and effective diffusion coefficient for C</w:t>
      </w:r>
      <w:r>
        <w:rPr>
          <w:vertAlign w:val="subscript"/>
        </w:rPr>
        <w:t>3</w:t>
      </w:r>
      <w:r>
        <w:t>F</w:t>
      </w:r>
      <w:r>
        <w:rPr>
          <w:vertAlign w:val="subscript"/>
        </w:rPr>
        <w:t>6</w:t>
      </w:r>
      <w:r>
        <w:t>is 9.29 × 10</w:t>
      </w:r>
      <w:r>
        <w:t xml:space="preserve"> </w:t>
      </w:r>
      <w:r>
        <w:t>−5</w:t>
      </w:r>
      <w:r>
        <w:t xml:space="preserve"> </w:t>
      </w:r>
      <w:r>
        <w:t>s</w:t>
      </w:r>
      <w:r>
        <w:t xml:space="preserve"> </w:t>
      </w:r>
      <w:r>
        <w:t>−1</w:t>
      </w:r>
      <w:r>
        <w:t xml:space="preserve"> </w:t>
      </w:r>
      <w:r>
        <w:t>at 298 K. Molecular simulations and in situ Fourier transform infrared spectroscopy (FTIR) elucidate the synergetic effect of pore confinement, and surface electrostatic complementarity confers high recognition of C</w:t>
      </w:r>
      <w:r>
        <w:rPr>
          <w:vertAlign w:val="subscript"/>
        </w:rPr>
        <w:t>3</w:t>
      </w:r>
      <w:r>
        <w:t>F</w:t>
      </w:r>
      <w:r>
        <w:rPr>
          <w:vertAlign w:val="subscript"/>
        </w:rPr>
        <w:t>6</w:t>
      </w:r>
      <w:r>
        <w:t>through multiple hydrogen bonding interactions. The column breakthrough experiments validate the efficient removal of trace C</w:t>
      </w:r>
      <w:r>
        <w:rPr>
          <w:vertAlign w:val="subscript"/>
        </w:rPr>
        <w:t>3</w:t>
      </w:r>
      <w:r>
        <w:t>F</w:t>
      </w:r>
      <w:r>
        <w:rPr>
          <w:vertAlign w:val="subscript"/>
        </w:rPr>
        <w:t>6</w:t>
      </w:r>
      <w:r>
        <w:t>from C</w:t>
      </w:r>
      <w:r>
        <w:rPr>
          <w:vertAlign w:val="subscript"/>
        </w:rPr>
        <w:t>3</w:t>
      </w:r>
      <w:r>
        <w:t>F</w:t>
      </w:r>
      <w:r>
        <w:rPr>
          <w:vertAlign w:val="subscript"/>
        </w:rPr>
        <w:t>8</w:t>
      </w:r>
      <w:r>
        <w:t>, affording an excellent C</w:t>
      </w:r>
      <w:r>
        <w:rPr>
          <w:vertAlign w:val="subscript"/>
        </w:rPr>
        <w:t>3</w:t>
      </w:r>
      <w:r>
        <w:t>F</w:t>
      </w:r>
      <w:r>
        <w:rPr>
          <w:vertAlign w:val="subscript"/>
        </w:rPr>
        <w:t>8</w:t>
      </w:r>
      <w:r>
        <w:t>productivity of 2.06 × 10</w:t>
      </w:r>
      <w:r>
        <w:rPr>
          <w:vertAlign w:val="subscript"/>
        </w:rPr>
        <w:t>3</w:t>
      </w:r>
      <w:r>
        <w:t>L kg</w:t>
      </w:r>
      <w:r>
        <w:t xml:space="preserve"> </w:t>
      </w:r>
      <w:r>
        <w:t>−1</w:t>
      </w:r>
      <w:r>
        <w:t xml:space="preserve"> </w:t>
      </w:r>
      <w:r>
        <w:t>(purity exceeding 99.999%). With its outstanding stability, recyclability, and low‐cost precursors, Ni‐pca‐pyz provides an ideal platform for industrial perfluorinated electronic specialty gases (ESGs) purification.</w:t>
      </w:r>
    </w:p>
    <w:p>
      <w:pPr>
        <w:spacing w:before="120" w:after="120"/>
      </w:pPr>
      <w:r>
        <w:rPr>
          <w:sz w:val="18"/>
        </w:rPr>
        <w:t>——————————————————————————————————————————————————————————————————————</w:t>
      </w:r>
    </w:p>
    <w:p>
      <w:pPr>
        <w:spacing w:before="160" w:after="40" w:line="240" w:lineRule="auto"/>
      </w:pPr>
      <w:r>
        <w:rPr>
          <w:b/>
        </w:rPr>
        <w:t xml:space="preserve">[132] </w:t>
      </w:r>
      <w:hyperlink r:id="rId465">
        <w:r>
          <w:rPr>
            <w:color w:val="1155CC"/>
            <w:u w:val="single"/>
          </w:rPr>
          <w:t>钛二氮配合物催化的氢磷化反应利用N2单元电子储库</w:t>
        </w:r>
      </w:hyperlink>
    </w:p>
    <w:p>
      <w:pPr>
        <w:spacing w:before="0" w:after="80"/>
      </w:pPr>
      <w:r>
        <w:rPr>
          <w:i/>
          <w:sz w:val="20"/>
        </w:rPr>
        <w:t>EN: Titanium Dinitrogen Complex Catalyzed Hydrophosphination Leveraging the N2‐Unit Electron Reservoir</w:t>
      </w:r>
    </w:p>
    <w:p>
      <w:pPr>
        <w:spacing w:before="0" w:after="120"/>
      </w:pPr>
      <w:r>
        <w:rPr>
          <w:b/>
        </w:rPr>
        <w:t xml:space="preserve">Source: </w:t>
      </w:r>
      <w:r>
        <w:t>Wiley: Angewandte Chemie International Edition: Table of Contents</w:t>
      </w:r>
      <w:r>
        <w:t xml:space="preserve">    </w:t>
      </w:r>
      <w:r>
        <w:rPr>
          <w:b/>
        </w:rPr>
        <w:t xml:space="preserve">Pub date: </w:t>
      </w:r>
      <w:r>
        <w:t>2026-03-16 15:30:31+00:00</w:t>
      </w:r>
      <w:r>
        <w:t xml:space="preserve">    </w:t>
      </w:r>
      <w:r>
        <w:rPr>
          <w:b/>
        </w:rPr>
        <w:t xml:space="preserve">DOI: </w:t>
      </w:r>
      <w:hyperlink r:id="rId466">
        <w:r>
          <w:rPr>
            <w:color w:val="1155CC"/>
            <w:u w:val="single"/>
          </w:rPr>
          <w:t>10.1002/anie.202525132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金属二氮化物配合物是模拟哈伯–博施NH3制造的一个重要化合物类别，已被广泛用于N2功能化，通过与酸和亲电试剂的化学计量反应形成N-X（X = H, C, Si等）键。发现这些配合物在上述N2功能化之外的替代应用是非常理想的，但仍然难以捉摸。在这项工作中，我们证明了一种钛二氮化物配合物在烯烃的氢磷化反应中表现出催化潜力，具有出色的底物兼容性，并实现了743的周转数。</w:t>
      </w:r>
    </w:p>
    <w:p>
      <w:pPr>
        <w:spacing w:before="0" w:after="200" w:lineRule="auto" w:line="276"/>
      </w:pPr>
      <w:r>
        <w:rPr>
          <w:b/>
        </w:rPr>
        <w:t xml:space="preserve">Abstract (EN): </w:t>
      </w:r>
      <w:r>
        <w:t>Metal dinitrogen complexes, a prominent class of compounds in the mimic of Haber–Bosch NH</w:t>
      </w:r>
      <w:r>
        <w:rPr>
          <w:vertAlign w:val="subscript"/>
        </w:rPr>
        <w:t>3</w:t>
      </w:r>
      <w:r>
        <w:t>manufacture, have been prevalently adopted for N</w:t>
      </w:r>
      <w:r>
        <w:rPr>
          <w:vertAlign w:val="subscript"/>
        </w:rPr>
        <w:t>2</w:t>
      </w:r>
      <w:r>
        <w:t>functionalization to form N‐X (X = H, C, Si, etc.) bonds through the stoichiometric reactions with acids and electrophilic reagents. The discovery of alternative application of these complexes beyond aforementioned N</w:t>
      </w:r>
      <w:r>
        <w:rPr>
          <w:vertAlign w:val="subscript"/>
        </w:rPr>
        <w:t>2</w:t>
      </w:r>
      <w:r>
        <w:t>functionalization is highly desirable but remains elusive. In this work, we demonstrated that a titanium dinitrogen complex exhibits catalytic potential in the hydrophosphination of alkenes with an outstanding substrate compatibility and a turnover number of 743 was achieved. Mechanistic studies showed that the end‐on bridging dinitrogen unit (N</w:t>
      </w:r>
      <w:r>
        <w:rPr>
          <w:vertAlign w:val="subscript"/>
        </w:rPr>
        <w:t>2</w:t>
      </w:r>
      <w:r>
        <w:t>‐unit) of the Ti</w:t>
      </w:r>
      <w:r>
        <w:t xml:space="preserve"> </w:t>
      </w:r>
      <w:r>
        <w:t>III</w:t>
      </w:r>
      <w:r>
        <w:t xml:space="preserve"> </w:t>
      </w:r>
      <w:r>
        <w:t>complex could be replaced with diphenylphosphine to form a catalytically active Ti</w:t>
      </w:r>
      <w:r>
        <w:t xml:space="preserve"> </w:t>
      </w:r>
      <w:r>
        <w:t>II</w:t>
      </w:r>
      <w:r>
        <w:t xml:space="preserve"> </w:t>
      </w:r>
      <w:r>
        <w:t>species, with the concurrent extrusion of a free N</w:t>
      </w:r>
      <w:r>
        <w:rPr>
          <w:vertAlign w:val="subscript"/>
        </w:rPr>
        <w:t>2</w:t>
      </w:r>
      <w:r>
        <w:t>molecule that was probed by</w:t>
      </w:r>
      <w:r>
        <w:rPr>
          <w:vertAlign w:val="subscript"/>
        </w:rPr>
        <w:t>15</w:t>
      </w:r>
      <w:r>
        <w:t>N NMR spectroscopy. Thus, each N</w:t>
      </w:r>
      <w:r>
        <w:rPr>
          <w:vertAlign w:val="subscript"/>
        </w:rPr>
        <w:t>2</w:t>
      </w:r>
      <w:r>
        <w:t>‐unit virtually serves as an electron reservoir providing electrons to metal centers to give catalytically active low‐valent metal species. This reaction represents a rare example of adopting a metal dinitrogen complex as a precatalyst in organic transformations and the introduction of N</w:t>
      </w:r>
      <w:r>
        <w:rPr>
          <w:vertAlign w:val="subscript"/>
        </w:rPr>
        <w:t>2</w:t>
      </w:r>
      <w:r>
        <w:t>‐unit electron reservoir (NER) concept provides a novel and effective strategy for the invoking of low‐valent metal species for catalytic applications.</w:t>
      </w:r>
    </w:p>
    <w:p>
      <w:pPr>
        <w:spacing w:before="120" w:after="120"/>
      </w:pPr>
      <w:r>
        <w:rPr>
          <w:sz w:val="18"/>
        </w:rPr>
        <w:t>——————————————————————————————————————————————————————————————————————</w:t>
      </w:r>
    </w:p>
    <w:p>
      <w:pPr>
        <w:spacing w:before="160" w:after="40" w:line="240" w:lineRule="auto"/>
      </w:pPr>
      <w:r>
        <w:rPr>
          <w:b/>
        </w:rPr>
        <w:t xml:space="preserve">[133] </w:t>
      </w:r>
      <w:hyperlink r:id="rId467">
        <w:r>
          <w:rPr>
            <w:color w:val="1155CC"/>
            <w:u w:val="single"/>
          </w:rPr>
          <w:t>原子间距依赖的电催化CO2还原：六方Pd纳米片中惰性Te杂原子调制</w:t>
        </w:r>
      </w:hyperlink>
    </w:p>
    <w:p>
      <w:pPr>
        <w:spacing w:before="0" w:after="80"/>
      </w:pPr>
      <w:r>
        <w:rPr>
          <w:i/>
          <w:sz w:val="20"/>
        </w:rPr>
        <w:t>EN: Interatomic Spacing‐Dependent Electrocatalytic CO2 Reduction: Inert Te Heteroatom Modulation in Hexagonal Pd Nanoplates</w:t>
      </w:r>
    </w:p>
    <w:p>
      <w:pPr>
        <w:spacing w:before="0" w:after="120"/>
      </w:pPr>
      <w:r>
        <w:rPr>
          <w:b/>
        </w:rPr>
        <w:t xml:space="preserve">Source: </w:t>
      </w:r>
      <w:r>
        <w:t>Wiley: Angewandte Chemie International Edition: Table of Contents</w:t>
      </w:r>
      <w:r>
        <w:t xml:space="preserve">    </w:t>
      </w:r>
      <w:r>
        <w:rPr>
          <w:b/>
        </w:rPr>
        <w:t xml:space="preserve">Pub date: </w:t>
      </w:r>
      <w:r>
        <w:t>2026-03-16 15:31:38+00:00</w:t>
      </w:r>
      <w:r>
        <w:t xml:space="preserve">    </w:t>
      </w:r>
      <w:r>
        <w:rPr>
          <w:b/>
        </w:rPr>
        <w:t xml:space="preserve">DOI: </w:t>
      </w:r>
      <w:hyperlink r:id="rId468">
        <w:r>
          <w:rPr>
            <w:color w:val="1155CC"/>
            <w:u w:val="single"/>
          </w:rPr>
          <w:t>10.1002/anie.2162332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间原子间距作为电催化中的关键活性描述符出现，但在其动态调制中实现埃级精度并建立明确的结构–活性相关性仍然是关键瓶颈。在此，我们开发了一种相控策略，使得在一系列六方Pd-Te纳米片（NPs）中实现连续的原子间距调制，其中从立方Pd4Te到菱形Pd20Te7/Pd8Te3和六方PdTe2的各种原子有序金属间相。</w:t>
      </w:r>
    </w:p>
    <w:p>
      <w:pPr>
        <w:spacing w:before="0" w:after="200" w:lineRule="auto" w:line="276"/>
      </w:pPr>
      <w:r>
        <w:rPr>
          <w:b/>
        </w:rPr>
        <w:t xml:space="preserve">Abstract (EN): </w:t>
      </w:r>
      <w:r>
        <w:t>Metallic interatomic spacing emerges as a key activity descriptor in electrocatalysis, yet achieving angstrom‐level precision in its dynamic modulation and establishing definitive structure–activity correlations persist as critical bottlenecks. Here, we developed a phase‐controlled strategy enabling continuous interatomic spacing modulation in a library of hexagonal Pd‐Te nanoplates (NPs), where various atomically ordered intermetallic phases from cubic Pd</w:t>
      </w:r>
      <w:r>
        <w:rPr>
          <w:vertAlign w:val="subscript"/>
        </w:rPr>
        <w:t>4</w:t>
      </w:r>
      <w:r>
        <w:t>Te to rhombohedral Pd</w:t>
      </w:r>
      <w:r>
        <w:rPr>
          <w:vertAlign w:val="subscript"/>
        </w:rPr>
        <w:t>20</w:t>
      </w:r>
      <w:r>
        <w:t>Te</w:t>
      </w:r>
      <w:r>
        <w:rPr>
          <w:vertAlign w:val="subscript"/>
        </w:rPr>
        <w:t>7</w:t>
      </w:r>
      <w:r>
        <w:t>/Pd</w:t>
      </w:r>
      <w:r>
        <w:rPr>
          <w:vertAlign w:val="subscript"/>
        </w:rPr>
        <w:t>8</w:t>
      </w:r>
      <w:r>
        <w:t>Te</w:t>
      </w:r>
      <w:r>
        <w:rPr>
          <w:vertAlign w:val="subscript"/>
        </w:rPr>
        <w:t>3</w:t>
      </w:r>
      <w:r>
        <w:t>and hexagonal PdTe</w:t>
      </w:r>
      <w:r>
        <w:rPr>
          <w:vertAlign w:val="subscript"/>
        </w:rPr>
        <w:t>2</w:t>
      </w:r>
      <w:r>
        <w:t>were synthesized, realizing precise tuning of adjacent Pd‐Pd distances (d</w:t>
      </w:r>
      <w:r>
        <w:t xml:space="preserve"> </w:t>
      </w:r>
      <w:r>
        <w:t>Pd‐a‐Pd</w:t>
      </w:r>
      <w:r>
        <w:t xml:space="preserve"> </w:t>
      </w:r>
      <w:r>
        <w:t>) from 2.75 to 4.07 Å. The proof‐of‐concept electrochemical CO</w:t>
      </w:r>
      <w:r>
        <w:rPr>
          <w:vertAlign w:val="subscript"/>
        </w:rPr>
        <w:t>2</w:t>
      </w:r>
      <w:r>
        <w:t>reduction (ECR) for CO formation displayed a volcano‐shaped dependence on d</w:t>
      </w:r>
      <w:r>
        <w:t xml:space="preserve"> </w:t>
      </w:r>
      <w:r>
        <w:t>Pd‐a‐Pd</w:t>
      </w:r>
      <w:r>
        <w:t xml:space="preserve"> </w:t>
      </w:r>
      <w:r>
        <w:t>, where Pd</w:t>
      </w:r>
      <w:r>
        <w:rPr>
          <w:vertAlign w:val="subscript"/>
        </w:rPr>
        <w:t>20</w:t>
      </w:r>
      <w:r>
        <w:t>Te</w:t>
      </w:r>
      <w:r>
        <w:rPr>
          <w:vertAlign w:val="subscript"/>
        </w:rPr>
        <w:t>7</w:t>
      </w:r>
      <w:r>
        <w:t>NPs with a d</w:t>
      </w:r>
      <w:r>
        <w:t xml:space="preserve"> </w:t>
      </w:r>
      <w:r>
        <w:t>Pd‐a‐Pd</w:t>
      </w:r>
      <w:r>
        <w:t xml:space="preserve"> </w:t>
      </w:r>
      <w:r>
        <w:t>of 2.88 Å exhibited a maximal CO Faraday efficiency (FE</w:t>
      </w:r>
      <w:r>
        <w:t xml:space="preserve"> </w:t>
      </w:r>
      <w:r>
        <w:t>CO</w:t>
      </w:r>
      <w:r>
        <w:t xml:space="preserve"> </w:t>
      </w:r>
      <w:r>
        <w:t>) of 99.9%, and preserved FE</w:t>
      </w:r>
      <w:r>
        <w:t xml:space="preserve"> </w:t>
      </w:r>
      <w:r>
        <w:t>CO</w:t>
      </w:r>
      <w:r>
        <w:t xml:space="preserve"> </w:t>
      </w:r>
      <w:r>
        <w:t>over 90% at ∼120 mA cm</w:t>
      </w:r>
      <w:r>
        <w:t xml:space="preserve"> </w:t>
      </w:r>
      <w:r>
        <w:t>−2</w:t>
      </w:r>
      <w:r>
        <w:t xml:space="preserve"> </w:t>
      </w:r>
      <w:r>
        <w:t>during long‐term stability. Integrated in situ spectra and theoretical calculations confirmed the dominated distance effect over electronic effect, and revealed that increasing d</w:t>
      </w:r>
      <w:r>
        <w:t xml:space="preserve"> </w:t>
      </w:r>
      <w:r>
        <w:t>Pd‐a‐Pd</w:t>
      </w:r>
      <w:r>
        <w:t xml:space="preserve"> </w:t>
      </w:r>
      <w:r>
        <w:t>upshifted</w:t>
      </w:r>
      <w:r>
        <w:t xml:space="preserve"> </w:t>
      </w:r>
      <w:r>
        <w:t>d</w:t>
      </w:r>
      <w:r>
        <w:t xml:space="preserve"> </w:t>
      </w:r>
      <w:r>
        <w:t>‐band center toward the Fermi level while altering *CO adsorption configuration from strongly bound *CO</w:t>
      </w:r>
      <w:r>
        <w:t xml:space="preserve"> </w:t>
      </w:r>
      <w:r>
        <w:t>T</w:t>
      </w:r>
      <w:r>
        <w:t xml:space="preserve"> </w:t>
      </w:r>
      <w:r>
        <w:t>to weakly bound *CO</w:t>
      </w:r>
      <w:r>
        <w:t xml:space="preserve"> </w:t>
      </w:r>
      <w:r>
        <w:t>L</w:t>
      </w:r>
      <w:r>
        <w:t xml:space="preserve"> </w:t>
      </w:r>
      <w:r>
        <w:t>, resulting in exceptional ECR activity and CO anti‐poisoning capacity on Pd</w:t>
      </w:r>
      <w:r>
        <w:rPr>
          <w:vertAlign w:val="subscript"/>
        </w:rPr>
        <w:t>20</w:t>
      </w:r>
      <w:r>
        <w:t>Te</w:t>
      </w:r>
      <w:r>
        <w:rPr>
          <w:vertAlign w:val="subscript"/>
        </w:rPr>
        <w:t>7</w:t>
      </w:r>
      <w:r>
        <w:t>NPs owing to the optimally balanced *COOH adsorption and *CO desorption. This study underscores the pivotal role of interatomic spacing in regulating intermediate adsorption configurations for electrocatalysis.</w:t>
      </w:r>
    </w:p>
    <w:p>
      <w:pPr>
        <w:spacing w:before="120" w:after="120"/>
      </w:pPr>
      <w:r>
        <w:rPr>
          <w:sz w:val="18"/>
        </w:rPr>
        <w:t>——————————————————————————————————————————————————————————————————————</w:t>
      </w:r>
    </w:p>
    <w:p>
      <w:pPr>
        <w:spacing w:before="160" w:after="40" w:line="240" w:lineRule="auto"/>
      </w:pPr>
      <w:r>
        <w:rPr>
          <w:b/>
        </w:rPr>
        <w:t xml:space="preserve">[134] </w:t>
      </w:r>
      <w:hyperlink r:id="rId469">
        <w:r>
          <w:rPr>
            <w:color w:val="1155CC"/>
            <w:u w:val="single"/>
          </w:rPr>
          <w:t>循环光热驱动的有机晶体用于可重构光波导</w:t>
        </w:r>
      </w:hyperlink>
    </w:p>
    <w:p>
      <w:pPr>
        <w:spacing w:before="0" w:after="80"/>
      </w:pPr>
      <w:r>
        <w:rPr>
          <w:i/>
          <w:sz w:val="20"/>
        </w:rPr>
        <w:t>EN: Cyclic Photothermal‐Actuated Organic Crystals for Reconfigurable Optical Waveguides</w:t>
      </w:r>
    </w:p>
    <w:p>
      <w:pPr>
        <w:spacing w:before="0" w:after="120"/>
      </w:pPr>
      <w:r>
        <w:rPr>
          <w:b/>
        </w:rPr>
        <w:t xml:space="preserve">Source: </w:t>
      </w:r>
      <w:r>
        <w:t>Wiley: Angewandte Chemie International Edition: Table of Contents</w:t>
      </w:r>
      <w:r>
        <w:t xml:space="preserve">    </w:t>
      </w:r>
      <w:r>
        <w:rPr>
          <w:b/>
        </w:rPr>
        <w:t xml:space="preserve">Pub date: </w:t>
      </w:r>
      <w:r>
        <w:t>2026-03-16 15:37:53+00:00</w:t>
      </w:r>
      <w:r>
        <w:t xml:space="preserve">    </w:t>
      </w:r>
      <w:r>
        <w:rPr>
          <w:b/>
        </w:rPr>
        <w:t xml:space="preserve">DOI: </w:t>
      </w:r>
      <w:hyperlink r:id="rId470">
        <w:r>
          <w:rPr>
            <w:color w:val="1155CC"/>
            <w:u w:val="single"/>
          </w:rPr>
          <w:t>10.1002/anie.9345668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机械响应晶体作为微/纳米操控、生物仿生机器和自适应系统的智能材料正在兴起。然而，其实际应用常因有限的可逆性和疲劳耐受性而受阻。在此，我们报告了一种基于酰腙的有机化合物，形成了能够进行紫外线触发的</w:t>
      </w:r>
      <w:r>
        <w:t xml:space="preserve"> </w:t>
      </w:r>
      <w:r>
        <w:t>E</w:t>
      </w:r>
      <w:r>
        <w:t xml:space="preserve"> </w:t>
      </w:r>
      <w:r>
        <w:t>到</w:t>
      </w:r>
      <w:r>
        <w:t xml:space="preserve"> </w:t>
      </w:r>
      <w:r>
        <w:t>Z</w:t>
      </w:r>
      <w:r>
        <w:t xml:space="preserve"> </w:t>
      </w:r>
      <w:r>
        <w:t>光异构化的弹性晶体，诱导背光光机械弯曲。弯曲的晶体在加热时完全恢复到直状态，热能释放积累的内应力并实现结构恢复。值得注意的是，晶体在超过50次的快速弯曲和恢复行为中保持不变</w:t>
      </w:r>
    </w:p>
    <w:p>
      <w:pPr>
        <w:spacing w:before="0" w:after="200" w:lineRule="auto" w:line="276"/>
      </w:pPr>
      <w:r>
        <w:rPr>
          <w:b/>
        </w:rPr>
        <w:t xml:space="preserve">Abstract (EN): </w:t>
      </w:r>
      <w:r>
        <w:t>Photomechanically responsive crystals are emerging as intelligent materials for micro/nano manipulation, biomimetic machines, and adaptive systems. However, their practical deployment is often hindered by limited reversibility and fatigue resistance. Herein, we report an acylhydrazone‐based organic compound that forms elastic crystals capable of UV‐triggered</w:t>
      </w:r>
      <w:r>
        <w:t xml:space="preserve"> </w:t>
      </w:r>
      <w:r>
        <w:t>E</w:t>
      </w:r>
      <w:r>
        <w:t xml:space="preserve"> </w:t>
      </w:r>
      <w:r>
        <w:t>to</w:t>
      </w:r>
      <w:r>
        <w:t xml:space="preserve"> </w:t>
      </w:r>
      <w:r>
        <w:t>Z</w:t>
      </w:r>
      <w:r>
        <w:t xml:space="preserve"> </w:t>
      </w:r>
      <w:r>
        <w:t>photoisomerization, inducing backlight photomechanical bending. The bent crystals fully recover to the straight state upon heating, where thermal energy releases the accumulated internal stress and enables structural restoration. Notably, the crystals preserve rapid bending and recovery behavior over 500 bending–recovery cycles, while maintaining fluorescence performance and retaining intact surface and internal structures, indicating excellent fatigue resistance. Moreover, the bending angle can be precisely controlled by UV irradiation, enabling reconfigurable passive optical waveguides. These findings open broad prospects for flexible electronics, light‐driven microdevices, and next‐generation information technologies.</w:t>
      </w:r>
    </w:p>
    <w:p>
      <w:pPr>
        <w:spacing w:before="120" w:after="120"/>
      </w:pPr>
      <w:r>
        <w:rPr>
          <w:sz w:val="18"/>
        </w:rPr>
        <w:t>——————————————————————————————————————————————————————————————————————</w:t>
      </w:r>
    </w:p>
    <w:p>
      <w:pPr>
        <w:spacing w:before="160" w:after="40" w:line="240" w:lineRule="auto"/>
      </w:pPr>
      <w:r>
        <w:rPr>
          <w:b/>
        </w:rPr>
        <w:t xml:space="preserve">[135] </w:t>
      </w:r>
      <w:hyperlink r:id="rId471">
        <w:r>
          <w:rPr>
            <w:color w:val="1155CC"/>
            <w:u w:val="single"/>
          </w:rPr>
          <w:t>[ASAP] 通过分子流动性表型分析：低亲和力可逆探针通过单分子成像表征和分类细胞群体</w:t>
        </w:r>
      </w:hyperlink>
    </w:p>
    <w:p>
      <w:pPr>
        <w:spacing w:before="0" w:after="80"/>
      </w:pPr>
      <w:r>
        <w:rPr>
          <w:i/>
          <w:sz w:val="20"/>
        </w:rPr>
        <w:t>EN: [ASAP] Phenotyping by Molecular Mobility: Low-Affinity Reversible Probes Enable Characterizing and Classifying Cells Populations by Single-Molecule Imaging</w:t>
      </w:r>
    </w:p>
    <w:p>
      <w:pPr>
        <w:spacing w:before="0" w:after="120"/>
      </w:pPr>
      <w:r>
        <w:rPr>
          <w:b/>
        </w:rPr>
        <w:t xml:space="preserve">Source: </w:t>
      </w:r>
      <w:r>
        <w:t>Journal of the American Chemical Society: Latest Articles (ACS Publications)</w:t>
      </w:r>
      <w:r>
        <w:t xml:space="preserve">    </w:t>
      </w:r>
      <w:r>
        <w:rPr>
          <w:b/>
        </w:rPr>
        <w:t xml:space="preserve">Pub date: </w:t>
      </w:r>
      <w:r>
        <w:t>2026-03-16 15:52:56+00:00</w:t>
      </w:r>
      <w:r>
        <w:t xml:space="preserve">    </w:t>
      </w:r>
      <w:r>
        <w:rPr>
          <w:b/>
        </w:rPr>
        <w:t xml:space="preserve">DOI: </w:t>
      </w:r>
      <w:hyperlink r:id="rId472">
        <w:r>
          <w:rPr>
            <w:color w:val="1155CC"/>
            <w:u w:val="single"/>
          </w:rPr>
          <w:t>10.1021/jacs.5c11933</w:t>
        </w:r>
      </w:hyperlink>
    </w:p>
    <w:p>
      <w:pPr>
        <w:spacing w:before="0" w:after="120"/>
      </w:pPr>
      <w:r>
        <w:rPr>
          <w:b/>
        </w:rPr>
        <w:t xml:space="preserve">Notes: </w:t>
      </w:r>
      <w:r>
        <w:t>abstract_source=pubmed</w:t>
      </w:r>
    </w:p>
    <w:p>
      <w:pPr>
        <w:spacing w:before="0" w:after="80" w:lineRule="auto" w:line="276"/>
      </w:pPr>
      <w:r>
        <w:rPr>
          <w:b/>
        </w:rPr>
        <w:t xml:space="preserve">摘要（ZH）: </w:t>
      </w:r>
      <w:r>
        <w:t>细胞表面生物分子，如膜受体，是细胞行为的关键驱动因素，因此对于具有不同功能和致病性的细胞类型来说，本质上是不同的。在此，我们提出了一种基于膜受体移动性单分子分析的细胞群体功能表型超分辨率方法。我们方法的核心是一种基于纳米适体的低亲和力探针库，这些探针可以选择性和可逆地结合活细胞中的目标受体。这些探针无需基因修饰或化学标记即可直接检测、计数和跟踪单个受体，从而允许在未受干扰的细胞中研究内源性生物分子。使用这种策略，我们证明了相同的受体可以表现出不同的移动性。</w:t>
      </w:r>
    </w:p>
    <w:p>
      <w:pPr>
        <w:spacing w:before="0" w:after="200" w:lineRule="auto" w:line="276"/>
      </w:pPr>
      <w:r>
        <w:rPr>
          <w:b/>
        </w:rPr>
        <w:t xml:space="preserve">Abstract (EN): </w:t>
      </w:r>
      <w:r>
        <w:t>Cell surface biomolecules, such as membrane receptors, are key drivers of cellular behavior and are therefore inherently different for cell types with different functions and pathogenicity. Here, we present a super-resolution method for functional phenotyping of cell populations based on the single-molecule analysis of membrane receptor mobility. Central to our approach is a library of nanofitin-based low-affinity probes that selectively and reversibly bind to target receptors in live cells. These probes enable the direct detection, counting, and tracking of individual receptors without requiring genetic modification or chemical labeling, allowing the study of endogenous biomolecules in unperturbed cells. Using this strategy, we demonstrate that identical receptors can exhibit distinct mobility patterns across different cell types, reflecting the underlying physiological differences. By integrating these probes with single-molecule point accumulation for imaging in nanoscale topography imaging and tracking, advanced image analysis, and AI-driven classification, we provide a robust workflow for understanding and phenotyping of cells by their receptor mobility.</w:t>
      </w:r>
    </w:p>
    <w:p>
      <w:pPr>
        <w:spacing w:before="120" w:after="120"/>
      </w:pPr>
      <w:r>
        <w:rPr>
          <w:sz w:val="18"/>
        </w:rPr>
        <w:t>——————————————————————————————————————————————————————————————————————</w:t>
      </w:r>
    </w:p>
    <w:p>
      <w:pPr>
        <w:spacing w:before="160" w:after="40" w:line="240" w:lineRule="auto"/>
      </w:pPr>
      <w:r>
        <w:rPr>
          <w:b/>
        </w:rPr>
        <w:t xml:space="preserve">[136] </w:t>
      </w:r>
      <w:hyperlink r:id="rId473">
        <w:r>
          <w:rPr>
            <w:color w:val="1155CC"/>
            <w:u w:val="single"/>
          </w:rPr>
          <w:t>[ASAP] 分子动力学指导的设计和化学蛋白质组学分析共价激酶活性探针</w:t>
        </w:r>
      </w:hyperlink>
    </w:p>
    <w:p>
      <w:pPr>
        <w:spacing w:before="0" w:after="80"/>
      </w:pPr>
      <w:r>
        <w:rPr>
          <w:i/>
          <w:sz w:val="20"/>
        </w:rPr>
        <w:t>EN: [ASAP] Molecular Dynamics-Guided Design and Chemoproteomic Profiling of Covalent Kinase Activity Probes</w:t>
      </w:r>
    </w:p>
    <w:p>
      <w:pPr>
        <w:spacing w:before="0" w:after="120"/>
      </w:pPr>
      <w:r>
        <w:rPr>
          <w:b/>
        </w:rPr>
        <w:t xml:space="preserve">Source: </w:t>
      </w:r>
      <w:r>
        <w:t>Journal of the American Chemical Society: Latest Articles (ACS Publications)</w:t>
      </w:r>
      <w:r>
        <w:t xml:space="preserve">    </w:t>
      </w:r>
      <w:r>
        <w:rPr>
          <w:b/>
        </w:rPr>
        <w:t xml:space="preserve">Pub date: </w:t>
      </w:r>
      <w:r>
        <w:t>2026-03-16 15:53:46+00:00</w:t>
      </w:r>
      <w:r>
        <w:t xml:space="preserve">    </w:t>
      </w:r>
      <w:r>
        <w:rPr>
          <w:b/>
        </w:rPr>
        <w:t xml:space="preserve">DOI: </w:t>
      </w:r>
      <w:hyperlink r:id="rId474">
        <w:r>
          <w:rPr>
            <w:color w:val="1155CC"/>
            <w:u w:val="single"/>
          </w:rPr>
          <w:t>10.1021/jacs.5c18691</w:t>
        </w:r>
      </w:hyperlink>
    </w:p>
    <w:p>
      <w:pPr>
        <w:spacing w:before="0" w:after="120"/>
      </w:pPr>
      <w:r>
        <w:rPr>
          <w:b/>
        </w:rPr>
        <w:t xml:space="preserve">Notes: </w:t>
      </w:r>
      <w:r>
        <w:t>abstract_source=pubmed</w:t>
      </w:r>
    </w:p>
    <w:p>
      <w:pPr>
        <w:spacing w:before="0" w:after="80" w:lineRule="auto" w:line="276"/>
      </w:pPr>
      <w:r>
        <w:rPr>
          <w:b/>
        </w:rPr>
        <w:t xml:space="preserve">摘要（ZH）: </w:t>
      </w:r>
      <w:r>
        <w:t>共价小分子探针可以成为在天然细胞环境中研究蛋白质活性状态的强大工具。设计家族范围的活性探针需要理解在蛋白质家族成员中保守和目标特异性小分子靶向的分子来源。在此，我们开发并应用了一个多方面的对接和分子动力学（MD）模拟管道，从一组铰链结合药效团中设计细胞可渗透的共价激酶活性探针。这种计算指导的方法产生了一系列细胞活性吲哚唑磺酰氟化物，靶向活性蛋白激酶中的保守催化赖氨酸。化学蛋白质组学分析的一个主要探针，K60P，证实了在多个癌症中与超过100种独特的天然激酶的结合。</w:t>
      </w:r>
    </w:p>
    <w:p>
      <w:pPr>
        <w:spacing w:before="0" w:after="200" w:lineRule="auto" w:line="276"/>
      </w:pPr>
      <w:r>
        <w:rPr>
          <w:b/>
        </w:rPr>
        <w:t xml:space="preserve">Abstract (EN): </w:t>
      </w:r>
      <w:r>
        <w:t>Covalent small molecule probes can be powerful tools to interrogate protein activity state in native cellular environments. The design of familywide activity probes requires an understanding of the molecular sources of conserved and target-specific small molecule targeting across protein family members. Here, we developed and applied a multifaceted docking and molecular dynamics (MD) simulation pipeline to design cell-permeable covalent kinase activity probes from a set of hinge-binding pharmacophores. This computationally-guided approach yielded a series of cell-active indazole sulfonylfluorides that target a conserved catalytic lysine in active protein kinases. Chemoproteomic profiling of a lead probe, K60P, confirmed engagement of more than 100 unique native kinases across several cancer cell lines. Competitive profiling identified kinases as the predominant class of specific targets for K60P but also highlighted significant nonkinase targets for K60P and the established covalent kinase probe, XO44, underscoring the utility of native kinase profiling in situ to identify relevant targets of small molecule kinase inhibitors in cells. Dose-, time- and site-specific proteomic mapping with a known target kinase, ABL1, coupled with a Bayesian Metropolis Monte Carlo (BMMC) kinetic modeling method showed that key descriptors of covalent probe efficiency could be predicted with straightforward dose- and time-dependent covalent engagement studies and highlighted kinact/KI as a key variable to optimize for specific and broad kinase engagement. Finally, focused molecular dynamics simulations revealed that K60P, as well as the comparator probe XO44, preferentially engage with target kinases in their active, DFG-in conformations, which is driven by increasing population of reaction-ready small molecule conformation. These results together establish a computational and kinetic modeling framework for designing covalent activity probes and highlight the balance of target selectivity and kinetic efficiency as a key factor in determining their proteome-wide reactivity.</w:t>
      </w:r>
    </w:p>
    <w:p>
      <w:pPr>
        <w:spacing w:before="120" w:after="120"/>
      </w:pPr>
      <w:r>
        <w:rPr>
          <w:sz w:val="18"/>
        </w:rPr>
        <w:t>——————————————————————————————————————————————————————————————————————</w:t>
      </w:r>
    </w:p>
    <w:p>
      <w:pPr>
        <w:spacing w:before="160" w:after="40" w:line="240" w:lineRule="auto"/>
      </w:pPr>
      <w:r>
        <w:rPr>
          <w:b/>
        </w:rPr>
        <w:t xml:space="preserve">[137] </w:t>
      </w:r>
      <w:hyperlink r:id="rId475">
        <w:r>
          <w:rPr>
            <w:color w:val="1155CC"/>
            <w:u w:val="single"/>
          </w:rPr>
          <w:t>[ASAP] 甲基丙烯酸酯和香豆素的完美交替共聚合成具有完全降解性和可解聚性的坚固C–C主链聚合物</w:t>
        </w:r>
      </w:hyperlink>
    </w:p>
    <w:p>
      <w:pPr>
        <w:spacing w:before="0" w:after="80"/>
      </w:pPr>
      <w:r>
        <w:rPr>
          <w:i/>
          <w:sz w:val="20"/>
        </w:rPr>
        <w:t>EN: [ASAP] Perfectly Alternating Copolymerizations of Methacrylates and Coumarin to Robust C–C Main-Chain Polymers with Full Degradability and Depolymerizability</w:t>
      </w:r>
    </w:p>
    <w:p>
      <w:pPr>
        <w:spacing w:before="0" w:after="120"/>
      </w:pPr>
      <w:r>
        <w:rPr>
          <w:b/>
        </w:rPr>
        <w:t xml:space="preserve">Source: </w:t>
      </w:r>
      <w:r>
        <w:t>Journal of the American Chemical Society: Latest Articles (ACS Publications)</w:t>
      </w:r>
      <w:r>
        <w:t xml:space="preserve">    </w:t>
      </w:r>
      <w:r>
        <w:rPr>
          <w:b/>
        </w:rPr>
        <w:t xml:space="preserve">Pub date: </w:t>
      </w:r>
      <w:r>
        <w:t>2026-03-16 16:33:09+00:00</w:t>
      </w:r>
      <w:r>
        <w:t xml:space="preserve">    </w:t>
      </w:r>
      <w:r>
        <w:rPr>
          <w:b/>
        </w:rPr>
        <w:t xml:space="preserve">DOI: </w:t>
      </w:r>
      <w:hyperlink r:id="rId476">
        <w:r>
          <w:rPr>
            <w:color w:val="1155CC"/>
            <w:u w:val="single"/>
          </w:rPr>
          <w:t>10.1021/jacs.6c01713</w:t>
        </w:r>
      </w:hyperlink>
    </w:p>
    <w:p>
      <w:pPr>
        <w:spacing w:before="0" w:after="120"/>
      </w:pPr>
      <w:r>
        <w:rPr>
          <w:b/>
        </w:rPr>
        <w:t xml:space="preserve">Notes: </w:t>
      </w:r>
      <w:r>
        <w:t>abstract_source=pubmed</w:t>
      </w:r>
    </w:p>
    <w:p>
      <w:pPr>
        <w:spacing w:before="0" w:after="80" w:lineRule="auto" w:line="276"/>
      </w:pPr>
      <w:r>
        <w:rPr>
          <w:b/>
        </w:rPr>
        <w:t xml:space="preserve">摘要（ZH）: </w:t>
      </w:r>
      <w:r>
        <w:t>这项贡献报告了首次将甲基丙烯酸酯与简单、商业可得和生物可再生的香豆素（CM）共聚合。实现这一成就的关键在于新型Al(C6F5)3/PnBu3路易斯对协同催化剂的合理设计，该催化剂具有多种独特特性，包括高效性、活性和更引人注目的完美交替序列控制。计算研究阐明了由烯醇铝活性物种与两种单体底物之间不同的吸引伦敦色散相互作用所启用的动力学控制是交替序列控制的决定性因素。因此，可以直接从商业/通用乙烯基单体合成一系列高分子量（Mn）高达330.8 kg/mol的交替乙烯基共聚物。</w:t>
      </w:r>
    </w:p>
    <w:p>
      <w:pPr>
        <w:spacing w:before="0" w:after="200" w:lineRule="auto" w:line="276"/>
      </w:pPr>
      <w:r>
        <w:rPr>
          <w:b/>
        </w:rPr>
        <w:t xml:space="preserve">Abstract (EN): </w:t>
      </w:r>
      <w:r>
        <w:t>This contribution reports the first copolymerization of methacrylates with simple, commercially available, and biorenewable coumarin (CM). The key to this achievement lies in the rational design of a new Al(C6F5)3/PnBu3 Lewis pair cooperative catalyst, which possesses several unique features, including high efficiency, living nature, and, more strikingly, perfectly alternating sequence control. Computational studies elucidate that kinetic control, enabled by different attractive London dispersion interactions between enolaluminate active species and two monomer substrates, is a decisive factor for alternating sequence control. Accordingly, a series of alternating vinyl copolymers with a high molecular weight (Mn) of up to 330.8 kg/mol can be synthesized directly from commercial/general vinyl monomers regardless of monomer structures and feed ratios. These copolymers have been determined to be highly transparent materials with high heat resistance (Tg: 130-190 °C), good thermal stability (Td up to 300 °C), and good durability and are meanwhile fully degradable at room temperature under a strong base and completely thermal depolymerizable in the presence of a strong donating solvent (e.g., DMF), thus affording a new class of robust, durable, yet fully degradable, depolymerizable C-C main-chain polymers, which are generally unachievable due to an inherent performance/degradability (depolymerizability) trade-off.</w:t>
      </w:r>
    </w:p>
    <w:p>
      <w:pPr>
        <w:spacing w:before="120" w:after="120"/>
      </w:pPr>
      <w:r>
        <w:rPr>
          <w:sz w:val="18"/>
        </w:rPr>
        <w:t>——————————————————————————————————————————————————————————————————————</w:t>
      </w:r>
    </w:p>
    <w:p>
      <w:pPr>
        <w:spacing w:before="160" w:after="40" w:line="240" w:lineRule="auto"/>
      </w:pPr>
      <w:r>
        <w:rPr>
          <w:b/>
        </w:rPr>
        <w:t xml:space="preserve">[138] </w:t>
      </w:r>
      <w:hyperlink r:id="rId477">
        <w:r>
          <w:rPr>
            <w:color w:val="1155CC"/>
            <w:u w:val="single"/>
          </w:rPr>
          <w:t>[ASAP] 由线性全无机配体跨越的双金属：最长的无机全sp链</w:t>
        </w:r>
      </w:hyperlink>
    </w:p>
    <w:p>
      <w:pPr>
        <w:spacing w:before="0" w:after="80"/>
      </w:pPr>
      <w:r>
        <w:rPr>
          <w:i/>
          <w:sz w:val="20"/>
        </w:rPr>
        <w:t>EN: [ASAP] Bimetallics Spanned by Linear All-Inorganic Ligands: The Longest Inorganic, All-sp Chains</w:t>
      </w:r>
    </w:p>
    <w:p>
      <w:pPr>
        <w:spacing w:before="0" w:after="120"/>
      </w:pPr>
      <w:r>
        <w:rPr>
          <w:b/>
        </w:rPr>
        <w:t xml:space="preserve">Source: </w:t>
      </w:r>
      <w:r>
        <w:t>Journal of the American Chemical Society: Latest Articles (ACS Publications)</w:t>
      </w:r>
      <w:r>
        <w:t xml:space="preserve">    </w:t>
      </w:r>
      <w:r>
        <w:rPr>
          <w:b/>
        </w:rPr>
        <w:t xml:space="preserve">Pub date: </w:t>
      </w:r>
      <w:r>
        <w:t>2026-03-16 17:06:38+00:00</w:t>
      </w:r>
      <w:r>
        <w:t xml:space="preserve">    </w:t>
      </w:r>
      <w:r>
        <w:rPr>
          <w:b/>
        </w:rPr>
        <w:t xml:space="preserve">DOI: </w:t>
      </w:r>
      <w:hyperlink r:id="rId478">
        <w:r>
          <w:rPr>
            <w:color w:val="1155CC"/>
            <w:u w:val="single"/>
          </w:rPr>
          <w:t>10.1021/jacs.5c21478</w:t>
        </w:r>
      </w:hyperlink>
    </w:p>
    <w:p>
      <w:pPr>
        <w:spacing w:before="0" w:after="120"/>
      </w:pPr>
      <w:r>
        <w:rPr>
          <w:b/>
        </w:rPr>
        <w:t xml:space="preserve">Notes: </w:t>
      </w:r>
      <w:r>
        <w:t>abstract_source=pubmed</w:t>
      </w:r>
    </w:p>
    <w:p>
      <w:pPr>
        <w:spacing w:before="0" w:after="80" w:lineRule="auto" w:line="276"/>
      </w:pPr>
      <w:r>
        <w:rPr>
          <w:b/>
        </w:rPr>
        <w:t xml:space="preserve">摘要（ZH）: </w:t>
      </w:r>
      <w:r>
        <w:t>虽然对于碳来说，构建较长的sp杂化原子链相对容易，但在没有碳的情况下基本上是未知的。我们最近在Chatt型配合物的[WNN]片段进行1,3-卤硼化的结果在此用于合成由长全无机sp链跨越的同质和异质双金属配合物。值得注意的是，这包括有史以来构建的最长sp杂化无机链的结构确认，在一个具有六原子全sp {NNBBNN}桥配体的双金属配合物中。</w:t>
      </w:r>
    </w:p>
    <w:p>
      <w:pPr>
        <w:spacing w:before="0" w:after="200" w:lineRule="auto" w:line="276"/>
      </w:pPr>
      <w:r>
        <w:rPr>
          <w:b/>
        </w:rPr>
        <w:t xml:space="preserve">Abstract (EN): </w:t>
      </w:r>
      <w:r>
        <w:t>The construction of longer chains of sp-hybridized atoms, while relatively facile for carbon, is essentially unknown in the absence of carbon. Our recent results with the 1,3-haloboration of the [WNN] fragment of a Chatt-type complex are herein utilized in the synthesis of homo- and heterobimetallic complexes spanned by long all-inorganic sp chains. Notably, this includes structural confirmation of the longest sp-hybridized inorganic chain ever constructed, in a bimetallic complex with a six-atom all-sp {NNBBNN} bridging ligand.</w:t>
      </w:r>
    </w:p>
    <w:p>
      <w:pPr>
        <w:spacing w:before="120" w:after="120"/>
      </w:pPr>
      <w:r>
        <w:rPr>
          <w:sz w:val="18"/>
        </w:rPr>
        <w:t>——————————————————————————————————————————————————————————————————————</w:t>
      </w:r>
    </w:p>
    <w:p>
      <w:pPr>
        <w:spacing w:before="160" w:after="40" w:line="240" w:lineRule="auto"/>
      </w:pPr>
      <w:r>
        <w:rPr>
          <w:b/>
        </w:rPr>
        <w:t xml:space="preserve">[139] </w:t>
      </w:r>
      <w:hyperlink r:id="rId479">
        <w:r>
          <w:rPr>
            <w:color w:val="1155CC"/>
            <w:u w:val="single"/>
          </w:rPr>
          <w:t>[ASAP] 一种DNA编程的钾离子磁共振传感器</w:t>
        </w:r>
      </w:hyperlink>
    </w:p>
    <w:p>
      <w:pPr>
        <w:spacing w:before="0" w:after="80"/>
      </w:pPr>
      <w:r>
        <w:rPr>
          <w:i/>
          <w:sz w:val="20"/>
        </w:rPr>
        <w:t>EN: [ASAP] A DNA-Programmed Potassium Ion Magnetic Resonance Sensor</w:t>
      </w:r>
    </w:p>
    <w:p>
      <w:pPr>
        <w:spacing w:before="0" w:after="120"/>
      </w:pPr>
      <w:r>
        <w:rPr>
          <w:b/>
        </w:rPr>
        <w:t xml:space="preserve">Source: </w:t>
      </w:r>
      <w:r>
        <w:t>Journal of the American Chemical Society: Latest Articles (ACS Publications)</w:t>
      </w:r>
      <w:r>
        <w:t xml:space="preserve">    </w:t>
      </w:r>
      <w:r>
        <w:rPr>
          <w:b/>
        </w:rPr>
        <w:t xml:space="preserve">Pub date: </w:t>
      </w:r>
      <w:r>
        <w:t>2026-03-16 17:07:54+00:00</w:t>
      </w:r>
      <w:r>
        <w:t xml:space="preserve">    </w:t>
      </w:r>
      <w:r>
        <w:rPr>
          <w:b/>
        </w:rPr>
        <w:t xml:space="preserve">DOI: </w:t>
      </w:r>
      <w:hyperlink r:id="rId480">
        <w:r>
          <w:rPr>
            <w:color w:val="1155CC"/>
            <w:u w:val="single"/>
          </w:rPr>
          <w:t>10.1021/jacs.5c22582</w:t>
        </w:r>
      </w:hyperlink>
    </w:p>
    <w:p>
      <w:pPr>
        <w:spacing w:before="0" w:after="120"/>
      </w:pPr>
      <w:r>
        <w:rPr>
          <w:b/>
        </w:rPr>
        <w:t xml:space="preserve">Notes: </w:t>
      </w:r>
      <w:r>
        <w:t>abstract_source=pubmed</w:t>
      </w:r>
    </w:p>
    <w:p>
      <w:pPr>
        <w:spacing w:before="0" w:after="80" w:lineRule="auto" w:line="276"/>
      </w:pPr>
      <w:r>
        <w:rPr>
          <w:b/>
        </w:rPr>
        <w:t xml:space="preserve">摘要（ZH）: </w:t>
      </w:r>
      <w:r>
        <w:t>钾（K+）稳态的破坏是膜电位改变、电解质失衡和恶性转化的早期生化标志，但体内K+映射仍未实现。光学传感器可以报告K+波动，但缺乏深层组织成像所需的穿透深度。尽管磁共振成像（MRI）能够非侵入性地高分辨率可视化生化过程，但没有对比剂实现了K+依赖的弛豫率调节，阻碍了真正的K+选择性MRI。在此，我们报告了一种机制明确的K+激活磁共振传感器（KMRS），将G-四链体折叠转化为磁弛豫控制。KMRS通过K+选择性DNA连接子将Gd-DOTA报告分子连接到氧化铁（IO）猝灭剂。在低K+状态下</w:t>
      </w:r>
    </w:p>
    <w:p>
      <w:pPr>
        <w:spacing w:before="0" w:after="200" w:lineRule="auto" w:line="276"/>
      </w:pPr>
      <w:r>
        <w:rPr>
          <w:b/>
        </w:rPr>
        <w:t xml:space="preserve">Abstract (EN): </w:t>
      </w:r>
      <w:r>
        <w:t>Disrupted potassium (K+) homeostasis is an early biochemical hallmark of altered membrane potential, electrolyte imbalance, and malignant transformation, yet in vivo K+ mapping remains unrealized. Optical sensors can report K+ fluctuations but lack the penetration depth required for deep-tissue imaging. Although magnetic resonance imaging (MRI) enables noninvasive, high-resolution visualization of biochemical processes, no contrast agent has achieved K+-dependent modulation of relaxivity, precluding true K+-selective MRI. Here we report a mechanistically defined K+-activated magnetic resonance sensor (KMRS) that translates G-quadruplex folding into magnetic relaxation control. KMRS links a Gd-DOTA reporter to an iron oxide (IO) quencher through a K+-selective DNA linker. In the low-K+ state, the short Gd-IO distance enforces strong dipolar coupling that suppresses spin fluctuations and minimizes longitudinal relaxivity (r1). K+ binding induces G-quadruplex formation, increases interparticle separation, restores Gd-centered rotational dynamics, and yields a pronounced enhancement in r1 value. This mechanism-driven MRI activation enables deep-tissue visualization of pathological K+ elevations, supporting early detection of malignant foci and ion-based discrimination between tumor and benign tissues. The design establishes a generalizable framework for engineering ion-responsive MRI probes.</w:t>
      </w:r>
    </w:p>
    <w:p>
      <w:pPr>
        <w:spacing w:before="120" w:after="120"/>
      </w:pPr>
      <w:r>
        <w:rPr>
          <w:sz w:val="18"/>
        </w:rPr>
        <w:t>——————————————————————————————————————————————————————————————————————</w:t>
      </w:r>
    </w:p>
    <w:p>
      <w:pPr>
        <w:spacing w:before="160" w:after="40" w:line="240" w:lineRule="auto"/>
      </w:pPr>
      <w:r>
        <w:rPr>
          <w:b/>
        </w:rPr>
        <w:t xml:space="preserve">[140] </w:t>
      </w:r>
      <w:hyperlink r:id="rId481">
        <w:r>
          <w:rPr>
            <w:color w:val="1155CC"/>
            <w:u w:val="single"/>
          </w:rPr>
          <w:t>[ASAP] 回避库普弗细胞捕获的可修改亚20纳米脂质纳盘基19F磁共振成像探针</w:t>
        </w:r>
      </w:hyperlink>
    </w:p>
    <w:p>
      <w:pPr>
        <w:spacing w:before="0" w:after="80"/>
      </w:pPr>
      <w:r>
        <w:rPr>
          <w:i/>
          <w:sz w:val="20"/>
        </w:rPr>
        <w:t>EN: [ASAP] Kupffer Cell Capture-Evading Modifiable Sub-20 nm Lipid Nanodisc-Based 19F Magnetic Resonance Imaging Probes</w:t>
      </w:r>
    </w:p>
    <w:p>
      <w:pPr>
        <w:spacing w:before="0" w:after="120"/>
      </w:pPr>
      <w:r>
        <w:rPr>
          <w:b/>
        </w:rPr>
        <w:t xml:space="preserve">Source: </w:t>
      </w:r>
      <w:r>
        <w:t>Journal of the American Chemical Society: Latest Articles (ACS Publications)</w:t>
      </w:r>
      <w:r>
        <w:t xml:space="preserve">    </w:t>
      </w:r>
      <w:r>
        <w:rPr>
          <w:b/>
        </w:rPr>
        <w:t xml:space="preserve">Pub date: </w:t>
      </w:r>
      <w:r>
        <w:t>2026-03-16 17:33:46+00:00</w:t>
      </w:r>
      <w:r>
        <w:t xml:space="preserve">    </w:t>
      </w:r>
      <w:r>
        <w:rPr>
          <w:b/>
        </w:rPr>
        <w:t xml:space="preserve">DOI: </w:t>
      </w:r>
      <w:hyperlink r:id="rId482">
        <w:r>
          <w:rPr>
            <w:color w:val="1155CC"/>
            <w:u w:val="single"/>
          </w:rPr>
          <w:t>10.1021/jacs.5c21753</w:t>
        </w:r>
      </w:hyperlink>
    </w:p>
    <w:p>
      <w:pPr>
        <w:spacing w:before="0" w:after="120"/>
      </w:pPr>
      <w:r>
        <w:rPr>
          <w:b/>
        </w:rPr>
        <w:t xml:space="preserve">Notes: </w:t>
      </w:r>
      <w:r>
        <w:t>abstract_source=pubmed</w:t>
      </w:r>
    </w:p>
    <w:p>
      <w:pPr>
        <w:spacing w:before="0" w:after="80" w:lineRule="auto" w:line="276"/>
      </w:pPr>
      <w:r>
        <w:rPr>
          <w:b/>
        </w:rPr>
        <w:t xml:space="preserve">摘要（ZH）: </w:t>
      </w:r>
      <w:r>
        <w:t>19F磁共振成像（MRI）是一种创新的成像方法，可以灵敏地可视化含19F的探针，并已应用于生物医学成像。探针设计中的一个关键策略是引入大量高度移动的19F核，以增强MRI信号强度。然而，传统的基于乳液的探针难以将直径缩小到80纳米以下，使其容易被库普弗细胞摄取，导致靶组织的递送效率低。此外，基于纳米晶体或聚合物的小型探针由于19F的低移动性，导致信号强度较弱。在本研究中，我们利用脂质纳米盘限制高度移动的19F标记脂质，开发了直径约为10纳米的亚20纳米19F MRI探针。</w:t>
      </w:r>
    </w:p>
    <w:p>
      <w:pPr>
        <w:spacing w:before="0" w:after="200" w:lineRule="auto" w:line="276"/>
      </w:pPr>
      <w:r>
        <w:rPr>
          <w:b/>
        </w:rPr>
        <w:t xml:space="preserve">Abstract (EN): </w:t>
      </w:r>
      <w:r>
        <w:t>19F magnetic resonance imaging (MRI) is an innovative imaging method that enables sensitive visualization of 19F-containing probes and has been applied to biomedical imaging. A key strategy in probe design is incorporation of a large number of highly mobile 19F nuclei that can enhance the MRI signal intensity. However, conventional emulsion-based probes are difficult to reduce to below 80 nm in diameter, making them prone to uptake by Kupffer cells and resulting in poor delivery efficiency to target tissues. Moreover, smaller probes based on nanocrystals or polymers suffer from low 19F mobility, leading to weak signal intensity. In this study, we utilized lipid nanodiscs to confine highly mobile 19F-labeled lipids, developing sub-20 nm 19F MRI probes with diameters of approximately 10 nm. The resulting probes exhibited a unique behavior in vivo, distinct from that of conventional probes: they avoided Kupffer cell uptake and were excreted via kidneys. MR signals remained detectable after surface modification. PEGylated nanodiscs exhibited a slower accumulation in the bladder compared with unmodified counterparts, likely due to their prolonged circulation time induced by PEG modification. With the potential to reach tissues previously inaccessible and be modified with various functional moieties, our nanodisc-based platform offers broad opportunities for biomedical applications, including visualization of diverse organs and monitoring of biochemical reactions in vivo.</w:t>
      </w:r>
    </w:p>
    <w:p>
      <w:pPr>
        <w:spacing w:before="120" w:after="120"/>
      </w:pPr>
      <w:r>
        <w:rPr>
          <w:sz w:val="18"/>
        </w:rPr>
        <w:t>——————————————————————————————————————————————————————————————————————</w:t>
      </w:r>
    </w:p>
    <w:p>
      <w:pPr>
        <w:spacing w:before="160" w:after="40" w:line="240" w:lineRule="auto"/>
      </w:pPr>
      <w:r>
        <w:rPr>
          <w:b/>
        </w:rPr>
        <w:t xml:space="preserve">[141] </w:t>
      </w:r>
      <w:hyperlink r:id="rId483">
        <w:r>
          <w:rPr>
            <w:color w:val="1155CC"/>
            <w:u w:val="single"/>
          </w:rPr>
          <w:t>[ASAP] 用于动态光学和热管理的快速响应柔性多光谱调制器</w:t>
        </w:r>
      </w:hyperlink>
    </w:p>
    <w:p>
      <w:pPr>
        <w:spacing w:before="0" w:after="80"/>
      </w:pPr>
      <w:r>
        <w:rPr>
          <w:i/>
          <w:sz w:val="20"/>
        </w:rPr>
        <w:t>EN: [ASAP] Fast-Response Flexible Multispectral Modulators for Dynamic Optical and Thermal Management</w:t>
      </w:r>
    </w:p>
    <w:p>
      <w:pPr>
        <w:spacing w:before="0" w:after="120"/>
      </w:pPr>
      <w:r>
        <w:rPr>
          <w:b/>
        </w:rPr>
        <w:t xml:space="preserve">Source: </w:t>
      </w:r>
      <w:r>
        <w:t>ACS Energy Letters: Latest Articles (ACS Publications)</w:t>
      </w:r>
      <w:r>
        <w:t xml:space="preserve">    </w:t>
      </w:r>
      <w:r>
        <w:rPr>
          <w:b/>
        </w:rPr>
        <w:t xml:space="preserve">Pub date: </w:t>
      </w:r>
      <w:r>
        <w:t>2026-03-16 17:57:50+00:00</w:t>
      </w:r>
      <w:r>
        <w:t xml:space="preserve">    </w:t>
      </w:r>
      <w:r>
        <w:rPr>
          <w:b/>
        </w:rPr>
        <w:t xml:space="preserve">DOI: </w:t>
      </w:r>
      <w:hyperlink r:id="rId484">
        <w:r>
          <w:rPr>
            <w:color w:val="1155CC"/>
            <w:u w:val="single"/>
          </w:rPr>
          <w:t>10.1021/acsenergylett.6c00165</w:t>
        </w:r>
      </w:hyperlink>
    </w:p>
    <w:p>
      <w:pPr>
        <w:spacing w:before="0" w:after="120"/>
      </w:pPr>
      <w:r>
        <w:rPr>
          <w:b/>
        </w:rPr>
        <w:t xml:space="preserve">Notes: </w:t>
      </w:r>
      <w:r>
        <w:t>abstract_source=openalex</w:t>
      </w:r>
    </w:p>
    <w:p>
      <w:pPr>
        <w:spacing w:before="0" w:after="80" w:lineRule="auto" w:line="276"/>
      </w:pPr>
      <w:r>
        <w:rPr>
          <w:b/>
        </w:rPr>
        <w:t xml:space="preserve">摘要（ZH）: </w:t>
      </w:r>
      <w:r>
        <w:t>侦察技术的快速进步使得传统的单波段和静态伪装技术失效，推动了能够主动改变光谱特性的多光谱动态伪装技术的迫切需求。在此，我们提出了一种灵活的多光谱动态调制器（FMDM），基于银网多光谱透明导电电极和可逆铜电沉积，实现了动态和兼容的可见-红外伪装。工作电极的高电子导电性与准固态凝胶电解质的高离子导电性相结合，使得铜纳米颗粒的均匀、快速和可逆的沉积/溶解成为可能。因此，FMDM提供了从可见光到</w:t>
      </w:r>
    </w:p>
    <w:p>
      <w:pPr>
        <w:spacing w:before="0" w:after="200" w:lineRule="auto" w:line="276"/>
      </w:pPr>
      <w:r>
        <w:rPr>
          <w:b/>
        </w:rPr>
        <w:t xml:space="preserve">Abstract (EN): </w:t>
      </w:r>
      <w:r>
        <w:t>The rapid advancement of reconnaissance technologies has rendered conventional single-band and static camouflage technology ineffective, driving the urgent demand for multispectral dynamic camouflage technology capable of actively changing its spectral properties. Herein, we present a flexible multispectral dynamic modulator (FMDM) that achieves dynamic and compatible visible–infrared camouflage based on a silver-mesh multispectral transparent conductive electrode and reversible copper electrodeposition. The high electron conductivity of the working electrode, combined with the high ionic conductivity of quasi-solid gel electrolyte, enables the uniform, rapid, and reversible deposition/dissolution of copper nanoparticles. Consequently, the FMDM delivers broadband tunability from visible to mid-infrared with high optical modulation contrasts of 0.67 (0.7–2.5 μm), 0.68 (3–5 μm), and 0.82 (8–13 μm), while maintaining a relatively low visible reflectance consistently. Notably, the FMDM also demonstrates ultrafast response speed (2.4/2.7 s), wide operating temperature range (−40–60 °C), and long-term cycling stability. This work paves the way for next-generation multispectral dynamic camouflage technologies.</w:t>
      </w:r>
    </w:p>
    <w:p>
      <w:pPr>
        <w:spacing w:before="120" w:after="120"/>
      </w:pPr>
      <w:r>
        <w:rPr>
          <w:sz w:val="18"/>
        </w:rPr>
        <w:t>——————————————————————————————————————————————————————————————————————</w:t>
      </w:r>
    </w:p>
    <w:p>
      <w:pPr>
        <w:spacing w:before="160" w:after="40" w:line="240" w:lineRule="auto"/>
      </w:pPr>
      <w:r>
        <w:rPr>
          <w:b/>
        </w:rPr>
        <w:t xml:space="preserve">[142] </w:t>
      </w:r>
      <w:hyperlink r:id="rId485">
        <w:r>
          <w:rPr>
            <w:color w:val="1155CC"/>
            <w:u w:val="single"/>
          </w:rPr>
          <w:t>[ASAP] 在水与亲水性纯硅沸石相互作用过程中使用核磁共振光谱和中子衍射研究的室温框架氧同位素交换</w:t>
        </w:r>
      </w:hyperlink>
    </w:p>
    <w:p>
      <w:pPr>
        <w:spacing w:before="0" w:after="80"/>
      </w:pPr>
      <w:r>
        <w:rPr>
          <w:i/>
          <w:sz w:val="20"/>
        </w:rPr>
        <w:t>EN: [ASAP] Room-Temperature Framework Oxygen Isotope Exchange during Interaction of Water with Hydrophilic Pure-Silica Zeolites Studied Using Nuclear Magnetic resonance Spectroscopy and Neutron Diffraction</w:t>
      </w:r>
    </w:p>
    <w:p>
      <w:pPr>
        <w:spacing w:before="0" w:after="120"/>
      </w:pPr>
      <w:r>
        <w:rPr>
          <w:b/>
        </w:rPr>
        <w:t xml:space="preserve">Source: </w:t>
      </w:r>
      <w:r>
        <w:t>Journal of the American Chemical Society: Latest Articles (ACS Publications)</w:t>
      </w:r>
      <w:r>
        <w:t xml:space="preserve">    </w:t>
      </w:r>
      <w:r>
        <w:rPr>
          <w:b/>
        </w:rPr>
        <w:t xml:space="preserve">Pub date: </w:t>
      </w:r>
      <w:r>
        <w:t>2026-03-16 18:40:07+00:00</w:t>
      </w:r>
      <w:r>
        <w:t xml:space="preserve">    </w:t>
      </w:r>
      <w:r>
        <w:rPr>
          <w:b/>
        </w:rPr>
        <w:t xml:space="preserve">DOI: </w:t>
      </w:r>
      <w:hyperlink r:id="rId486">
        <w:r>
          <w:rPr>
            <w:color w:val="1155CC"/>
            <w:u w:val="single"/>
          </w:rPr>
          <w:t>10.1021/jacs.5c23024</w:t>
        </w:r>
      </w:hyperlink>
    </w:p>
    <w:p>
      <w:pPr>
        <w:spacing w:before="0" w:after="120"/>
      </w:pPr>
      <w:r>
        <w:rPr>
          <w:b/>
        </w:rPr>
        <w:t xml:space="preserve">Notes: </w:t>
      </w:r>
      <w:r>
        <w:t>abstract_source=pubmed</w:t>
      </w:r>
    </w:p>
    <w:p>
      <w:pPr>
        <w:spacing w:before="0" w:after="80" w:lineRule="auto" w:line="276"/>
      </w:pPr>
      <w:r>
        <w:rPr>
          <w:b/>
        </w:rPr>
        <w:t xml:space="preserve">摘要（ZH）: </w:t>
      </w:r>
      <w:r>
        <w:t>四种不同的疏水性、低缺陷纯硅沸石在室温下与同位素富集水接触，所有这些都显示出通过多量子MAS NMR光谱在沸石结构的Si-O-Si单元中17O的同位素交换。对于CHA沸石结构，使用中子衍射识别出18O进入框架的交换——这是首次使用该技术区分任何固态材料中的氧同位素。结果表明，即使是所谓的非常疏水的纯硅沸石在非常温和的水溶液条件下也容易发生氧交换。这对我们关于沸石与水接触时结构的看法有重要影响。</w:t>
      </w:r>
    </w:p>
    <w:p>
      <w:pPr>
        <w:spacing w:before="0" w:after="200" w:lineRule="auto" w:line="276"/>
      </w:pPr>
      <w:r>
        <w:rPr>
          <w:b/>
        </w:rPr>
        <w:t xml:space="preserve">Abstract (EN): </w:t>
      </w:r>
      <w:r>
        <w:t>Four different hydrophobic, low-defect pure-silica zeolites are contacted with isotopically enriched water at room temperature, and all show isotope exchange of 17O into the Si-O-Si units of the zeolite structure using multiple-quantum MAS NMR spectroscopy. For the CHA zeolite structure, exchange of 18O into the framework was identified using neutron diffraction─the first time this technique has been used to differentiate oxygen isotopes in any solid-state material. The results indicate that even supposedly very hydrophobic pure-silica zeolites are susceptible to oxygen exchange under very mild aqueous conditions. This has important consequences for our view of the structure of zeolites in contact with water.</w:t>
      </w:r>
    </w:p>
    <w:p>
      <w:pPr>
        <w:spacing w:before="120" w:after="120"/>
      </w:pPr>
      <w:r>
        <w:rPr>
          <w:sz w:val="18"/>
        </w:rPr>
        <w:t>——————————————————————————————————————————————————————————————————————</w:t>
      </w:r>
    </w:p>
    <w:p>
      <w:pPr>
        <w:spacing w:before="160" w:after="40" w:line="240" w:lineRule="auto"/>
      </w:pPr>
      <w:r>
        <w:rPr>
          <w:b/>
        </w:rPr>
        <w:t xml:space="preserve">[143] </w:t>
      </w:r>
      <w:hyperlink r:id="rId487">
        <w:r>
          <w:rPr>
            <w:color w:val="1155CC"/>
            <w:u w:val="single"/>
          </w:rPr>
          <w:t>[ASAP] 通过多酶活性切换为自适应催化性能定制Ga柔性单原子纳米酶</w:t>
        </w:r>
      </w:hyperlink>
    </w:p>
    <w:p>
      <w:pPr>
        <w:spacing w:before="0" w:after="80"/>
      </w:pPr>
      <w:r>
        <w:rPr>
          <w:i/>
          <w:sz w:val="20"/>
        </w:rPr>
        <w:t>EN: [ASAP] Tailoring Ga Flexible Single-Atom Nanozymes for Self-Adaptive Catalytic Performance through Multienzyme Activity Switching</w:t>
      </w:r>
    </w:p>
    <w:p>
      <w:pPr>
        <w:spacing w:before="0" w:after="120"/>
      </w:pPr>
      <w:r>
        <w:rPr>
          <w:b/>
        </w:rPr>
        <w:t xml:space="preserve">Source: </w:t>
      </w:r>
      <w:r>
        <w:t>Journal of the American Chemical Society: Latest Articles (ACS Publications)</w:t>
      </w:r>
      <w:r>
        <w:t xml:space="preserve">    </w:t>
      </w:r>
      <w:r>
        <w:rPr>
          <w:b/>
        </w:rPr>
        <w:t xml:space="preserve">Pub date: </w:t>
      </w:r>
      <w:r>
        <w:t>2026-03-16 19:15:38+00:00</w:t>
      </w:r>
      <w:r>
        <w:t xml:space="preserve">    </w:t>
      </w:r>
      <w:r>
        <w:rPr>
          <w:b/>
        </w:rPr>
        <w:t xml:space="preserve">DOI: </w:t>
      </w:r>
      <w:hyperlink r:id="rId488">
        <w:r>
          <w:rPr>
            <w:color w:val="1155CC"/>
            <w:u w:val="single"/>
          </w:rPr>
          <w:t>10.1021/jacs.5c23161</w:t>
        </w:r>
      </w:hyperlink>
    </w:p>
    <w:p>
      <w:pPr>
        <w:spacing w:before="0" w:after="120"/>
      </w:pPr>
      <w:r>
        <w:rPr>
          <w:b/>
        </w:rPr>
        <w:t xml:space="preserve">Notes: </w:t>
      </w:r>
      <w:r>
        <w:t>abstract_source=pubmed</w:t>
      </w:r>
    </w:p>
    <w:p>
      <w:pPr>
        <w:spacing w:before="0" w:after="80" w:lineRule="auto" w:line="276"/>
      </w:pPr>
      <w:r>
        <w:rPr>
          <w:b/>
        </w:rPr>
        <w:t xml:space="preserve">摘要（ZH）: </w:t>
      </w:r>
      <w:r>
        <w:t>无机纳米酶受限于刚性的活性中心结构，缺乏天然酶的适应性灵活性。在此，我们报告了一种通过调控Ga配位实现的柔性单原子纳米酶（FSAzyme）。动态重构的Ga-N3S位点表现出自适应的电子调制，使FSAzyme能够实现多种酶模拟活性和多功能传感功能。这些结果建立了一种将酶样适应性引入单原子纳米酶的一般设计策略。</w:t>
      </w:r>
    </w:p>
    <w:p>
      <w:pPr>
        <w:spacing w:before="0" w:after="200" w:lineRule="auto" w:line="276"/>
      </w:pPr>
      <w:r>
        <w:rPr>
          <w:b/>
        </w:rPr>
        <w:t xml:space="preserve">Abstract (EN): </w:t>
      </w:r>
      <w:r>
        <w:t>Inorganic nanozymes remain limited by rigid active-center structures, lacking the adaptive flexibility of natural enzymes. Here we report a flexible single-atom nanozyme (FSAzyme) enabled by regulation of Ga coordination. A dynamically reconstructing Ga-N3S site exhibits self-adaptive electronic modulation, allowing the FSAzyme to realize multiple enzyme-mimicking activities and versatile sensing functions. These results establish a general design strategy to introduce enzyme-like adaptivity into single-atom nanozymes.</w:t>
      </w:r>
    </w:p>
    <w:p>
      <w:pPr>
        <w:spacing w:before="120" w:after="120"/>
      </w:pPr>
      <w:r>
        <w:rPr>
          <w:sz w:val="18"/>
        </w:rPr>
        <w:t>——————————————————————————————————————————————————————————————————————</w:t>
      </w:r>
    </w:p>
    <w:p>
      <w:pPr>
        <w:spacing w:before="160" w:after="40" w:line="240" w:lineRule="auto"/>
      </w:pPr>
      <w:r>
        <w:rPr>
          <w:b/>
        </w:rPr>
        <w:t xml:space="preserve">[144] </w:t>
      </w:r>
      <w:hyperlink r:id="rId489">
        <w:r>
          <w:rPr>
            <w:color w:val="1155CC"/>
            <w:u w:val="single"/>
          </w:rPr>
          <w:t>[ASAP] 元DNA组装的催化重构</w:t>
        </w:r>
      </w:hyperlink>
    </w:p>
    <w:p>
      <w:pPr>
        <w:spacing w:before="0" w:after="80"/>
      </w:pPr>
      <w:r>
        <w:rPr>
          <w:i/>
          <w:sz w:val="20"/>
        </w:rPr>
        <w:t>EN: [ASAP] Catalytic Reconfiguration of Meta-DNA Assemblies</w:t>
      </w:r>
    </w:p>
    <w:p>
      <w:pPr>
        <w:spacing w:before="0" w:after="120"/>
      </w:pPr>
      <w:r>
        <w:rPr>
          <w:b/>
        </w:rPr>
        <w:t xml:space="preserve">Source: </w:t>
      </w:r>
      <w:r>
        <w:t>Journal of the American Chemical Society: Latest Articles (ACS Publications)</w:t>
      </w:r>
      <w:r>
        <w:t xml:space="preserve">    </w:t>
      </w:r>
      <w:r>
        <w:rPr>
          <w:b/>
        </w:rPr>
        <w:t xml:space="preserve">Pub date: </w:t>
      </w:r>
      <w:r>
        <w:t>2026-03-16 19:16:13+00:00</w:t>
      </w:r>
      <w:r>
        <w:t xml:space="preserve">    </w:t>
      </w:r>
      <w:r>
        <w:rPr>
          <w:b/>
        </w:rPr>
        <w:t xml:space="preserve">DOI: </w:t>
      </w:r>
      <w:hyperlink r:id="rId490">
        <w:r>
          <w:rPr>
            <w:color w:val="1155CC"/>
            <w:u w:val="single"/>
          </w:rPr>
          <w:t>10.1021/jacs.6c01421</w:t>
        </w:r>
      </w:hyperlink>
    </w:p>
    <w:p>
      <w:pPr>
        <w:spacing w:before="0" w:after="120"/>
      </w:pPr>
      <w:r>
        <w:rPr>
          <w:b/>
        </w:rPr>
        <w:t xml:space="preserve">Notes: </w:t>
      </w:r>
      <w:r>
        <w:t>abstract_source=pubmed</w:t>
      </w:r>
    </w:p>
    <w:p>
      <w:pPr>
        <w:spacing w:before="0" w:after="80" w:lineRule="auto" w:line="276"/>
      </w:pPr>
      <w:r>
        <w:rPr>
          <w:b/>
        </w:rPr>
        <w:t xml:space="preserve">摘要（ZH）: </w:t>
      </w:r>
      <w:r>
        <w:t>仿生纳米机器人依赖于自主结构重构以适应环境信号，但由于结构稳健性和快速响应性之间的内在权衡，实现这种行为仍然困难。在此，我们提出了一种利用趾端介导的链置换反应的重构策略，该策略在结构稳定的meta-DNA（M-DNA）组装体中进行。将此策略与协同DNA催化结合，使重构速度提高了一个数量级以上，将重构时间从超过12小时减少到不到2小时，并实现了1.88 × 105 M-1 s-1的最大速率常数。分子动力学模拟揭示了M-DNA催化重构通过协同多价途径发生，从而实现高效的链置换。</w:t>
      </w:r>
    </w:p>
    <w:p>
      <w:pPr>
        <w:spacing w:before="0" w:after="200" w:lineRule="auto" w:line="276"/>
      </w:pPr>
      <w:r>
        <w:rPr>
          <w:b/>
        </w:rPr>
        <w:t xml:space="preserve">Abstract (EN): </w:t>
      </w:r>
      <w:r>
        <w:t>Bioinspired nanorobots rely on autonomous structural reconfiguration to adapt to environmental cues, yet achieving such behavior remains difficult due to an intrinsic trade-off between structural robustness and rapid responsiveness. Here, we present a reconfiguration strategy that leverages toehold-mediated strand displacement reactions within structurally stable meta-DNA (M-DNA) assemblies. Coupling this strategy with cooperative DNA catalysis accelerates reconfiguration by more than an order of magnitude, reducing the reconfiguration time from over 12 h to less than 2 h and achieving a maximum rate constant of 1.88 × 105 M-1 s-1. Molecular dynamics simulations reveal that M-DNA catalytic reconfiguration occurs via cooperative multivalent pathways, enabling efficient strand displacement and structural reconfiguration. Furthermore, by integrating modular design with catalytic acceleration, we achieve rapid and programmable reconfigurations across hierarchical M-DNA assemblies. This strategy overcomes the intrinsic trade-off between structural robustness and dynamic adaptability in submicron DNA assemblies, establishing a generalizable principle for engineering adaptive biomimetic nanostructures.</w:t>
      </w:r>
    </w:p>
    <w:p>
      <w:pPr>
        <w:spacing w:before="120" w:after="120"/>
      </w:pPr>
      <w:r>
        <w:rPr>
          <w:sz w:val="18"/>
        </w:rPr>
        <w:t>——————————————————————————————————————————————————————————————————————</w:t>
      </w:r>
    </w:p>
    <w:p>
      <w:pPr>
        <w:spacing w:before="160" w:after="40" w:line="240" w:lineRule="auto"/>
      </w:pPr>
      <w:r>
        <w:rPr>
          <w:b/>
        </w:rPr>
        <w:t xml:space="preserve">[145] </w:t>
      </w:r>
      <w:hyperlink r:id="rId491">
        <w:r>
          <w:rPr>
            <w:color w:val="1155CC"/>
            <w:u w:val="single"/>
          </w:rPr>
          <w:t>[ASAP] 共价引导肽探针揭示核糖体肽生物合成中的簇外酶</w:t>
        </w:r>
      </w:hyperlink>
    </w:p>
    <w:p>
      <w:pPr>
        <w:spacing w:before="0" w:after="80"/>
      </w:pPr>
      <w:r>
        <w:rPr>
          <w:i/>
          <w:sz w:val="20"/>
        </w:rPr>
        <w:t>EN: [ASAP] Covalent Leader Peptide Probes Reveal Extra-Cluster Enzymes in Ribosomal Peptide Biosynthesis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2026-03-16 19:36:13+00:00</w:t>
      </w:r>
      <w:r>
        <w:t xml:space="preserve">    </w:t>
      </w:r>
      <w:r>
        <w:rPr>
          <w:b/>
        </w:rPr>
        <w:t xml:space="preserve">DOI: </w:t>
      </w:r>
      <w:hyperlink r:id="rId492">
        <w:r>
          <w:rPr>
            <w:color w:val="1155CC"/>
            <w:u w:val="single"/>
          </w:rPr>
          <w:t>10.1021/jacs.6c00510</w:t>
        </w:r>
      </w:hyperlink>
    </w:p>
    <w:p>
      <w:pPr>
        <w:spacing w:before="0" w:after="120"/>
      </w:pPr>
      <w:r>
        <w:rPr>
          <w:b/>
        </w:rPr>
        <w:t xml:space="preserve">Notes: </w:t>
      </w:r>
      <w:r>
        <w:t>abstract_source=pubmed</w:t>
      </w:r>
    </w:p>
    <w:p>
      <w:pPr>
        <w:spacing w:before="0" w:after="80" w:lineRule="auto" w:line="276"/>
      </w:pPr>
      <w:r>
        <w:rPr>
          <w:b/>
        </w:rPr>
        <w:t xml:space="preserve">摘要（ZH）: </w:t>
      </w:r>
      <w:r>
        <w:t>基于基因组的分析已使得核糖体合成和翻译后修饰肽（RiPPs）途径的广泛发现和生物合成注释成为可能，但通常未能捕获所有参与的酶，特别是那些编码在经典生物合成基因簇之外的酶。在这项研究中，利用RiPP酶-底物识别中引导肽（LPs）的核心作用，我们开发了一种基于底物的化学蛋白质组学策略，使用共价LP探针直接从天然蛋白质组中识别LP结合酶。使用LctA-LctM和PatE-LynD系统，我们证明携带光交联剂的LP探针在其真实的LP识别位点与酶结合，同时保持完全的催化能力。将此策略应用于模型菌株</w:t>
      </w:r>
    </w:p>
    <w:p>
      <w:pPr>
        <w:spacing w:before="0" w:after="200" w:lineRule="auto" w:line="276"/>
      </w:pPr>
      <w:r>
        <w:rPr>
          <w:b/>
        </w:rPr>
        <w:t xml:space="preserve">Abstract (EN): </w:t>
      </w:r>
      <w:r>
        <w:t>Genome-based analyses have enabled widespread discovery and biosynthetic annotation of ribosomally synthesized and post-translationally modified peptides (RiPPs) pathways, yet often fail to capture all participating enzymes, particularly those encoded outside canonical biosynthetic gene clusters. In this study, leveraging the central role of leader peptides (LPs) in RiPP enzyme-substrate recognition, we developed a substrate-guided chemical-proteomic strategy using covalent LP probes to directly identify LP-binding enzymes from native proteomes. Using the LctA-LctM and PatE-LynD systems, we demonstrate that LP probes carrying a photo-cross-linker engage enzymes at their authentic LP-recognition sites while preserving full catalytic competence. Application of this strategy to a model strain Streptomyces sparsogenes uncovered lanthipeptide synthetases encoded outside canonical biosynthetic gene clusters and revealed graded cross-cluster activities among multiple RiPP pathways. This work establishes a proof-of-concept model platform for proteome-level discovery of LP-binding RiPP enzymes and highlights cross-cluster enzymatic crosstalk as a latent mechanism for structural diversification.</w:t>
      </w:r>
    </w:p>
    <w:p>
      <w:pPr>
        <w:spacing w:before="120" w:after="120"/>
      </w:pPr>
      <w:r>
        <w:rPr>
          <w:sz w:val="18"/>
        </w:rPr>
        <w:t>——————————————————————————————————————————————————————————————————————</w:t>
      </w:r>
    </w:p>
    <w:p>
      <w:pPr>
        <w:spacing w:before="160" w:after="40" w:line="240" w:lineRule="auto"/>
      </w:pPr>
      <w:r>
        <w:rPr>
          <w:b/>
        </w:rPr>
        <w:t xml:space="preserve">[146] </w:t>
      </w:r>
      <w:hyperlink r:id="rId493">
        <w:r>
          <w:rPr>
            <w:color w:val="1155CC"/>
            <w:u w:val="single"/>
          </w:rPr>
          <w:t>[ASAP] 一种自激活循环放大近红外声后辉探针用于体内高对比度成像</w:t>
        </w:r>
      </w:hyperlink>
    </w:p>
    <w:p>
      <w:pPr>
        <w:spacing w:before="0" w:after="80"/>
      </w:pPr>
      <w:r>
        <w:rPr>
          <w:i/>
          <w:sz w:val="20"/>
        </w:rPr>
        <w:t>EN: [ASAP] A Self-Activating Cyclic Amplification Near-Infrared Sonoafterglow Probe for High-Contrast Imaging In Vivo</w:t>
      </w:r>
    </w:p>
    <w:p>
      <w:pPr>
        <w:spacing w:before="0" w:after="120"/>
      </w:pPr>
      <w:r>
        <w:rPr>
          <w:b/>
        </w:rPr>
        <w:t xml:space="preserve">Source: </w:t>
      </w:r>
      <w:r>
        <w:t>Journal of the American Chemical Society: Latest Articles (ACS Publications)</w:t>
      </w:r>
      <w:r>
        <w:t xml:space="preserve">    </w:t>
      </w:r>
      <w:r>
        <w:rPr>
          <w:b/>
        </w:rPr>
        <w:t xml:space="preserve">Pub date: </w:t>
      </w:r>
      <w:r>
        <w:t>2026-03-16 19:38:02+00:00</w:t>
      </w:r>
      <w:r>
        <w:t xml:space="preserve">    </w:t>
      </w:r>
      <w:r>
        <w:rPr>
          <w:b/>
        </w:rPr>
        <w:t xml:space="preserve">DOI: </w:t>
      </w:r>
      <w:hyperlink r:id="rId494">
        <w:r>
          <w:rPr>
            <w:color w:val="1155CC"/>
            <w:u w:val="single"/>
          </w:rPr>
          <w:t>10.1021/jacs.6c01285</w:t>
        </w:r>
      </w:hyperlink>
    </w:p>
    <w:p>
      <w:pPr>
        <w:spacing w:before="0" w:after="120"/>
      </w:pPr>
      <w:r>
        <w:rPr>
          <w:b/>
        </w:rPr>
        <w:t xml:space="preserve">Notes: </w:t>
      </w:r>
      <w:r>
        <w:t>abstract_source=pubmed</w:t>
      </w:r>
    </w:p>
    <w:p>
      <w:pPr>
        <w:spacing w:before="0" w:after="80" w:lineRule="auto" w:line="276"/>
      </w:pPr>
      <w:r>
        <w:rPr>
          <w:b/>
        </w:rPr>
        <w:t xml:space="preserve">摘要（ZH）: </w:t>
      </w:r>
      <w:r>
        <w:t>余辉发光通过消除组织自发荧光并提供高信噪比（SBR），为超灵敏生物成像提供了一种有前途的策略。然而，余辉探针面临若干限制，包括发光亮度有限、半衰期短、发光机制不完善以及依赖于低穿透光的预照射。在此，我们开发了一种新型自激活循环放大近红外（NIR）声余辉纳米探针（3SCe-NP），基于合理设计的双（二芳乙烯基）三噻吩骨架，与常用的2-甲氧基-5-(2'-乙基己氧基)-1,4-苯乙烯（MEH-PPV）相比，余辉强度提高约270倍，半衰期延长7倍。该探针作为一个集成</w:t>
      </w:r>
    </w:p>
    <w:p>
      <w:pPr>
        <w:spacing w:before="0" w:after="200" w:lineRule="auto" w:line="276"/>
      </w:pPr>
      <w:r>
        <w:rPr>
          <w:b/>
        </w:rPr>
        <w:t xml:space="preserve">Abstract (EN): </w:t>
      </w:r>
      <w:r>
        <w:t>Afterglow luminescence offers a promising strategy for ultrasensitive bioimaging by eliminating tissue autofluorescence and providing a high signal-to-background ratio (SBR). However, afterglow probes face several limitations, including limited luminescence brightness, short half-life, imperfect luminescent mechanisms, and reliance on preirradiation with low-penetration light. Herein, we develop a novel self-activating cyclic amplification near-infrared (NIR) sonoafterglow nanoprobe (3SCe-NP) based on a rationally engineered bis(diarylethenyl)terthiophene scaffold, which demonstrates an ∼270-fold enhancement in afterglow intensity and a 7-fold extension in half-life compared to the commonly used 2-methoxy-5-(2'-ethylhexyloxy)-1,4-phenylenevinylene (MEH-PPV). The probe functions as an integrated single-molecule entity unifying the roles of a highly efficient sonosensitizer and an NIR afterglow emitter, which overcomes the drawbacks of weak afterglow brightness, complex fabrication, and poor reproducibility inherent in multicomponent systems. Furthermore, compared to previously reported single-reactive-site afterglow systems, the multireactive-site architecture of 3SCe-NP enables more extensive interactions with self-generated, multitype reactive oxygen species (ROS), creating a high density of chemical defects. This results in dramatically enhanced energy storage capacity and, consequently, a greatly intensified and sustained NIR afterglow upon ultrasound stimulation. Additionally, we uncovered a unique self-amplification mechanism that facilitates sustained ROS generation even after ultrasound cessation, thereby establishing a cyclic oxidation process that overcomes the constraint of conventional consumable afterglow probes relying on a single, depletable ROS. This nanoprobe achieves a high SBR, deep-tissue penetration, and rechargeable capability for longitudinal tumor imaging in vivo. We further demonstrated its utility by constructing an activatable sonoafterglow probe for monitoring immunotherapy responses, offering a useful tool for biomedical imaging.</w:t>
      </w:r>
    </w:p>
    <w:p>
      <w:pPr>
        <w:spacing w:before="120" w:after="120"/>
      </w:pPr>
      <w:r>
        <w:rPr>
          <w:sz w:val="18"/>
        </w:rPr>
        <w:t>——————————————————————————————————————————————————————————————————————</w:t>
      </w:r>
    </w:p>
    <w:p>
      <w:pPr>
        <w:spacing w:before="160" w:after="40" w:line="240" w:lineRule="auto"/>
      </w:pPr>
      <w:r>
        <w:rPr>
          <w:b/>
        </w:rPr>
        <w:t xml:space="preserve">[147] </w:t>
      </w:r>
      <w:hyperlink r:id="rId495">
        <w:r>
          <w:rPr>
            <w:color w:val="1155CC"/>
            <w:u w:val="single"/>
          </w:rPr>
          <w:t>多巴胺受挫：神经科学如何重新思考‘感觉良好’化学物质</w:t>
        </w:r>
      </w:hyperlink>
    </w:p>
    <w:p>
      <w:pPr>
        <w:spacing w:before="0" w:after="80"/>
      </w:pPr>
      <w:r>
        <w:rPr>
          <w:i/>
          <w:sz w:val="20"/>
        </w:rPr>
        <w:t>EN: Dopamine takes a hit: how neuroscience is rethinking the ‘feel-good’ chemical</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496">
        <w:r>
          <w:rPr>
            <w:color w:val="1155CC"/>
            <w:u w:val="single"/>
          </w:rPr>
          <w:t>10.1038/d41586-026-00836-x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 </w:t>
      </w:r>
      <w:hyperlink r:id="rId497">
        <w:r>
          <w:rPr>
            <w:color w:val="1155CC"/>
            <w:u w:val="single"/>
          </w:rPr>
          <w:t>每日简报：中国批准全球首个脑机接口设备</w:t>
        </w:r>
      </w:hyperlink>
    </w:p>
    <w:p>
      <w:pPr>
        <w:spacing w:before="0" w:after="80"/>
      </w:pPr>
      <w:r>
        <w:rPr>
          <w:i/>
          <w:sz w:val="20"/>
        </w:rPr>
        <w:t>EN: Daily briefing: China approves world-first brain–computer interface device</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498">
        <w:r>
          <w:rPr>
            <w:color w:val="1155CC"/>
            <w:u w:val="single"/>
          </w:rPr>
          <w:t>10.1038/d41586-026-00888-z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[149] </w:t>
      </w:r>
      <w:hyperlink r:id="rId499">
        <w:r>
          <w:rPr>
            <w:color w:val="1155CC"/>
            <w:u w:val="single"/>
          </w:rPr>
          <w:t>宝可梦系列如何帮助塑造神经科学</w:t>
        </w:r>
      </w:hyperlink>
    </w:p>
    <w:p>
      <w:pPr>
        <w:spacing w:before="0" w:after="80"/>
      </w:pPr>
      <w:r>
        <w:rPr>
          <w:i/>
          <w:sz w:val="20"/>
        </w:rPr>
        <w:t>EN: How the Pokémon franchise has helped to shape neuroscience</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00">
        <w:r>
          <w:rPr>
            <w:color w:val="1155CC"/>
            <w:u w:val="single"/>
          </w:rPr>
          <w:t>10.1038/d41586-026-00861-w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[150] </w:t>
      </w:r>
      <w:hyperlink r:id="rId501">
        <w:r>
          <w:rPr>
            <w:color w:val="1155CC"/>
            <w:u w:val="single"/>
          </w:rPr>
          <w:t>老年自闭症：卫生系统必须认识到其影响</w:t>
        </w:r>
      </w:hyperlink>
    </w:p>
    <w:p>
      <w:pPr>
        <w:spacing w:before="0" w:after="80"/>
      </w:pPr>
      <w:r>
        <w:rPr>
          <w:i/>
          <w:sz w:val="20"/>
        </w:rPr>
        <w:t>EN: Autism in older adults: the health system must recognize its effects</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02">
        <w:r>
          <w:rPr>
            <w:color w:val="1155CC"/>
            <w:u w:val="single"/>
          </w:rPr>
          <w:t>10.1038/d41586-026-00863-8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[151] </w:t>
      </w:r>
      <w:hyperlink r:id="rId503">
        <w:r>
          <w:rPr>
            <w:color w:val="1155CC"/>
            <w:u w:val="single"/>
          </w:rPr>
          <w:t>利用VO2的绝缘体-金属转变进行光催化甲烷转化</w:t>
        </w:r>
      </w:hyperlink>
    </w:p>
    <w:p>
      <w:pPr>
        <w:spacing w:before="0" w:after="80"/>
      </w:pPr>
      <w:r>
        <w:rPr>
          <w:i/>
          <w:sz w:val="20"/>
        </w:rPr>
        <w:t>EN: Exploiting the insulator–metal transition of VO2 in photocatalytic methane conversion</w:t>
      </w:r>
    </w:p>
    <w:p>
      <w:pPr>
        <w:spacing w:before="0" w:after="120"/>
      </w:pPr>
      <w:r>
        <w:rPr>
          <w:b/>
        </w:rPr>
        <w:t xml:space="preserve">Source: </w:t>
      </w:r>
      <w:r>
        <w:t>Nature Energy</w:t>
      </w:r>
      <w:r>
        <w:t xml:space="preserve">    </w:t>
      </w:r>
      <w:r>
        <w:rPr>
          <w:b/>
        </w:rPr>
        <w:t xml:space="preserve">Pub date: </w:t>
      </w:r>
      <w:r>
        <w:t>2026-03-17 00:00:00+00:00</w:t>
      </w:r>
      <w:r>
        <w:t xml:space="preserve">    </w:t>
      </w:r>
      <w:r>
        <w:rPr>
          <w:b/>
        </w:rPr>
        <w:t xml:space="preserve">DOI: </w:t>
      </w:r>
      <w:hyperlink r:id="rId504">
        <w:r>
          <w:rPr>
            <w:color w:val="1155CC"/>
            <w:u w:val="single"/>
          </w:rPr>
          <w:t>10.1038/s41560-026-02013-w</w:t>
        </w:r>
      </w:hyperlink>
    </w:p>
    <w:p>
      <w:pPr>
        <w:spacing w:before="0" w:after="120"/>
      </w:pPr>
      <w:r>
        <w:rPr>
          <w:b/>
        </w:rPr>
        <w:t xml:space="preserve">Notes: </w:t>
      </w:r>
      <w:r>
        <w:t>abstract_source=nature_html</w:t>
      </w:r>
    </w:p>
    <w:p>
      <w:pPr>
        <w:spacing w:before="0" w:after="80" w:lineRule="auto" w:line="276"/>
      </w:pPr>
      <w:r>
        <w:rPr>
          <w:b/>
        </w:rPr>
        <w:t xml:space="preserve">摘要（ZH）: </w:t>
      </w:r>
      <w:r>
        <w:t>在光照下，光催化剂会产生用于氧化还原反应的电荷载流子，但尽管存在许多现有的结工程策略，其效率通常受到载流子复合和较差的少数载流子扩散的限制。在此，我们利用VO2中的绝缘体-金属转变来生产一种材料，该材料促进有效的电荷分离，并通过自发形成结来增强甲烷的光催化转化。我们发现光催化活性在转变的临界温度达到峰值，我们将其归因于共存的绝缘和金属域，其非整数维边界和尺寸小于少数载流子扩散长度。通过减少薄膜厚度来增加电荷分离界面长度</w:t>
      </w:r>
    </w:p>
    <w:p>
      <w:pPr>
        <w:spacing w:before="0" w:after="200" w:lineRule="auto" w:line="276"/>
      </w:pPr>
      <w:r>
        <w:rPr>
          <w:b/>
        </w:rPr>
        <w:t xml:space="preserve">Abstract (EN): </w:t>
      </w:r>
      <w:r>
        <w:t>Upon illumination, photocatalysts generate charge carriers for redox reactions, but their efficiency is often limited by carrier recombination and poor minority-carrier diffusion, despite many existing junction engineering strategies. Here we exploit the insulator–metal transition in VO2 to produce a material that promotes efficient charge separation and enhances the photocatalytic conversion of methane through the spontaneous formation of junctions. We find that the photocatalytic activity peaks at the critical temperature of the transition, which we attribute to coexisting insulating and metallic domains with non-integer dimensional boundaries and sizes smaller than the minority-carrier diffusion length. Increasing the charge-separating interface length by decreasing the film thickness improves the photocatalytic activity and C–C coupling between alkoxy intermediates, leading to a propane selectivity of 100%. Moreover, electrically triggering the phase transition at lower temperatures further boosts methane conversion via field-assisted carrier activation. Overall, the metal–insulator transition provides an effective alternative to complex nanoscale junction engineering in photocatalysis.</w:t>
      </w:r>
    </w:p>
    <w:p>
      <w:pPr>
        <w:spacing w:before="120" w:after="120"/>
      </w:pPr>
      <w:r>
        <w:rPr>
          <w:sz w:val="18"/>
        </w:rPr>
        <w:t>——————————————————————————————————————————————————————————————————————</w:t>
      </w:r>
    </w:p>
    <w:p>
      <w:pPr>
        <w:spacing w:before="160" w:after="40" w:line="240" w:lineRule="auto"/>
      </w:pPr>
      <w:r>
        <w:rPr>
          <w:b/>
        </w:rPr>
        <w:t xml:space="preserve">[152] </w:t>
      </w:r>
      <w:hyperlink r:id="rId505">
        <w:r>
          <w:rPr>
            <w:color w:val="1155CC"/>
            <w:u w:val="single"/>
          </w:rPr>
          <w:t>将金属氧化与氧反应性联系起来</w:t>
        </w:r>
      </w:hyperlink>
    </w:p>
    <w:p>
      <w:pPr>
        <w:spacing w:before="0" w:after="80"/>
      </w:pPr>
      <w:r>
        <w:rPr>
          <w:i/>
          <w:sz w:val="20"/>
        </w:rPr>
        <w:t>EN: Linking metal oxidation to oxygen reactivity</w:t>
      </w:r>
    </w:p>
    <w:p>
      <w:pPr>
        <w:spacing w:before="0" w:after="120"/>
      </w:pPr>
      <w:r>
        <w:rPr>
          <w:b/>
        </w:rPr>
        <w:t xml:space="preserve">Source: </w:t>
      </w:r>
      <w:r>
        <w:t>Nature Materials</w:t>
      </w:r>
      <w:r>
        <w:t xml:space="preserve">    </w:t>
      </w:r>
      <w:r>
        <w:rPr>
          <w:b/>
        </w:rPr>
        <w:t xml:space="preserve">Pub date: </w:t>
      </w:r>
      <w:r>
        <w:t>2026-03-17 00:00:00+00:00</w:t>
      </w:r>
      <w:r>
        <w:t xml:space="preserve">    </w:t>
      </w:r>
      <w:r>
        <w:rPr>
          <w:b/>
        </w:rPr>
        <w:t xml:space="preserve">DOI: </w:t>
      </w:r>
      <w:hyperlink r:id="rId506">
        <w:r>
          <w:rPr>
            <w:color w:val="1155CC"/>
            <w:u w:val="single"/>
          </w:rPr>
          <w:t>10.1038/s41563-026-02540-7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[153] </w:t>
      </w:r>
      <w:hyperlink r:id="rId507">
        <w:r>
          <w:rPr>
            <w:color w:val="1155CC"/>
            <w:u w:val="single"/>
          </w:rPr>
          <w:t>对阈值开关的传统智慧提出挑战</w:t>
        </w:r>
      </w:hyperlink>
    </w:p>
    <w:p>
      <w:pPr>
        <w:spacing w:before="0" w:after="80"/>
      </w:pPr>
      <w:r>
        <w:rPr>
          <w:i/>
          <w:sz w:val="20"/>
        </w:rPr>
        <w:t>EN: Conventional wisdom about threshold switches challenged</w:t>
      </w:r>
    </w:p>
    <w:p>
      <w:pPr>
        <w:spacing w:before="0" w:after="120"/>
      </w:pPr>
      <w:r>
        <w:rPr>
          <w:b/>
        </w:rPr>
        <w:t xml:space="preserve">Source: </w:t>
      </w:r>
      <w:r>
        <w:t>Nature Materials</w:t>
      </w:r>
      <w:r>
        <w:t xml:space="preserve">    </w:t>
      </w:r>
      <w:r>
        <w:rPr>
          <w:b/>
        </w:rPr>
        <w:t xml:space="preserve">Pub date: </w:t>
      </w:r>
      <w:r>
        <w:t>2026-03-17 00:00:00+00:00</w:t>
      </w:r>
      <w:r>
        <w:t xml:space="preserve">    </w:t>
      </w:r>
      <w:r>
        <w:rPr>
          <w:b/>
        </w:rPr>
        <w:t xml:space="preserve">DOI: </w:t>
      </w:r>
      <w:hyperlink r:id="rId508">
        <w:r>
          <w:rPr>
            <w:color w:val="1155CC"/>
            <w:u w:val="single"/>
          </w:rPr>
          <w:t>10.1038/s41563-026-02543-4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[154] </w:t>
      </w:r>
      <w:hyperlink r:id="rId509">
        <w:r>
          <w:rPr>
            <w:color w:val="1155CC"/>
            <w:u w:val="single"/>
          </w:rPr>
          <w:t>金激活过硫酸盐对有机半导体的p型掺杂</w:t>
        </w:r>
      </w:hyperlink>
    </w:p>
    <w:p>
      <w:pPr>
        <w:spacing w:before="0" w:after="80"/>
      </w:pPr>
      <w:r>
        <w:rPr>
          <w:i/>
          <w:sz w:val="20"/>
        </w:rPr>
        <w:t>EN: Gold-activated persulfate p-doping of organic semiconductors</w:t>
      </w:r>
    </w:p>
    <w:p>
      <w:pPr>
        <w:spacing w:before="0" w:after="120"/>
      </w:pPr>
      <w:r>
        <w:rPr>
          <w:b/>
        </w:rPr>
        <w:t xml:space="preserve">Source: </w:t>
      </w:r>
      <w:r>
        <w:t>Nature Materials</w:t>
      </w:r>
      <w:r>
        <w:t xml:space="preserve">    </w:t>
      </w:r>
      <w:r>
        <w:rPr>
          <w:b/>
        </w:rPr>
        <w:t xml:space="preserve">Pub date: </w:t>
      </w:r>
      <w:r>
        <w:t>2026-03-17 00:00:00+00:00</w:t>
      </w:r>
      <w:r>
        <w:t xml:space="preserve">    </w:t>
      </w:r>
      <w:r>
        <w:rPr>
          <w:b/>
        </w:rPr>
        <w:t xml:space="preserve">DOI: </w:t>
      </w:r>
      <w:hyperlink r:id="rId510">
        <w:r>
          <w:rPr>
            <w:color w:val="1155CC"/>
            <w:u w:val="single"/>
          </w:rPr>
          <w:t>10.1038/s41563-026-02547-0</w:t>
        </w:r>
      </w:hyperlink>
    </w:p>
    <w:p>
      <w:pPr>
        <w:spacing w:before="0" w:after="120"/>
      </w:pPr>
      <w:r>
        <w:rPr>
          <w:b/>
        </w:rPr>
        <w:t xml:space="preserve">Notes: </w:t>
      </w:r>
      <w:r>
        <w:t>abstract_source=nature_html</w:t>
      </w:r>
    </w:p>
    <w:p>
      <w:pPr>
        <w:spacing w:before="0" w:after="80" w:lineRule="auto" w:line="276"/>
      </w:pPr>
      <w:r>
        <w:rPr>
          <w:b/>
        </w:rPr>
        <w:t xml:space="preserve">摘要（ZH）: </w:t>
      </w:r>
      <w:r>
        <w:t>化学掺杂对于微调有机半导体（OSC）的电子特性和提高各种技术的器件性能至关重要。虽然已经探索了几种控制掺杂剂分布的方法，但通过简单的溶液处理实现横向掺杂梯度仍然具有挑战性。在此，我们提出了一种金激活的过硫酸盐掺杂策略，其中过硫酸盐在金表面催化活化以生成SO4•−自由基，局部氧化（p型掺杂）OSC。这种反应在金界面向外延伸的横向掺杂梯度已通过光谱和电气表征验证。该方法广泛适用于跨越1.5 eV电离势范围的OSC，并产生导电率&gt;1,900 S cm−1</w:t>
      </w:r>
    </w:p>
    <w:p>
      <w:pPr>
        <w:spacing w:before="0" w:after="200" w:lineRule="auto" w:line="276"/>
      </w:pPr>
      <w:r>
        <w:rPr>
          <w:b/>
        </w:rPr>
        <w:t xml:space="preserve">Abstract (EN): </w:t>
      </w:r>
      <w:r>
        <w:t>Chemical doping is crucial for fine-tuning the electronic properties of organic semiconductors (OSCs) and enhancing device performance across various technologies. While several methods for controlled dopant distribution have been explored, achieving lateral doping gradients via simple solution processing remains challenging. Here we present a gold-activated persulfate doping strategy in which persulfate is catalytically activated at gold surfaces to generate SO4•− radicals that locally oxidize (p-dope) the OSCs. This reaction creates a lateral doping gradient extending outwards from the gold interface, as verified by spectroscopic and electrical characterization. The approach is broadly applicable to OSCs spanning a 1.5-eV ionization potential range and yields conductivities &gt;1,900 S cm−1. To demonstrate the impact of this method, we applied gold-activated persulfate doping to modulate contact regions in solution-processed organic field-effect transistors, achieving reduced contact resistance and improved charge-carrier mobility. This simple, scalable approach enables the formation of lateral doping gradients from solution and offers new opportunities for interfacial tuning in organic electronics.</w:t>
      </w:r>
    </w:p>
    <w:p>
      <w:pPr>
        <w:spacing w:before="120" w:after="120"/>
      </w:pPr>
      <w:r>
        <w:rPr>
          <w:sz w:val="18"/>
        </w:rPr>
        <w:t>——————————————————————————————————————————————————————————————————————</w:t>
      </w:r>
    </w:p>
    <w:p>
      <w:pPr>
        <w:spacing w:before="160" w:after="40" w:line="240" w:lineRule="auto"/>
      </w:pPr>
      <w:r>
        <w:rPr>
          <w:b/>
        </w:rPr>
        <w:t xml:space="preserve">[155] </w:t>
      </w:r>
      <w:hyperlink r:id="rId511">
        <w:r>
          <w:rPr>
            <w:color w:val="1155CC"/>
            <w:u w:val="single"/>
          </w:rPr>
          <w:t>交联可离子化脂质重编程树突状细胞代谢以实现有效的mRNA疫苗接种</w:t>
        </w:r>
      </w:hyperlink>
    </w:p>
    <w:p>
      <w:pPr>
        <w:spacing w:before="0" w:after="80"/>
      </w:pPr>
      <w:r>
        <w:rPr>
          <w:i/>
          <w:sz w:val="20"/>
        </w:rPr>
        <w:t>EN: Crosslinked ionizable lipids reprogram dendritic cell metabolism for potent mRNA vaccination</w:t>
      </w:r>
    </w:p>
    <w:p>
      <w:pPr>
        <w:spacing w:before="0" w:after="120"/>
      </w:pPr>
      <w:r>
        <w:rPr>
          <w:b/>
        </w:rPr>
        <w:t xml:space="preserve">Source: </w:t>
      </w:r>
      <w:r>
        <w:t>Nature Materials</w:t>
      </w:r>
      <w:r>
        <w:t xml:space="preserve">    </w:t>
      </w:r>
      <w:r>
        <w:rPr>
          <w:b/>
        </w:rPr>
        <w:t xml:space="preserve">Pub date: </w:t>
      </w:r>
      <w:r>
        <w:t>2026-03-17 00:00:00+00:00</w:t>
      </w:r>
      <w:r>
        <w:t xml:space="preserve">    </w:t>
      </w:r>
      <w:r>
        <w:rPr>
          <w:b/>
        </w:rPr>
        <w:t xml:space="preserve">DOI: </w:t>
      </w:r>
      <w:hyperlink r:id="rId512">
        <w:r>
          <w:rPr>
            <w:color w:val="1155CC"/>
            <w:u w:val="single"/>
          </w:rPr>
          <w:t>10.1038/s41563-026-02512-x</w:t>
        </w:r>
      </w:hyperlink>
    </w:p>
    <w:p>
      <w:pPr>
        <w:spacing w:before="0" w:after="120"/>
      </w:pPr>
      <w:r>
        <w:rPr>
          <w:b/>
        </w:rPr>
        <w:t xml:space="preserve">Notes: </w:t>
      </w:r>
      <w:r>
        <w:t>abstract_source=nature_html</w:t>
      </w:r>
    </w:p>
    <w:p>
      <w:pPr>
        <w:spacing w:before="0" w:after="80" w:lineRule="auto" w:line="276"/>
      </w:pPr>
      <w:r>
        <w:rPr>
          <w:b/>
        </w:rPr>
        <w:t xml:space="preserve">摘要（ZH）: </w:t>
      </w:r>
      <w:r>
        <w:t>调节免疫细胞的代谢是诱导期望免疫反应的有效方法。在此，我们开发了一种能够对树突状细胞进行代谢重编程的脂质纳米颗粒（LNP），用于mRNA疫苗应用。使用亚胺酯基结合化学，我们设计了一种交联的可离子化脂质C12-2aN，具有内在的代谢调节特性。这种多功能可离子化脂质不仅通过促进内体逃逸来促进有效的mRNA表达，还通过激活mTORC2通路刺激糖酵解。作为mRNA载体和代谢调节剂，C12-2aN LNP在SARS-CoV-2和OVA癌症疫苗模型中均表现出强大的疫苗效力，导致更强的假病毒感染中和和改善的生存率，</w:t>
      </w:r>
    </w:p>
    <w:p>
      <w:pPr>
        <w:spacing w:before="0" w:after="200" w:lineRule="auto" w:line="276"/>
      </w:pPr>
      <w:r>
        <w:rPr>
          <w:b/>
        </w:rPr>
        <w:t xml:space="preserve">Abstract (EN): </w:t>
      </w:r>
      <w:r>
        <w:t>Modulating metabolism in immune cells is an effective approach to induce desired immune responses. Here we develop a lipid nanoparticle (LNP) capable of metabolic reprogramming of dendritic cells for mRNA vaccine applications. Using imidoester-based conjugation chemistry, we design a crosslinked ionizable lipid, C12-2aN, which possesses intrinsic metabolic modulatory properties. This multifunctional ionizable lipid not only promotes effective mRNA expression by facilitating endosomal escape but also stimulates glycolysis through mTORC2 pathway activation. As both an mRNA carrier and a metabolic modulator, C12-2aN LNPs lead to potent vaccine efficacy in both SARS-CoV-2 and OVA cancer vaccine models, resulting in stronger neutralization of pseudovirus infection and improved survival rates, respectively, compared with control LNPs without the crosslinker. Moreover, C12-2aN LNPs outperformed FDA-approved LNPs in terms of reduced off-target delivery and lower immunogenicity. Overall, the integration of mRNA delivery and metabolic reprogramming induced by the ionizable lipid component presents significant potential for next-generation mRNA LNP vaccines.</w:t>
      </w:r>
    </w:p>
    <w:p>
      <w:pPr>
        <w:spacing w:before="120" w:after="120"/>
      </w:pPr>
      <w:r>
        <w:rPr>
          <w:sz w:val="18"/>
        </w:rPr>
        <w:t>——————————————————————————————————————————————————————————————————————</w:t>
      </w:r>
    </w:p>
    <w:p>
      <w:pPr>
        <w:spacing w:before="160" w:after="40" w:line="240" w:lineRule="auto"/>
      </w:pPr>
      <w:r>
        <w:rPr>
          <w:b/>
        </w:rPr>
        <w:t xml:space="preserve">[156] </w:t>
      </w:r>
      <w:hyperlink r:id="rId513">
        <w:r>
          <w:rPr>
            <w:color w:val="1155CC"/>
            <w:u w:val="single"/>
          </w:rPr>
          <w:t>非平衡表面活性剂分配驱动自纳米乳化以实现可扩展的纳米载体生产</w:t>
        </w:r>
      </w:hyperlink>
    </w:p>
    <w:p>
      <w:pPr>
        <w:spacing w:before="0" w:after="80"/>
      </w:pPr>
      <w:r>
        <w:rPr>
          <w:i/>
          <w:sz w:val="20"/>
        </w:rPr>
        <w:t>EN: Non-equilibrium surfactant partitioning drives self-nanoemulsification for scalable nanocarrier production</w:t>
      </w:r>
    </w:p>
    <w:p>
      <w:pPr>
        <w:spacing w:before="0" w:after="120"/>
      </w:pPr>
      <w:r>
        <w:rPr>
          <w:b/>
        </w:rPr>
        <w:t xml:space="preserve">Source: </w:t>
      </w:r>
      <w:r>
        <w:t>Nature Chemical Engineering</w:t>
      </w:r>
      <w:r>
        <w:t xml:space="preserve">    </w:t>
      </w:r>
      <w:r>
        <w:rPr>
          <w:b/>
        </w:rPr>
        <w:t xml:space="preserve">Pub date: </w:t>
      </w:r>
      <w:r>
        <w:t>2026-03-17 00:00:00+00:00</w:t>
      </w:r>
      <w:r>
        <w:t xml:space="preserve">    </w:t>
      </w:r>
      <w:r>
        <w:rPr>
          <w:b/>
        </w:rPr>
        <w:t xml:space="preserve">DOI: </w:t>
      </w:r>
      <w:hyperlink r:id="rId514">
        <w:r>
          <w:rPr>
            <w:color w:val="1155CC"/>
            <w:u w:val="single"/>
          </w:rPr>
          <w:t>10.1038/s44286-026-00367-2</w:t>
        </w:r>
      </w:hyperlink>
    </w:p>
    <w:p>
      <w:pPr>
        <w:spacing w:before="0" w:after="120"/>
      </w:pPr>
      <w:r>
        <w:rPr>
          <w:b/>
        </w:rPr>
        <w:t xml:space="preserve">Notes: </w:t>
      </w:r>
      <w:r>
        <w:t>abstract_source=nature_html</w:t>
      </w:r>
    </w:p>
    <w:p>
      <w:pPr>
        <w:spacing w:before="0" w:after="80" w:lineRule="auto" w:line="276"/>
      </w:pPr>
      <w:r>
        <w:rPr>
          <w:b/>
        </w:rPr>
        <w:t xml:space="preserve">摘要（ZH）: </w:t>
      </w:r>
      <w:r>
        <w:t>纳米载体在生物医学中是不可或缺的，推动了药物递送、疫苗和诊断方面的突破。尽管微流体技术促进了显著的成功，但单分散纳米载体的可持续、低成本和高通量生产仍然是一个长期存在的挑战。我们在此报告表面活性剂通量引发的界面不稳定性，这是一种由水-油界面上的非平衡表面活性剂分配触发的自驱动纳米乳化机制。该策略在1分钟内生产5升高度均匀的纳米乳液（0.2升分散相），生成直径小至34 nm且多分散指数低于0.10的液滴。这种自驱动纳米乳化在广泛的pH值（~3–11）和温度（~4–85 °C）范围内表现出稳健性，展示了</w:t>
      </w:r>
    </w:p>
    <w:p>
      <w:pPr>
        <w:spacing w:before="0" w:after="200" w:lineRule="auto" w:line="276"/>
      </w:pPr>
      <w:r>
        <w:rPr>
          <w:b/>
        </w:rPr>
        <w:t xml:space="preserve">Abstract (EN): </w:t>
      </w:r>
      <w:r>
        <w:t>Nanocarriers are indispensable in biomedicine, enabling breakthroughs in drug delivery, vaccines and diagnostics. Despite notable successes facilitated by microfluidic technologies, sustainable, low-cost and high-throughput production of monodisperse nanocarriers remains a longstanding challenge. Here we report surfactant-flux-induced interfacial instability, a self-driven nanoemulsification mechanism triggered by non-equilibrium surfactant partitioning at a water–oil interface. This strategy produces 5 l of highly uniform nanoemulsion (0.2 l of disperse phase) in 1 min, producing droplets with diameters as small as 34 nm and polydispersity indices below 0.10. This self-driven nanoemulsification is robust across a broad range of pH values (~3–11) and temperatures (~4–85 °C), demonstrating compatibility with over ten oil–water–surfactant systems and enabling the synthesis of diverse nanocarriers including nanodroplets, micelles, vesicles, polymeric nanoparticles and metal–organic framework nanocrystals. We further demonstrate that surfactant flux underpins the observed interfacial instability, offering a mechanism for nanoemulsification under far-from-equilibrium conditions. This work addresses a bottleneck in nanomanufacturing and provides insights into dynamic surfactant behavior at immiscible interfaces.</w:t>
      </w:r>
    </w:p>
    <w:p>
      <w:pPr>
        <w:spacing w:before="120" w:after="120"/>
      </w:pPr>
      <w:r>
        <w:rPr>
          <w:sz w:val="18"/>
        </w:rPr>
        <w:t>——————————————————————————————————————————————————————————————————————</w:t>
      </w:r>
    </w:p>
    <w:p>
      <w:pPr>
        <w:spacing w:before="160" w:after="40" w:line="240" w:lineRule="auto"/>
      </w:pPr>
      <w:r>
        <w:rPr>
          <w:b/>
        </w:rPr>
        <w:t xml:space="preserve">[157] </w:t>
      </w:r>
      <w:hyperlink r:id="rId515">
        <w:r>
          <w:rPr>
            <w:color w:val="1155CC"/>
            <w:u w:val="single"/>
          </w:rPr>
          <w:t>重新思考人工智能在调查研究中的角色：从威胁到合作</w:t>
        </w:r>
      </w:hyperlink>
    </w:p>
    <w:p>
      <w:pPr>
        <w:spacing w:before="0" w:after="80"/>
      </w:pPr>
      <w:r>
        <w:rPr>
          <w:i/>
          <w:sz w:val="20"/>
        </w:rPr>
        <w:t>EN: Rethinking AI’s role in survey research: from threat to collaboration</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16">
        <w:r>
          <w:rPr>
            <w:color w:val="1155CC"/>
            <w:u w:val="single"/>
          </w:rPr>
          <w:t>10.1038/d41586-026-00862-9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517">
        <w:r>
          <w:rPr>
            <w:color w:val="1155CC"/>
            <w:u w:val="single"/>
          </w:rPr>
          <w:t>通过可逆C–H采样实现1,2-硼基/氢转位</w:t>
        </w:r>
      </w:hyperlink>
    </w:p>
    <w:p>
      <w:pPr>
        <w:spacing w:before="0" w:after="80"/>
      </w:pPr>
      <w:r>
        <w:rPr>
          <w:i/>
          <w:sz w:val="20"/>
        </w:rPr>
        <w:t>EN: 1,2-Boryl/hydrogen transposition via reversible C–H sampling</w:t>
      </w:r>
    </w:p>
    <w:p>
      <w:pPr>
        <w:spacing w:before="0" w:after="120"/>
      </w:pPr>
      <w:r>
        <w:rPr>
          <w:b/>
        </w:rPr>
        <w:t xml:space="preserve">Source: </w:t>
      </w:r>
      <w:r>
        <w:t>Chem</w:t>
      </w:r>
      <w:r>
        <w:t xml:space="preserve">    </w:t>
      </w:r>
      <w:r>
        <w:rPr>
          <w:b/>
        </w:rPr>
        <w:t xml:space="preserve">Pub date: </w:t>
      </w:r>
      <w:r>
        <w:t>2026-03-17 00:00:00+00:00</w:t>
      </w:r>
      <w:r>
        <w:t xml:space="preserve">    </w:t>
      </w:r>
      <w:r>
        <w:rPr>
          <w:b/>
        </w:rPr>
        <w:t xml:space="preserve">DOI: </w:t>
      </w:r>
      <w:hyperlink r:id="rId518">
        <w:r>
          <w:rPr>
            <w:color w:val="1155CC"/>
            <w:u w:val="single"/>
          </w:rPr>
          <w:t>10.1016/j.chempr.2026.102961</w:t>
        </w:r>
      </w:hyperlink>
    </w:p>
    <w:p>
      <w:pPr>
        <w:spacing w:before="0" w:after="120"/>
      </w:pPr>
      <w:r>
        <w:rPr>
          <w:b/>
        </w:rPr>
        <w:t xml:space="preserve">Notes: </w:t>
      </w:r>
      <w:r>
        <w:t>abstract_source=rss_cell</w:t>
      </w:r>
    </w:p>
    <w:p>
      <w:pPr>
        <w:spacing w:before="0" w:after="80" w:lineRule="auto" w:line="276"/>
      </w:pPr>
      <w:r>
        <w:rPr>
          <w:b/>
        </w:rPr>
        <w:t xml:space="preserve">摘要（ZH）: </w:t>
      </w:r>
      <w:r>
        <w:t>硼基在有机化学中作为多功能合成手柄，但沿碳骨架直接重新定位现有硼基仍然是一个有价值且未被充分探索的转化。本研究通过一种可逆的C–H采样策略实现了烷基硼酸酯中直接的1,2-硼基/氢转位，不需要定向基团、辅助剂或其他功能手柄。通过将按需硼基重新定位与硼基的既定合成多样性相结合，该方法进一步提供了对传统上难以制备的有价值构建块的模块化访问。</w:t>
      </w:r>
    </w:p>
    <w:p>
      <w:pPr>
        <w:spacing w:before="0" w:after="200" w:lineRule="auto" w:line="276"/>
      </w:pPr>
      <w:r>
        <w:rPr>
          <w:b/>
        </w:rPr>
        <w:t xml:space="preserve">Abstract (EN): </w:t>
      </w:r>
      <w:r>
        <w:t>Boryls serve as versatile synthetic handles in organic chemistry, yet the direct repositioning of an existing boryl group along a carbon backbone remains a valuable and underexplored transformation. This work achieves direct 1,2-boryl/hydrogen transposition in alkyl boronic esters through a reversible C–H sampling strategy requiring no directing groups, auxiliaries, or other functional handles. By integrating on-demand boryl repositioning with boryl’s established synthetic versatility, this method further offers modular access to valuable building blocks whose preparation is conventionally challenging.</w:t>
      </w:r>
    </w:p>
    <w:p>
      <w:pPr>
        <w:spacing w:before="120" w:after="120"/>
      </w:pPr>
      <w:r>
        <w:rPr>
          <w:sz w:val="18"/>
        </w:rPr>
        <w:t>——————————————————————————————————————————————————————————————————————</w:t>
      </w:r>
    </w:p>
    <w:p>
      <w:pPr>
        <w:spacing w:before="160" w:after="40" w:line="240" w:lineRule="auto"/>
      </w:pPr>
      <w:r>
        <w:rPr>
          <w:b/>
        </w:rPr>
        <w:t xml:space="preserve">[159] </w:t>
      </w:r>
      <w:hyperlink r:id="rId519">
        <w:r>
          <w:rPr>
            <w:color w:val="1155CC"/>
            <w:u w:val="single"/>
          </w:rPr>
          <w:t>固态NMR提供MOF孔内化学环境的特定位置信息</w:t>
        </w:r>
      </w:hyperlink>
    </w:p>
    <w:p>
      <w:pPr>
        <w:spacing w:before="0" w:after="80"/>
      </w:pPr>
      <w:r>
        <w:rPr>
          <w:i/>
          <w:sz w:val="20"/>
        </w:rPr>
        <w:t>EN: Solid-state NMR provides location-specific information on the chemical environment inside MOF pores</w:t>
      </w:r>
    </w:p>
    <w:p>
      <w:pPr>
        <w:spacing w:before="0" w:after="120"/>
      </w:pPr>
      <w:r>
        <w:rPr>
          <w:b/>
        </w:rPr>
        <w:t xml:space="preserve">Source: </w:t>
      </w:r>
      <w:r>
        <w:t>Chem</w:t>
      </w:r>
      <w:r>
        <w:t xml:space="preserve">    </w:t>
      </w:r>
      <w:r>
        <w:rPr>
          <w:b/>
        </w:rPr>
        <w:t xml:space="preserve">Pub date: </w:t>
      </w:r>
      <w:r>
        <w:t>2026-03-17 00:00:00+00:00</w:t>
      </w:r>
      <w:r>
        <w:t xml:space="preserve">    </w:t>
      </w:r>
      <w:r>
        <w:rPr>
          <w:b/>
        </w:rPr>
        <w:t xml:space="preserve">DOI: </w:t>
      </w:r>
      <w:hyperlink r:id="rId520">
        <w:r>
          <w:rPr>
            <w:color w:val="1155CC"/>
            <w:u w:val="single"/>
          </w:rPr>
          <w:t>10.1016/j.chempr.2026.102949</w:t>
        </w:r>
      </w:hyperlink>
    </w:p>
    <w:p>
      <w:pPr>
        <w:spacing w:before="0" w:after="120"/>
      </w:pPr>
      <w:r>
        <w:rPr>
          <w:b/>
        </w:rPr>
        <w:t xml:space="preserve">Notes: </w:t>
      </w:r>
      <w:r>
        <w:t>abstract_source=rss_cell</w:t>
      </w:r>
    </w:p>
    <w:p>
      <w:pPr>
        <w:spacing w:before="0" w:after="80" w:lineRule="auto" w:line="276"/>
      </w:pPr>
      <w:r>
        <w:rPr>
          <w:b/>
        </w:rPr>
        <w:t xml:space="preserve">摘要（ZH）: </w:t>
      </w:r>
      <w:r>
        <w:t>MOF孔内的化学环境控制着客体分子在MOF内的吸附、存储和转化。我们展示了存在于连接体中的1H和19F核或通过小型报告分子引入的核可以阐明不同MOF孔中化学环境的差异。除了基础见解外，固态NMR报告器还能够轻松定位后合成添加的配体，以及表征真实结构效应和节点结合配体的动态行为。</w:t>
      </w:r>
    </w:p>
    <w:p>
      <w:pPr>
        <w:spacing w:before="0" w:after="200" w:lineRule="auto" w:line="276"/>
      </w:pPr>
      <w:r>
        <w:rPr>
          <w:b/>
        </w:rPr>
        <w:t xml:space="preserve">Abstract (EN): </w:t>
      </w:r>
      <w:r>
        <w:t>The chemical environment inside MOF pores controls how guest molecules are adsorbed, stored, and transformed within MOFs. We show that 1H and 19F nuclei that are present in the linker or introduced via small reporter molecules can elucidate differences between the chemical environments in different MOF pores. In addition to fundamental insight, solid-state NMR reporters enable facile localization of post-synthetically added ligands, as well as characterization of real-structure effects and the dynamic behavior of node-bound ligands.</w:t>
      </w:r>
    </w:p>
    <w:p>
      <w:pPr>
        <w:spacing w:before="120" w:after="120"/>
      </w:pPr>
      <w:r>
        <w:rPr>
          <w:sz w:val="18"/>
        </w:rPr>
        <w:t>——————————————————————————————————————————————————————————————————————</w:t>
      </w:r>
    </w:p>
    <w:p>
      <w:pPr>
        <w:spacing w:before="160" w:after="40" w:line="240" w:lineRule="auto"/>
      </w:pPr>
      <w:r>
        <w:rPr>
          <w:b/>
        </w:rPr>
        <w:t xml:space="preserve">[160] </w:t>
      </w:r>
      <w:hyperlink r:id="rId521">
        <w:r>
          <w:rPr>
            <w:color w:val="1155CC"/>
            <w:u w:val="single"/>
          </w:rPr>
          <w:t>甲基化触发的萜烯环化的结构基础</w:t>
        </w:r>
      </w:hyperlink>
    </w:p>
    <w:p>
      <w:pPr>
        <w:spacing w:before="0" w:after="80"/>
      </w:pPr>
      <w:r>
        <w:rPr>
          <w:i/>
          <w:sz w:val="20"/>
        </w:rPr>
        <w:t>EN: Structural basis of methylation-triggered terpene cyclization</w:t>
      </w:r>
    </w:p>
    <w:p>
      <w:pPr>
        <w:spacing w:before="0" w:after="120"/>
      </w:pPr>
      <w:r>
        <w:rPr>
          <w:b/>
        </w:rPr>
        <w:t xml:space="preserve">Source: </w:t>
      </w:r>
      <w:r>
        <w:t>Chem</w:t>
      </w:r>
      <w:r>
        <w:t xml:space="preserve">    </w:t>
      </w:r>
      <w:r>
        <w:rPr>
          <w:b/>
        </w:rPr>
        <w:t xml:space="preserve">Pub date: </w:t>
      </w:r>
      <w:r>
        <w:t>2026-03-17 00:00:00+00:00</w:t>
      </w:r>
      <w:r>
        <w:t xml:space="preserve">    </w:t>
      </w:r>
      <w:r>
        <w:rPr>
          <w:b/>
        </w:rPr>
        <w:t xml:space="preserve">DOI: </w:t>
      </w:r>
      <w:hyperlink r:id="rId522">
        <w:r>
          <w:rPr>
            <w:color w:val="1155CC"/>
            <w:u w:val="single"/>
          </w:rPr>
          <w:t>10.1016/j.chempr.2026.102948</w:t>
        </w:r>
      </w:hyperlink>
    </w:p>
    <w:p>
      <w:pPr>
        <w:spacing w:before="0" w:after="120"/>
      </w:pPr>
      <w:r>
        <w:rPr>
          <w:b/>
        </w:rPr>
        <w:t xml:space="preserve">Notes: </w:t>
      </w:r>
      <w:r>
        <w:t>abstract_source=rss_cell</w:t>
      </w:r>
    </w:p>
    <w:p>
      <w:pPr>
        <w:spacing w:before="0" w:after="80" w:lineRule="auto" w:line="276"/>
      </w:pPr>
      <w:r>
        <w:rPr>
          <w:b/>
        </w:rPr>
        <w:t xml:space="preserve">摘要（ZH）: </w:t>
      </w:r>
      <w:r>
        <w:t>萜烯生物合成通常依赖于经典的萜烯环化酶来启动碳正离子级联反应。本研究提供了对一种独特的甲基转移酶家族的结构见解，该家族通过甲基转移生成启动碳正离子。这些酶在单一活性位点内耦合甲基化和萜烯环化。X射线结构定义了在开放和闭合状态之间由焦磷酸盐门控的过渡，而突变分析识别了塑造级联轨迹和产物结果的残基网络。这些发现确立了甲基化触发的萜烯环化的机制基础。</w:t>
      </w:r>
    </w:p>
    <w:p>
      <w:pPr>
        <w:spacing w:before="0" w:after="200" w:lineRule="auto" w:line="276"/>
      </w:pPr>
      <w:r>
        <w:rPr>
          <w:b/>
        </w:rPr>
        <w:t xml:space="preserve">Abstract (EN): </w:t>
      </w:r>
      <w:r>
        <w:t>Terpene biosynthesis typically relies on classical terpene cyclases to initiate carbocation cascades. This study provides structural insights into a distinct family of methyltransferases that generate the initiating carbocation through methyl transfer. These enzymes couple methylation and terpene cyclization within a single active site. X-ray structures define a pyrophosphate-gated transition between open and closed states, while mutagenesis identifies residue networks that shape cascade trajectories and product outcomes. These findings establish the mechanistic basis of methylation-triggered terpene cyclization.</w:t>
      </w:r>
    </w:p>
    <w:p>
      <w:pPr>
        <w:spacing w:before="120" w:after="120"/>
      </w:pPr>
      <w:r>
        <w:rPr>
          <w:sz w:val="18"/>
        </w:rPr>
        <w:t>——————————————————————————————————————————————————————————————————————</w:t>
      </w:r>
    </w:p>
    <w:p>
      <w:pPr>
        <w:spacing w:before="160" w:after="40" w:line="240" w:lineRule="auto"/>
      </w:pPr>
      <w:r>
        <w:rPr>
          <w:b/>
        </w:rPr>
        <w:t xml:space="preserve">[161] </w:t>
      </w:r>
      <w:hyperlink r:id="rId523">
        <w:r>
          <w:rPr>
            <w:color w:val="1155CC"/>
            <w:u w:val="single"/>
          </w:rPr>
          <w:t>卵母细胞细胞质格子组装的分子基础</w:t>
        </w:r>
      </w:hyperlink>
    </w:p>
    <w:p>
      <w:pPr>
        <w:spacing w:before="0" w:after="80"/>
      </w:pPr>
      <w:r>
        <w:rPr>
          <w:i/>
          <w:sz w:val="20"/>
        </w:rPr>
        <w:t>EN: Molecular basis of oocyte cytoplasmic lattice assembly</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24">
        <w:r>
          <w:rPr>
            <w:color w:val="1155CC"/>
            <w:u w:val="single"/>
          </w:rPr>
          <w:t>10.1038/s41586-026-10360-7</w:t>
        </w:r>
      </w:hyperlink>
    </w:p>
    <w:p>
      <w:pPr>
        <w:spacing w:before="0" w:after="120"/>
      </w:pPr>
      <w:r>
        <w:rPr>
          <w:b/>
        </w:rPr>
        <w:t xml:space="preserve">Notes: </w:t>
      </w:r>
      <w:r>
        <w:t>abstract_source=nature_html</w:t>
      </w:r>
    </w:p>
    <w:p>
      <w:pPr>
        <w:spacing w:before="0" w:after="80" w:lineRule="auto" w:line="276"/>
      </w:pPr>
      <w:r>
        <w:rPr>
          <w:b/>
        </w:rPr>
        <w:t xml:space="preserve">摘要（ZH）: </w:t>
      </w:r>
      <w:r>
        <w:t>哺乳动物卵母细胞充满了一种称为细胞质格架（CPL）的纤维结构，对卵母细胞成熟和早期胚胎发育至关重要。CPL由皮质下母体复合物（SCMC）和多个成分组成，包括PADI6。尽管在20世纪60年代被发现，CPL的分子结构和组装机制仍然知之甚少。我们在此展示了从小鼠卵母细胞中分离的CPL的冷冻电子显微镜（cryo-EM）结构。我们的分析识别了14个组成蛋白亚基，并揭示CPL由重复的“U形篮”（UB）和“适配环”（AR）特征单元组成，形成丝状结构。AR采用二重对称构象，包含两个NLRP4f、四个SCMC和两个ZBED3亚基，通过</w:t>
      </w:r>
    </w:p>
    <w:p>
      <w:pPr>
        <w:spacing w:before="0" w:after="200" w:lineRule="auto" w:line="276"/>
      </w:pPr>
      <w:r>
        <w:rPr>
          <w:b/>
        </w:rPr>
        <w:t xml:space="preserve">Abstract (EN): </w:t>
      </w:r>
      <w:r>
        <w:t>Mammalian oocytes are filled by fibric structure called cytoplasmic lattice (CPL), essential for oocyte maturation and early embryonic development1-3. CPL comprises subcortical maternal complex (SCMC) and multiple components, including PADI62,4,5. Despite its discovery in the 1960s, the molecular architecture and assembly mechanisms of CPL have remained poorly understood. Here we present the cryo-electron microscopy (cryo-EM) structure of the CPL isolated from mouse oocytes. Our analysis identified 14 constitutive protein subunits and revealed that CPL is composed of repeating “U-shaped basket” (UB) and “adapter ring” (AR)- featured units, forming a filamentous architecture. AR adopts a two-fold symmetric conformation, containing two NLRP4f, four SCMC and two ZBED3 subunits circularized via two distinct interaction clusters. The UB is anchored by PADI6, a didecamer composed of ten homodimers assembled by two back-to-back pentamers, each forming the lateral side of UB. The underfoot base and up-down sides of the UB are formed by multiple central-symmetric assemblies (UBE2D3-UHRF1-NLRP14) and (TUBB2B-TUBB2A-FBXW24-SKP1) respectively, associating with the PADI6 pentamers to construct the intact UB structure. Two SCMC dimer within each AR connect the up and down sides of two adjacent UBs with an extensive protein-protein interaction network and thus maintain the repetitive connection between the neighboring CPL units. Our work unveils the architectural principles underlying the assembly of this large, periodic CPL filament, offering a molecular basis for understanding CPL’s functions in early mammalian embryogenesis and female reproductive disorders.</w:t>
      </w:r>
    </w:p>
    <w:p>
      <w:pPr>
        <w:spacing w:before="120" w:after="120"/>
      </w:pPr>
      <w:r>
        <w:rPr>
          <w:sz w:val="18"/>
        </w:rPr>
        <w:t>——————————————————————————————————————————————————————————————————————</w:t>
      </w:r>
    </w:p>
    <w:p>
      <w:pPr>
        <w:spacing w:before="160" w:after="40" w:line="240" w:lineRule="auto"/>
      </w:pPr>
      <w:r>
        <w:rPr>
          <w:b/>
        </w:rPr>
        <w:t xml:space="preserve">[162] </w:t>
      </w:r>
      <w:hyperlink r:id="rId525">
        <w:r>
          <w:rPr>
            <w:color w:val="1155CC"/>
            <w:u w:val="single"/>
          </w:rPr>
          <w:t>当人工闪电袭来时</w:t>
        </w:r>
      </w:hyperlink>
    </w:p>
    <w:p>
      <w:pPr>
        <w:spacing w:before="0" w:after="80"/>
      </w:pPr>
      <w:r>
        <w:rPr>
          <w:i/>
          <w:sz w:val="20"/>
        </w:rPr>
        <w:t>EN: When artificial lightning strikes</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26">
        <w:r>
          <w:rPr>
            <w:color w:val="1155CC"/>
            <w:u w:val="single"/>
          </w:rPr>
          <w:t>10.1038/d41586-026-00643-4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527">
        <w:r>
          <w:rPr>
            <w:color w:val="1155CC"/>
            <w:u w:val="single"/>
          </w:rPr>
          <w:t>非遗传DNA作为可编程分子诱饵</w:t>
        </w:r>
      </w:hyperlink>
    </w:p>
    <w:p>
      <w:pPr>
        <w:spacing w:before="0" w:after="80"/>
      </w:pPr>
      <w:r>
        <w:rPr>
          <w:i/>
          <w:sz w:val="20"/>
        </w:rPr>
        <w:t>EN: Non-genetic DNAs as programmable molecular baits</w:t>
      </w:r>
    </w:p>
    <w:p>
      <w:pPr>
        <w:spacing w:before="0" w:after="120"/>
      </w:pPr>
      <w:r>
        <w:rPr>
          <w:b/>
        </w:rPr>
        <w:t xml:space="preserve">Source: </w:t>
      </w:r>
      <w:r>
        <w:t>Nature Chemistry</w:t>
      </w:r>
      <w:r>
        <w:t xml:space="preserve">    </w:t>
      </w:r>
      <w:r>
        <w:rPr>
          <w:b/>
        </w:rPr>
        <w:t xml:space="preserve">Pub date: </w:t>
      </w:r>
      <w:r>
        <w:t>2026-03-17 00:00:00+00:00</w:t>
      </w:r>
      <w:r>
        <w:t xml:space="preserve">    </w:t>
      </w:r>
      <w:r>
        <w:rPr>
          <w:b/>
        </w:rPr>
        <w:t xml:space="preserve">DOI: </w:t>
      </w:r>
      <w:hyperlink r:id="rId528">
        <w:r>
          <w:rPr>
            <w:color w:val="1155CC"/>
            <w:u w:val="single"/>
          </w:rPr>
          <w:t>10.1038/s41557-026-02102-z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529">
        <w:r>
          <w:rPr>
            <w:color w:val="1155CC"/>
            <w:u w:val="single"/>
          </w:rPr>
          <w:t>氙同位素揭示地球氧化的地磁前奏</w:t>
        </w:r>
      </w:hyperlink>
    </w:p>
    <w:p>
      <w:pPr>
        <w:spacing w:before="0" w:after="80"/>
      </w:pPr>
      <w:r>
        <w:rPr>
          <w:i/>
          <w:sz w:val="20"/>
        </w:rPr>
        <w:t>EN: Xenon isotopes reveal a geomagnetic prelude to Earth’s oxygenation</w:t>
      </w:r>
    </w:p>
    <w:p>
      <w:pPr>
        <w:spacing w:before="0" w:after="120"/>
      </w:pPr>
      <w:r>
        <w:rPr>
          <w:b/>
        </w:rPr>
        <w:t xml:space="preserve">Source: </w:t>
      </w:r>
      <w:r>
        <w:t>National Science Review Advance Access</w:t>
      </w:r>
      <w:r>
        <w:t xml:space="preserve">    </w:t>
      </w:r>
      <w:r>
        <w:rPr>
          <w:b/>
        </w:rPr>
        <w:t xml:space="preserve">Pub date: </w:t>
      </w:r>
      <w:r>
        <w:t>2026-03-17 00:00:00+00:00</w:t>
      </w:r>
      <w:r>
        <w:t xml:space="preserve">    </w:t>
      </w:r>
      <w:r>
        <w:rPr>
          <w:b/>
        </w:rPr>
        <w:t xml:space="preserve">DOI: </w:t>
      </w:r>
      <w:hyperlink r:id="rId530">
        <w:r>
          <w:rPr>
            <w:color w:val="1155CC"/>
            <w:u w:val="single"/>
          </w:rPr>
          <w:t>10.1093/nsr/nwag172</w:t>
        </w:r>
      </w:hyperlink>
    </w:p>
    <w:p>
      <w:pPr>
        <w:spacing w:before="0" w:after="120"/>
      </w:pPr>
      <w:r>
        <w:rPr>
          <w:b/>
        </w:rPr>
        <w:t xml:space="preserve">Notes: </w:t>
      </w:r>
      <w:r>
        <w:t>abstract_source=crossref</w:t>
      </w:r>
    </w:p>
    <w:p>
      <w:pPr>
        <w:spacing w:before="0" w:after="80" w:lineRule="auto" w:line="276"/>
      </w:pPr>
      <w:r>
        <w:rPr>
          <w:b/>
        </w:rPr>
        <w:t xml:space="preserve">摘要（ZH）: </w:t>
      </w:r>
      <w:r>
        <w:t>古代氙同位素揭示了地球磁场的暂时减弱增强了氢的逃逸，为大气氧化做好准备，然后其恢复锁定了大氧化事件。磁场不仅仅是简单的屏障，它们可能作为大气演化的主动过滤器，对行星宜居性以及地球和火星的不同历史产生影响。</w:t>
      </w:r>
    </w:p>
    <w:p>
      <w:pPr>
        <w:spacing w:before="0" w:after="200" w:lineRule="auto" w:line="276"/>
      </w:pPr>
      <w:r>
        <w:rPr>
          <w:b/>
        </w:rPr>
        <w:t xml:space="preserve">Abstract (EN): </w:t>
      </w:r>
      <w:r>
        <w:t>Ancient xenon isotopes reveal that a temporary weakening of Earthâ€™s magnetic field enhanced hydrogen escape to prime the atmosphere for oxygenation, before its recovery locked in the Great Oxidation Event. More than simple shields, magnetic fields may act as an active filter for atmospheric evolution, with consequences for planetary habitability and the divergent histories of Earth and Mars.</w:t>
      </w:r>
    </w:p>
    <w:p>
      <w:pPr>
        <w:spacing w:before="120" w:after="120"/>
      </w:pPr>
      <w:r>
        <w:rPr>
          <w:sz w:val="18"/>
        </w:rPr>
        <w:t>——————————————————————————————————————————————————————————————————————</w:t>
      </w:r>
    </w:p>
    <w:p>
      <w:pPr>
        <w:spacing w:before="160" w:after="40" w:line="240" w:lineRule="auto"/>
      </w:pPr>
      <w:r>
        <w:rPr>
          <w:b/>
        </w:rPr>
        <w:t xml:space="preserve">[165] </w:t>
      </w:r>
      <w:hyperlink r:id="rId531">
        <w:r>
          <w:rPr>
            <w:color w:val="1155CC"/>
            <w:u w:val="single"/>
          </w:rPr>
          <w:t>更正：通过碳硼炔中间体对邻碳硼烷的功能化</w:t>
        </w:r>
      </w:hyperlink>
    </w:p>
    <w:p>
      <w:pPr>
        <w:spacing w:before="0" w:after="80"/>
      </w:pPr>
      <w:r>
        <w:rPr>
          <w:i/>
          <w:sz w:val="20"/>
        </w:rPr>
        <w:t>EN: Correction: Functionalization of o-carboranes via carboryne intermediates</w:t>
      </w:r>
    </w:p>
    <w:p>
      <w:pPr>
        <w:spacing w:before="0" w:after="120"/>
      </w:pPr>
      <w:r>
        <w:rPr>
          <w:b/>
        </w:rPr>
        <w:t xml:space="preserve">Source: </w:t>
      </w:r>
      <w:r>
        <w:t>RSC - Chem. Soc. Rev. latest articles</w:t>
      </w:r>
      <w:r>
        <w:t xml:space="preserve">    </w:t>
      </w:r>
      <w:r>
        <w:rPr>
          <w:b/>
        </w:rPr>
        <w:t xml:space="preserve">Pub date: </w:t>
      </w:r>
      <w:r>
        <w:t>2026-03-17 00:00:00+00:00</w:t>
      </w:r>
    </w:p>
    <w:p>
      <w:pPr>
        <w:spacing w:before="0" w:after="120"/>
      </w:pPr>
      <w:r>
        <w:rPr>
          <w:b/>
        </w:rPr>
        <w:t xml:space="preserve">Notes: </w:t>
      </w:r>
      <w:r>
        <w:t>abstract_source=rsc_html</w:t>
      </w:r>
    </w:p>
    <w:p>
      <w:pPr>
        <w:spacing w:before="0" w:after="80" w:lineRule="auto" w:line="276"/>
      </w:pPr>
      <w:r>
        <w:rPr>
          <w:b/>
        </w:rPr>
        <w:t xml:space="preserve">摘要（ZH）: </w:t>
      </w:r>
      <w:r>
        <w:t>纠正“通过碳硼烯中间体对邻碳硼烷的功能化”一文，作者Zaozao Qiu等，Chem. Soc. Rev., 2022, 51, 3164–3180, https://doi.org/10.1039/D2CS00024E。</w:t>
      </w:r>
    </w:p>
    <w:p>
      <w:pPr>
        <w:spacing w:before="0" w:after="200" w:lineRule="auto" w:line="276"/>
      </w:pPr>
      <w:r>
        <w:rPr>
          <w:b/>
        </w:rPr>
        <w:t xml:space="preserve">Abstract (EN): </w:t>
      </w:r>
      <w:r>
        <w:t>Correction for ‘Functionalization of o-carboranes via carboryne intermediates’ by Zaozao Qiu et al., Chem. Soc. Rev., 2022, 51, 3164–3180, https://doi.org/10.1039/D2CS00024E.</w:t>
      </w:r>
    </w:p>
    <w:p>
      <w:pPr>
        <w:spacing w:before="120" w:after="120"/>
      </w:pPr>
      <w:r>
        <w:rPr>
          <w:sz w:val="18"/>
        </w:rPr>
        <w:t>——————————————————————————————————————————————————————————————————————</w:t>
      </w:r>
    </w:p>
    <w:p>
      <w:pPr>
        <w:spacing w:before="160" w:after="40" w:line="240" w:lineRule="auto"/>
      </w:pPr>
      <w:r>
        <w:rPr>
          <w:b/>
        </w:rPr>
        <w:t xml:space="preserve">[166] </w:t>
      </w:r>
      <w:hyperlink r:id="rId532">
        <w:r>
          <w:rPr>
            <w:color w:val="1155CC"/>
            <w:u w:val="single"/>
          </w:rPr>
          <w:t>锂同位素证据表明增强的大陆风化触发晚古生代温室到冰室气候过渡</w:t>
        </w:r>
      </w:hyperlink>
    </w:p>
    <w:p>
      <w:pPr>
        <w:spacing w:before="0" w:after="80"/>
      </w:pPr>
      <w:r>
        <w:rPr>
          <w:i/>
          <w:sz w:val="20"/>
        </w:rPr>
        <w:t>EN: Lithium Isotope Evidence for Enhanced Continental Weathering Triggering the Late Paleozoic Greenhouse-to-Icehouse Climate Transition</w:t>
      </w:r>
    </w:p>
    <w:p>
      <w:pPr>
        <w:spacing w:before="0" w:after="120"/>
      </w:pPr>
      <w:r>
        <w:rPr>
          <w:b/>
        </w:rPr>
        <w:t xml:space="preserve">Source: </w:t>
      </w:r>
      <w:r>
        <w:t>National Science Review Advance Access</w:t>
      </w:r>
      <w:r>
        <w:t xml:space="preserve">    </w:t>
      </w:r>
      <w:r>
        <w:rPr>
          <w:b/>
        </w:rPr>
        <w:t xml:space="preserve">Pub date: </w:t>
      </w:r>
      <w:r>
        <w:t>2026-03-17 00:00:00+00:00</w:t>
      </w:r>
      <w:r>
        <w:t xml:space="preserve">    </w:t>
      </w:r>
      <w:r>
        <w:rPr>
          <w:b/>
        </w:rPr>
        <w:t xml:space="preserve">DOI: </w:t>
      </w:r>
      <w:hyperlink r:id="rId533">
        <w:r>
          <w:rPr>
            <w:color w:val="1155CC"/>
            <w:u w:val="single"/>
          </w:rPr>
          <w:t>10.1093/nsr/nwag168</w:t>
        </w:r>
      </w:hyperlink>
    </w:p>
    <w:p>
      <w:pPr>
        <w:spacing w:before="0" w:after="120"/>
      </w:pPr>
      <w:r>
        <w:rPr>
          <w:b/>
        </w:rPr>
        <w:t xml:space="preserve">Notes: </w:t>
      </w:r>
      <w:r>
        <w:t>abstract_source=rss_oup</w:t>
      </w:r>
    </w:p>
    <w:p>
      <w:pPr>
        <w:spacing w:before="0" w:after="80" w:lineRule="auto" w:line="276"/>
      </w:pPr>
      <w:r>
        <w:rPr>
          <w:b/>
        </w:rPr>
        <w:t xml:space="preserve">摘要（ZH）: </w:t>
      </w:r>
      <w:r>
        <w:t>早密西西比世（约359–347 Ma）从温室气候向冰室气候过渡的原因，标志着晚古生代冰期（LPIA）的可能开始，仍然是地球气候历史中的一个未解之谜。这一过渡与中图尔奈期碳同位素异常（TICE）相吻合。假设在此期间大陆硅酸盐风化加剧，封存了CO₂，增加了营养物质，并提高了海洋生产力，导致了正TICE。然而，缺乏大陆风化增强的直接证据。我们提供了两个碳酸盐剖面的锂同位素（δ⁷Li）数据，显示TICE期间约12‰的下降。将δ⁷Li与碳循环模型（GEOCLIM和COPSE）结合，表明硅酸盐化学风化速率增加</w:t>
      </w:r>
    </w:p>
    <w:p>
      <w:pPr>
        <w:spacing w:before="0" w:after="200" w:lineRule="auto" w:line="276"/>
      </w:pPr>
      <w:r>
        <w:rPr>
          <w:b/>
        </w:rPr>
        <w:t xml:space="preserve">Abstract (EN): </w:t>
      </w:r>
      <w:r>
        <w:t>The causes of the transition from a greenhouse to an icehouse climate during the Early Mississippian (~359–347 Ma), marking the possible onset of the Late Paleozoic Ice Age (LPIA), remain an outstanding puzzle in Earth’s climate history. This transition coincides with the mid-Tournaisian carbon isotope excursion (TICE). It is hypothesized that intensified continental silicate weathering during this period sequestered CO₂, boosted nutrients, and increased marine productivity, causing the positive TICE. However, direct evidence for enhanced continental weathering has been lacking. We present lithium isotope (δ⁷Li) data from two carbonate sections showing a ~12‰ decline during TICE. Integrating δ⁷Li with carbon cycle models (GEOCLIM and COPSE) suggests silicate chemical weathering rates increased ~30% with declines in weathering intensity during the TICE event, likely due to uplift or vegetation, ultimately reducing atmospheric pCO₂ by ~1000 ppm. This provides evidence linking enhanced weathering, CO₂ drawdown, and the onset of the LPIA, shedding light on a key aspect of late Paleozoic climate change.</w:t>
      </w:r>
    </w:p>
    <w:p>
      <w:pPr>
        <w:spacing w:before="120" w:after="120"/>
      </w:pPr>
      <w:r>
        <w:rPr>
          <w:sz w:val="18"/>
        </w:rPr>
        <w:t>——————————————————————————————————————————————————————————————————————</w:t>
      </w:r>
    </w:p>
    <w:p>
      <w:pPr>
        <w:spacing w:before="160" w:after="40" w:line="240" w:lineRule="auto"/>
      </w:pPr>
      <w:r>
        <w:rPr>
          <w:b/>
        </w:rPr>
        <w:t xml:space="preserve">[167] </w:t>
      </w:r>
      <w:hyperlink r:id="rId534">
        <w:r>
          <w:rPr>
            <w:color w:val="1155CC"/>
            <w:u w:val="single"/>
          </w:rPr>
          <w:t>海洋保护城市：海洋治理的模型</w:t>
        </w:r>
      </w:hyperlink>
    </w:p>
    <w:p>
      <w:pPr>
        <w:spacing w:before="0" w:after="80"/>
      </w:pPr>
      <w:r>
        <w:rPr>
          <w:i/>
          <w:sz w:val="20"/>
        </w:rPr>
        <w:t>EN: Marine conservation cities: a model for ocean governance</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35">
        <w:r>
          <w:rPr>
            <w:color w:val="1155CC"/>
            <w:u w:val="single"/>
          </w:rPr>
          <w:t>10.1038/d41586-026-00864-7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536">
        <w:r>
          <w:rPr>
            <w:color w:val="1155CC"/>
            <w:u w:val="single"/>
          </w:rPr>
          <w:t>Floquet晶体中拓扑边界态完整层次结构的统一表征</w:t>
        </w:r>
      </w:hyperlink>
    </w:p>
    <w:p>
      <w:pPr>
        <w:spacing w:before="0" w:after="80"/>
      </w:pPr>
      <w:r>
        <w:rPr>
          <w:i/>
          <w:sz w:val="20"/>
        </w:rPr>
        <w:t>EN: Unified characterization of the complete hierarchy of topological boundary states in a Floquet crystal</w:t>
      </w:r>
    </w:p>
    <w:p>
      <w:pPr>
        <w:spacing w:before="0" w:after="120"/>
      </w:pPr>
      <w:r>
        <w:rPr>
          <w:b/>
        </w:rPr>
        <w:t xml:space="preserve">Source: </w:t>
      </w:r>
      <w:r>
        <w:t>National Science Review Advance Access</w:t>
      </w:r>
      <w:r>
        <w:t xml:space="preserve">    </w:t>
      </w:r>
      <w:r>
        <w:rPr>
          <w:b/>
        </w:rPr>
        <w:t xml:space="preserve">Pub date: </w:t>
      </w:r>
      <w:r>
        <w:t>2026-03-17 00:00:00+00:00</w:t>
      </w:r>
      <w:r>
        <w:t xml:space="preserve">    </w:t>
      </w:r>
      <w:r>
        <w:rPr>
          <w:b/>
        </w:rPr>
        <w:t xml:space="preserve">DOI: </w:t>
      </w:r>
      <w:hyperlink r:id="rId537">
        <w:r>
          <w:rPr>
            <w:color w:val="1155CC"/>
            <w:u w:val="single"/>
          </w:rPr>
          <w:t>10.1093/nsr/nwag170</w:t>
        </w:r>
      </w:hyperlink>
    </w:p>
    <w:p>
      <w:pPr>
        <w:spacing w:before="0" w:after="120"/>
      </w:pPr>
      <w:r>
        <w:rPr>
          <w:b/>
        </w:rPr>
        <w:t xml:space="preserve">Notes: </w:t>
      </w:r>
      <w:r>
        <w:t>abstract_source=rss_oup</w:t>
      </w:r>
    </w:p>
    <w:p>
      <w:pPr>
        <w:spacing w:before="0" w:after="80" w:lineRule="auto" w:line="276"/>
      </w:pPr>
      <w:r>
        <w:rPr>
          <w:b/>
        </w:rPr>
        <w:t xml:space="preserve">摘要（ZH）: </w:t>
      </w:r>
      <w:r>
        <w:t>物质的拓扑相由决定稳健边界态存在的体不变量定义。虽然传统的体-边界对应关系将给定的体不变量与特定类型的边界模式联系起来，但许多系统可能同时具有多种拓扑序，包括手性边缘态、弱边缘态和高阶铰链及角态。预测和分类所有此类边界现象的统一框架仍然难以捉摸。在此，我们引入了一个紧凑的拓扑三重态——在不同动量子空间中定义的三个互补的一维绕数——完全确定了二维Floquet晶体中边界态的存在和类型。我们在时间合成光子晶格中实验实现了这一概念</w:t>
      </w:r>
    </w:p>
    <w:p>
      <w:pPr>
        <w:spacing w:before="0" w:after="200" w:lineRule="auto" w:line="276"/>
      </w:pPr>
      <w:r>
        <w:rPr>
          <w:b/>
        </w:rPr>
        <w:t xml:space="preserve">Abstract (EN): </w:t>
      </w:r>
      <w:r>
        <w:t>Topological phases of matter are defined by bulk invariants that dictate the existence of robust boundary states. While conventional bulk-boundary correspondence links a given bulk invariant to a specific type of boundary mode, many systems may host multiple orders of topology simultaneously, including chiral edge states, weak edge states, and higher-order hinge and corner states. A unified framework for predicting and classifying all such boundary phenomena has remained elusive. Here we introduce a compact topological triplet-three complementary one-dimensional winding numbers defined in distinct momentum subspaces-that fully determines the presence and type of boundary states in two-dimensional Floquet crystals. We experimentally implement this concept in a time-synthetic photonic lattice, demonstrating its predictive power. This unified approach integrates strong, weak, and higher-order topology into a single framework, providing critical insight for studying topological matter and enabling systematic control of complex topological phases across a broad range of physical platforms.</w:t>
      </w:r>
    </w:p>
    <w:p>
      <w:pPr>
        <w:spacing w:before="120" w:after="120"/>
      </w:pPr>
      <w:r>
        <w:rPr>
          <w:sz w:val="18"/>
        </w:rPr>
        <w:t>——————————————————————————————————————————————————————————————————————</w:t>
      </w:r>
    </w:p>
    <w:p>
      <w:pPr>
        <w:spacing w:before="160" w:after="40" w:line="240" w:lineRule="auto"/>
      </w:pPr>
      <w:r>
        <w:rPr>
          <w:b/>
        </w:rPr>
        <w:t xml:space="preserve">[169] </w:t>
      </w:r>
      <w:hyperlink r:id="rId538">
        <w:r>
          <w:rPr>
            <w:color w:val="1155CC"/>
            <w:u w:val="single"/>
          </w:rPr>
          <w:t>由热导线连接的冷量子比特</w:t>
        </w:r>
      </w:hyperlink>
    </w:p>
    <w:p>
      <w:pPr>
        <w:spacing w:before="0" w:after="80"/>
      </w:pPr>
      <w:r>
        <w:rPr>
          <w:i/>
          <w:sz w:val="20"/>
        </w:rPr>
        <w:t>EN: Cold quantum bits connected by a hot wire</w:t>
      </w:r>
    </w:p>
    <w:p>
      <w:pPr>
        <w:spacing w:before="0" w:after="120"/>
      </w:pPr>
      <w:r>
        <w:rPr>
          <w:b/>
        </w:rPr>
        <w:t xml:space="preserve">Source: </w:t>
      </w:r>
      <w:r>
        <w:t>Nature Electronics</w:t>
      </w:r>
      <w:r>
        <w:t xml:space="preserve">    </w:t>
      </w:r>
      <w:r>
        <w:rPr>
          <w:b/>
        </w:rPr>
        <w:t xml:space="preserve">Pub date: </w:t>
      </w:r>
      <w:r>
        <w:t>2026-03-17 00:00:00+00:00</w:t>
      </w:r>
      <w:r>
        <w:t xml:space="preserve">    </w:t>
      </w:r>
      <w:r>
        <w:rPr>
          <w:b/>
        </w:rPr>
        <w:t xml:space="preserve">DOI: </w:t>
      </w:r>
      <w:hyperlink r:id="rId539">
        <w:r>
          <w:rPr>
            <w:color w:val="1155CC"/>
            <w:u w:val="single"/>
          </w:rPr>
          <w:t>10.1038/s41928-026-01591-7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540">
        <w:r>
          <w:rPr>
            <w:color w:val="1155CC"/>
            <w:u w:val="single"/>
          </w:rPr>
          <w:t>使用Pourbaix图确定电化学条件</w:t>
        </w:r>
      </w:hyperlink>
    </w:p>
    <w:p>
      <w:pPr>
        <w:spacing w:before="0" w:after="80"/>
      </w:pPr>
      <w:r>
        <w:rPr>
          <w:i/>
          <w:sz w:val="20"/>
        </w:rPr>
        <w:t>EN: Determining electrochemical conditions using Pourbaix diagrams</w:t>
      </w:r>
    </w:p>
    <w:p>
      <w:pPr>
        <w:spacing w:before="0" w:after="120"/>
      </w:pPr>
      <w:r>
        <w:rPr>
          <w:b/>
        </w:rPr>
        <w:t xml:space="preserve">Source: </w:t>
      </w:r>
      <w:r>
        <w:t>Nature Reviews Clean Technology</w:t>
      </w:r>
      <w:r>
        <w:t xml:space="preserve">    </w:t>
      </w:r>
      <w:r>
        <w:rPr>
          <w:b/>
        </w:rPr>
        <w:t xml:space="preserve">Pub date: </w:t>
      </w:r>
      <w:r>
        <w:t>2026-03-17 00:00:00+00:00</w:t>
      </w:r>
      <w:r>
        <w:t xml:space="preserve">    </w:t>
      </w:r>
      <w:r>
        <w:rPr>
          <w:b/>
        </w:rPr>
        <w:t xml:space="preserve">DOI: </w:t>
      </w:r>
      <w:hyperlink r:id="rId541">
        <w:r>
          <w:rPr>
            <w:color w:val="1155CC"/>
            <w:u w:val="single"/>
          </w:rPr>
          <w:t>10.1038/s44359-026-00162-5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542">
        <w:r>
          <w:rPr>
            <w:color w:val="1155CC"/>
            <w:u w:val="single"/>
          </w:rPr>
          <w:t>由人为气候变化加剧的极端降水导致秘鲁2023年创纪录的登革热爆发</w:t>
        </w:r>
      </w:hyperlink>
    </w:p>
    <w:p>
      <w:pPr>
        <w:spacing w:before="0" w:after="80"/>
      </w:pPr>
      <w:r>
        <w:rPr>
          <w:i/>
          <w:sz w:val="20"/>
        </w:rPr>
        <w:t>EN: Extreme precipitation, exacerbated by anthropogenic climate change, drove Peru’s record-breaking 2023 dengue outbreak</w:t>
      </w:r>
    </w:p>
    <w:p>
      <w:pPr>
        <w:spacing w:before="0" w:after="120"/>
      </w:pPr>
      <w:r>
        <w:rPr>
          <w:b/>
        </w:rPr>
        <w:t xml:space="preserve">Source: </w:t>
      </w:r>
      <w:r>
        <w:t>One Earth</w:t>
      </w:r>
      <w:r>
        <w:t xml:space="preserve">    </w:t>
      </w:r>
      <w:r>
        <w:rPr>
          <w:b/>
        </w:rPr>
        <w:t xml:space="preserve">Pub date: </w:t>
      </w:r>
      <w:r>
        <w:t>2026-03-17 00:00:00+00:00</w:t>
      </w:r>
      <w:r>
        <w:t xml:space="preserve">    </w:t>
      </w:r>
      <w:r>
        <w:rPr>
          <w:b/>
        </w:rPr>
        <w:t xml:space="preserve">DOI: </w:t>
      </w:r>
      <w:hyperlink r:id="rId543">
        <w:r>
          <w:rPr>
            <w:color w:val="1155CC"/>
            <w:u w:val="single"/>
          </w:rPr>
          <w:t>10.1016/j.oneear.2026.101619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544">
        <w:r>
          <w:rPr>
            <w:color w:val="1155CC"/>
            <w:u w:val="single"/>
          </w:rPr>
          <w:t>用于下一代辐射检测的有机闪烁体：分子设计原理、机制和新兴应用</w:t>
        </w:r>
      </w:hyperlink>
    </w:p>
    <w:p>
      <w:pPr>
        <w:spacing w:before="0" w:after="80"/>
      </w:pPr>
      <w:r>
        <w:rPr>
          <w:i/>
          <w:sz w:val="20"/>
        </w:rPr>
        <w:t>EN: Organic scintillators for next-generation radiation detection: Principles of molecular design, mechanisms, and emerging applications</w:t>
      </w:r>
    </w:p>
    <w:p>
      <w:pPr>
        <w:spacing w:before="0" w:after="120"/>
      </w:pPr>
      <w:r>
        <w:rPr>
          <w:b/>
        </w:rPr>
        <w:t xml:space="preserve">Source: </w:t>
      </w:r>
      <w:r>
        <w:t>Matter</w:t>
      </w:r>
      <w:r>
        <w:t xml:space="preserve">    </w:t>
      </w:r>
      <w:r>
        <w:rPr>
          <w:b/>
        </w:rPr>
        <w:t xml:space="preserve">Pub date: </w:t>
      </w:r>
      <w:r>
        <w:t>2026-03-17 00:00:00+00:00</w:t>
      </w:r>
      <w:r>
        <w:t xml:space="preserve">    </w:t>
      </w:r>
      <w:r>
        <w:rPr>
          <w:b/>
        </w:rPr>
        <w:t xml:space="preserve">DOI: </w:t>
      </w:r>
      <w:hyperlink r:id="rId545">
        <w:r>
          <w:rPr>
            <w:color w:val="1155CC"/>
            <w:u w:val="single"/>
          </w:rPr>
          <w:t>10.1016/j.matt.2026.102715</w:t>
        </w:r>
      </w:hyperlink>
    </w:p>
    <w:p>
      <w:pPr>
        <w:spacing w:before="0" w:after="120"/>
      </w:pPr>
      <w:r>
        <w:rPr>
          <w:b/>
        </w:rPr>
        <w:t xml:space="preserve">Notes: </w:t>
      </w:r>
      <w:r>
        <w:t>abstract_source=rss_cell</w:t>
      </w:r>
    </w:p>
    <w:p>
      <w:pPr>
        <w:spacing w:before="0" w:after="80" w:lineRule="auto" w:line="276"/>
      </w:pPr>
      <w:r>
        <w:rPr>
          <w:b/>
        </w:rPr>
        <w:t xml:space="preserve">摘要（ZH）: </w:t>
      </w:r>
      <w:r>
        <w:t>高性能有机闪烁体的设计策略集中在通过调整分子结构、调节激发态动力学、引入重原子效应和抑制非辐射途径来同时增强光学效率、成像分辨率和材料稳定性。</w:t>
      </w:r>
    </w:p>
    <w:p>
      <w:pPr>
        <w:spacing w:before="0" w:after="200" w:lineRule="auto" w:line="276"/>
      </w:pPr>
      <w:r>
        <w:rPr>
          <w:b/>
        </w:rPr>
        <w:t xml:space="preserve">Abstract (EN): </w:t>
      </w:r>
      <w:r>
        <w:t>Design strategies for high-performance organic scintillators focus on simultaneously enhancing optical efficiency, imaging resolution, and material stability by tailoring molecular structures, tuning excited-state dynamics, introducing heavy atom effects, and suppressing non-radiative pathways.</w:t>
      </w:r>
    </w:p>
    <w:p>
      <w:pPr>
        <w:spacing w:before="120" w:after="120"/>
      </w:pPr>
      <w:r>
        <w:rPr>
          <w:sz w:val="18"/>
        </w:rPr>
        <w:t>——————————————————————————————————————————————————————————————————————</w:t>
      </w:r>
    </w:p>
    <w:p>
      <w:pPr>
        <w:spacing w:before="160" w:after="40" w:line="240" w:lineRule="auto"/>
      </w:pPr>
      <w:r>
        <w:rPr>
          <w:b/>
        </w:rPr>
        <w:t xml:space="preserve">[173] </w:t>
      </w:r>
      <w:hyperlink r:id="rId546">
        <w:r>
          <w:rPr>
            <w:color w:val="1155CC"/>
            <w:u w:val="single"/>
          </w:rPr>
          <w:t>由原子表面台阶引导的氧化路径选择</w:t>
        </w:r>
      </w:hyperlink>
    </w:p>
    <w:p>
      <w:pPr>
        <w:spacing w:before="0" w:after="80"/>
      </w:pPr>
      <w:r>
        <w:rPr>
          <w:i/>
          <w:sz w:val="20"/>
        </w:rPr>
        <w:t>EN: Oxidation pathway selection directed by atomic surface steps</w:t>
      </w:r>
    </w:p>
    <w:p>
      <w:pPr>
        <w:spacing w:before="0" w:after="120"/>
      </w:pPr>
      <w:r>
        <w:rPr>
          <w:b/>
        </w:rPr>
        <w:t xml:space="preserve">Source: </w:t>
      </w:r>
      <w:r>
        <w:t>Matter</w:t>
      </w:r>
      <w:r>
        <w:t xml:space="preserve">    </w:t>
      </w:r>
      <w:r>
        <w:rPr>
          <w:b/>
        </w:rPr>
        <w:t xml:space="preserve">Pub date: </w:t>
      </w:r>
      <w:r>
        <w:t>2026-03-17 00:00:00+00:00</w:t>
      </w:r>
      <w:r>
        <w:t xml:space="preserve">    </w:t>
      </w:r>
      <w:r>
        <w:rPr>
          <w:b/>
        </w:rPr>
        <w:t xml:space="preserve">DOI: </w:t>
      </w:r>
      <w:hyperlink r:id="rId547">
        <w:r>
          <w:rPr>
            <w:color w:val="1155CC"/>
            <w:u w:val="single"/>
          </w:rPr>
          <w:t>10.1016/j.matt.2026.102704</w:t>
        </w:r>
      </w:hyperlink>
    </w:p>
    <w:p>
      <w:pPr>
        <w:spacing w:before="0" w:after="120"/>
      </w:pPr>
      <w:r>
        <w:rPr>
          <w:b/>
        </w:rPr>
        <w:t xml:space="preserve">Notes: </w:t>
      </w:r>
      <w:r>
        <w:t>abstract_source=rss_cell</w:t>
      </w:r>
    </w:p>
    <w:p>
      <w:pPr>
        <w:spacing w:before="0" w:after="80" w:lineRule="auto" w:line="276"/>
      </w:pPr>
      <w:r>
        <w:rPr>
          <w:b/>
        </w:rPr>
        <w:t xml:space="preserve">摘要（ZH）: </w:t>
      </w:r>
      <w:r>
        <w:t>台阶极性作为几何开关调节镍表面氧化物生长模式。该研究揭示了内在的配位驱动向下扩散产生了整流的吸附原子通量。在正台阶上，这种通量为氧化物周边提供材料，推动横向生长；在负台阶上，它将材料排走，迫使向内氧化。该机制将原子尺度的能量学与宏观氧化形态联系起来。</w:t>
      </w:r>
    </w:p>
    <w:p>
      <w:pPr>
        <w:spacing w:before="0" w:after="200" w:lineRule="auto" w:line="276"/>
      </w:pPr>
      <w:r>
        <w:rPr>
          <w:b/>
        </w:rPr>
        <w:t xml:space="preserve">Abstract (EN): </w:t>
      </w:r>
      <w:r>
        <w:t>Step polarity acts as a geometric switch regulating oxide growth modes on nickel surfaces. This work reveals that intrinsic coordination-driven downward diffusion creates a rectified adatom flux. At positive steps, this flux feeds the oxide perimeter, driving lateral growth; at negative steps, it drains material away, forcing inward oxidation. This mechanism links atomic-scale energetics to macroscopic oxidation morphology.</w:t>
      </w:r>
    </w:p>
    <w:p>
      <w:pPr>
        <w:spacing w:before="120" w:after="120"/>
      </w:pPr>
      <w:r>
        <w:rPr>
          <w:sz w:val="18"/>
        </w:rPr>
        <w:t>——————————————————————————————————————————————————————————————————————</w:t>
      </w:r>
    </w:p>
    <w:p>
      <w:pPr>
        <w:spacing w:before="160" w:after="40" w:line="240" w:lineRule="auto"/>
      </w:pPr>
      <w:r>
        <w:rPr>
          <w:b/>
        </w:rPr>
        <w:t xml:space="preserve">[174] </w:t>
      </w:r>
      <w:hyperlink r:id="rId548">
        <w:r>
          <w:rPr>
            <w:color w:val="1155CC"/>
            <w:u w:val="single"/>
          </w:rPr>
          <w:t>需求不确定性下的自适应液化天然气供应链规划</w:t>
        </w:r>
      </w:hyperlink>
    </w:p>
    <w:p>
      <w:pPr>
        <w:spacing w:before="0" w:after="80"/>
      </w:pPr>
      <w:r>
        <w:rPr>
          <w:i/>
          <w:sz w:val="20"/>
        </w:rPr>
        <w:t>EN: Adaptive liquefied natural gas supply chain planning under demand uncertainty</w:t>
      </w:r>
    </w:p>
    <w:p>
      <w:pPr>
        <w:spacing w:before="0" w:after="120"/>
      </w:pPr>
      <w:r>
        <w:rPr>
          <w:b/>
        </w:rPr>
        <w:t xml:space="preserve">Source: </w:t>
      </w:r>
      <w:r>
        <w:t>ScienceDirect Publication: Applied Energy</w:t>
      </w:r>
      <w:r>
        <w:t xml:space="preserve">    </w:t>
      </w:r>
      <w:r>
        <w:rPr>
          <w:b/>
        </w:rPr>
        <w:t xml:space="preserve">Pub date: </w:t>
      </w:r>
      <w:r>
        <w:t>2026-03-17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549">
        <w:r>
          <w:rPr>
            <w:color w:val="1155CC"/>
            <w:u w:val="single"/>
          </w:rPr>
          <w:t>人工智能被编程为劫持人类的同情心——我们必须抵制这一点</w:t>
        </w:r>
      </w:hyperlink>
    </w:p>
    <w:p>
      <w:pPr>
        <w:spacing w:before="0" w:after="80"/>
      </w:pPr>
      <w:r>
        <w:rPr>
          <w:i/>
          <w:sz w:val="20"/>
        </w:rPr>
        <w:t>EN: AI is programmed to hijack human empathy — we must resist that</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50">
        <w:r>
          <w:rPr>
            <w:color w:val="1155CC"/>
            <w:u w:val="single"/>
          </w:rPr>
          <w:t>10.1038/d41586-026-00834-z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[176] </w:t>
      </w:r>
      <w:hyperlink r:id="rId551">
        <w:r>
          <w:rPr>
            <w:color w:val="1155CC"/>
            <w:u w:val="single"/>
          </w:rPr>
          <w:t>NIH转向远离机构主导的科学</w:t>
        </w:r>
      </w:hyperlink>
    </w:p>
    <w:p>
      <w:pPr>
        <w:spacing w:before="0" w:after="80"/>
      </w:pPr>
      <w:r>
        <w:rPr>
          <w:i/>
          <w:sz w:val="20"/>
        </w:rPr>
        <w:t>EN: NIH pivots away from agency-directed science</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52">
        <w:r>
          <w:rPr>
            <w:color w:val="1155CC"/>
            <w:u w:val="single"/>
          </w:rPr>
          <w:t>10.1038/d41586-026-00823-2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553">
        <w:r>
          <w:rPr>
            <w:color w:val="1155CC"/>
            <w:u w:val="single"/>
          </w:rPr>
          <w:t>减肥药能否取代注射剂？科学怎么说</w:t>
        </w:r>
      </w:hyperlink>
    </w:p>
    <w:p>
      <w:pPr>
        <w:spacing w:before="0" w:after="80"/>
      </w:pPr>
      <w:r>
        <w:rPr>
          <w:i/>
          <w:sz w:val="20"/>
        </w:rPr>
        <w:t>EN: Can weight-loss pills replace injectables? What the science says</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54">
        <w:r>
          <w:rPr>
            <w:color w:val="1155CC"/>
            <w:u w:val="single"/>
          </w:rPr>
          <w:t>10.1038/d41586-026-00856-7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[178] </w:t>
      </w:r>
      <w:hyperlink r:id="rId555">
        <w:r>
          <w:rPr>
            <w:color w:val="1155CC"/>
            <w:u w:val="single"/>
          </w:rPr>
          <w:t>我如何将网上对我博士学位的厌女症转化为我职业生涯的动力</w:t>
        </w:r>
      </w:hyperlink>
    </w:p>
    <w:p>
      <w:pPr>
        <w:spacing w:before="0" w:after="80"/>
      </w:pPr>
      <w:r>
        <w:rPr>
          <w:i/>
          <w:sz w:val="20"/>
        </w:rPr>
        <w:t>EN: How I turned online misogyny about my PhD into momentum for my career</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56">
        <w:r>
          <w:rPr>
            <w:color w:val="1155CC"/>
            <w:u w:val="single"/>
          </w:rPr>
          <w:t>10.1038/d41586-025-04129-7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557">
        <w:r>
          <w:rPr>
            <w:color w:val="1155CC"/>
            <w:u w:val="single"/>
          </w:rPr>
          <w:t>富有的科技企业家如何试图塑造政治、文化和未来——以及我们为何必须抵制</w:t>
        </w:r>
      </w:hyperlink>
    </w:p>
    <w:p>
      <w:pPr>
        <w:spacing w:before="0" w:after="80"/>
      </w:pPr>
      <w:r>
        <w:rPr>
          <w:i/>
          <w:sz w:val="20"/>
        </w:rPr>
        <w:t>EN: How wealthy tech entrepreneurs seek to shape politics, culture and the future — and why we must resist</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58">
        <w:r>
          <w:rPr>
            <w:color w:val="1155CC"/>
            <w:u w:val="single"/>
          </w:rPr>
          <w:t>10.1038/d41586-026-00840-1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[180] </w:t>
      </w:r>
      <w:hyperlink r:id="rId559">
        <w:r>
          <w:rPr>
            <w:color w:val="1155CC"/>
            <w:u w:val="single"/>
          </w:rPr>
          <w:t>AlphaFold数据库达到“下一个水平”：该AI系统现在包括蛋白质配对</w:t>
        </w:r>
      </w:hyperlink>
    </w:p>
    <w:p>
      <w:pPr>
        <w:spacing w:before="0" w:after="80"/>
      </w:pPr>
      <w:r>
        <w:rPr>
          <w:i/>
          <w:sz w:val="20"/>
        </w:rPr>
        <w:t>EN: AlphaFold database hits ‘next level’: the AI system now includes protein pairing</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60">
        <w:r>
          <w:rPr>
            <w:color w:val="1155CC"/>
            <w:u w:val="single"/>
          </w:rPr>
          <w:t>10.1038/d41586-026-00787-3</w:t>
        </w:r>
      </w:hyperlink>
    </w:p>
    <w:p>
      <w:pPr>
        <w:spacing w:before="0" w:after="120"/>
      </w:pPr>
      <w:r>
        <w:rPr>
          <w:b/>
        </w:rPr>
        <w:t xml:space="preserve">Notes: </w:t>
      </w:r>
      <w:r>
        <w:t>abstract_source=openalex</w:t>
      </w:r>
    </w:p>
    <w:p>
      <w:pPr>
        <w:spacing w:before="0" w:after="80" w:lineRule="auto" w:line="276"/>
      </w:pPr>
      <w:r>
        <w:rPr>
          <w:b/>
        </w:rPr>
        <w:t xml:space="preserve">摘要（ZH）: </w:t>
      </w:r>
      <w:r>
        <w:t>2亿蛋白质结构预测数据库现在包括同源二聚体，增加了新的生物学相关性。2亿蛋白质结构预测数据库现在包括同源二聚体，增加了新的生物学相关性。</w:t>
      </w:r>
    </w:p>
    <w:p>
      <w:pPr>
        <w:spacing w:before="0" w:after="200" w:lineRule="auto" w:line="276"/>
      </w:pPr>
      <w:r>
        <w:rPr>
          <w:b/>
        </w:rPr>
        <w:t xml:space="preserve">Abstract (EN): </w:t>
      </w:r>
      <w:r>
        <w:t>The database of 200 million protein-structure predictions now includes homodimers, adding new biological relevance. The database of 200 million protein-structure predictions now includes homodimers, adding new biological relevance.</w:t>
      </w:r>
    </w:p>
    <w:p>
      <w:pPr>
        <w:spacing w:before="120" w:after="120"/>
      </w:pPr>
      <w:r>
        <w:rPr>
          <w:sz w:val="18"/>
        </w:rPr>
        <w:t>——————————————————————————————————————————————————————————————————————</w:t>
      </w:r>
    </w:p>
    <w:p>
      <w:pPr>
        <w:spacing w:before="160" w:after="40" w:line="240" w:lineRule="auto"/>
      </w:pPr>
      <w:r>
        <w:rPr>
          <w:b/>
        </w:rPr>
        <w:t xml:space="preserve">[181] </w:t>
      </w:r>
      <w:hyperlink r:id="rId561">
        <w:r>
          <w:rPr>
            <w:color w:val="1155CC"/>
            <w:u w:val="single"/>
          </w:rPr>
          <w:t>为什么官方统计危机很重要——以及如何解决</w:t>
        </w:r>
      </w:hyperlink>
    </w:p>
    <w:p>
      <w:pPr>
        <w:spacing w:before="0" w:after="80"/>
      </w:pPr>
      <w:r>
        <w:rPr>
          <w:i/>
          <w:sz w:val="20"/>
        </w:rPr>
        <w:t>EN: Why the crisis in official statistics matters — and how it can be fixed</w:t>
      </w:r>
    </w:p>
    <w:p>
      <w:pPr>
        <w:spacing w:before="0" w:after="120"/>
      </w:pPr>
      <w:r>
        <w:rPr>
          <w:b/>
        </w:rPr>
        <w:t xml:space="preserve">Source: </w:t>
      </w:r>
      <w:r>
        <w:t>Nature</w:t>
      </w:r>
      <w:r>
        <w:t xml:space="preserve">    </w:t>
      </w:r>
      <w:r>
        <w:rPr>
          <w:b/>
        </w:rPr>
        <w:t xml:space="preserve">Pub date: </w:t>
      </w:r>
      <w:r>
        <w:t>2026-03-17 00:00:00+00:00</w:t>
      </w:r>
      <w:r>
        <w:t xml:space="preserve">    </w:t>
      </w:r>
      <w:r>
        <w:rPr>
          <w:b/>
        </w:rPr>
        <w:t xml:space="preserve">DOI: </w:t>
      </w:r>
      <w:hyperlink r:id="rId562">
        <w:r>
          <w:rPr>
            <w:color w:val="1155CC"/>
            <w:u w:val="single"/>
          </w:rPr>
          <w:t>10.1038/d41586-026-00838-9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563">
        <w:r>
          <w:rPr>
            <w:color w:val="1155CC"/>
            <w:u w:val="single"/>
          </w:rPr>
          <w:t>电热催化：从整体焦耳加热到粒子间电促进的范式转变</w:t>
        </w:r>
      </w:hyperlink>
    </w:p>
    <w:p>
      <w:pPr>
        <w:spacing w:before="0" w:after="80"/>
      </w:pPr>
      <w:r>
        <w:rPr>
          <w:i/>
          <w:sz w:val="20"/>
        </w:rPr>
        <w:t>EN: Electrothermal catalysis: paradigm shift from monolithic Joule heating to interparticle electrical promotion</w:t>
      </w:r>
    </w:p>
    <w:p>
      <w:pPr>
        <w:spacing w:before="0" w:after="120"/>
      </w:pPr>
      <w:r>
        <w:rPr>
          <w:b/>
        </w:rPr>
        <w:t xml:space="preserve">Source: </w:t>
      </w:r>
      <w:r>
        <w:t>National Science Review Advance Access</w:t>
      </w:r>
      <w:r>
        <w:t xml:space="preserve">    </w:t>
      </w:r>
      <w:r>
        <w:rPr>
          <w:b/>
        </w:rPr>
        <w:t xml:space="preserve">Pub date: </w:t>
      </w:r>
      <w:r>
        <w:t>2026-03-17 00:00:00+00:00</w:t>
      </w:r>
      <w:r>
        <w:t xml:space="preserve">    </w:t>
      </w:r>
      <w:r>
        <w:rPr>
          <w:b/>
        </w:rPr>
        <w:t xml:space="preserve">DOI: </w:t>
      </w:r>
      <w:hyperlink r:id="rId564">
        <w:r>
          <w:rPr>
            <w:color w:val="1155CC"/>
            <w:u w:val="single"/>
          </w:rPr>
          <w:t>10.1093/nsr/nwag167</w:t>
        </w:r>
      </w:hyperlink>
    </w:p>
    <w:p>
      <w:pPr>
        <w:spacing w:before="0" w:after="120"/>
      </w:pPr>
      <w:r>
        <w:rPr>
          <w:b/>
        </w:rPr>
        <w:t xml:space="preserve">Notes: </w:t>
      </w:r>
      <w:r>
        <w:t>abstract_source=rss_oup</w:t>
      </w:r>
    </w:p>
    <w:p>
      <w:pPr>
        <w:spacing w:before="0" w:after="80" w:lineRule="auto" w:line="276"/>
      </w:pPr>
      <w:r>
        <w:rPr>
          <w:b/>
        </w:rPr>
        <w:t xml:space="preserve">摘要（ZH）: </w:t>
      </w:r>
      <w:r>
        <w:t>传统的热催化依赖于碳密集型化石燃料，面临紧迫的可持续性挑战。作为依赖可再生电力的替代方案，利用催化剂焦耳加热的电热催化能够实现脱碳化学过程，并在碳中和的要求下迅速发展。在此，我们阐明了电热催化的基本特征和范围，特别强调了我们自身工作的进展。因此，提出了一种从整体焦耳加热到颗粒间电促进的范式转变。整体催化剂结构采用整体支撑物的焦耳加热进行紧凑而高效的加热，而颗粒间结构则利用导电颗粒之间的焦耳加热和电促进。</w:t>
      </w:r>
    </w:p>
    <w:p>
      <w:pPr>
        <w:spacing w:before="0" w:after="200" w:lineRule="auto" w:line="276"/>
      </w:pPr>
      <w:r>
        <w:rPr>
          <w:b/>
        </w:rPr>
        <w:t xml:space="preserve">Abstract (EN): </w:t>
      </w:r>
      <w:r>
        <w:t>Conventional thermal catalysis, dependent on carbon-intensive fossil fuels, faces pressing sustainability challenges. As an alternative relying on renewable electricity, electrothermal catalysis utilizing catalyst Joule heating enables decarbonized chemical processes and is advancing rapidly under carbon neutrality mandates. Here, we clarify the fundamental characteristics and scope of electrothermal catalysis, especially highlighting advances in our own works. Accordingly, a paradigm shift from monolithic Joule heating to interparticle electrical promotion is proposed. Monolithic catalyst architectures employ the Joule heating of monolithic supports for compact and efficient heating, whereas interparticle counterparts leverage both Joule heating and electrical promotion between conductive catalyst particles, not only substantially enhancing the intrinsic activity of catalysts but also drastically reducing energy costs and carbon footprints for sustainable electrification of chemical processes. Ultimately, the perspectives and challenges of interparticle electrical promotion are highlighted and analyzed to advance this transformative shift toward a viably industrial process.</w:t>
      </w:r>
    </w:p>
    <w:p>
      <w:pPr>
        <w:spacing w:before="120" w:after="120"/>
      </w:pPr>
      <w:r>
        <w:rPr>
          <w:sz w:val="18"/>
        </w:rPr>
        <w:t>——————————————————————————————————————————————————————————————————————</w:t>
      </w:r>
    </w:p>
    <w:p>
      <w:pPr>
        <w:spacing w:before="160" w:after="40" w:line="240" w:lineRule="auto"/>
      </w:pPr>
      <w:r>
        <w:rPr>
          <w:b/>
        </w:rPr>
        <w:t xml:space="preserve">[183] </w:t>
      </w:r>
      <w:hyperlink r:id="rId565">
        <w:r>
          <w:rPr>
            <w:color w:val="1155CC"/>
            <w:u w:val="single"/>
          </w:rPr>
          <w:t>英国价格上涨后能源负担能力的政策设计挑战</w:t>
        </w:r>
      </w:hyperlink>
    </w:p>
    <w:p>
      <w:pPr>
        <w:spacing w:before="0" w:after="80"/>
      </w:pPr>
      <w:r>
        <w:rPr>
          <w:i/>
          <w:sz w:val="20"/>
        </w:rPr>
        <w:t>EN: Policy design challenges for energy affordability following price hikes in the UK</w:t>
      </w:r>
    </w:p>
    <w:p>
      <w:pPr>
        <w:spacing w:before="0" w:after="120"/>
      </w:pPr>
      <w:r>
        <w:rPr>
          <w:b/>
        </w:rPr>
        <w:t xml:space="preserve">Source: </w:t>
      </w:r>
      <w:r>
        <w:t>ScienceDirect Publication: Energy Policy</w:t>
      </w:r>
      <w:r>
        <w:t xml:space="preserve">    </w:t>
      </w:r>
      <w:r>
        <w:rPr>
          <w:b/>
        </w:rPr>
        <w:t xml:space="preserve">Pub date: </w:t>
      </w:r>
      <w:r>
        <w:t>2026-03-17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566">
        <w:r>
          <w:rPr>
            <w:color w:val="1155CC"/>
            <w:u w:val="single"/>
          </w:rPr>
          <w:t>虚构的坡印廷动量：极化拓扑和多功能光学操控</w:t>
        </w:r>
      </w:hyperlink>
    </w:p>
    <w:p>
      <w:pPr>
        <w:spacing w:before="0" w:after="80"/>
      </w:pPr>
      <w:r>
        <w:rPr>
          <w:i/>
          <w:sz w:val="20"/>
        </w:rPr>
        <w:t>EN: Imaginary poynting momentum: polarization topology and versatile optical manipulation</w:t>
      </w:r>
    </w:p>
    <w:p>
      <w:pPr>
        <w:spacing w:before="0" w:after="120"/>
      </w:pPr>
      <w:r>
        <w:rPr>
          <w:b/>
        </w:rPr>
        <w:t xml:space="preserve">Source: </w:t>
      </w:r>
      <w:r>
        <w:t>National Science Review Advance Access</w:t>
      </w:r>
      <w:r>
        <w:t xml:space="preserve">    </w:t>
      </w:r>
      <w:r>
        <w:rPr>
          <w:b/>
        </w:rPr>
        <w:t xml:space="preserve">Pub date: </w:t>
      </w:r>
      <w:r>
        <w:t>2026-03-17 00:00:00+00:00</w:t>
      </w:r>
      <w:r>
        <w:t xml:space="preserve">    </w:t>
      </w:r>
      <w:r>
        <w:rPr>
          <w:b/>
        </w:rPr>
        <w:t xml:space="preserve">DOI: </w:t>
      </w:r>
      <w:hyperlink r:id="rId567">
        <w:r>
          <w:rPr>
            <w:color w:val="1155CC"/>
            <w:u w:val="single"/>
          </w:rPr>
          <w:t>10.1093/nsr/nwag171</w:t>
        </w:r>
      </w:hyperlink>
    </w:p>
    <w:p>
      <w:pPr>
        <w:spacing w:before="0" w:after="120"/>
      </w:pPr>
      <w:r>
        <w:rPr>
          <w:b/>
        </w:rPr>
        <w:t xml:space="preserve">Notes: </w:t>
      </w:r>
      <w:r>
        <w:t>abstract_source=rss_oup</w:t>
      </w:r>
    </w:p>
    <w:p>
      <w:pPr>
        <w:spacing w:before="0" w:after="80" w:lineRule="auto" w:line="276"/>
      </w:pPr>
      <w:r>
        <w:rPr>
          <w:b/>
        </w:rPr>
        <w:t xml:space="preserve">摘要（ZH）: </w:t>
      </w:r>
      <w:r>
        <w:t>虚拟彭廷动量（IPM）作为光的内在但神秘的特性，几乎与其真实对应物一样普遍。然而，先前的研究仅将其起源追溯到强度不对称，并展示了其在使用倏逝波和结构化光进行粒子操控方面的能力。从根本上讲，IPM与极化拓扑之间的相互作用仍未被探索，显著限制了其潜在应用。在此，我们观察到IPM中的高阶极化拓扑电荷（PTCs），并扩展了其在多功能粒子操控中的能力。PTCs源于矢量光束中线性极化的空间分布。当PTC等于1时，IPM可用于旋转粒子。特别地，对于高阶PTCs，旋转</w:t>
      </w:r>
    </w:p>
    <w:p>
      <w:pPr>
        <w:spacing w:before="0" w:after="200" w:lineRule="auto" w:line="276"/>
      </w:pPr>
      <w:r>
        <w:rPr>
          <w:b/>
        </w:rPr>
        <w:t xml:space="preserve">Abstract (EN): </w:t>
      </w:r>
      <w:r>
        <w:t>The imaginary Poynting momentum (IPM), as an intrinsic yet mysterious property of light, is nearly as ubiquitous as its real counterpart. However, prior research has only traced its origin to intensity asymmetry and showcased its capability in particle manipulation using evanescent waves and structured light. Fundamentally, the interplay between the IPM and polarization topology remains unexplored, significantly restricting its potential applications. Here, we observe the high-order polarization topological charges (PTCs) in the IPM and expand their capabilities in versatile particle manipulation. PTCs originate from spatial distributions of linear polarizations in vector beams. When the PTC equals 1, the IPM can be utilized to rotate particles. Distinctively, for higher-order PTCs, rotational potential-well arrays with controllable rotation directions emerge to trap and rotate various numbers of particles. This work uncovers a holistic and complete understanding of the IPM by investigating its link to the polarization distribution. It also suggests a credible way to harness polarization-topology optical forces, offering significant potential for biophysical and quantum applications.</w:t>
      </w:r>
    </w:p>
    <w:p>
      <w:pPr>
        <w:spacing w:before="120" w:after="120"/>
      </w:pPr>
      <w:r>
        <w:rPr>
          <w:sz w:val="18"/>
        </w:rPr>
        <w:t>——————————————————————————————————————————————————————————————————————</w:t>
      </w:r>
    </w:p>
    <w:p>
      <w:pPr>
        <w:spacing w:before="160" w:after="40" w:line="240" w:lineRule="auto"/>
      </w:pPr>
      <w:r>
        <w:rPr>
          <w:b/>
        </w:rPr>
        <w:t xml:space="preserve">[185] </w:t>
      </w:r>
      <w:hyperlink r:id="rId568">
        <w:r>
          <w:rPr>
            <w:color w:val="1155CC"/>
            <w:u w:val="single"/>
          </w:rPr>
          <w:t>共同演化的地形、斑块土壤和森林结构</w:t>
        </w:r>
      </w:hyperlink>
    </w:p>
    <w:p>
      <w:pPr>
        <w:spacing w:before="0" w:after="80"/>
      </w:pPr>
      <w:r>
        <w:rPr>
          <w:i/>
          <w:sz w:val="20"/>
        </w:rPr>
        <w:t>EN: Coevolving topography, patchy soils, and forest structure</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69">
        <w:r>
          <w:rPr>
            <w:color w:val="1155CC"/>
            <w:u w:val="single"/>
          </w:rPr>
          <w:t>10.1073/pnas.2519374123</w:t>
        </w:r>
      </w:hyperlink>
    </w:p>
    <w:p>
      <w:pPr>
        <w:spacing w:before="0" w:after="120"/>
      </w:pPr>
      <w:r>
        <w:rPr>
          <w:b/>
        </w:rPr>
        <w:t xml:space="preserve">Notes: </w:t>
      </w:r>
      <w:r>
        <w:t>abstract_source=crossref</w:t>
      </w:r>
    </w:p>
    <w:p>
      <w:pPr>
        <w:spacing w:before="0" w:after="80" w:lineRule="auto" w:line="276"/>
      </w:pPr>
      <w:r>
        <w:rPr>
          <w:b/>
        </w:rPr>
        <w:t xml:space="preserve">摘要（ZH）: </w:t>
      </w:r>
      <w:r>
        <w:t>从土壤覆盖到基岩主导的景观转变对水文、生态和景观演化至关重要。经典理论预测这种转变一旦侵蚀速率超过土壤生成速率就会突然发生，但实际景观显示出更为渐进的转变。科罗拉多州的Rampart Range是一个未被冰川覆盖的森林山脉，具有均匀的岩性，跨越了这一转变，提供了研究地形、土壤覆盖和森林结构如何共同演化的机会。利用无人机影像和机载激光雷达，我们展示了基于对象的方法的实用性，这些方法将激光雷达地形分割成单个露头。由于晚新生代的区域侵蚀，低海拔的山坡比高海拔的山坡更岩石化（约14%岩石），而高海拔的山坡则较少（约2%岩石）。</w:t>
      </w:r>
    </w:p>
    <w:p>
      <w:pPr>
        <w:spacing w:before="0" w:after="200" w:lineRule="auto" w:line="276"/>
      </w:pPr>
      <w:r>
        <w:rPr>
          <w:b/>
        </w:rPr>
        <w:t xml:space="preserve">Abstract (EN): </w:t>
      </w:r>
      <w:r>
        <w:t>The transition from soil-mantled to bedrock-dominated landscapes is important to hydrology, ecology, and landscape evolution. Where classical theory predicts that this transition abruptly occurs once erosion rates exceed soil production ones, actual landscapes show a much more gradual transition. The Rampart Range, CO, is an unglaciated, forested mountain range with uniform lithology that spans this transition, providing an opportunity to interrogate how topography, soil cover, and forest structure coevolve. Using drone imagery and airborne lidar, we show the utility of object-based methods that segment the lidar topography into individual outcrops. Lower elevation hillslopes are rockier (~14% rock) than their higher elevation counterparts (~2% rock) due to late Cenozoic incision of a regional, high elevation, low relief surface. After accounting for the erosional control on rockiness, we show that bedrock exposure also depends on topographic aspect. Equator-facing hillslopes are rockier (~20% rock at low elevations; ~3% rock at high elevations) than their more heavily forested, pole-facing counterparts (~11% rock at low elevations; ~1% rock at high elevations). To simulate these patterns, hillslope evolution models need “humped” soil production functions that can generate rocky outcrops within a soil mantle. When combined with depth-dependent soil creep, such models readily produce large gradients in the height and frequency of bedrock outcrops in response to aspect-dependent weathering. Given the correspondence between higher forest biomass (e.g., increased tree density, canopy height) with lower bedrock exposure on pole-facing hillslopes, we argue that forest dynamics may be an underappreciated regulator of hillslope morphology via root zone weathering.</w:t>
      </w:r>
    </w:p>
    <w:p>
      <w:pPr>
        <w:spacing w:before="120" w:after="120"/>
      </w:pPr>
      <w:r>
        <w:rPr>
          <w:sz w:val="18"/>
        </w:rPr>
        <w:t>——————————————————————————————————————————————————————————————————————</w:t>
      </w:r>
    </w:p>
    <w:p>
      <w:pPr>
        <w:spacing w:before="160" w:after="40" w:line="240" w:lineRule="auto"/>
      </w:pPr>
      <w:r>
        <w:rPr>
          <w:b/>
        </w:rPr>
        <w:t xml:space="preserve">[186] </w:t>
      </w:r>
      <w:hyperlink r:id="rId570">
        <w:r>
          <w:rPr>
            <w:color w:val="1155CC"/>
            <w:u w:val="single"/>
          </w:rPr>
          <w:t>磷酸化和DNA损伤解决在体内协调SOX2介导的重编程</w:t>
        </w:r>
      </w:hyperlink>
    </w:p>
    <w:p>
      <w:pPr>
        <w:spacing w:before="0" w:after="80"/>
      </w:pPr>
      <w:r>
        <w:rPr>
          <w:i/>
          <w:sz w:val="20"/>
        </w:rPr>
        <w:t>EN: Phosphorylation and DNA damage resolution coordinate SOX2-mediated reprogramming in vivo</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71">
        <w:r>
          <w:rPr>
            <w:color w:val="1155CC"/>
            <w:u w:val="single"/>
          </w:rPr>
          <w:t>10.1073/pnas.2519117123</w:t>
        </w:r>
      </w:hyperlink>
    </w:p>
    <w:p>
      <w:pPr>
        <w:spacing w:before="0" w:after="120"/>
      </w:pPr>
      <w:r>
        <w:rPr>
          <w:b/>
        </w:rPr>
        <w:t xml:space="preserve">Notes: </w:t>
      </w:r>
      <w:r>
        <w:t>abstract_source=crossref</w:t>
      </w:r>
    </w:p>
    <w:p>
      <w:pPr>
        <w:spacing w:before="0" w:after="80" w:lineRule="auto" w:line="276"/>
      </w:pPr>
      <w:r>
        <w:rPr>
          <w:b/>
        </w:rPr>
        <w:t xml:space="preserve">摘要（ZH）: </w:t>
      </w:r>
      <w:r>
        <w:t>干细胞因子SOX2可以在成年哺乳动物中枢神经系统中将驻留的胶质细胞重编程为神经元，但这一过程的分子机制仍然知之甚少。在此，我们展示了SOX2磷酸化和PRKDC依赖的非同源末端连接（NHEJ）途径对于SOX2介导的体内胶质细胞到神经元的重编程是必不可少的。磷酸模拟SOX2突变体显著增强了重编程输出而不改变神经元命运。相反，PRKDC的缺失或核心NHEJ成分KU80和LIG4的敲低会消除重编程。值得注意的是，p53敲低在PRKDC缺乏的小鼠中恢复了重编程，可能是通过克服DNA损伤引起的细胞周期停滞。这些发现表明，SOX2驱动的胶质重编程需要两者的预备。</w:t>
      </w:r>
    </w:p>
    <w:p>
      <w:pPr>
        <w:spacing w:before="0" w:after="200" w:lineRule="auto" w:line="276"/>
      </w:pPr>
      <w:r>
        <w:rPr>
          <w:b/>
        </w:rPr>
        <w:t xml:space="preserve">Abstract (EN): </w:t>
      </w:r>
      <w:r>
        <w:t>The stem cell factor SOX2 can reprogram resident glial cells into neurons in the adult mammalian central nervous system, but the molecular mechanisms underlying this process remain poorly understood. Here, we show that both SOX2 phosphorylation and the PRKDC-dependent nonhomologous end joining (NHEJ) pathway are essential for SOX2-mediated in vivo glia-to-neuron reprogramming. A phospho-mimetic SOX2 mutant significantly enhances reprogramming output without altering neuronal fate. Conversely, loss of PRKDC or knockdown of core NHEJ components KU80 and LIG4 abolishes reprogramming. Notably, p53 knockdown restores reprogramming in PRKDC-deficient mice, likely by overcoming DNA damage-induced cell-cycle arrest. These findings demonstrate that SOX2-driven glial reprogramming requires both precise posttranslational regulation and effective DNA damage repair and suggest that targeting these pathways could enhance regenerative strategies in the CNS.</w:t>
      </w:r>
    </w:p>
    <w:p>
      <w:pPr>
        <w:spacing w:before="120" w:after="120"/>
      </w:pPr>
      <w:r>
        <w:rPr>
          <w:sz w:val="18"/>
        </w:rPr>
        <w:t>——————————————————————————————————————————————————————————————————————</w:t>
      </w:r>
    </w:p>
    <w:p>
      <w:pPr>
        <w:spacing w:before="160" w:after="40" w:line="240" w:lineRule="auto"/>
      </w:pPr>
      <w:r>
        <w:rPr>
          <w:b/>
        </w:rPr>
        <w:t xml:space="preserve">[187] </w:t>
      </w:r>
      <w:hyperlink r:id="rId572">
        <w:r>
          <w:rPr>
            <w:color w:val="1155CC"/>
            <w:u w:val="single"/>
          </w:rPr>
          <w:t>基于电针的迷走神经刺激通过体脑回路减轻癫痫发作</w:t>
        </w:r>
      </w:hyperlink>
    </w:p>
    <w:p>
      <w:pPr>
        <w:spacing w:before="0" w:after="80"/>
      </w:pPr>
      <w:r>
        <w:rPr>
          <w:i/>
          <w:sz w:val="20"/>
        </w:rPr>
        <w:t>EN: Electroacupuncture-based vagal stimulation attenuates epileptic seizures through a body–brain circuit</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73">
        <w:r>
          <w:rPr>
            <w:color w:val="1155CC"/>
            <w:u w:val="single"/>
          </w:rPr>
          <w:t>10.1073/pnas.2517600123</w:t>
        </w:r>
      </w:hyperlink>
    </w:p>
    <w:p>
      <w:pPr>
        <w:spacing w:before="0" w:after="120"/>
      </w:pPr>
      <w:r>
        <w:rPr>
          <w:b/>
        </w:rPr>
        <w:t xml:space="preserve">Notes: </w:t>
      </w:r>
      <w:r>
        <w:t>abstract_source=crossref</w:t>
      </w:r>
    </w:p>
    <w:p>
      <w:pPr>
        <w:spacing w:before="0" w:after="80" w:lineRule="auto" w:line="276"/>
      </w:pPr>
      <w:r>
        <w:rPr>
          <w:b/>
        </w:rPr>
        <w:t xml:space="preserve">摘要（ZH）: </w:t>
      </w:r>
      <w:r>
        <w:t>迷走神经刺激提供了一种有前途的癫痫控制策略，但由于其侵入性递送而受到限制。在此，我们揭示了电针（EA），一种植根于传统中医的古老神经调节技术，通过特定的体表穴位与迷走-脑轴相连来治疗癫痫，并阐明其精确的神经机制。我们证明了在大椎（GV14）穴位的EA在多种癫痫模型中表现出广谱的抗癫痫效果。解剖和功能分析表明，GV14激活了迷走传入神经并招募了孤束核尾部（cNTS）的神经元，这对于癫痫抑制是必不可少的。使用活跃群体中的靶向重组和化学。</w:t>
      </w:r>
    </w:p>
    <w:p>
      <w:pPr>
        <w:spacing w:before="0" w:after="200" w:lineRule="auto" w:line="276"/>
      </w:pPr>
      <w:r>
        <w:rPr>
          <w:b/>
        </w:rPr>
        <w:t xml:space="preserve">Abstract (EN): </w:t>
      </w:r>
      <w:r>
        <w:t>Vagus nerve stimulation offers a promising strategy for seizure control but remains limited by its invasive delivery. Here, we reveal electroacupuncture (EA), an ancient neuromodulatory technique rooted in traditional Chinese medicine, at specific somatic acupoints linked to the vagal–brain axis to treat epilepsy and delineate the precise underlying neural mechanisms. We demonstrate that EA at the</w:t>
      </w:r>
      <w:r>
        <w:t xml:space="preserve"> </w:t>
      </w:r>
      <w:r>
        <w:t>Dazhui</w:t>
      </w:r>
      <w:r>
        <w:t xml:space="preserve"> </w:t>
      </w:r>
      <w:r>
        <w:t>(GV14) acupoint exhibits broad-spectrum antiseizure efficacy across multiple seizure models. Anatomical and functional analyses reveal that GV14 activates the vagal afferents and recruits neurons in the caudal nucleus of the solitary tract (cNTS), which are essential for seizure suppression. Using targeted recombination in active populations and chemogenetic manipulation, we show that GV14 EA suppresses seizures via the recruitment of a defined cNTS–locus coeruleus–amygdala circuit. Furthermore, through vagal afferent activity screening, we identify</w:t>
      </w:r>
      <w:r>
        <w:t xml:space="preserve"> </w:t>
      </w:r>
      <w:r>
        <w:t>Yaoqi</w:t>
      </w:r>
      <w:r>
        <w:t xml:space="preserve"> </w:t>
      </w:r>
      <w:r>
        <w:t>(EXB9) as an alternative therapeutic acupoint that activates a shared neural pathway to robustly attenuate seizures. Importantly, thread-embedding acupuncture at GV14 or EXB9 produces sustained seizure reduction in a chronic epilepsy model. Together, these findings elucidate a functional vagal–brain circuit underlying EA-induced seizure control and support its translational potential as a minimally invasive neuromodulatory strategy to replace vagal stimulation for epilepsy treatment.</w:t>
      </w:r>
    </w:p>
    <w:p>
      <w:pPr>
        <w:spacing w:before="120" w:after="120"/>
      </w:pPr>
      <w:r>
        <w:rPr>
          <w:sz w:val="18"/>
        </w:rPr>
        <w:t>——————————————————————————————————————————————————————————————————————</w:t>
      </w:r>
    </w:p>
    <w:p>
      <w:pPr>
        <w:spacing w:before="160" w:after="40" w:line="240" w:lineRule="auto"/>
      </w:pPr>
      <w:r>
        <w:rPr>
          <w:b/>
        </w:rPr>
        <w:t xml:space="preserve">[188] </w:t>
      </w:r>
      <w:hyperlink r:id="rId574">
        <w:r>
          <w:rPr>
            <w:color w:val="1155CC"/>
            <w:u w:val="single"/>
          </w:rPr>
          <w:t>专门教学的人口阈值</w:t>
        </w:r>
      </w:hyperlink>
    </w:p>
    <w:p>
      <w:pPr>
        <w:spacing w:before="0" w:after="80"/>
      </w:pPr>
      <w:r>
        <w:rPr>
          <w:i/>
          <w:sz w:val="20"/>
        </w:rPr>
        <w:t>EN: A population threshold for dedicated teaching</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75">
        <w:r>
          <w:rPr>
            <w:color w:val="1155CC"/>
            <w:u w:val="single"/>
          </w:rPr>
          <w:t>10.1073/pnas.2517041123</w:t>
        </w:r>
      </w:hyperlink>
    </w:p>
    <w:p>
      <w:pPr>
        <w:spacing w:before="0" w:after="120"/>
      </w:pPr>
      <w:r>
        <w:rPr>
          <w:b/>
        </w:rPr>
        <w:t xml:space="preserve">Notes: </w:t>
      </w:r>
      <w:r>
        <w:t>abstract_source=crossref</w:t>
      </w:r>
    </w:p>
    <w:p>
      <w:pPr>
        <w:spacing w:before="0" w:after="80" w:lineRule="auto" w:line="276"/>
      </w:pPr>
      <w:r>
        <w:rPr>
          <w:b/>
        </w:rPr>
        <w:t xml:space="preserve">摘要（ZH）: </w:t>
      </w:r>
      <w:r>
        <w:t>教师在现代社会中占据着重要地位，特别是在教育是强制性和广泛制度化的地方。这种普遍性掩盖了一个潜在的谜题：为什么社会会指派一些人专门负责教授他人？这个问题对于专职教师尤其神秘，他们投入劳动培养他人的技能，但自己并不参与学生所接受培训的生产活动。为了解决这个问题，我们开发了一个简单且数学上易于处理的教学和学习模型，适用于一个共享共同生产目标的人群。我们识别出劳动力规模与其集体专业水平之间的权衡；并分析了一个人口中应担任教师的最佳比例。</w:t>
      </w:r>
    </w:p>
    <w:p>
      <w:pPr>
        <w:spacing w:before="0" w:after="200" w:lineRule="auto" w:line="276"/>
      </w:pPr>
      <w:r>
        <w:rPr>
          <w:b/>
        </w:rPr>
        <w:t xml:space="preserve">Abstract (EN): </w:t>
      </w:r>
      <w:r>
        <w:t>Teachers hold a prominent place in modern societies, particularly where education is compulsory and widely institutionalized. This ubiquity obscures an underlying puzzle: Why do societies assign some individuals solely to the instruction of others? This question is especially enigmatic for dedicated teachers, who invest their labor in cultivating others’ skills but do not themselves participate in the productive activities for which their students are being trained. To address this question, we develop a simple, mathematically tractable model of teaching and learning in a population that shares a common productive aim. We identify a tradeoff between the size of the workforce and its collective level of expertise; and we analyze the optimal proportion of a population that should serve as teachers, across diverse scenarios. We find that a population must exceed a critical size before it is beneficial to allocate anyone as a dedicated teacher at all. Subsequently, the peak demand for teachers is achieved at an intermediate population size and never exceeds one half of the population. For more complicated tasks, our analysis predicts the optimal allocation of teachers to instruction across different levels of expertise. Although our model is not evolutionary per se, this population-level account lays a foundation for understanding the adaptive advantage of dedicated teachers in both human and nonhuman populations.</w:t>
      </w:r>
    </w:p>
    <w:p>
      <w:pPr>
        <w:spacing w:before="120" w:after="120"/>
      </w:pPr>
      <w:r>
        <w:rPr>
          <w:sz w:val="18"/>
        </w:rPr>
        <w:t>——————————————————————————————————————————————————————————————————————</w:t>
      </w:r>
    </w:p>
    <w:p>
      <w:pPr>
        <w:spacing w:before="160" w:after="40" w:line="240" w:lineRule="auto"/>
      </w:pPr>
      <w:r>
        <w:rPr>
          <w:b/>
        </w:rPr>
        <w:t xml:space="preserve">[189] </w:t>
      </w:r>
      <w:hyperlink r:id="rId576">
        <w:r>
          <w:rPr>
            <w:color w:val="1155CC"/>
            <w:u w:val="single"/>
          </w:rPr>
          <w:t>海蛞蝓颜色多样性在鸟嘌呤光子结构‘像素’中共享共同的物理基础</w:t>
        </w:r>
      </w:hyperlink>
    </w:p>
    <w:p>
      <w:pPr>
        <w:spacing w:before="0" w:after="80"/>
      </w:pPr>
      <w:r>
        <w:rPr>
          <w:i/>
          <w:sz w:val="20"/>
        </w:rPr>
        <w:t>EN: Nudibranch color diversity shares a common physical basis in guanine photonic structure ‘pixels’</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77">
        <w:r>
          <w:rPr>
            <w:color w:val="1155CC"/>
            <w:u w:val="single"/>
          </w:rPr>
          <w:t>10.1073/pnas.2525419123</w:t>
        </w:r>
      </w:hyperlink>
    </w:p>
    <w:p>
      <w:pPr>
        <w:spacing w:before="0" w:after="120"/>
      </w:pPr>
      <w:r>
        <w:rPr>
          <w:b/>
        </w:rPr>
        <w:t xml:space="preserve">Notes: </w:t>
      </w:r>
      <w:r>
        <w:t>abstract_source=crossref</w:t>
      </w:r>
    </w:p>
    <w:p>
      <w:pPr>
        <w:spacing w:before="0" w:after="80" w:lineRule="auto" w:line="276"/>
      </w:pPr>
      <w:r>
        <w:rPr>
          <w:b/>
        </w:rPr>
        <w:t xml:space="preserve">摘要（ZH）: </w:t>
      </w:r>
      <w:r>
        <w:t>海蛞蝓以其明亮多样的色彩图案而闻名。这种色彩通常是一种警戒色，警告捕食者它们从猎物中获取并作为防御武器的有毒化合物。尽管许多海蛞蝓的色调被认为是色素来源，但在这里我们通过结合白光和拉曼显微光谱技术展示，分层组织的微米级鸟嘌呤多层结构是许多这些颜色的原因。这种结构在多里德和裸鳃类群中广泛存在，并负责产生一系列引人注目的角度无关的结构色。通过使用低温聚焦离子束（cryo-FIB）SEM断层扫描，我们能够访问鸟嘌呤纳米片的复杂三维组织</w:t>
      </w:r>
    </w:p>
    <w:p>
      <w:pPr>
        <w:spacing w:before="0" w:after="200" w:lineRule="auto" w:line="276"/>
      </w:pPr>
      <w:r>
        <w:rPr>
          <w:b/>
        </w:rPr>
        <w:t xml:space="preserve">Abstract (EN): </w:t>
      </w:r>
      <w:r>
        <w:t>Nudibranchs are well known for their bright and diverse color patterns. This coloration is typically a form of aposematism, warning predators against toxic compounds sequestered from their prey and weaponized as a form of defense. Although many of the hues in nudibranchs were thought to be of pigmentary origin, here we show, using a combination of white light and Raman microspectroscopy, that hierarchically organized micron-scale guanine multilayer structures are responsible for many of these colors. Such architectures are widespread across the dorid and aeolid groups and are responsible for a striking array of angular-independent structural colors. By using cryogenic focused ion beam (cryo-FIB) SEM tomography, we were able to access the complex 3D organization of the guanine nanoplatelets responsible for the strong blue coloration of</w:t>
      </w:r>
      <w:r>
        <w:t xml:space="preserve"> </w:t>
      </w:r>
      <w:r>
        <w:t>Chromodoris annae</w:t>
      </w:r>
      <w:r>
        <w:t xml:space="preserve"> </w:t>
      </w:r>
      <w:r>
        <w:t>. We propose that the multilayer organization of guanine platelets with varying orientations across the tissue and their micron-scale size offers a particularly effective strategy for producing diverse optical effects. The macroscopic angular independent color results from individual multilayers which we describe as “pixels”, these “pixels” reflect light at a wavelength governed by their interlayer spacing and guanine platelet thickness. The macroscopic hue can be spectrally tuned by altering the statistical distribution of pixels with each color, while the angular dependence of color can be changed through the relative orientation of the multilayer stacks and their size, allowing for a single structural motif to generate a broad palette of optical appearances.</w:t>
      </w:r>
    </w:p>
    <w:p>
      <w:pPr>
        <w:spacing w:before="120" w:after="120"/>
      </w:pPr>
      <w:r>
        <w:rPr>
          <w:sz w:val="18"/>
        </w:rPr>
        <w:t>——————————————————————————————————————————————————————————————————————</w:t>
      </w:r>
    </w:p>
    <w:p>
      <w:pPr>
        <w:spacing w:before="160" w:after="40" w:line="240" w:lineRule="auto"/>
      </w:pPr>
      <w:r>
        <w:rPr>
          <w:b/>
        </w:rPr>
        <w:t xml:space="preserve">[190] </w:t>
      </w:r>
      <w:hyperlink r:id="rId578">
        <w:r>
          <w:rPr>
            <w:color w:val="1155CC"/>
            <w:u w:val="single"/>
          </w:rPr>
          <w:t>人脑中关键同步动态的分层全脑建模</w:t>
        </w:r>
      </w:hyperlink>
    </w:p>
    <w:p>
      <w:pPr>
        <w:spacing w:before="0" w:after="80"/>
      </w:pPr>
      <w:r>
        <w:rPr>
          <w:i/>
          <w:sz w:val="20"/>
        </w:rPr>
        <w:t>EN: Hierarchical whole-brain modeling of critical synchronization dynamics in the human brain</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79">
        <w:r>
          <w:rPr>
            <w:color w:val="1155CC"/>
            <w:u w:val="single"/>
          </w:rPr>
          <w:t>10.1073/pnas.2505768123</w:t>
        </w:r>
      </w:hyperlink>
    </w:p>
    <w:p>
      <w:pPr>
        <w:spacing w:before="0" w:after="120"/>
      </w:pPr>
      <w:r>
        <w:rPr>
          <w:b/>
        </w:rPr>
        <w:t xml:space="preserve">Notes: </w:t>
      </w:r>
      <w:r>
        <w:t>abstract_source=crossref</w:t>
      </w:r>
    </w:p>
    <w:p>
      <w:pPr>
        <w:spacing w:before="0" w:after="80" w:lineRule="auto" w:line="276"/>
      </w:pPr>
      <w:r>
        <w:rPr>
          <w:b/>
        </w:rPr>
        <w:t xml:space="preserve">摘要（ZH）: </w:t>
      </w:r>
      <w:r>
        <w:t>大脑在有序与无序之间的临界过渡中运作，这支持了最佳的信息处理。全脑计算建模是揭示健康和病理状态下大规模脑活动背后的系统级机制的强大工具。然而，大多数先前的方法要么专注于功能连接性，要么专注于临界性，这使得同时捕捉这两个方面变得困难。在这里，我们引入了一种基于分层Kuramoto模型的方法，该模型包含两个层次的层级。在我们的模型中，每个节点包含大量耦合振荡器，这使我们能够检查大脑区域之间的局部同步和长距离相互作用。该模型产生了以紧急</w:t>
      </w:r>
    </w:p>
    <w:p>
      <w:pPr>
        <w:spacing w:before="0" w:after="200" w:lineRule="auto" w:line="276"/>
      </w:pPr>
      <w:r>
        <w:rPr>
          <w:b/>
        </w:rPr>
        <w:t xml:space="preserve">Abstract (EN): </w:t>
      </w:r>
      <w:r>
        <w:t>The brain operates at the critical transition between order and disorder which supports optimal information processing. Whole-brain computational modeling is a powerful tool for uncovering the system-level mechanisms behind large-scale brain activity in both healthy and pathological states. However, most previous approaches have focused on either functional connectivity or criticality, making it difficult to capture both aspects simultaneously. Here, we introduce a method based on a Hierarchical Kuramoto model that incorporates two levels of hierarchy. In our model, each node contains a large number of coupled oscillators, which allows us to examine both local synchronization and long-distance interactions between brain regions. The model produces critical-like dynamics marked by emergent long-range temporal correlations (LRTCs) and both interareal phase synchronization and amplitude cross-correlations (CC) during the transition from asynchronous to synchronous states. Notably, structure–function coupling shows distinct patterns: correlations with structural connectivity peak at criticality for LRTCs and CC, but decay for local and interareal phase synchronization. Comparisons with human resting-state magnetoencephalography (MEG) data reveal that the model’s behavior most closely resembles MEG phase synchronization and multipeak power spectra on the subcritical side of an extended critical regime, supporting the hypothesis that the human brain operates in this state.</w:t>
      </w:r>
    </w:p>
    <w:p>
      <w:pPr>
        <w:spacing w:before="120" w:after="120"/>
      </w:pPr>
      <w:r>
        <w:rPr>
          <w:sz w:val="18"/>
        </w:rPr>
        <w:t>——————————————————————————————————————————————————————————————————————</w:t>
      </w:r>
    </w:p>
    <w:p>
      <w:pPr>
        <w:spacing w:before="160" w:after="40" w:line="240" w:lineRule="auto"/>
      </w:pPr>
      <w:r>
        <w:rPr>
          <w:b/>
        </w:rPr>
        <w:t xml:space="preserve">[191] </w:t>
      </w:r>
      <w:hyperlink r:id="rId580">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81">
        <w:r>
          <w:rPr>
            <w:color w:val="1155CC"/>
            <w:u w:val="single"/>
          </w:rPr>
          <w:t>10.1073/iti1126123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[192] </w:t>
      </w:r>
      <w:hyperlink r:id="rId582">
        <w:r>
          <w:rPr>
            <w:color w:val="1155CC"/>
            <w:u w:val="single"/>
          </w:rPr>
          <w:t>使用基于实验室的X射线显微镜对未染色软组织进行亚细胞分辨率的三维高含量成像</w:t>
        </w:r>
      </w:hyperlink>
    </w:p>
    <w:p>
      <w:pPr>
        <w:spacing w:before="0" w:after="80"/>
      </w:pPr>
      <w:r>
        <w:rPr>
          <w:i/>
          <w:sz w:val="20"/>
        </w:rPr>
        <w:t>EN: Three-dimensional high-content imaging of unstained soft tissue with subcellular resolution using a laboratory-based X-ray microscope</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83">
        <w:r>
          <w:rPr>
            <w:color w:val="1155CC"/>
            <w:u w:val="single"/>
          </w:rPr>
          <w:t>10.1073/pnas.2525239123</w:t>
        </w:r>
      </w:hyperlink>
    </w:p>
    <w:p>
      <w:pPr>
        <w:spacing w:before="0" w:after="120"/>
      </w:pPr>
      <w:r>
        <w:rPr>
          <w:b/>
        </w:rPr>
        <w:t xml:space="preserve">Notes: </w:t>
      </w:r>
      <w:r>
        <w:t>abstract_source=crossref</w:t>
      </w:r>
    </w:p>
    <w:p>
      <w:pPr>
        <w:spacing w:before="0" w:after="80" w:lineRule="auto" w:line="276"/>
      </w:pPr>
      <w:r>
        <w:rPr>
          <w:b/>
        </w:rPr>
        <w:t xml:space="preserve">摘要（ZH）: </w:t>
      </w:r>
      <w:r>
        <w:t>随着对跨空间尺度研究生物系统的兴趣增加——从厘米到纳米级——组织学仍然是细胞分辨率组织成像的金标准，为宏观和纳米级分析之间提供了重要的桥梁。然而，其固有的破坏性和二维性质限制了其捕捉组织结构全三维复杂性的能力。在这里，我们展示了相位对比X射线显微镜可以实现具有亚细胞分辨率的三维虚拟组织学。这项技术提供了电子密度的直接量化而无需限制性假设，允许在标准实验室环境中直接表征细胞核。通过结合高空间分辨率和软组织</w:t>
      </w:r>
    </w:p>
    <w:p>
      <w:pPr>
        <w:spacing w:before="0" w:after="200" w:lineRule="auto" w:line="276"/>
      </w:pPr>
      <w:r>
        <w:rPr>
          <w:b/>
        </w:rPr>
        <w:t xml:space="preserve">Abstract (EN): </w:t>
      </w:r>
      <w:r>
        <w:t>With increasing interest in studying biological systems across spatial scales—from centimeters down to nanometers—histology continues to be the gold standard for tissue imaging at cellular resolution, providing an essential bridge between macroscopic and nanoscopic analysis. However, its inherently destructive and two-dimensional nature limits its ability to capture the full three-dimensional complexity of tissue architecture. Here, we show that phase-contrast X-ray microscopy can enable three-dimensional virtual histology with subcellular resolution. This technique provides direct quantification of electron density without restrictive assumptions, allowing for direct characterization of cellular nuclei in a standard laboratory setting. By combining high spatial resolution and soft tissue contrast, with automated segmentation of cell nuclei, we demonstrated virtual Hematoxylin and Eosin (H&amp;amp;E) staining using machine learning-based style transfer, yielding volumetric datasets compatible with existing histopathological analysis tools. Furthermore, by integrating electron density and the sensitivity to nanometric features of the dark field contrast channel, we achieve stain-free, high-content imaging capable of distinguishing nuclei and extracellular matrix.</w:t>
      </w:r>
    </w:p>
    <w:p>
      <w:pPr>
        <w:spacing w:before="120" w:after="120"/>
      </w:pPr>
      <w:r>
        <w:rPr>
          <w:sz w:val="18"/>
        </w:rPr>
        <w:t>——————————————————————————————————————————————————————————————————————</w:t>
      </w:r>
    </w:p>
    <w:p>
      <w:pPr>
        <w:spacing w:before="160" w:after="40" w:line="240" w:lineRule="auto"/>
      </w:pPr>
      <w:r>
        <w:rPr>
          <w:b/>
        </w:rPr>
        <w:t xml:space="preserve">[193] </w:t>
      </w:r>
      <w:hyperlink r:id="rId584">
        <w:r>
          <w:rPr>
            <w:color w:val="1155CC"/>
            <w:u w:val="single"/>
          </w:rPr>
          <w:t>表征浮游植物分泌的代谢物介导的碳通量通过表层海洋</w:t>
        </w:r>
      </w:hyperlink>
    </w:p>
    <w:p>
      <w:pPr>
        <w:spacing w:before="0" w:after="80"/>
      </w:pPr>
      <w:r>
        <w:rPr>
          <w:i/>
          <w:sz w:val="20"/>
        </w:rPr>
        <w:t>EN: Characterization of phytoplankton-excreted metabolites mediating carbon flux through the surface ocean</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85">
        <w:r>
          <w:rPr>
            <w:color w:val="1155CC"/>
            <w:u w:val="single"/>
          </w:rPr>
          <w:t>10.1073/pnas.2531765123</w:t>
        </w:r>
      </w:hyperlink>
    </w:p>
    <w:p>
      <w:pPr>
        <w:spacing w:before="0" w:after="120"/>
      </w:pPr>
      <w:r>
        <w:rPr>
          <w:b/>
        </w:rPr>
        <w:t xml:space="preserve">Notes: </w:t>
      </w:r>
      <w:r>
        <w:t>abstract_source=crossref</w:t>
      </w:r>
    </w:p>
    <w:p>
      <w:pPr>
        <w:spacing w:before="0" w:after="80" w:lineRule="auto" w:line="276"/>
      </w:pPr>
      <w:r>
        <w:rPr>
          <w:b/>
        </w:rPr>
        <w:t xml:space="preserve">摘要（ZH）: </w:t>
      </w:r>
      <w:r>
        <w:t>海洋易降解溶解有机碳（DOC）库是一个动态的储存库，包含数千种分子，大约在几天到几周内循环地球初级生产的四分之一。浮游植物和其他微生物排泄后，代谢物被迅速消耗，导致低的现存浓度（皮摩尔到低纳摩尔）。尽管几十年来一直在寻找易降解DOC的来源和分子身份，但海洋浮游植物的外代谢组尚未得到很好的表征，主要是由于在盐水中测量小极性分子的困难。在此，我们分析了六种无菌浮游植物物种的外代谢组，这些物种代表了关键的功能群，包括一个硅藻（Thalassiosira pseudonana CCMP1335），一个微型真核生物（</w:t>
      </w:r>
    </w:p>
    <w:p>
      <w:pPr>
        <w:spacing w:before="0" w:after="200" w:lineRule="auto" w:line="276"/>
      </w:pPr>
      <w:r>
        <w:rPr>
          <w:b/>
        </w:rPr>
        <w:t xml:space="preserve">Abstract (EN): </w:t>
      </w:r>
      <w:r>
        <w:t>The marine labile dissolved organic carbon (DOC) pool is a dynamic reservoir of thousands of molecules that cycles approximately one-quarter of Earth’s primary production within days to weeks. After excretion by phytoplankton and other microbes, metabolites are rapidly consumed, resulting in low standing concentrations (picomolar to low nanomolar). Despite the decades-long search for labile DOC sources and molecular identities, marine phytoplankton exometabolomes are not well characterized, largely due to difficulties in measuring small polar molecules in saline water. Here, we profiled the exometabolomes of six axenic phytoplankton species representing key functional groups including a diatom (</w:t>
      </w:r>
      <w:r>
        <w:t xml:space="preserve"> </w:t>
      </w:r>
      <w:r>
        <w:t>Thalassiosira pseudonana</w:t>
      </w:r>
      <w:r>
        <w:t xml:space="preserve"> </w:t>
      </w:r>
      <w:r>
        <w:t>CCMP1335), a picoeukaryote (</w:t>
      </w:r>
      <w:r>
        <w:t xml:space="preserve"> </w:t>
      </w:r>
      <w:r>
        <w:t>Micromonas commoda</w:t>
      </w:r>
      <w:r>
        <w:t xml:space="preserve"> </w:t>
      </w:r>
      <w:r>
        <w:t>RCC299), a coccolithophore (</w:t>
      </w:r>
      <w:r>
        <w:t xml:space="preserve"> </w:t>
      </w:r>
      <w:r>
        <w:t>Gephyrocapsa huxleyi</w:t>
      </w:r>
      <w:r>
        <w:t xml:space="preserve"> </w:t>
      </w:r>
      <w:r>
        <w:t>CCMP371), a diazotrophic cyanobacterium (</w:t>
      </w:r>
      <w:r>
        <w:t xml:space="preserve"> </w:t>
      </w:r>
      <w:r>
        <w:t>Crocosphaera watsonii</w:t>
      </w:r>
      <w:r>
        <w:t xml:space="preserve"> </w:t>
      </w:r>
      <w:r>
        <w:t>WH8501), and two picocyanobacteria (</w:t>
      </w:r>
      <w:r>
        <w:t xml:space="preserve"> </w:t>
      </w:r>
      <w:r>
        <w:t>Prochlorococcus marinus</w:t>
      </w:r>
      <w:r>
        <w:t xml:space="preserve"> </w:t>
      </w:r>
      <w:r>
        <w:t>MIT9301 and</w:t>
      </w:r>
      <w:r>
        <w:t xml:space="preserve"> </w:t>
      </w:r>
      <w:r>
        <w:t>Synechococcus</w:t>
      </w:r>
      <w:r>
        <w:t xml:space="preserve"> </w:t>
      </w:r>
      <w:r>
        <w:t>WH8102). From these cultures, we quantified 56 amine- and alcohol-containing exometabolites representing 11 compound classes which in sum comprised up to 23.4% of phytoplankton-excreted DOC. We estimated that these phytoplankton-derived exometabolites could supply up to 5% of the daily carbon quota of the dominant heterotrophic bacterium SAR11 in the surface ocean. Substantial variations in exometabolite identity and concentration across phytoplankton taxa underscore taxonomic diversity as a key driver in the supply and composition of labile DOC. This taxonomic variation predicts geographic and seasonal differences in the distribution of marine dissolved metabolites that underpin the cycling of labile DOC back to carbon dioxide (CO</w:t>
      </w:r>
      <w:r>
        <w:rPr>
          <w:vertAlign w:val="subscript"/>
        </w:rPr>
        <w:t>2</w:t>
      </w:r>
      <w:r>
        <w:t>). Overall, our work suggests that phytoplankton exometabolites are key chemical currencies that mediate significant carbon fluxes within the ocean’s carbon cycle.</w:t>
      </w:r>
    </w:p>
    <w:p>
      <w:pPr>
        <w:spacing w:before="120" w:after="120"/>
      </w:pPr>
      <w:r>
        <w:rPr>
          <w:sz w:val="18"/>
        </w:rPr>
        <w:t>——————————————————————————————————————————————————————————————————————</w:t>
      </w:r>
    </w:p>
    <w:p>
      <w:pPr>
        <w:spacing w:before="160" w:after="40" w:line="240" w:lineRule="auto"/>
      </w:pPr>
      <w:r>
        <w:rPr>
          <w:b/>
        </w:rPr>
        <w:t xml:space="preserve">[194] </w:t>
      </w:r>
      <w:hyperlink r:id="rId586">
        <w:r>
          <w:rPr>
            <w:color w:val="1155CC"/>
            <w:u w:val="single"/>
          </w:rPr>
          <w:t>何时更高的信贷降低森林面积？亚马逊背景改变信贷的影响</w:t>
        </w:r>
      </w:hyperlink>
    </w:p>
    <w:p>
      <w:pPr>
        <w:spacing w:before="0" w:after="80"/>
      </w:pPr>
      <w:r>
        <w:rPr>
          <w:i/>
          <w:sz w:val="20"/>
        </w:rPr>
        <w:t>EN: When does higher credit lower forest area? Amazon contexts change credit’s impacts</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87">
        <w:r>
          <w:rPr>
            <w:color w:val="1155CC"/>
            <w:u w:val="single"/>
          </w:rPr>
          <w:t>10.1073/pnas.2516366123</w:t>
        </w:r>
      </w:hyperlink>
    </w:p>
    <w:p>
      <w:pPr>
        <w:spacing w:before="0" w:after="120"/>
      </w:pPr>
      <w:r>
        <w:rPr>
          <w:b/>
        </w:rPr>
        <w:t xml:space="preserve">Notes: </w:t>
      </w:r>
      <w:r>
        <w:t>abstract_source=crossref</w:t>
      </w:r>
    </w:p>
    <w:p>
      <w:pPr>
        <w:spacing w:before="0" w:after="80" w:lineRule="auto" w:line="276"/>
      </w:pPr>
      <w:r>
        <w:rPr>
          <w:b/>
        </w:rPr>
        <w:t xml:space="preserve">摘要（ZH）: </w:t>
      </w:r>
      <w:r>
        <w:t>经济活动已经改变了地球表面的超过一半，大规模的农村森林向农业生产的转变仍在继续。提高信贷获取可能导致生产者以森林为代价进行扩张，或者相反，投资以提高产量，从而减少每单位产出的森林损失。纵观巴西广袤的亚马逊地区，我们发现不同的地方背景在信贷的哪种效应占主导方面存在极大的差异。我们使用影响牛和作物生产的因素来区分这些背景。对于这两种产出，我们发现不同背景下信贷的影响不同。在牧场扩展到原生森林的远边界，牛信贷增加了森林砍伐。在农场扩展到牧场和森林残余的地方，作物信贷增加了森林砍伐。未完</w:t>
      </w:r>
    </w:p>
    <w:p>
      <w:pPr>
        <w:spacing w:before="0" w:after="200" w:lineRule="auto" w:line="276"/>
      </w:pPr>
      <w:r>
        <w:rPr>
          <w:b/>
        </w:rPr>
        <w:t xml:space="preserve">Abstract (EN): </w:t>
      </w:r>
      <w:r>
        <w:t>Economic activities have transformed over half of the Earth’s surface and the large-scale conversion of rural forests to agropastoral production is ongoing. Raising access to credit may lead producers to expand at the expense of the forest or, instead, invest to raise yields, reducing forest loss per unit output. Looking across Brazil’s enormous Amazon, we show that extremely different local contexts differ in terms of which effect of credit dominates. We distinguish those contexts using factors that affect cattle and crop production. For each of these two outputs, we find distinct credit impacts by context. Cattle credit raises deforestation where pasture expands over native forest on far frontiers. Crop credit raises deforestation where farms expand over pasture and forest remnants. Understanding impacts heterogeneity can help to reduce losses of rural forests, even while credit is supporting local economies.</w:t>
      </w:r>
    </w:p>
    <w:p>
      <w:pPr>
        <w:spacing w:before="120" w:after="120"/>
      </w:pPr>
      <w:r>
        <w:rPr>
          <w:sz w:val="18"/>
        </w:rPr>
        <w:t>——————————————————————————————————————————————————————————————————————</w:t>
      </w:r>
    </w:p>
    <w:p>
      <w:pPr>
        <w:spacing w:before="160" w:after="40" w:line="240" w:lineRule="auto"/>
      </w:pPr>
      <w:r>
        <w:rPr>
          <w:b/>
        </w:rPr>
        <w:t xml:space="preserve">[195] </w:t>
      </w:r>
      <w:hyperlink r:id="rId588">
        <w:r>
          <w:rPr>
            <w:color w:val="1155CC"/>
            <w:u w:val="single"/>
          </w:rPr>
          <w:t>结核分枝杆菌长链酰基辅酶A羧化酶复合物的底物特异性和MSMEG_0435-0436结合的结构基础</w:t>
        </w:r>
      </w:hyperlink>
    </w:p>
    <w:p>
      <w:pPr>
        <w:spacing w:before="0" w:after="80"/>
      </w:pPr>
      <w:r>
        <w:rPr>
          <w:i/>
          <w:sz w:val="20"/>
        </w:rPr>
        <w:t>EN: Structural basis for substrate specificity and MSMEG_0435-0436 binding by the mycobacterial long-chain acyl-CoA carboxylase complex</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89">
        <w:r>
          <w:rPr>
            <w:color w:val="1155CC"/>
            <w:u w:val="single"/>
          </w:rPr>
          <w:t>10.1073/pnas.2530575123</w:t>
        </w:r>
      </w:hyperlink>
    </w:p>
    <w:p>
      <w:pPr>
        <w:spacing w:before="0" w:after="120"/>
      </w:pPr>
      <w:r>
        <w:rPr>
          <w:b/>
        </w:rPr>
        <w:t xml:space="preserve">Notes: </w:t>
      </w:r>
      <w:r>
        <w:t>abstract_source=crossref</w:t>
      </w:r>
    </w:p>
    <w:p>
      <w:pPr>
        <w:spacing w:before="0" w:after="80" w:lineRule="auto" w:line="276"/>
      </w:pPr>
      <w:r>
        <w:rPr>
          <w:b/>
        </w:rPr>
        <w:t xml:space="preserve">摘要（ZH）: </w:t>
      </w:r>
      <w:r>
        <w:t>分枝菌酸的存在是分枝杆菌细胞壁的一个定义特征，它为许多抗生素提供了一个高度不透水的屏障。这种脂肪酸以及结核硬脂酸的生物合成需要由必需的长链酰辅酶A（CoA）羧化酶（LCC）复合物产生的前体分子。LCC复合物催化长链酰-CoA的α-碳羧化，也催化短链乙酰-CoA和丙酰-CoA的羧化。该复合物包括含有生物素羧化酶（BC）结构域和生物素羧化载体蛋白（BCCP）结构域的亚基AccA3，长链酰-CoA羧基转移酶AccD4，短链酰-CoA羧基转移酶AccD5，以及未完全表征的蛋白质AccE。我们使用电子冷冻显微镜（cryo-EM）来</w:t>
      </w:r>
    </w:p>
    <w:p>
      <w:pPr>
        <w:spacing w:before="0" w:after="200" w:lineRule="auto" w:line="276"/>
      </w:pPr>
      <w:r>
        <w:rPr>
          <w:b/>
        </w:rPr>
        <w:t xml:space="preserve">Abstract (EN): </w:t>
      </w:r>
      <w:r>
        <w:t>The presence of mycolic acid is a defining feature of the mycobacterial cell wall, which provides a highly impermeable barrier to many antibiotics. Biosynthesis of this fatty acid, as well as tuberculostearic acid, requires precursor molecules produced by the essential long-chain acyl-coenzyme A (CoA) carboxylase (LCC) complex. The LCC complex catalyzes carboxylation of the α-carbon of long-chain acyl-CoA, but also short-chain acetyl-CoA and propionyl-CoA. The complex includes the subunits AccA3, which contains a biotin carboxylase (BC) domain and a biotin carboxyl carrier protein (BCCP) domain, the long-chain acyl-CoA carboxyltransferase AccD4, the short-chain acyl-CoA carboxyltransferase AccD5, and the incompletely characterized protein AccE. We used electron cryomicroscopy (cryo-EM) to determine structures of the LCC complex from</w:t>
      </w:r>
      <w:r>
        <w:t xml:space="preserve"> </w:t>
      </w:r>
      <w:r>
        <w:t>Mycobacterium</w:t>
      </w:r>
      <w:r>
        <w:t xml:space="preserve"> </w:t>
      </w:r>
      <w:r>
        <w:t>smegmatis</w:t>
      </w:r>
      <w:r>
        <w:t xml:space="preserve"> </w:t>
      </w:r>
      <w:r>
        <w:t>. In the structures, two AccE subunits tether eight AccA3 subunits to an AccD4</w:t>
      </w:r>
      <w:r>
        <w:rPr>
          <w:vertAlign w:val="subscript"/>
        </w:rPr>
        <w:t>2</w:t>
      </w:r>
      <w:r>
        <w:t>AccD5</w:t>
      </w:r>
      <w:r>
        <w:rPr>
          <w:vertAlign w:val="subscript"/>
        </w:rPr>
        <w:t>4</w:t>
      </w:r>
      <w:r>
        <w:t>heterohexamer core. Cryo-EM of the enzyme during catalysis reveals how AccD4 and AccD5 achieve substrate specificity, with AccD5 binding tightly to CoA and AccD4 binding long acyl chains. The BCCP domains of AccA3 undergo long-distance translocation to transfer a carboxyl group from the BC domain of AccA3 to the acyl-CoA substrate bound in AccD5. Further, we find that two copies of a protein complex formed from MSMEG_0435 and MSMEG_0436 can bind the LCC complex, sequestering the biotin moiety of BCCP domains near AccD5 and decreasing propionyl-CoA carboxylase activity. Rv0263c, the</w:t>
      </w:r>
      <w:r>
        <w:t xml:space="preserve"> </w:t>
      </w:r>
      <w:r>
        <w:t>Mycobacterium tuberculosis</w:t>
      </w:r>
      <w:r>
        <w:t xml:space="preserve"> </w:t>
      </w:r>
      <w:r>
        <w:t>ortholog of MSMEG_0435, has a role in bacterial survival during transmission, suggesting that these proteins may regulate production of branched fatty acid precursors for the mycobacterial cell wall.</w:t>
      </w:r>
    </w:p>
    <w:p>
      <w:pPr>
        <w:spacing w:before="120" w:after="120"/>
      </w:pPr>
      <w:r>
        <w:rPr>
          <w:sz w:val="18"/>
        </w:rPr>
        <w:t>——————————————————————————————————————————————————————————————————————</w:t>
      </w:r>
    </w:p>
    <w:p>
      <w:pPr>
        <w:spacing w:before="160" w:after="40" w:line="240" w:lineRule="auto"/>
      </w:pPr>
      <w:r>
        <w:rPr>
          <w:b/>
        </w:rPr>
        <w:t xml:space="preserve">[196] </w:t>
      </w:r>
      <w:hyperlink r:id="rId590">
        <w:r>
          <w:rPr>
            <w:color w:val="1155CC"/>
            <w:u w:val="single"/>
          </w:rPr>
          <w:t>用于抗菌治疗的重编程SimCells</w:t>
        </w:r>
      </w:hyperlink>
    </w:p>
    <w:p>
      <w:pPr>
        <w:spacing w:before="0" w:after="80"/>
      </w:pPr>
      <w:r>
        <w:rPr>
          <w:i/>
          <w:sz w:val="20"/>
        </w:rPr>
        <w:t>EN: Reprogrammed SimCells for antimicrobial therapy</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91">
        <w:r>
          <w:rPr>
            <w:color w:val="1155CC"/>
            <w:u w:val="single"/>
          </w:rPr>
          <w:t>10.1073/pnas.2517118123</w:t>
        </w:r>
      </w:hyperlink>
    </w:p>
    <w:p>
      <w:pPr>
        <w:spacing w:before="0" w:after="120"/>
      </w:pPr>
      <w:r>
        <w:rPr>
          <w:b/>
        </w:rPr>
        <w:t xml:space="preserve">Notes: </w:t>
      </w:r>
      <w:r>
        <w:t>abstract_source=crossref</w:t>
      </w:r>
    </w:p>
    <w:p>
      <w:pPr>
        <w:spacing w:before="0" w:after="80" w:lineRule="auto" w:line="276"/>
      </w:pPr>
      <w:r>
        <w:rPr>
          <w:b/>
        </w:rPr>
        <w:t xml:space="preserve">摘要（ZH）: </w:t>
      </w:r>
      <w:r>
        <w:t>抗菌素耐药性（AMR）是一个全球性的重大健康挑战。在这项研究中，我们开发了一个基于无染色体和不复制的简单细胞（SimCells，大小1到2 µm）和迷你SimCells（大小100到400 nm）的平台，用于靶向病原体消除。通过表面展示纳米抗体进行工程化，SimCells和迷你SimCells选择性结合表达特定抗原的细菌（例如，</w:t>
      </w:r>
      <w:r>
        <w:t xml:space="preserve"> </w:t>
      </w:r>
      <w:r>
        <w:t>大肠杆菌</w:t>
      </w:r>
      <w:r>
        <w:t xml:space="preserve"> </w:t>
      </w:r>
      <w:r>
        <w:t>中的OmpA）。这种选择性相互作用促进了SimCell与病原体的紧密接触，从而实现两种抗菌机制：通过异源表达VI型分泌系统（T6SS）直接将有毒效应物注入细菌细胞质，以及通过工程化水杨酸羟化酶将阿司匹林酶转化为儿茶酚，导致</w:t>
      </w:r>
    </w:p>
    <w:p>
      <w:pPr>
        <w:spacing w:before="0" w:after="200" w:lineRule="auto" w:line="276"/>
      </w:pPr>
      <w:r>
        <w:rPr>
          <w:b/>
        </w:rPr>
        <w:t xml:space="preserve">Abstract (EN): </w:t>
      </w:r>
      <w:r>
        <w:t>Antimicrobial resistance (AMR) is a critical global health challenge. In this study, we developed a platform based on chromosome-free and nonreplicating simple cells (SimCells, size 1 to 2 µm) and mini-SimCells (size 100 to 400 nm) for targeted pathogen elimination. Engineered with surface-displayed nanobodies, SimCells and mini-SimCells selectively bind bacteria expressing specific antigens (e.g., OmpA in</w:t>
      </w:r>
      <w:r>
        <w:t xml:space="preserve"> </w:t>
      </w:r>
      <w:r>
        <w:t>Escherichia coli</w:t>
      </w:r>
      <w:r>
        <w:t xml:space="preserve"> </w:t>
      </w:r>
      <w:r>
        <w:t>). The selective interactions facilitate close SimCell-pathogen proximity, enabling two antimicrobial mechanisms: direct injection of toxic effectors into bacterial cytoplasm via a heterologous expression of type VI secretion system (T6SS), and enzymatic conversion of aspirin into catechol by engineered salicylate hydroxylase, leading to sustained local production of hydrogen peroxide (H</w:t>
      </w:r>
      <w:r>
        <w:rPr>
          <w:vertAlign w:val="subscript"/>
        </w:rPr>
        <w:t>2</w:t>
      </w:r>
      <w:r>
        <w:t>O</w:t>
      </w:r>
      <w:r>
        <w:rPr>
          <w:vertAlign w:val="subscript"/>
        </w:rPr>
        <w:t>2</w:t>
      </w:r>
      <w:r>
        <w:t>). Our results demonstrate that both reprogrammed SimCells and mini-SimCells can eliminate target</w:t>
      </w:r>
      <w:r>
        <w:t xml:space="preserve"> </w:t>
      </w:r>
      <w:r>
        <w:t>E. coli</w:t>
      </w:r>
      <w:r>
        <w:t xml:space="preserve"> </w:t>
      </w:r>
      <w:r>
        <w:t>with high specificity and efficiency. Multidose reprogrammed mini-SimCell treatment led to a 10</w:t>
      </w:r>
      <w:r>
        <w:rPr>
          <w:vertAlign w:val="subscript"/>
        </w:rPr>
        <w:t>3</w:t>
      </w:r>
      <w:r>
        <w:t>-fold selective reduction of targeted bacteria in mixed microbial communities, with minimal disruption to nontarget bacteria. We demonstrate that reprogrammed mini-SimCells, engineered with nanobody targeting outer membrane protein OmpA of the clinically relevant multidrug-resistant pathogen</w:t>
      </w:r>
      <w:r>
        <w:t xml:space="preserve"> </w:t>
      </w:r>
      <w:r>
        <w:t>E. coli</w:t>
      </w:r>
      <w:r>
        <w:t xml:space="preserve"> </w:t>
      </w:r>
      <w:r>
        <w:t>ST131, achieved elimination efficiencies over 97% at 24 and 48 h. This modularized “plug-and-play” antimicrobial platform provides a highly specific, efficient, and adaptable solution for combating diverse AMR pathogens.</w:t>
      </w:r>
    </w:p>
    <w:p>
      <w:pPr>
        <w:spacing w:before="120" w:after="120"/>
      </w:pPr>
      <w:r>
        <w:rPr>
          <w:sz w:val="18"/>
        </w:rPr>
        <w:t>——————————————————————————————————————————————————————————————————————</w:t>
      </w:r>
    </w:p>
    <w:p>
      <w:pPr>
        <w:spacing w:before="160" w:after="40" w:line="240" w:lineRule="auto"/>
      </w:pPr>
      <w:r>
        <w:rPr>
          <w:b/>
        </w:rPr>
        <w:t xml:space="preserve">[197] </w:t>
      </w:r>
      <w:hyperlink r:id="rId592">
        <w:r>
          <w:rPr>
            <w:color w:val="1155CC"/>
            <w:u w:val="single"/>
          </w:rPr>
          <w:t>基于单聚合物纤维的超灵敏和多功能柔性微传感器通过节肢动物启发的裂纹螺旋耦合</w:t>
        </w:r>
      </w:hyperlink>
    </w:p>
    <w:p>
      <w:pPr>
        <w:spacing w:before="0" w:after="80"/>
      </w:pPr>
      <w:r>
        <w:rPr>
          <w:i/>
          <w:sz w:val="20"/>
        </w:rPr>
        <w:t>EN: Single polymer fiber–based ultrasensitive and multifunctional flexible microsensor via arthropod-inspired crack-helix coupling</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93">
        <w:r>
          <w:rPr>
            <w:color w:val="1155CC"/>
            <w:u w:val="single"/>
          </w:rPr>
          <w:t>10.1073/pnas.2529908123</w:t>
        </w:r>
      </w:hyperlink>
    </w:p>
    <w:p>
      <w:pPr>
        <w:spacing w:before="0" w:after="120"/>
      </w:pPr>
      <w:r>
        <w:rPr>
          <w:b/>
        </w:rPr>
        <w:t xml:space="preserve">Notes: </w:t>
      </w:r>
      <w:r>
        <w:t>abstract_source=crossref</w:t>
      </w:r>
    </w:p>
    <w:p>
      <w:pPr>
        <w:spacing w:before="0" w:after="80" w:lineRule="auto" w:line="276"/>
      </w:pPr>
      <w:r>
        <w:rPr>
          <w:b/>
        </w:rPr>
        <w:t xml:space="preserve">摘要（ZH）: </w:t>
      </w:r>
      <w:r>
        <w:t>具有微型尺寸（&lt; 100 μm）、优越灵敏度[灵敏度因子（GF）&gt; 10</w:t>
      </w:r>
      <w:r>
        <w:rPr>
          <w:vertAlign w:val="subscript"/>
        </w:rPr>
        <w:t>3</w:t>
      </w:r>
      <w:r>
        <w:t>]和卓越环境稳定性（&gt; 10</w:t>
      </w:r>
      <w:r>
        <w:rPr>
          <w:vertAlign w:val="subscript"/>
        </w:rPr>
        <w:t>4</w:t>
      </w:r>
      <w:r>
        <w:t>次使用）的柔性微传感器已广泛应用于现代软电子学中，如可植入健康监测和软体机器人。然而，考虑到复杂制造和复杂功能的极其有限空间，将这些卓越特性集成到微设备中是相当具有挑战性的。受节肢动物微尺度传感系统的启发，这项工作展示了一种独特的裂纹螺旋软微传感器（CHMS），位于单一聚合物微纤维中。该微设备成功结合了裂缝和毛发的结构优势</w:t>
      </w:r>
    </w:p>
    <w:p>
      <w:pPr>
        <w:spacing w:before="0" w:after="200" w:lineRule="auto" w:line="276"/>
      </w:pPr>
      <w:r>
        <w:rPr>
          <w:b/>
        </w:rPr>
        <w:t xml:space="preserve">Abstract (EN): </w:t>
      </w:r>
      <w:r>
        <w:t>Flexible microsensors featuring miniature dimensions (&amp;lt; 100 μm), superior sensitivity [Gauge factor (GF) &amp;gt; 10</w:t>
      </w:r>
      <w:r>
        <w:rPr>
          <w:vertAlign w:val="subscript"/>
        </w:rPr>
        <w:t>3</w:t>
      </w:r>
      <w:r>
        <w:t>], and phenomenal environmental stability (&amp;gt; 10</w:t>
      </w:r>
      <w:r>
        <w:rPr>
          <w:vertAlign w:val="subscript"/>
        </w:rPr>
        <w:t>4</w:t>
      </w:r>
      <w:r>
        <w:t>uses) have been broadly applied in modern soft electronics such as implantable health monitoring and soft robotics. However, it is quite challenging to integrate these distinguished features in a microdevice considering the extremely limited space for the complicated fabrication and complex functionalities. Inspired by microscale sensing systems in arthropods, this work presents a unique crack-helix soft microsensor (CHMS) within a single polymer microfiber. This microdevice successfully combines the structural advantages of both slit and hair sensors in arthropods through convenient depositing a thin layer (thickness: 2.5 μm) of biphasic liquid metals on a single microfiber (diameter: 80 μm). The microsensor presents unique frequency detection capability as arthropods (resolution: 0.01 Hz, &amp;gt; 1,088 Hz), ultrahigh sensitivity (GF &amp;gt; 2,711 ± 119), astonishing detection limit (0.05% strain and 0.2 mN), and excellent sensing durability (over 50,000 cycles), which are among the best of currently reported soft sensors. Furthermore, analogous to natural arthropods, CHMS shows different multifunctional environmental perception capability to precisely recognize subtle vibration under water or ground (amplitude &amp;lt; 70 μm) and extremely rarefied airflow (ultralow mass flux: 2.2 × 10</w:t>
      </w:r>
      <w:r>
        <w:t xml:space="preserve"> </w:t>
      </w:r>
      <w:r>
        <w:t>−4</w:t>
      </w:r>
      <w:r>
        <w:t xml:space="preserve"> </w:t>
      </w:r>
      <w:r>
        <w:t>g/s·cm</w:t>
      </w:r>
      <w:r>
        <w:rPr>
          <w:vertAlign w:val="subscript"/>
        </w:rPr>
        <w:t>2</w:t>
      </w:r>
      <w:r>
        <w:t>).</w:t>
      </w:r>
    </w:p>
    <w:p>
      <w:pPr>
        <w:spacing w:before="120" w:after="120"/>
      </w:pPr>
      <w:r>
        <w:rPr>
          <w:sz w:val="18"/>
        </w:rPr>
        <w:t>——————————————————————————————————————————————————————————————————————</w:t>
      </w:r>
    </w:p>
    <w:p>
      <w:pPr>
        <w:spacing w:before="160" w:after="40" w:line="240" w:lineRule="auto"/>
      </w:pPr>
      <w:r>
        <w:rPr>
          <w:b/>
        </w:rPr>
        <w:t xml:space="preserve">[198] </w:t>
      </w:r>
      <w:hyperlink r:id="rId594">
        <w:r>
          <w:rPr>
            <w:color w:val="1155CC"/>
            <w:u w:val="single"/>
          </w:rPr>
          <w:t>ATP13A2限制巨噬细胞NLRP3炎性小体的激活，通过调节线粒体稳态抑制神经退行性变</w:t>
        </w:r>
      </w:hyperlink>
    </w:p>
    <w:p>
      <w:pPr>
        <w:spacing w:before="0" w:after="80"/>
      </w:pPr>
      <w:r>
        <w:rPr>
          <w:i/>
          <w:sz w:val="20"/>
        </w:rPr>
        <w:t>EN: ATP13A2 restrains macrophage NLRP3 inflammasome activation to repress neurodegeneration via modulating mitochondrial homeostasis</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95">
        <w:r>
          <w:rPr>
            <w:color w:val="1155CC"/>
            <w:u w:val="single"/>
          </w:rPr>
          <w:t>10.1073/pnas.2534066123</w:t>
        </w:r>
      </w:hyperlink>
    </w:p>
    <w:p>
      <w:pPr>
        <w:spacing w:before="0" w:after="120"/>
      </w:pPr>
      <w:r>
        <w:rPr>
          <w:b/>
        </w:rPr>
        <w:t xml:space="preserve">Notes: </w:t>
      </w:r>
      <w:r>
        <w:t>abstract_source=crossref</w:t>
      </w:r>
    </w:p>
    <w:p>
      <w:pPr>
        <w:spacing w:before="0" w:after="80" w:lineRule="auto" w:line="276"/>
      </w:pPr>
      <w:r>
        <w:rPr>
          <w:b/>
        </w:rPr>
        <w:t xml:space="preserve">摘要（ZH）: </w:t>
      </w:r>
      <w:r>
        <w:t>神经免疫交叉在帕金森病（PD）中越来越受到重视，而ATP13A2因其神经保护作用而闻名。然而，目前尚不清楚PD患者携带的</w:t>
      </w:r>
      <w:r>
        <w:t xml:space="preserve"> </w:t>
      </w:r>
      <w:r>
        <w:t>ATP13A2</w:t>
      </w:r>
      <w:r>
        <w:t xml:space="preserve"> </w:t>
      </w:r>
      <w:r>
        <w:t>突变是否会导致免疫功能障碍，从而加剧疾病进展。在此，我们系统地证明了许多</w:t>
      </w:r>
      <w:r>
        <w:t xml:space="preserve"> </w:t>
      </w:r>
      <w:r>
        <w:t>ATP13A2</w:t>
      </w:r>
      <w:r>
        <w:t xml:space="preserve"> </w:t>
      </w:r>
      <w:r>
        <w:t>突变导致表达丧失表型。ATP13A2在巨噬细胞中高度表达。髓系ATP13A2缺乏导致由溶酶体碱化驱动的NLRP3炎症小体失控激活以及随后的线粒体稳态破坏，使小鼠易患PD样表型。与PD相关的</w:t>
      </w:r>
      <w:r>
        <w:t xml:space="preserve"> </w:t>
      </w:r>
      <w:r>
        <w:t>ATP13A2</w:t>
      </w:r>
      <w:r>
        <w:t xml:space="preserve"> </w:t>
      </w:r>
      <w:r>
        <w:t>表达丧失</w:t>
      </w:r>
    </w:p>
    <w:p>
      <w:pPr>
        <w:spacing w:before="0" w:after="200" w:lineRule="auto" w:line="276"/>
      </w:pPr>
      <w:r>
        <w:rPr>
          <w:b/>
        </w:rPr>
        <w:t xml:space="preserve">Abstract (EN): </w:t>
      </w:r>
      <w:r>
        <w:t>Neuro-immune crosstalk is increasingly recognized in Parkinson’s disease (PD), and ATP13A2 is well known for its neuroprotective role. However, it remains unclear whether</w:t>
      </w:r>
      <w:r>
        <w:t xml:space="preserve"> </w:t>
      </w:r>
      <w:r>
        <w:t>ATP13A2</w:t>
      </w:r>
      <w:r>
        <w:t xml:space="preserve"> </w:t>
      </w:r>
      <w:r>
        <w:t>mutations carried by PD patients contribute to immune dysfunction that exacerbates disease progression. Here, we systematically demonstrate that many</w:t>
      </w:r>
      <w:r>
        <w:t xml:space="preserve"> </w:t>
      </w:r>
      <w:r>
        <w:t>ATP13A2</w:t>
      </w:r>
      <w:r>
        <w:t xml:space="preserve"> </w:t>
      </w:r>
      <w:r>
        <w:t>mutations result in a loss-of-expression phenotype. ATP13A2 is highly expressed in macrophages. Myeloid ATP13A2 deficiency causes uncontrolled NLRP3 inflammasome activation driven by lysosomal alkalization and subsequent disrupted mitochondrial homeostasis, rendering mice susceptible to a PD-like phenotype. PD-linked</w:t>
      </w:r>
      <w:r>
        <w:t xml:space="preserve"> </w:t>
      </w:r>
      <w:r>
        <w:t>ATP13A2</w:t>
      </w:r>
      <w:r>
        <w:t xml:space="preserve"> </w:t>
      </w:r>
      <w:r>
        <w:t>loss-of-expression mutants fail to restore the ATP13A2 levels required to suppress NLRP3 hyperactivation in ATP13A2-depleted human THP-1 monocytes. Macrophages from a PD patient carrying the</w:t>
      </w:r>
      <w:r>
        <w:t xml:space="preserve"> </w:t>
      </w:r>
      <w:r>
        <w:t>ATP13A2</w:t>
      </w:r>
      <w:r>
        <w:t xml:space="preserve"> </w:t>
      </w:r>
      <w:r>
        <w:t>loss-of-expression L927P mutation exhibit excessive NLRP3 activation due to lysosomal-mitochondrial dysfunction. Our findings provide insight into PD pathogenesis, emphasizing genetic factor-driven dysregulated macrophage NLRP3 activation, particularly in</w:t>
      </w:r>
      <w:r>
        <w:t xml:space="preserve"> </w:t>
      </w:r>
      <w:r>
        <w:t>ATP13A2</w:t>
      </w:r>
      <w:r>
        <w:t xml:space="preserve"> </w:t>
      </w:r>
      <w:r>
        <w:t>loss-of-expression mutation cases.</w:t>
      </w:r>
    </w:p>
    <w:p>
      <w:pPr>
        <w:spacing w:before="120" w:after="120"/>
      </w:pPr>
      <w:r>
        <w:rPr>
          <w:sz w:val="18"/>
        </w:rPr>
        <w:t>——————————————————————————————————————————————————————————————————————</w:t>
      </w:r>
    </w:p>
    <w:p>
      <w:pPr>
        <w:spacing w:before="160" w:after="40" w:line="240" w:lineRule="auto"/>
      </w:pPr>
      <w:r>
        <w:rPr>
          <w:b/>
        </w:rPr>
        <w:t xml:space="preserve">[199] </w:t>
      </w:r>
      <w:hyperlink r:id="rId596">
        <w:r>
          <w:rPr>
            <w:color w:val="1155CC"/>
            <w:u w:val="single"/>
          </w:rPr>
          <w:t>合成的SIGLEC9基嵌合开关受体增强CAR巨噬细胞对胶质母细胞瘤的疗效</w:t>
        </w:r>
      </w:hyperlink>
    </w:p>
    <w:p>
      <w:pPr>
        <w:spacing w:before="0" w:after="80"/>
      </w:pPr>
      <w:r>
        <w:rPr>
          <w:i/>
          <w:sz w:val="20"/>
        </w:rPr>
        <w:t>EN: Synthetic SIGLEC9-based chimeric switch receptor augments the efficacy of CAR macrophages against glioblastoma</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97">
        <w:r>
          <w:rPr>
            <w:color w:val="1155CC"/>
            <w:u w:val="single"/>
          </w:rPr>
          <w:t>10.1073/pnas.2519819123</w:t>
        </w:r>
      </w:hyperlink>
    </w:p>
    <w:p>
      <w:pPr>
        <w:spacing w:before="0" w:after="120"/>
      </w:pPr>
      <w:r>
        <w:rPr>
          <w:b/>
        </w:rPr>
        <w:t xml:space="preserve">Notes: </w:t>
      </w:r>
      <w:r>
        <w:t>abstract_source=crossref</w:t>
      </w:r>
    </w:p>
    <w:p>
      <w:pPr>
        <w:spacing w:before="0" w:after="80" w:lineRule="auto" w:line="276"/>
      </w:pPr>
      <w:r>
        <w:rPr>
          <w:b/>
        </w:rPr>
        <w:t xml:space="preserve">摘要（ZH）: </w:t>
      </w:r>
      <w:r>
        <w:t>嵌合抗原受体巨噬细胞（CAR-M）疗法代表了一种有前途的治疗多形性胶质母细胞瘤（GBM）的治疗方法。然而，CAR-Ms的持久抗肿瘤巨噬细胞表型受到高度免疫抑制的肿瘤微环境（TME）的限制，其中Siglec-唾液酸信号直接驱动巨噬细胞极化向促肿瘤表型转变。我们在此报告了一种基于SIGLEC9的嵌合开关受体（CSR）的原位合成，用于将抑制信号转化为积极信号，增强CAR-Ms在GBM环境中的持续促炎表型和杀瘤免疫力。具体而言，我们的结果显示，靶向巨噬细胞的可离子化脂质纳米颗粒有效地将双环状RNA引入巨噬细胞以生成CSR功能化</w:t>
      </w:r>
    </w:p>
    <w:p>
      <w:pPr>
        <w:spacing w:before="0" w:after="200" w:lineRule="auto" w:line="276"/>
      </w:pPr>
      <w:r>
        <w:rPr>
          <w:b/>
        </w:rPr>
        <w:t xml:space="preserve">Abstract (EN): </w:t>
      </w:r>
      <w:r>
        <w:t>Chimeric antigen receptor macrophage (CAR-M) therapy represents a promising therapeutic approach for treating glioblastoma multiforme (GBM). However, durable antitumorigenic macrophage phenotype of CAR-Ms is limited by the highly immunosuppressive tumor microenvironment (TME), wherein Siglec–sialic acid signaling directly drives macrophage polarization toward a protumorigenic phenotype. We here report an in situ synthetic SIGLEC9-based chimeric switch receptor (CSR) for diverting the inhibitory signal into positive ones, augmenting the sustained proinflammatory phenotype and tumoricidal immunity of CAR-Ms in the GBM niche. Specifically, our results showed that macrophage-targeted ionizable lipid nanoparticles efficiently introduce dual circRNAs into macrophages to generate CSR functionalized CAR-Ms in vitro and in vivo. The modified macrophages maintained a proinflammatory state, exhibited superior phagocytic activity, resulting in rapid and efficient eradication of IL13Rα2-positive tumor cells. Moreover, an injectable nanoparticle–hydrogel system for reprogramming macrophages surrounding the glioma resection cavity initiated a locoregional antitumor immune response and elicited robust long-term immunological memory, inhibiting tumor relapse in the postoperative GBM model. In sum, our findings establish that the engineered SIGLEC9-based CSR significantly promotes the maintenance of an antitumoral phenotype of CAR-Ms in the hypersialylated acidic TME, contributing to the improvement of engineered macrophage-based immunotherapy against GBM.</w:t>
      </w:r>
    </w:p>
    <w:p>
      <w:pPr>
        <w:spacing w:before="120" w:after="120"/>
      </w:pPr>
      <w:r>
        <w:rPr>
          <w:sz w:val="18"/>
        </w:rPr>
        <w:t>——————————————————————————————————————————————————————————————————————</w:t>
      </w:r>
    </w:p>
    <w:p>
      <w:pPr>
        <w:spacing w:before="160" w:after="40" w:line="240" w:lineRule="auto"/>
      </w:pPr>
      <w:r>
        <w:rPr>
          <w:b/>
        </w:rPr>
        <w:t xml:space="preserve">[200] </w:t>
      </w:r>
      <w:hyperlink r:id="rId598">
        <w:r>
          <w:rPr>
            <w:color w:val="1155CC"/>
            <w:u w:val="single"/>
          </w:rPr>
          <w:t>TON1和FASS需要招募肌球蛋白VIII，这是一种细胞分裂引导因子</w:t>
        </w:r>
      </w:hyperlink>
    </w:p>
    <w:p>
      <w:pPr>
        <w:spacing w:before="0" w:after="80"/>
      </w:pPr>
      <w:r>
        <w:rPr>
          <w:i/>
          <w:sz w:val="20"/>
        </w:rPr>
        <w:t>EN: TON1 and FASS are required to recruit myosin VIII, a cell division guidance factor</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599">
        <w:r>
          <w:rPr>
            <w:color w:val="1155CC"/>
            <w:u w:val="single"/>
          </w:rPr>
          <w:t>10.1073/pnas.2524514123</w:t>
        </w:r>
      </w:hyperlink>
    </w:p>
    <w:p>
      <w:pPr>
        <w:spacing w:before="0" w:after="120"/>
      </w:pPr>
      <w:r>
        <w:rPr>
          <w:b/>
        </w:rPr>
        <w:t xml:space="preserve">Notes: </w:t>
      </w:r>
      <w:r>
        <w:t>abstract_source=crossref</w:t>
      </w:r>
    </w:p>
    <w:p>
      <w:pPr>
        <w:spacing w:before="0" w:after="80" w:lineRule="auto" w:line="276"/>
      </w:pPr>
      <w:r>
        <w:rPr>
          <w:b/>
        </w:rPr>
        <w:t xml:space="preserve">摘要（ZH）: </w:t>
      </w:r>
      <w:r>
        <w:t>由于植物细胞不能迁移，它们的位置相对于邻居是固定的。因此，新细胞板的放置对于确定细胞形状、细胞身份和组织模式至关重要。在此，我们展示了TONNEAU1（TON1），一种对前期带形成至关重要的蛋白质，即使在没有微管基前期带的细胞中，也在有丝分裂导向中发挥作用。TON1是一个包含TONNEAU2/FASS、蛋白磷酸酶2A（PP2A）和TON1招募基序（TRM）蛋白的复合体的一部分，称为TON1-TRM-PP2A（TTP）复合体。我们发现TON1特异性定位于分枝细胞的质膜上，沿着分枝相邻的细胞壁，在</w:t>
      </w:r>
      <w:r>
        <w:t xml:space="preserve"> </w:t>
      </w:r>
      <w:r>
        <w:t>Physcomitrium patens</w:t>
      </w:r>
      <w:r>
        <w:t xml:space="preserve"> </w:t>
      </w:r>
      <w:r>
        <w:t>幼年组织中。敲除</w:t>
      </w:r>
    </w:p>
    <w:p>
      <w:pPr>
        <w:spacing w:before="0" w:after="200" w:lineRule="auto" w:line="276"/>
      </w:pPr>
      <w:r>
        <w:rPr>
          <w:b/>
        </w:rPr>
        <w:t xml:space="preserve">Abstract (EN): </w:t>
      </w:r>
      <w:r>
        <w:t>Because plant cells cannot migrate, their position is fixed with respect to their neighbors. Thus, placement of the new cell plate is critical for determining cell shape, cell identity, and tissue patterning. Here, we show that TONNEAU1 (TON1), a protein essential for preprophase band formation, plays a role in phragmoplast guidance even in cells that do not have a microtubule-based preprophase band. TON1 is part of a complex that contains TONNEAU2/FASS, PROTEIN PHOSPHATASE 2A (PP2A), and the TON1 RECRUITING MOTIF (TRM) proteins, known as the TON1-TRM-PP2A (TTP) complex. We found that TON1 localizes specifically to the plasma membrane along the branch-adjacent wall in a branching cell in</w:t>
      </w:r>
      <w:r>
        <w:t xml:space="preserve"> </w:t>
      </w:r>
      <w:r>
        <w:t>Physcomitrium patens</w:t>
      </w:r>
      <w:r>
        <w:t xml:space="preserve"> </w:t>
      </w:r>
      <w:r>
        <w:t>juvenile tissue. Knocking out</w:t>
      </w:r>
      <w:r>
        <w:t xml:space="preserve"> </w:t>
      </w:r>
      <w:r>
        <w:t>FASS</w:t>
      </w:r>
      <w:r>
        <w:t xml:space="preserve"> </w:t>
      </w:r>
      <w:r>
        <w:t>does not affect TON1 localization, suggesting that TON1 recruitment to the plasma membrane is independent of FASS. A novel point mutation in TON1 disrupts dimerization and localization to the plasma membrane. In mutants lacking TTP function, myosin VIII localization is altered, resulting in phragmoplast guidance defects. Our data suggest a model whereby myosin VIII guides the phragmoplast in a TTP-dependent manner to the branch-adjacent wall facilitating efficient insertion at that site.</w:t>
      </w:r>
    </w:p>
    <w:p>
      <w:pPr>
        <w:spacing w:before="120" w:after="120"/>
      </w:pPr>
      <w:r>
        <w:rPr>
          <w:sz w:val="18"/>
        </w:rPr>
        <w:t>——————————————————————————————————————————————————————————————————————</w:t>
      </w:r>
    </w:p>
    <w:p>
      <w:pPr>
        <w:spacing w:before="160" w:after="40" w:line="240" w:lineRule="auto"/>
      </w:pPr>
      <w:r>
        <w:rPr>
          <w:b/>
        </w:rPr>
        <w:t xml:space="preserve">[201] </w:t>
      </w:r>
      <w:hyperlink r:id="rId600">
        <w:r>
          <w:rPr>
            <w:color w:val="1155CC"/>
            <w:u w:val="single"/>
          </w:rPr>
          <w:t>拟南芥FRIENDLY (FMT)蛋白与NAC相互作用并决定核编码线粒体蛋白的翻译位置</w:t>
        </w:r>
      </w:hyperlink>
    </w:p>
    <w:p>
      <w:pPr>
        <w:spacing w:before="0" w:after="80"/>
      </w:pPr>
      <w:r>
        <w:rPr>
          <w:i/>
          <w:sz w:val="20"/>
        </w:rPr>
        <w:t>EN: The Arabidopsis FRIENDLY (FMT) protein interacts with NAC and determines where nuclear-encoded mitochondrial proteins are translated</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01">
        <w:r>
          <w:rPr>
            <w:color w:val="1155CC"/>
            <w:u w:val="single"/>
          </w:rPr>
          <w:t>10.1073/pnas.2521483123</w:t>
        </w:r>
      </w:hyperlink>
    </w:p>
    <w:p>
      <w:pPr>
        <w:spacing w:before="0" w:after="120"/>
      </w:pPr>
      <w:r>
        <w:rPr>
          <w:b/>
        </w:rPr>
        <w:t xml:space="preserve">Notes: </w:t>
      </w:r>
      <w:r>
        <w:t>abstract_source=crossref</w:t>
      </w:r>
    </w:p>
    <w:p>
      <w:pPr>
        <w:spacing w:before="0" w:after="80" w:lineRule="auto" w:line="276"/>
      </w:pPr>
      <w:r>
        <w:rPr>
          <w:b/>
        </w:rPr>
        <w:t xml:space="preserve">摘要（ZH）: </w:t>
      </w:r>
      <w:r>
        <w:t>线粒体不仅是细胞的动力源。它们也是动态的信号枢纽，在细胞代谢和适应中发挥关键作用。适当的线粒体功能在很大程度上依赖于由细胞核编码的蛋白质的导入。使用邻近标记（TurboID），我们展示了</w:t>
      </w:r>
      <w:r>
        <w:t xml:space="preserve"> </w:t>
      </w:r>
      <w:r>
        <w:t>拟南芥</w:t>
      </w:r>
      <w:r>
        <w:t xml:space="preserve"> </w:t>
      </w:r>
      <w:r>
        <w:t>FRIENDLY（FMT）蛋白在其翻译过程中与几个定位于细胞器的蛋白质，主要是线粒体，接近。许多相应的mRNA与FMT免疫沉淀。值得注意的是，当FMT缺失时，其靶mRNA失去了正确的细胞定位。我们的TurboID方法，结合免疫沉淀和共聚焦显微镜，也展示了FMT与新生多肽的相互作用</w:t>
      </w:r>
    </w:p>
    <w:p>
      <w:pPr>
        <w:spacing w:before="0" w:after="200" w:lineRule="auto" w:line="276"/>
      </w:pPr>
      <w:r>
        <w:rPr>
          <w:b/>
        </w:rPr>
        <w:t xml:space="preserve">Abstract (EN): </w:t>
      </w:r>
      <w:r>
        <w:t>Mitochondria are not only the powerhouses of the cell. They are also dynamic signaling hubs, playing a key role in cellular metabolism and adaptation. Proper mitochondrial function depends largely on the import of proteins encoded by the nucleus. Using proximity labeling (TurboID), we show that</w:t>
      </w:r>
      <w:r>
        <w:t xml:space="preserve"> </w:t>
      </w:r>
      <w:r>
        <w:t>Arabidopsis thaliana</w:t>
      </w:r>
      <w:r>
        <w:t xml:space="preserve"> </w:t>
      </w:r>
      <w:r>
        <w:t>FRIENDLY (FMT) protein is in close proximity to several organellar-destined proteins, mostly mitochondrial, during their translation. Many of the corresponding mRNAs are immunoprecipitated with FMT. Remarkably, when FMT is absent, its target mRNAs lose their correct cellular localization. Our TurboID approach, associated with immunoprecipitations and confocal microscopy, also demonstrates the interaction between FMT and the Nascent polypeptide Associated Complex (NAC), a ribosome-associated platform involved in the maturation and sorting of nascent peptides. Taken together, these results suggest that FMT, through its interaction with NAC and the ribosome, is involved in the spatial regulation of translation in the cell.</w:t>
      </w:r>
    </w:p>
    <w:p>
      <w:pPr>
        <w:spacing w:before="120" w:after="120"/>
      </w:pPr>
      <w:r>
        <w:rPr>
          <w:sz w:val="18"/>
        </w:rPr>
        <w:t>——————————————————————————————————————————————————————————————————————</w:t>
      </w:r>
    </w:p>
    <w:p>
      <w:pPr>
        <w:spacing w:before="160" w:after="40" w:line="240" w:lineRule="auto"/>
      </w:pPr>
      <w:r>
        <w:rPr>
          <w:b/>
        </w:rPr>
        <w:t xml:space="preserve">[202] </w:t>
      </w:r>
      <w:hyperlink r:id="rId602">
        <w:r>
          <w:rPr>
            <w:color w:val="1155CC"/>
            <w:u w:val="single"/>
          </w:rPr>
          <w:t>小胶质细胞的果糖代谢对胶质母细胞瘤的生长至关重要</w:t>
        </w:r>
      </w:hyperlink>
    </w:p>
    <w:p>
      <w:pPr>
        <w:spacing w:before="0" w:after="80"/>
      </w:pPr>
      <w:r>
        <w:rPr>
          <w:i/>
          <w:sz w:val="20"/>
        </w:rPr>
        <w:t>EN: Microglial fructose metabolism is essential for glioblastoma growth</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03">
        <w:r>
          <w:rPr>
            <w:color w:val="1155CC"/>
            <w:u w:val="single"/>
          </w:rPr>
          <w:t>10.1073/pnas.2521256123</w:t>
        </w:r>
      </w:hyperlink>
    </w:p>
    <w:p>
      <w:pPr>
        <w:spacing w:before="0" w:after="120"/>
      </w:pPr>
      <w:r>
        <w:rPr>
          <w:b/>
        </w:rPr>
        <w:t xml:space="preserve">Notes: </w:t>
      </w:r>
      <w:r>
        <w:t>abstract_source=crossref</w:t>
      </w:r>
    </w:p>
    <w:p>
      <w:pPr>
        <w:spacing w:before="0" w:after="80" w:lineRule="auto" w:line="276"/>
      </w:pPr>
      <w:r>
        <w:rPr>
          <w:b/>
        </w:rPr>
        <w:t xml:space="preserve">摘要（ZH）: </w:t>
      </w:r>
      <w:r>
        <w:t>胶质母细胞瘤（GBM）仍然是成人中最具侵袭性和治疗抗性的脑肿瘤之一。其免疫微环境主要由肿瘤相关巨噬细胞主导，包括浸润的单核细胞和脑驻留的小胶质细胞。虽然已知浸润性髓系细胞的代谢重编程支持肿瘤进展，但小胶质细胞代谢在GBM中的作用仍未完全了解。在此，我们证明小胶质细胞独特地表达果糖转运蛋白GLUT5，并且是GBM微环境中唯一能够代谢果糖的免疫细胞。使用小鼠原位胶质瘤和复制能力的禽肉瘤白血病病毒剪接受体（RCAS）衍生的肿瘤模型，我们显示GLUT5的全局删除赋予了对肿瘤生长的深刻抵抗力。</w:t>
      </w:r>
    </w:p>
    <w:p>
      <w:pPr>
        <w:spacing w:before="0" w:after="200" w:lineRule="auto" w:line="276"/>
      </w:pPr>
      <w:r>
        <w:rPr>
          <w:b/>
        </w:rPr>
        <w:t xml:space="preserve">Abstract (EN): </w:t>
      </w:r>
      <w:r>
        <w:t>Glioblastoma (GBM) remains one of the most aggressive and treatment-resistant brain tumors in adults. Its immune microenvironment is dominated by tumor-associated macrophages, including both infiltrating monocytes and brain-resident microglia. While metabolic rewiring of infiltrating myeloid cells has been shown to support tumor progression, the role of microglial metabolism in GBM remains incompletely understood. Here, we demonstrate that microglia uniquely express the fructose transporter GLUT5 and are the only immune cells in the GBM microenvironment capable of metabolizing fructose. Using murine orthotopic glioma and Replication-Competent Avian sarcoma leuko virus Splice acceptor (RCAS)-derived tumor models, we show that global deletion of GLUT5 confers profound resistance to tumor growth. This effect is driven by loss of fructose metabolism in microglia and occurs independently of contributions from peripheral immune compartments. In GLUT5-deficient mice, tumors exhibit increased infiltration and activation of both innate and adaptive immunity, including enhanced antigen presentation, clonal expansion of CD8+ T cells, and increased cytokine production. Depletion of B-cells or CD8+ T cells abrogated survival phenotypes in knockout mice, demonstrating that GLUT5 suppresses adaptive immunity. These findings identify microglial fructose metabolism as a critical regulator of immune suppression in GBM and suggest that targeting this pathway may improve immunotherapeutic responses.</w:t>
      </w:r>
    </w:p>
    <w:p>
      <w:pPr>
        <w:spacing w:before="120" w:after="120"/>
      </w:pPr>
      <w:r>
        <w:rPr>
          <w:sz w:val="18"/>
        </w:rPr>
        <w:t>——————————————————————————————————————————————————————————————————————</w:t>
      </w:r>
    </w:p>
    <w:p>
      <w:pPr>
        <w:spacing w:before="160" w:after="40" w:line="240" w:lineRule="auto"/>
      </w:pPr>
      <w:r>
        <w:rPr>
          <w:b/>
        </w:rPr>
        <w:t xml:space="preserve">[203] </w:t>
      </w:r>
      <w:hyperlink r:id="rId604">
        <w:r>
          <w:rPr>
            <w:color w:val="1155CC"/>
            <w:u w:val="single"/>
          </w:rPr>
          <w:t>清除衰老细胞的治疗在胼胝体中引起少突胶质细胞功能障碍和脱髓鞘</w:t>
        </w:r>
      </w:hyperlink>
    </w:p>
    <w:p>
      <w:pPr>
        <w:spacing w:before="0" w:after="80"/>
      </w:pPr>
      <w:r>
        <w:rPr>
          <w:i/>
          <w:sz w:val="20"/>
        </w:rPr>
        <w:t>EN: Senolytic treatment induces oligodendrocyte dysfunction and demyelination in the corpus callosum</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05">
        <w:r>
          <w:rPr>
            <w:color w:val="1155CC"/>
            <w:u w:val="single"/>
          </w:rPr>
          <w:t>10.1073/pnas.2524897123</w:t>
        </w:r>
      </w:hyperlink>
    </w:p>
    <w:p>
      <w:pPr>
        <w:spacing w:before="0" w:after="120"/>
      </w:pPr>
      <w:r>
        <w:rPr>
          <w:b/>
        </w:rPr>
        <w:t xml:space="preserve">Notes: </w:t>
      </w:r>
      <w:r>
        <w:t>abstract_source=crossref</w:t>
      </w:r>
    </w:p>
    <w:p>
      <w:pPr>
        <w:spacing w:before="0" w:after="80" w:lineRule="auto" w:line="276"/>
      </w:pPr>
      <w:r>
        <w:rPr>
          <w:b/>
        </w:rPr>
        <w:t xml:space="preserve">摘要（ZH）: </w:t>
      </w:r>
      <w:r>
        <w:t>衰老是多发性硬化症（MS）疾病进展的主要风险因素。基于此，能够减少分子衰老后果的治疗方法，如衰老，已被提议作为解决疾病进展的策略。然而，选择性消除衰老细胞的药物类别——衰老溶解剂对中枢神经系统的影响仍然大部分未知。在此，我们使用C57BL6/J小鼠体内和原代大鼠少突胶质细胞培养物体外研究了衰老溶解剂治疗对髓鞘形成和少突胶质细胞功能的影响。初步数据显示，与载体处理的对照组相比，接受达沙替尼和槲皮素（D+Q）治疗的幼年（3至4个月）和老年（22个月）C57BL6/J小鼠出现显著的脱髓鞘现象，尽管未观察到细胞死亡。</w:t>
      </w:r>
    </w:p>
    <w:p>
      <w:pPr>
        <w:spacing w:before="0" w:after="200" w:lineRule="auto" w:line="276"/>
      </w:pPr>
      <w:r>
        <w:rPr>
          <w:b/>
        </w:rPr>
        <w:t xml:space="preserve">Abstract (EN): </w:t>
      </w:r>
      <w:r>
        <w:t>Aging is a primary risk factor for disease progression in multiple sclerosis (MS). Because of this, treatments that can reduce the consequences of molecular aging, like senescence, have been proposed as a strategy to address disease progression. However, the effects of senolytics, a class of drugs which selectively ablate senescent cells, on the central nervous system are largely unknown. Here, we examined the effects of senolytic treatment on myelination and oligodendrocyte function in vivo using C57BL6/J mice and in vitro using primary rat oligodendrocyte cultures. Initial data showed that naïve young (3 to 4 mo) and aged (22 mo) C57BL6/J mice treated with dasatinib and quercetin (D+Q) developed significant demyelination compared to vehicle-treated controls, though no cell death was observed in the brain. In vitro, oligodendrocyte progenitor cells treated with D+Q in differentiation media exhibited significantly reduced myelin basic protein protein and morphological complexity, also without inducing cell death. Bulk RNA sequencing and ingenuity pathway analysis of D+Q treated oligodendrocytes identified differentially expressed genes associated with endoplasmic reticulum stress. These data suggest that D+Q evokes the unfolded protein response in oligodendrocytes, causing oligodendrocyte dysfunction and myelination failure. Due to the resemblance between oligodendrocytes treated with D+Q and those found in MS lesions, D+Q treatment offers a potential method to model an aspect of oligodendrocyte dysfunction relevant to MS. Therefore, understanding the mechanism by which D+Q perturb oligodendrocyte function may provide insight into some of the pathological features contributing to disease progression in MS.</w:t>
      </w:r>
    </w:p>
    <w:p>
      <w:pPr>
        <w:spacing w:before="120" w:after="120"/>
      </w:pPr>
      <w:r>
        <w:rPr>
          <w:sz w:val="18"/>
        </w:rPr>
        <w:t>——————————————————————————————————————————————————————————————————————</w:t>
      </w:r>
    </w:p>
    <w:p>
      <w:pPr>
        <w:spacing w:before="160" w:after="40" w:line="240" w:lineRule="auto"/>
      </w:pPr>
      <w:r>
        <w:rPr>
          <w:b/>
        </w:rPr>
        <w:t xml:space="preserve">[204] </w:t>
      </w:r>
      <w:hyperlink r:id="rId606">
        <w:r>
          <w:rPr>
            <w:color w:val="1155CC"/>
            <w:u w:val="single"/>
          </w:rPr>
          <w:t>产卵器的味觉感知驱动母体避免橙皮苷，以造福主要农业害虫的后代</w:t>
        </w:r>
      </w:hyperlink>
    </w:p>
    <w:p>
      <w:pPr>
        <w:spacing w:before="0" w:after="80"/>
      </w:pPr>
      <w:r>
        <w:rPr>
          <w:i/>
          <w:sz w:val="20"/>
        </w:rPr>
        <w:t>EN: Gustatory sensing by ovipositor drives maternal avoidance of hesperidin to benefit the offspring in a major agricultural fly pest</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07">
        <w:r>
          <w:rPr>
            <w:color w:val="1155CC"/>
            <w:u w:val="single"/>
          </w:rPr>
          <w:t>10.1073/pnas.2526937123</w:t>
        </w:r>
      </w:hyperlink>
    </w:p>
    <w:p>
      <w:pPr>
        <w:spacing w:before="0" w:after="120"/>
      </w:pPr>
      <w:r>
        <w:rPr>
          <w:b/>
        </w:rPr>
        <w:t xml:space="preserve">Notes: </w:t>
      </w:r>
      <w:r>
        <w:t>abstract_source=crossref</w:t>
      </w:r>
    </w:p>
    <w:p>
      <w:pPr>
        <w:spacing w:before="0" w:after="80" w:lineRule="auto" w:line="276"/>
      </w:pPr>
      <w:r>
        <w:rPr>
          <w:b/>
        </w:rPr>
        <w:t xml:space="preserve">摘要（ZH）: </w:t>
      </w:r>
      <w:r>
        <w:t>东方果蝇（</w:t>
      </w:r>
      <w:r>
        <w:t xml:space="preserve"> </w:t>
      </w:r>
      <w:r>
        <w:t>Bactrocera dorsalis</w:t>
      </w:r>
      <w:r>
        <w:t xml:space="preserve"> </w:t>
      </w:r>
      <w:r>
        <w:t>）的雌性不成比例地在未成熟水果中产卵，尽管与成熟水果相比，其营养价值较低，但驱动这种反直觉地点选择的感官线索尚未确定。在此，使用东方果蝇-芒果相互作用系统，我们确定了一种特定的黄酮类化合物——橙皮苷，作为驱动该物种产卵地点选择的主要回避线索。橙皮苷在芒果成熟时积累，高浓度抑制幼虫生长和成虫羽化。这表明较高水平的橙皮苷对成熟水果中的</w:t>
      </w:r>
      <w:r>
        <w:t xml:space="preserve"> </w:t>
      </w:r>
      <w:r>
        <w:t>B. dorsalis</w:t>
      </w:r>
      <w:r>
        <w:t xml:space="preserve"> </w:t>
      </w:r>
      <w:r>
        <w:t>幼虫产生直接有害影响。有趣的是，我们发现</w:t>
      </w:r>
    </w:p>
    <w:p>
      <w:pPr>
        <w:spacing w:before="0" w:after="200" w:lineRule="auto" w:line="276"/>
      </w:pPr>
      <w:r>
        <w:rPr>
          <w:b/>
        </w:rPr>
        <w:t xml:space="preserve">Abstract (EN): </w:t>
      </w:r>
      <w:r>
        <w:t>Females of the oriental fruit fly (</w:t>
      </w:r>
      <w:r>
        <w:t xml:space="preserve"> </w:t>
      </w:r>
      <w:r>
        <w:t>Bactrocera dorsalis</w:t>
      </w:r>
      <w:r>
        <w:t xml:space="preserve"> </w:t>
      </w:r>
      <w:r>
        <w:t>) disproportionately oviposit in unripe fruits, despite their lower nutritional value compared to ripe fruits, but the sensory cues driving such counterintuitive site selection have not been determined. Here, using an oriental fruit fly–mango interaction system, we identified a specific flavonoid compound, hesperidin, as a major avoidance cue driving oviposition site selection in this species. Hesperidin accumulates as mango fruits ripen, and high concentrations suppress both larval growth and adult emergence. This indicates that higher levels of hesperidin exert a direct harmful effect on</w:t>
      </w:r>
      <w:r>
        <w:t xml:space="preserve"> </w:t>
      </w:r>
      <w:r>
        <w:t>B. dorsalis</w:t>
      </w:r>
      <w:r>
        <w:t xml:space="preserve"> </w:t>
      </w:r>
      <w:r>
        <w:t>larvae within ripe fruits. Interestingly, we found that</w:t>
      </w:r>
      <w:r>
        <w:t xml:space="preserve"> </w:t>
      </w:r>
      <w:r>
        <w:t>B. dorsalis</w:t>
      </w:r>
      <w:r>
        <w:t xml:space="preserve"> </w:t>
      </w:r>
      <w:r>
        <w:t>females perceive hesperidin via gustatory sensors on the ovipositor. The</w:t>
      </w:r>
      <w:r>
        <w:t xml:space="preserve"> </w:t>
      </w:r>
      <w:r>
        <w:t>BdorGr28b</w:t>
      </w:r>
      <w:r>
        <w:t xml:space="preserve"> </w:t>
      </w:r>
      <w:r>
        <w:t>gene is strongly expressed in the ovipositor, and we showed that the corresponding protein is the major hesperidin receptor. These results demonstrate that gustatory sensing via the ovipositor drives maternal avoidance of hesperidin to benefit the offspring in</w:t>
      </w:r>
      <w:r>
        <w:t xml:space="preserve"> </w:t>
      </w:r>
      <w:r>
        <w:t>B. dorsalis</w:t>
      </w:r>
      <w:r>
        <w:t xml:space="preserve"> </w:t>
      </w:r>
      <w:r>
        <w:t>. Our study provides insight into oviposition site selection in this species and the broader functional repertoire of insect gustation.</w:t>
      </w:r>
    </w:p>
    <w:p>
      <w:pPr>
        <w:spacing w:before="120" w:after="120"/>
      </w:pPr>
      <w:r>
        <w:rPr>
          <w:sz w:val="18"/>
        </w:rPr>
        <w:t>——————————————————————————————————————————————————————————————————————</w:t>
      </w:r>
    </w:p>
    <w:p>
      <w:pPr>
        <w:spacing w:before="160" w:after="40" w:line="240" w:lineRule="auto"/>
      </w:pPr>
      <w:r>
        <w:rPr>
          <w:b/>
        </w:rPr>
        <w:t xml:space="preserve">[205] </w:t>
      </w:r>
      <w:hyperlink r:id="rId608">
        <w:r>
          <w:rPr>
            <w:color w:val="1155CC"/>
            <w:u w:val="single"/>
          </w:rPr>
          <w:t>探索细菌染色体分离的能量景观</w:t>
        </w:r>
      </w:hyperlink>
    </w:p>
    <w:p>
      <w:pPr>
        <w:spacing w:before="0" w:after="80"/>
      </w:pPr>
      <w:r>
        <w:rPr>
          <w:i/>
          <w:sz w:val="20"/>
        </w:rPr>
        <w:t>EN: Exploring the energy landscape of bacterial chromosome segregation</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09">
        <w:r>
          <w:rPr>
            <w:color w:val="1155CC"/>
            <w:u w:val="single"/>
          </w:rPr>
          <w:t>10.1073/pnas.2535321123</w:t>
        </w:r>
      </w:hyperlink>
    </w:p>
    <w:p>
      <w:pPr>
        <w:spacing w:before="0" w:after="120"/>
      </w:pPr>
      <w:r>
        <w:rPr>
          <w:b/>
        </w:rPr>
        <w:t xml:space="preserve">Notes: </w:t>
      </w:r>
      <w:r>
        <w:t>abstract_source=crossref</w:t>
      </w:r>
    </w:p>
    <w:p>
      <w:pPr>
        <w:spacing w:before="0" w:after="80" w:lineRule="auto" w:line="276"/>
      </w:pPr>
      <w:r>
        <w:rPr>
          <w:b/>
        </w:rPr>
        <w:t xml:space="preserve">摘要（ZH）: </w:t>
      </w:r>
      <w:r>
        <w:t>在细菌复制过程中，忠实的染色体分离需要核体的全局重组，其中染色体结构维护（SMC）复合物起着至关重要的作用。在此，我们开发了一个能量景观框架，将数据驱动的成对相互作用与粗粒度聚合物物理相结合，以推断大肠杆菌和枯草芽孢杆菌染色体在整个复制过程中的三维结构集合。我们展示了SMC介导的长程纵向压缩如何重塑核体，从而引发一个稳健的中期复制转变，在此过程中，末端向核体中心重新定位，复制的起始点向相对的细胞半部隔离。缺乏SMC的突变体缺乏这种</w:t>
      </w:r>
    </w:p>
    <w:p>
      <w:pPr>
        <w:spacing w:before="0" w:after="200" w:lineRule="auto" w:line="276"/>
      </w:pPr>
      <w:r>
        <w:rPr>
          <w:b/>
        </w:rPr>
        <w:t xml:space="preserve">Abstract (EN): </w:t>
      </w:r>
      <w:r>
        <w:t>Faithful chromosome segregation during bacterial replication requires global reorganization of the nucleoid, where Structural Maintenance of Chromosomes (SMC) complexes play a crucial role. Here, we develop an energy landscape framework that integrates data-driven pairwise interactions with coarse-grained polymer physics to infer the 3D architectural ensembles of</w:t>
      </w:r>
      <w:r>
        <w:t xml:space="preserve"> </w:t>
      </w:r>
      <w:r>
        <w:t>Escherichia coli</w:t>
      </w:r>
      <w:r>
        <w:t xml:space="preserve"> </w:t>
      </w:r>
      <w:r>
        <w:t>and</w:t>
      </w:r>
      <w:r>
        <w:t xml:space="preserve"> </w:t>
      </w:r>
      <w:r>
        <w:t>Bacillus subtilis</w:t>
      </w:r>
      <w:r>
        <w:t xml:space="preserve"> </w:t>
      </w:r>
      <w:r>
        <w:t>chromosomes throughout replication. We show that SMC-mediated long-range lengthwise compaction reshapes the nucleoid to induce a robust mid-replication transition in which the terminus relocates toward the nucleoid center and duplicated origins segregate toward opposite cell halves. SMC-deficient mutants lack this transition and instead exhibit emergent nematic-like alignment of sister chromosomes that impedes segregation. A distinctive intersister Hi-C signature accompanies the emergence of the nematic alignment. By systematically tuning nonspecific intersister adhesion, we reveal that SMC activity expands the physical regime permitting faithful segregation. This buffering protects segregation against adhesive forces intrinsic to the crowded bacterial nucleoid. Our framework provides mechanistic insight into SMC-dependent coreplication segregation across bacterial species, yielding experimentally testable predictions for imaging and sister-chromosome-resolved Hi-C.</w:t>
      </w:r>
    </w:p>
    <w:p>
      <w:pPr>
        <w:spacing w:before="120" w:after="120"/>
      </w:pPr>
      <w:r>
        <w:rPr>
          <w:sz w:val="18"/>
        </w:rPr>
        <w:t>——————————————————————————————————————————————————————————————————————</w:t>
      </w:r>
    </w:p>
    <w:p>
      <w:pPr>
        <w:spacing w:before="160" w:after="40" w:line="240" w:lineRule="auto"/>
      </w:pPr>
      <w:r>
        <w:rPr>
          <w:b/>
        </w:rPr>
        <w:t xml:space="preserve">[206] </w:t>
      </w:r>
      <w:hyperlink r:id="rId610">
        <w:r>
          <w:rPr>
            <w:color w:val="1155CC"/>
            <w:u w:val="single"/>
          </w:rPr>
          <w:t>相互排斥的选择性前mRNA剪接通过JNK促进适应性代谢应激信号传导</w:t>
        </w:r>
      </w:hyperlink>
    </w:p>
    <w:p>
      <w:pPr>
        <w:spacing w:before="0" w:after="80"/>
      </w:pPr>
      <w:r>
        <w:rPr>
          <w:i/>
          <w:sz w:val="20"/>
        </w:rPr>
        <w:t>EN: Mutually exclusive alternative pre-mRNA splicing promotes adaptive metabolic stress signaling by JNK</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11">
        <w:r>
          <w:rPr>
            <w:color w:val="1155CC"/>
            <w:u w:val="single"/>
          </w:rPr>
          <w:t>10.1073/pnas.2527162123</w:t>
        </w:r>
      </w:hyperlink>
    </w:p>
    <w:p>
      <w:pPr>
        <w:spacing w:before="0" w:after="120"/>
      </w:pPr>
      <w:r>
        <w:rPr>
          <w:b/>
        </w:rPr>
        <w:t xml:space="preserve">Notes: </w:t>
      </w:r>
      <w:r>
        <w:t>abstract_source=crossref</w:t>
      </w:r>
    </w:p>
    <w:p>
      <w:pPr>
        <w:spacing w:before="0" w:after="80" w:lineRule="auto" w:line="276"/>
      </w:pPr>
      <w:r>
        <w:rPr>
          <w:b/>
        </w:rPr>
        <w:t xml:space="preserve">摘要（ZH）: </w:t>
      </w:r>
      <w:r>
        <w:t>JUN NH2-末端激酶（JNK）信号传导通路在肝脏代谢应激反应中被激活。由肝细胞表达的JNK1和JNK2前mRNA表现出互斥性地包含编码选择性蛋白磷酸化所需的底物结合位点片段的外显子7a或7b。我们建立了具有条件性包含外显子7a或7b的小鼠，以测试这些JNK剪接形式的功能。我们报告称，JNK2 7b剪接形式在肝脏代谢应激反应中起关键作用。JNK2 7b的这一功能通过独立调节昼夜节律基因表达和磷酸化的协调机制介导</w:t>
      </w:r>
    </w:p>
    <w:p>
      <w:pPr>
        <w:spacing w:before="0" w:after="200" w:lineRule="auto" w:line="276"/>
      </w:pPr>
      <w:r>
        <w:rPr>
          <w:b/>
        </w:rPr>
        <w:t xml:space="preserve">Abstract (EN): </w:t>
      </w:r>
      <w:r>
        <w:t>The JUN NH</w:t>
      </w:r>
      <w:r>
        <w:rPr>
          <w:vertAlign w:val="subscript"/>
        </w:rPr>
        <w:t>2</w:t>
      </w:r>
      <w:r>
        <w:t>-terminal kinase (JNK) signal transduction pathway is activated during the hepatic metabolic stress response. The JNK1 and JNK2 pre-mRNAs expressed by hepatocytes exhibit mutually exclusive inclusion of exons 7a or 7b that encode a segment of the substrate binding site that is required for selective protein phosphorylation. We established mice with conditional inclusion of exons 7a or 7b to test the function of these JNK spliceoforms. We report that the JNK2</w:t>
      </w:r>
      <w:r>
        <w:t xml:space="preserve"> </w:t>
      </w:r>
      <w:r>
        <w:t>7b</w:t>
      </w:r>
      <w:r>
        <w:t xml:space="preserve"> </w:t>
      </w:r>
      <w:r>
        <w:t>spliceoform plays a key role in the hepatic metabolic stress response. This function of JNK2</w:t>
      </w:r>
      <w:r>
        <w:t xml:space="preserve"> </w:t>
      </w:r>
      <w:r>
        <w:t>7b</w:t>
      </w:r>
      <w:r>
        <w:t xml:space="preserve"> </w:t>
      </w:r>
      <w:r>
        <w:t>is mediated by coordinated mechanisms that independently regulate circadian gene expression and phosphorylation of Retinoid X Receptor α (RXRα) on Ser</w:t>
      </w:r>
      <w:r>
        <w:rPr>
          <w:vertAlign w:val="subscript"/>
        </w:rPr>
        <w:t>265</w:t>
      </w:r>
      <w:r>
        <w:t>. This analysis identifies an important role for JNK2</w:t>
      </w:r>
      <w:r>
        <w:t xml:space="preserve"> </w:t>
      </w:r>
      <w:r>
        <w:t>7b</w:t>
      </w:r>
      <w:r>
        <w:t xml:space="preserve"> </w:t>
      </w:r>
      <w:r>
        <w:t>in the hepatic adaptive response to metabolic stress.</w:t>
      </w:r>
    </w:p>
    <w:p>
      <w:pPr>
        <w:spacing w:before="120" w:after="120"/>
      </w:pPr>
      <w:r>
        <w:rPr>
          <w:sz w:val="18"/>
        </w:rPr>
        <w:t>——————————————————————————————————————————————————————————————————————</w:t>
      </w:r>
    </w:p>
    <w:p>
      <w:pPr>
        <w:spacing w:before="160" w:after="40" w:line="240" w:lineRule="auto"/>
      </w:pPr>
      <w:r>
        <w:rPr>
          <w:b/>
        </w:rPr>
        <w:t xml:space="preserve">[207] </w:t>
      </w:r>
      <w:hyperlink r:id="rId612">
        <w:r>
          <w:rPr>
            <w:color w:val="1155CC"/>
            <w:u w:val="single"/>
          </w:rPr>
          <w:t>真核生物质膜素生物合成的起源是通过从粘细菌的水平基因转移</w:t>
        </w:r>
      </w:hyperlink>
    </w:p>
    <w:p>
      <w:pPr>
        <w:spacing w:before="0" w:after="80"/>
      </w:pPr>
      <w:r>
        <w:rPr>
          <w:i/>
          <w:sz w:val="20"/>
        </w:rPr>
        <w:t>EN: Origin of eukaryotic plasmalogen biosynthesis by horizontal gene transfer from myxobacteria</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13">
        <w:r>
          <w:rPr>
            <w:color w:val="1155CC"/>
            <w:u w:val="single"/>
          </w:rPr>
          <w:t>10.1073/pnas.2529738123</w:t>
        </w:r>
      </w:hyperlink>
    </w:p>
    <w:p>
      <w:pPr>
        <w:spacing w:before="0" w:after="120"/>
      </w:pPr>
      <w:r>
        <w:rPr>
          <w:b/>
        </w:rPr>
        <w:t xml:space="preserve">Notes: </w:t>
      </w:r>
      <w:r>
        <w:t>abstract_source=crossref</w:t>
      </w:r>
    </w:p>
    <w:p>
      <w:pPr>
        <w:spacing w:before="0" w:after="80" w:lineRule="auto" w:line="276"/>
      </w:pPr>
      <w:r>
        <w:rPr>
          <w:b/>
        </w:rPr>
        <w:t xml:space="preserve">摘要（ZH）: </w:t>
      </w:r>
      <w:r>
        <w:t>质体醇是一类独特的甘油磷脂，以其独特的乙烯基醚键定义。虽然这些脂质在动物中丰富且对人类健康重要，但由于在一些主要真核生物谱系如植物中缺失，其进化历史仍然成谜。在此，我们解决了真核生物中有氧质体醇生物合成途径的起源和进化。通过全面的系统发育基因组分析和酶活性及质体醇存在的实验验证，我们证明了质体乙醇胺去饱和酶1（PEDS1）——以及可能在该途径中也至关重要的脂酰辅酶A还原酶（FAR）和甘油酮磷酸O-酰基转移酶（GNPAT）酶——是通过一个</w:t>
      </w:r>
    </w:p>
    <w:p>
      <w:pPr>
        <w:spacing w:before="0" w:after="200" w:lineRule="auto" w:line="276"/>
      </w:pPr>
      <w:r>
        <w:rPr>
          <w:b/>
        </w:rPr>
        <w:t xml:space="preserve">Abstract (EN): </w:t>
      </w:r>
      <w:r>
        <w:t>Plasmalogens are a unique class of glycerophospholipids defined by a distinctive vinyl ether bond. While these lipids are abundant in animals and important for human health, their evolutionary history remains enigmatic, mostly due to their absence in some major eukaryotic lineages like plants. Here, we resolve the origin and evolution of the aerobic plasmalogen biosynthesis pathway in eukaryotes. Through comprehensive phylogenomic analysis and experimental validation of enzyme activity and plasmalogen presence, we demonstrate that the essential desaturase plasmanylethanolamine desaturase 1 (PEDS1)—and likely the fatty acyl-CoA reductase (FAR) and glycerone phosphate</w:t>
      </w:r>
      <w:r>
        <w:t xml:space="preserve"> </w:t>
      </w:r>
      <w:r>
        <w:t>O</w:t>
      </w:r>
      <w:r>
        <w:t xml:space="preserve"> </w:t>
      </w:r>
      <w:r>
        <w:t>-acyltransferase (GNPAT) enzymes also critical in the pathway—were acquired by an early eukaryotic ancestor through horizontal gene transfer (HGT) from myxobacteria. Our data show that this bacterial pathway was retained in the Amorphea and Discoba supergroups but lost or replaced in others. The findings yield insights into how HGT shaped metabolic pathways in early eukaryotes.</w:t>
      </w:r>
    </w:p>
    <w:p>
      <w:pPr>
        <w:spacing w:before="120" w:after="120"/>
      </w:pPr>
      <w:r>
        <w:rPr>
          <w:sz w:val="18"/>
        </w:rPr>
        <w:t>——————————————————————————————————————————————————————————————————————</w:t>
      </w:r>
    </w:p>
    <w:p>
      <w:pPr>
        <w:spacing w:before="160" w:after="40" w:line="240" w:lineRule="auto"/>
      </w:pPr>
      <w:r>
        <w:rPr>
          <w:b/>
        </w:rPr>
        <w:t xml:space="preserve">[208] </w:t>
      </w:r>
      <w:hyperlink r:id="rId614">
        <w:r>
          <w:rPr>
            <w:color w:val="1155CC"/>
            <w:u w:val="single"/>
          </w:rPr>
          <w:t>磷酸盐稀缺决定全球公海中的甲烷产生</w:t>
        </w:r>
      </w:hyperlink>
    </w:p>
    <w:p>
      <w:pPr>
        <w:spacing w:before="0" w:after="80"/>
      </w:pPr>
      <w:r>
        <w:rPr>
          <w:i/>
          <w:sz w:val="20"/>
        </w:rPr>
        <w:t>EN: Phosphate scarcity governs methane production in the global open ocean</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15">
        <w:r>
          <w:rPr>
            <w:color w:val="1155CC"/>
            <w:u w:val="single"/>
          </w:rPr>
          <w:t>10.1073/pnas.2521235123</w:t>
        </w:r>
      </w:hyperlink>
    </w:p>
    <w:p>
      <w:pPr>
        <w:spacing w:before="0" w:after="120"/>
      </w:pPr>
      <w:r>
        <w:rPr>
          <w:b/>
        </w:rPr>
        <w:t xml:space="preserve">Notes: </w:t>
      </w:r>
      <w:r>
        <w:t>abstract_source=crossref</w:t>
      </w:r>
    </w:p>
    <w:p>
      <w:pPr>
        <w:spacing w:before="0" w:after="80" w:lineRule="auto" w:line="276"/>
      </w:pPr>
      <w:r>
        <w:rPr>
          <w:b/>
        </w:rPr>
        <w:t xml:space="preserve">摘要（ZH）: </w:t>
      </w:r>
      <w:r>
        <w:t>在开阔海洋表层水中观察到的甲烷（CH</w:t>
      </w:r>
      <w:r>
        <w:rPr>
          <w:vertAlign w:val="subscript"/>
        </w:rPr>
        <w:t>4</w:t>
      </w:r>
      <w:r>
        <w:t>）过饱和现象意味着在良好氧化的混合层中广泛存在CH</w:t>
      </w:r>
      <w:r>
        <w:rPr>
          <w:vertAlign w:val="subscript"/>
        </w:rPr>
        <w:t>4</w:t>
      </w:r>
      <w:r>
        <w:t>生产，推动这种强效温室气体向大气排放。解释这一现象的主要CH</w:t>
      </w:r>
      <w:r>
        <w:rPr>
          <w:vertAlign w:val="subscript"/>
        </w:rPr>
        <w:t>4</w:t>
      </w:r>
      <w:r>
        <w:t>生产途径仍然知之甚少，尽管候选途径包括光合作用期间的生产、浮游动物代谢和溶解有机物循环。在此，我们构建了一个开阔海洋CH</w:t>
      </w:r>
      <w:r>
        <w:rPr>
          <w:vertAlign w:val="subscript"/>
        </w:rPr>
        <w:t>4</w:t>
      </w:r>
      <w:r>
        <w:t>循环的数据同化模型，以测试哪种假设机制与观察到的全球CH</w:t>
      </w:r>
      <w:r>
        <w:rPr>
          <w:vertAlign w:val="subscript"/>
        </w:rPr>
        <w:t>4</w:t>
      </w:r>
      <w:r>
        <w:t>分布最为一致。</w:t>
      </w:r>
    </w:p>
    <w:p>
      <w:pPr>
        <w:spacing w:before="0" w:after="200" w:lineRule="auto" w:line="276"/>
      </w:pPr>
      <w:r>
        <w:rPr>
          <w:b/>
        </w:rPr>
        <w:t xml:space="preserve">Abstract (EN): </w:t>
      </w:r>
      <w:r>
        <w:t>The observed supersaturation of methane (CH</w:t>
      </w:r>
      <w:r>
        <w:rPr>
          <w:vertAlign w:val="subscript"/>
        </w:rPr>
        <w:t>4</w:t>
      </w:r>
      <w:r>
        <w:t>) in open-ocean surface waters implies widespread CH</w:t>
      </w:r>
      <w:r>
        <w:rPr>
          <w:vertAlign w:val="subscript"/>
        </w:rPr>
        <w:t>4</w:t>
      </w:r>
      <w:r>
        <w:t>production within the well-oxygenated mixed layer, driving emissions of this potent greenhouse gas to the atmosphere. The dominant CH</w:t>
      </w:r>
      <w:r>
        <w:rPr>
          <w:vertAlign w:val="subscript"/>
        </w:rPr>
        <w:t>4</w:t>
      </w:r>
      <w:r>
        <w:t>production pathway that explains this phenomenon remains poorly understood, although candidates include production during photosynthesis, zooplankton metabolism, and dissolved organic matter cycling. Here, we construct a data-assimilating model of the open-ocean CH</w:t>
      </w:r>
      <w:r>
        <w:rPr>
          <w:vertAlign w:val="subscript"/>
        </w:rPr>
        <w:t>4</w:t>
      </w:r>
      <w:r>
        <w:t>cycle to test which hypothesized mechanism is most consistent with the observed global CH</w:t>
      </w:r>
      <w:r>
        <w:rPr>
          <w:vertAlign w:val="subscript"/>
        </w:rPr>
        <w:t>4</w:t>
      </w:r>
      <w:r>
        <w:t>distribution. We find that only linking methane production to phosphate (PO</w:t>
      </w:r>
      <w:r>
        <w:rPr>
          <w:vertAlign w:val="subscript"/>
        </w:rPr>
        <w:t>4</w:t>
      </w:r>
      <w:r>
        <w:t>) scarcity can explain the observed supersaturation pattern, which is highest in subtropical gyres where PO</w:t>
      </w:r>
      <w:r>
        <w:rPr>
          <w:vertAlign w:val="subscript"/>
        </w:rPr>
        <w:t>4</w:t>
      </w:r>
      <w:r>
        <w:t>is in short supply. These findings suggest that CH</w:t>
      </w:r>
      <w:r>
        <w:rPr>
          <w:vertAlign w:val="subscript"/>
        </w:rPr>
        <w:t>4</w:t>
      </w:r>
      <w:r>
        <w:t>release during PO</w:t>
      </w:r>
      <w:r>
        <w:rPr>
          <w:vertAlign w:val="subscript"/>
        </w:rPr>
        <w:t>4</w:t>
      </w:r>
      <w:r>
        <w:t>-limited cleavage of the organic compound methylphosphonate is the dominant production pathway in the open ocean. Because this process is confined to the stratified low latitude surface, it is uniquely suited to efficiently emit the CH</w:t>
      </w:r>
      <w:r>
        <w:rPr>
          <w:vertAlign w:val="subscript"/>
        </w:rPr>
        <w:t>4</w:t>
      </w:r>
      <w:r>
        <w:t>it produces to the atmosphere (&amp;gt;90%), before the CH</w:t>
      </w:r>
      <w:r>
        <w:rPr>
          <w:vertAlign w:val="subscript"/>
        </w:rPr>
        <w:t>4</w:t>
      </w:r>
      <w:r>
        <w:t>mixes to depth and undergoes oxidation (&amp;lt;10%). As predicted future ocean warming and stratification exacerbates PO</w:t>
      </w:r>
      <w:r>
        <w:rPr>
          <w:vertAlign w:val="subscript"/>
        </w:rPr>
        <w:t>4</w:t>
      </w:r>
      <w:r>
        <w:t>scarcity over coming centuries, our model predicts that oxic CH</w:t>
      </w:r>
      <w:r>
        <w:rPr>
          <w:vertAlign w:val="subscript"/>
        </w:rPr>
        <w:t>4</w:t>
      </w:r>
      <w:r>
        <w:t>production and the resulting CH</w:t>
      </w:r>
      <w:r>
        <w:rPr>
          <w:vertAlign w:val="subscript"/>
        </w:rPr>
        <w:t>4</w:t>
      </w:r>
      <w:r>
        <w:t>emissions will increase up to twofold, contributing to a suite of positive feedback between climate warming and natural greenhouse gas sources.</w:t>
      </w:r>
    </w:p>
    <w:p>
      <w:pPr>
        <w:spacing w:before="120" w:after="120"/>
      </w:pPr>
      <w:r>
        <w:rPr>
          <w:sz w:val="18"/>
        </w:rPr>
        <w:t>——————————————————————————————————————————————————————————————————————</w:t>
      </w:r>
    </w:p>
    <w:p>
      <w:pPr>
        <w:spacing w:before="160" w:after="40" w:line="240" w:lineRule="auto"/>
      </w:pPr>
      <w:r>
        <w:rPr>
          <w:b/>
        </w:rPr>
        <w:t xml:space="preserve">[209] </w:t>
      </w:r>
      <w:hyperlink r:id="rId616">
        <w:r>
          <w:rPr>
            <w:color w:val="1155CC"/>
            <w:u w:val="single"/>
          </w:rPr>
          <w:t>SEL1L–HRD1 ERAD–自噬相互作用维持棕色脂肪细胞中的线粒体稳态</w:t>
        </w:r>
      </w:hyperlink>
    </w:p>
    <w:p>
      <w:pPr>
        <w:spacing w:before="0" w:after="80"/>
      </w:pPr>
      <w:r>
        <w:rPr>
          <w:i/>
          <w:sz w:val="20"/>
        </w:rPr>
        <w:t>EN: SEL1L–HRD1 ERAD–autophagy interplay maintains mitochondrial homeostasis in brown adipocytes</w:t>
      </w:r>
    </w:p>
    <w:p>
      <w:pPr>
        <w:spacing w:before="0" w:after="120"/>
      </w:pPr>
      <w:r>
        <w:rPr>
          <w:b/>
        </w:rPr>
        <w:t xml:space="preserve">Source: </w:t>
      </w:r>
      <w:r>
        <w:t>Proceedings of the National Academy of Sciences: Keyword search for query</w:t>
      </w:r>
      <w:r>
        <w:t xml:space="preserve">    </w:t>
      </w:r>
      <w:r>
        <w:rPr>
          <w:b/>
        </w:rPr>
        <w:t xml:space="preserve">Pub date: </w:t>
      </w:r>
      <w:r>
        <w:t>2026-03-17 07:00:00+00:00</w:t>
      </w:r>
      <w:r>
        <w:t xml:space="preserve">    </w:t>
      </w:r>
      <w:r>
        <w:rPr>
          <w:b/>
        </w:rPr>
        <w:t xml:space="preserve">DOI: </w:t>
      </w:r>
      <w:hyperlink r:id="rId617">
        <w:r>
          <w:rPr>
            <w:color w:val="1155CC"/>
            <w:u w:val="single"/>
          </w:rPr>
          <w:t>10.1073/pnas.2529914123</w:t>
        </w:r>
      </w:hyperlink>
    </w:p>
    <w:p>
      <w:pPr>
        <w:spacing w:before="0" w:after="120"/>
      </w:pPr>
      <w:r>
        <w:rPr>
          <w:b/>
        </w:rPr>
        <w:t xml:space="preserve">Notes: </w:t>
      </w:r>
      <w:r>
        <w:t>abstract_source=crossref</w:t>
      </w:r>
    </w:p>
    <w:p>
      <w:pPr>
        <w:spacing w:before="0" w:after="80" w:lineRule="auto" w:line="276"/>
      </w:pPr>
      <w:r>
        <w:rPr>
          <w:b/>
        </w:rPr>
        <w:t xml:space="preserve">摘要（ZH）: </w:t>
      </w:r>
      <w:r>
        <w:t>线粒体完整性对于能量稳态至关重要，特别是在棕色脂肪组织中，动态重塑为产热提供动力。两个主要的蛋白质稳态系统，SEL1L–HRD1内质网（ER）相关降解（ERAD）途径和自噬，已被证明在体外相交，但它们在代谢活跃组织中的生理协调仍不清楚。在此，我们证明ERAD和自噬协同作用以保护棕色脂肪细胞中的线粒体完整性。使用各种脂肪细胞特异性敲除（KO）小鼠模型和高分辨率超微结构2D和3D成像，我们显示同时删除</w:t>
      </w:r>
      <w:r>
        <w:t xml:space="preserve"> </w:t>
      </w:r>
      <w:r>
        <w:t>Sel1L</w:t>
      </w:r>
      <w:r>
        <w:t xml:space="preserve"> </w:t>
      </w:r>
      <w:r>
        <w:t>和</w:t>
      </w:r>
      <w:r>
        <w:t xml:space="preserve"> </w:t>
      </w:r>
      <w:r>
        <w:t>Atg7</w:t>
      </w:r>
      <w:r>
        <w:t xml:space="preserve"> </w:t>
      </w:r>
      <w:r>
        <w:t>（双敲除，DKO）会导致显著的线粒体变化。</w:t>
      </w:r>
    </w:p>
    <w:p>
      <w:pPr>
        <w:spacing w:before="0" w:after="200" w:lineRule="auto" w:line="276"/>
      </w:pPr>
      <w:r>
        <w:rPr>
          <w:b/>
        </w:rPr>
        <w:t xml:space="preserve">Abstract (EN): </w:t>
      </w:r>
      <w:r>
        <w:t>Mitochondrial integrity is central to energy homeostasis, particularly in brown adipose tissue where dynamic remodeling fuels thermogenesis. Two major proteostatic systems, the SEL1L–HRD1 endoplasmic reticulum (ER)-associated degradation (ERAD) pathway and autophagy, have been shown to intersect in vitro, but their physiological coordination in metabolically active tissues remains unclear. Here, we demonstrate that ERAD and autophagy act in synergy to safeguard mitochondrial integrity in brown adipocytes. Using various adipocyte-specific knockout (KO) mouse models and high-resolution ultrastructural 2D and 3D imaging, we show that simultaneous deletion of</w:t>
      </w:r>
      <w:r>
        <w:t xml:space="preserve"> </w:t>
      </w:r>
      <w:r>
        <w:t>Sel1L</w:t>
      </w:r>
      <w:r>
        <w:t xml:space="preserve"> </w:t>
      </w:r>
      <w:r>
        <w:t>and</w:t>
      </w:r>
      <w:r>
        <w:t xml:space="preserve"> </w:t>
      </w:r>
      <w:r>
        <w:t>Atg7</w:t>
      </w:r>
      <w:r>
        <w:t xml:space="preserve"> </w:t>
      </w:r>
      <w:r>
        <w:t>(double KO, DKO) causes striking mitochondrial abnormalities under room temperature, absent in single KO or</w:t>
      </w:r>
      <w:r>
        <w:t xml:space="preserve"> </w:t>
      </w:r>
      <w:r>
        <w:t>Sel1L-Ire1a</w:t>
      </w:r>
      <w:r>
        <w:t xml:space="preserve"> </w:t>
      </w:r>
      <w:r>
        <w:t>double knockout mice. DKO adipocytes accumulate hyperfused megamitochondria extensively penetrated by ER tubules, accompanied by ER expansion, excessive ER–mitochondrial contacts, and impaired thermogenesis. These findings reveal that SEL1L–HRD1 ERAD and autophagy cooperate, rather than act redundantly, to maintain mitochondrial integrity in brown fat, uncovering a previously unrecognized mitochondrial surveillance mechanism based on ERAD–autophagy crosstalk.</w:t>
      </w:r>
    </w:p>
    <w:p>
      <w:pPr>
        <w:spacing w:before="120" w:after="120"/>
      </w:pPr>
      <w:r>
        <w:rPr>
          <w:sz w:val="18"/>
        </w:rPr>
        <w:t>——————————————————————————————————————————————————————————————————————</w:t>
      </w:r>
    </w:p>
    <w:p>
      <w:pPr>
        <w:spacing w:before="160" w:after="40" w:line="240" w:lineRule="auto"/>
      </w:pPr>
      <w:r>
        <w:rPr>
          <w:b/>
        </w:rPr>
        <w:t xml:space="preserve">[210] </w:t>
      </w:r>
      <w:hyperlink r:id="rId618">
        <w:r>
          <w:rPr>
            <w:color w:val="1155CC"/>
            <w:u w:val="single"/>
          </w:rPr>
          <w:t>电流辅助零场Hopfion环的成核</w:t>
        </w:r>
      </w:hyperlink>
    </w:p>
    <w:p>
      <w:pPr>
        <w:spacing w:before="0" w:after="80"/>
      </w:pPr>
      <w:r>
        <w:rPr>
          <w:i/>
          <w:sz w:val="20"/>
        </w:rPr>
        <w:t>EN: Electric‐Current‐Assisted Nucleation of Zero‐Field Hopfion Rings</w:t>
      </w:r>
    </w:p>
    <w:p>
      <w:pPr>
        <w:spacing w:before="0" w:after="120"/>
      </w:pPr>
      <w:r>
        <w:rPr>
          <w:b/>
        </w:rPr>
        <w:t xml:space="preserve">Source: </w:t>
      </w:r>
      <w:r>
        <w:t>Wiley: Advanced Materials: Table of Contents</w:t>
      </w:r>
      <w:r>
        <w:t xml:space="preserve">    </w:t>
      </w:r>
      <w:r>
        <w:rPr>
          <w:b/>
        </w:rPr>
        <w:t xml:space="preserve">Pub date: </w:t>
      </w:r>
      <w:r>
        <w:t>2026-03-17 07:36:23+00:00</w:t>
      </w:r>
      <w:r>
        <w:t xml:space="preserve">    </w:t>
      </w:r>
      <w:r>
        <w:rPr>
          <w:b/>
        </w:rPr>
        <w:t xml:space="preserve">DOI: </w:t>
      </w:r>
      <w:hyperlink r:id="rId619">
        <w:r>
          <w:rPr>
            <w:color w:val="1155CC"/>
            <w:u w:val="single"/>
          </w:rPr>
          <w:t>10.1002/adma.202523417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磁性霍普子是三维拓扑孤子——打结的、类似涡旋的自旋构型。在手性磁体中，霍普子可以作为孤立结构出现，也可以与斯格明子串相连。先前的研究采用了一种复杂的协议和特殊的样品几何形状来成核这种与一个或几个斯格明子串相连的霍普子。在此，我们介绍了一种电流辅助的成核协议，该协议简单且与样品的形状和大小无关。生成的霍普子在正负磁场下表现出非凡的稳定性，与微磁模拟完全一致。我们还通过推导相应的同伦群，提出了一个分类霍普子、斯格明子和梅隆的综合框架。</w:t>
      </w:r>
    </w:p>
    <w:p>
      <w:pPr>
        <w:spacing w:before="0" w:after="200" w:lineRule="auto" w:line="276"/>
      </w:pPr>
      <w:r>
        <w:rPr>
          <w:b/>
        </w:rPr>
        <w:t xml:space="preserve">Abstract (EN): </w:t>
      </w:r>
      <w:r>
        <w:t>Magnetic hopfions are 3D topological solitons – knotted, vortex‐like spin configurations. In chiral magnets, hopfions can appear as isolated structures or they can be linked to skyrmion strings. Previous studies employed a sophisticated protocol and a special sample geometry to nucleate such hopfions linked to one or a few skyrmion strings. Here, we introduce an electric‐current‐assisted nucleation protocol that is simple and independent of the sample shape and size. The resulting hopfions exhibit extraordinary stability in the presence of both positive and negative magnetic fields, in perfect agreement with micromagnetic simulations. We also present a comprehensive framework for classifying hopfions, skyrmions, and merons by deriving the corresponding homotopy group.</w:t>
      </w:r>
    </w:p>
    <w:p>
      <w:pPr>
        <w:spacing w:before="120" w:after="120"/>
      </w:pPr>
      <w:r>
        <w:rPr>
          <w:sz w:val="18"/>
        </w:rPr>
        <w:t>——————————————————————————————————————————————————————————————————————</w:t>
      </w:r>
    </w:p>
    <w:p>
      <w:pPr>
        <w:spacing w:before="160" w:after="40" w:line="240" w:lineRule="auto"/>
      </w:pPr>
      <w:r>
        <w:rPr>
          <w:b/>
        </w:rPr>
        <w:t xml:space="preserve">[211] </w:t>
      </w:r>
      <w:hyperlink r:id="rId620">
        <w:r>
          <w:rPr>
            <w:color w:val="1155CC"/>
            <w:u w:val="single"/>
          </w:rPr>
          <w:t>介电和栅极金属工程用于增强型单层MoS2场效应晶体管的阈值电压调制</w:t>
        </w:r>
      </w:hyperlink>
    </w:p>
    <w:p>
      <w:pPr>
        <w:spacing w:before="0" w:after="80"/>
      </w:pPr>
      <w:r>
        <w:rPr>
          <w:i/>
          <w:sz w:val="20"/>
        </w:rPr>
        <w:t>EN: Dielectric and Gate Metal Engineering for Threshold Voltage Modulation in Enhancement Mode Monolayer MoS2 Field Effect Transistors</w:t>
      </w:r>
    </w:p>
    <w:p>
      <w:pPr>
        <w:spacing w:before="0" w:after="120"/>
      </w:pPr>
      <w:r>
        <w:rPr>
          <w:b/>
        </w:rPr>
        <w:t xml:space="preserve">Source: </w:t>
      </w:r>
      <w:r>
        <w:t>Wiley: Advanced Materials: Table of Contents</w:t>
      </w:r>
      <w:r>
        <w:t xml:space="preserve">    </w:t>
      </w:r>
      <w:r>
        <w:rPr>
          <w:b/>
        </w:rPr>
        <w:t xml:space="preserve">Pub date: </w:t>
      </w:r>
      <w:r>
        <w:t>2026-03-17 07:40:13+00:00</w:t>
      </w:r>
      <w:r>
        <w:t xml:space="preserve">    </w:t>
      </w:r>
      <w:r>
        <w:rPr>
          <w:b/>
        </w:rPr>
        <w:t xml:space="preserve">DOI: </w:t>
      </w:r>
      <w:hyperlink r:id="rId621">
        <w:r>
          <w:rPr>
            <w:color w:val="1155CC"/>
            <w:u w:val="single"/>
          </w:rPr>
          <w:t>10.1002/adma.202523661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基于二维过渡金属二硫化物（2D TMD）通道的场效应晶体管（FET）中，优良的栅极静电特性可以显著降低静态功耗。节能FET在增强模式下工作，具有小且正的阈值电压（V</w:t>
      </w:r>
      <w:r>
        <w:t xml:space="preserve"> </w:t>
      </w:r>
      <w:r>
        <w:t>th</w:t>
      </w:r>
      <w:r>
        <w:t xml:space="preserve"> </w:t>
      </w:r>
      <w:r>
        <w:t>）用于n型器件。然而，大多数基于单层MoS</w:t>
      </w:r>
      <w:r>
        <w:rPr>
          <w:vertAlign w:val="subscript"/>
        </w:rPr>
        <w:t>2</w:t>
      </w:r>
      <w:r>
        <w:t>通道的最先进FET由于来自底层介电基板的掺杂而在耗尽模式下工作，具有负的V</w:t>
      </w:r>
      <w:r>
        <w:t xml:space="preserve"> </w:t>
      </w:r>
      <w:r>
        <w:t>th</w:t>
      </w:r>
      <w:r>
        <w:t xml:space="preserve"> </w:t>
      </w:r>
      <w:r>
        <w:t>。在这项工作中，我们确定了半导体/介电界面（MoS</w:t>
      </w:r>
      <w:r>
        <w:rPr>
          <w:vertAlign w:val="subscript"/>
        </w:rPr>
        <w:t>2</w:t>
      </w:r>
      <w:r>
        <w:t>在工业相关高d</w:t>
      </w:r>
    </w:p>
    <w:p>
      <w:pPr>
        <w:spacing w:before="0" w:after="200" w:lineRule="auto" w:line="276"/>
      </w:pPr>
      <w:r>
        <w:rPr>
          <w:b/>
        </w:rPr>
        <w:t xml:space="preserve">Abstract (EN): </w:t>
      </w:r>
      <w:r>
        <w:t>Excellent gate electrostatics in field effect transistors (FETs) based on 2D transition metal dichalcogenide (2D TMD) channels can dramatically decrease static power dissipation. Energy‐efficient FETs operate in enhancement mode with a small and positive threshold voltage (V</w:t>
      </w:r>
      <w:r>
        <w:t xml:space="preserve"> </w:t>
      </w:r>
      <w:r>
        <w:t>th</w:t>
      </w:r>
      <w:r>
        <w:t xml:space="preserve"> </w:t>
      </w:r>
      <w:r>
        <w:t>) for n‐type devices. However, most state‐of‐the‐art FETs based on monolayer MoS</w:t>
      </w:r>
      <w:r>
        <w:rPr>
          <w:vertAlign w:val="subscript"/>
        </w:rPr>
        <w:t>2</w:t>
      </w:r>
      <w:r>
        <w:t>channel operate in depletion mode with negative V</w:t>
      </w:r>
      <w:r>
        <w:t xml:space="preserve"> </w:t>
      </w:r>
      <w:r>
        <w:t>th</w:t>
      </w:r>
      <w:r>
        <w:t xml:space="preserve"> </w:t>
      </w:r>
      <w:r>
        <w:t>due to doping from the underlying dielectric substrate. In this work, we identify key properties of the semiconductor/dielectric interface (MoS</w:t>
      </w:r>
      <w:r>
        <w:rPr>
          <w:vertAlign w:val="subscript"/>
        </w:rPr>
        <w:t>2</w:t>
      </w:r>
      <w:r>
        <w:t>on industrially relevant high dielectric constant (</w:t>
      </w:r>
      <w:r>
        <w:t xml:space="preserve"> </w:t>
      </w:r>
      <w:r>
        <w:t>k</w:t>
      </w:r>
      <w:r>
        <w:t xml:space="preserve"> </w:t>
      </w:r>
      <w:r>
        <w:t>) HfO</w:t>
      </w:r>
      <w:r>
        <w:rPr>
          <w:vertAlign w:val="subscript"/>
        </w:rPr>
        <w:t>2</w:t>
      </w:r>
      <w:r>
        <w:t>, ZrO</w:t>
      </w:r>
      <w:r>
        <w:rPr>
          <w:vertAlign w:val="subscript"/>
        </w:rPr>
        <w:t>2</w:t>
      </w:r>
      <w:r>
        <w:t>and hBN for reference) responsible for realizing enhancement‐mode operation of 2D MoS</w:t>
      </w:r>
      <w:r>
        <w:rPr>
          <w:vertAlign w:val="subscript"/>
        </w:rPr>
        <w:t>2</w:t>
      </w:r>
      <w:r>
        <w:t>channel FETs. We find that hBN and ZrO</w:t>
      </w:r>
      <w:r>
        <w:rPr>
          <w:vertAlign w:val="subscript"/>
        </w:rPr>
        <w:t>2</w:t>
      </w:r>
      <w:r>
        <w:t>dielectric substrates provide low defect interfaces with MoS</w:t>
      </w:r>
      <w:r>
        <w:rPr>
          <w:vertAlign w:val="subscript"/>
        </w:rPr>
        <w:t>2</w:t>
      </w:r>
      <w:r>
        <w:t>that enables effective modulation of the V</w:t>
      </w:r>
      <w:r>
        <w:t xml:space="preserve"> </w:t>
      </w:r>
      <w:r>
        <w:t>th</w:t>
      </w:r>
      <w:r>
        <w:t xml:space="preserve"> </w:t>
      </w:r>
      <w:r>
        <w:t>using gate metals of different work functions (WFs). We use photoluminescence (PL) and synchrotron X‐ray photoelectron spectroscopy (XPS) measurements to investigate doping levels in monolayer MoS</w:t>
      </w:r>
      <w:r>
        <w:rPr>
          <w:vertAlign w:val="subscript"/>
        </w:rPr>
        <w:t>2</w:t>
      </w:r>
      <w:r>
        <w:t>on different dielectrics with different WF gate metals. We complement the FET and spectroscopic measurements with capacitance‐voltage analysis on dielectrics with varying thicknesses, which confirms that V</w:t>
      </w:r>
      <w:r>
        <w:t xml:space="preserve"> </w:t>
      </w:r>
      <w:r>
        <w:t>th</w:t>
      </w:r>
      <w:r>
        <w:t xml:space="preserve"> </w:t>
      </w:r>
      <w:r>
        <w:t>modulation in ZrO</w:t>
      </w:r>
      <w:r>
        <w:rPr>
          <w:vertAlign w:val="subscript"/>
        </w:rPr>
        <w:t>2</w:t>
      </w:r>
      <w:r>
        <w:t>devices is correlated with WF of the gate metals – in contrast with HfO</w:t>
      </w:r>
      <w:r>
        <w:rPr>
          <w:vertAlign w:val="subscript"/>
        </w:rPr>
        <w:t>2</w:t>
      </w:r>
      <w:r>
        <w:t>devices that exhibit signatures of V</w:t>
      </w:r>
      <w:r>
        <w:t xml:space="preserve"> </w:t>
      </w:r>
      <w:r>
        <w:t>th</w:t>
      </w:r>
      <w:r>
        <w:t xml:space="preserve"> </w:t>
      </w:r>
      <w:r>
        <w:t>pinning induced by oxide/interface defect states. Finally, we demonstrate FETs using a 2D MoS</w:t>
      </w:r>
      <w:r>
        <w:rPr>
          <w:vertAlign w:val="subscript"/>
        </w:rPr>
        <w:t>2</w:t>
      </w:r>
      <w:r>
        <w:t>channel and a 6 nm of ZrO</w:t>
      </w:r>
      <w:r>
        <w:rPr>
          <w:vertAlign w:val="subscript"/>
        </w:rPr>
        <w:t>2</w:t>
      </w:r>
      <w:r>
        <w:t>dielectric, achieving a subthreshold swing of 87 mV dec</w:t>
      </w:r>
      <w:r>
        <w:t xml:space="preserve"> </w:t>
      </w:r>
      <w:r>
        <w:t>−1</w:t>
      </w:r>
      <w:r>
        <w:t xml:space="preserve"> </w:t>
      </w:r>
      <w:r>
        <w:t>and a threshold voltage of 0.1 V. Our results offer insights into the role of dielectric/semiconductor interface in 2D MoS</w:t>
      </w:r>
      <w:r>
        <w:rPr>
          <w:vertAlign w:val="subscript"/>
        </w:rPr>
        <w:t>2</w:t>
      </w:r>
      <w:r>
        <w:t>based FETs for realizing enhancement mode FETs and highlight the potential of ZrO</w:t>
      </w:r>
      <w:r>
        <w:rPr>
          <w:vertAlign w:val="subscript"/>
        </w:rPr>
        <w:t>2</w:t>
      </w:r>
      <w:r>
        <w:t>as a scalable high‐</w:t>
      </w:r>
      <w:r>
        <w:t xml:space="preserve"> </w:t>
      </w:r>
      <w:r>
        <w:t>k</w:t>
      </w:r>
      <w:r>
        <w:t xml:space="preserve"> </w:t>
      </w:r>
      <w:r>
        <w:t>dielectric.</w:t>
      </w:r>
    </w:p>
    <w:p>
      <w:pPr>
        <w:spacing w:before="120" w:after="120"/>
      </w:pPr>
      <w:r>
        <w:rPr>
          <w:sz w:val="18"/>
        </w:rPr>
        <w:t>——————————————————————————————————————————————————————————————————————</w:t>
      </w:r>
    </w:p>
    <w:p>
      <w:pPr>
        <w:spacing w:before="160" w:after="40" w:line="240" w:lineRule="auto"/>
      </w:pPr>
      <w:r>
        <w:rPr>
          <w:b/>
        </w:rPr>
        <w:t xml:space="preserve">[212] </w:t>
      </w:r>
      <w:hyperlink r:id="rId622">
        <w:r>
          <w:rPr>
            <w:color w:val="1155CC"/>
            <w:u w:val="single"/>
          </w:rPr>
          <w:t>通过不对称光响应催化剂工程电子泵用于太阳能驱动的合成气生产</w:t>
        </w:r>
      </w:hyperlink>
    </w:p>
    <w:p>
      <w:pPr>
        <w:spacing w:before="0" w:after="80"/>
      </w:pPr>
      <w:r>
        <w:rPr>
          <w:i/>
          <w:sz w:val="20"/>
        </w:rPr>
        <w:t>EN: Engineering an Electron Pump by Asymmetric Light‐Responsive Catalyst for Solar‐Driven Syngas Production</w:t>
      </w:r>
    </w:p>
    <w:p>
      <w:pPr>
        <w:spacing w:before="0" w:after="120"/>
      </w:pPr>
      <w:r>
        <w:rPr>
          <w:b/>
        </w:rPr>
        <w:t xml:space="preserve">Source: </w:t>
      </w:r>
      <w:r>
        <w:t>Wiley: Advanced Materials: Table of Contents</w:t>
      </w:r>
      <w:r>
        <w:t xml:space="preserve">    </w:t>
      </w:r>
      <w:r>
        <w:rPr>
          <w:b/>
        </w:rPr>
        <w:t xml:space="preserve">Pub date: </w:t>
      </w:r>
      <w:r>
        <w:t>2026-03-17 07:49:53+00:00</w:t>
      </w:r>
      <w:r>
        <w:t xml:space="preserve">    </w:t>
      </w:r>
      <w:r>
        <w:rPr>
          <w:b/>
        </w:rPr>
        <w:t xml:space="preserve">DOI: </w:t>
      </w:r>
      <w:hyperlink r:id="rId623">
        <w:r>
          <w:rPr>
            <w:color w:val="1155CC"/>
            <w:u w:val="single"/>
          </w:rPr>
          <w:t>10.1002/adma.72821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甲烷干重整（DRM）提供了一种节能和环境可持续的合成气生产途径。然而，该技术仍然面临生产率不足的问题，特别是在高气体小时空速（GHSV）下。在这项工作中，我们设计了一种具有不对称光响应结构的电子泵催化剂，由Ru纳米簇和Ni单原子组成，以提高合成气的生产率。在无外部加热的照射下，Ru</w:t>
      </w:r>
      <w:r>
        <w:t xml:space="preserve"> </w:t>
      </w:r>
      <w:r>
        <w:t>ac</w:t>
      </w:r>
      <w:r>
        <w:t xml:space="preserve"> </w:t>
      </w:r>
      <w:r>
        <w:t>-Ni</w:t>
      </w:r>
      <w:r>
        <w:t xml:space="preserve"> </w:t>
      </w:r>
      <w:r>
        <w:t>sa</w:t>
      </w:r>
      <w:r>
        <w:t xml:space="preserve"> </w:t>
      </w:r>
      <w:r>
        <w:t>/NC实现了显著的合成气生产，达到4.70 mol·g</w:t>
      </w:r>
      <w:r>
        <w:t xml:space="preserve"> </w:t>
      </w:r>
      <w:r>
        <w:t>cat</w:t>
      </w:r>
      <w:r>
        <w:t xml:space="preserve"> </w:t>
      </w:r>
      <w:r>
        <w:t>−1</w:t>
      </w:r>
      <w:r>
        <w:t xml:space="preserve"> </w:t>
      </w:r>
      <w:r>
        <w:t>·h</w:t>
      </w:r>
      <w:r>
        <w:t xml:space="preserve"> </w:t>
      </w:r>
      <w:r>
        <w:t>−1</w:t>
      </w:r>
    </w:p>
    <w:p>
      <w:pPr>
        <w:spacing w:before="0" w:after="200" w:lineRule="auto" w:line="276"/>
      </w:pPr>
      <w:r>
        <w:rPr>
          <w:b/>
        </w:rPr>
        <w:t xml:space="preserve">Abstract (EN): </w:t>
      </w:r>
      <w:r>
        <w:t>Solar‐driven dry reforming of methane (DRM) offers an energy‐saving and environmentally sustainable route for syngas production. Nevertheless, this technology still suffers from insufficient production rates, especially under high gas hourly space velocity (GHSV). In this work, we design an electron pump catalyst with an asymmetric light‐responsive architecture, comprising Ru nanoclusters and Ni single atoms, to boost syngas production rates. Under illumination without external heating, Ru</w:t>
      </w:r>
      <w:r>
        <w:t xml:space="preserve"> </w:t>
      </w:r>
      <w:r>
        <w:t>ac</w:t>
      </w:r>
      <w:r>
        <w:t xml:space="preserve"> </w:t>
      </w:r>
      <w:r>
        <w:t>‐Ni</w:t>
      </w:r>
      <w:r>
        <w:t xml:space="preserve"> </w:t>
      </w:r>
      <w:r>
        <w:t>sa</w:t>
      </w:r>
      <w:r>
        <w:t xml:space="preserve"> </w:t>
      </w:r>
      <w:r>
        <w:t>/NC achieves a remarkable syngas production of 4.70 mol·g</w:t>
      </w:r>
      <w:r>
        <w:t xml:space="preserve"> </w:t>
      </w:r>
      <w:r>
        <w:t>cat</w:t>
      </w:r>
      <w:r>
        <w:t xml:space="preserve"> </w:t>
      </w:r>
      <w:r>
        <w:t>−1</w:t>
      </w:r>
      <w:r>
        <w:t xml:space="preserve"> </w:t>
      </w:r>
      <w:r>
        <w:t>·h</w:t>
      </w:r>
      <w:r>
        <w:t xml:space="preserve"> </w:t>
      </w:r>
      <w:r>
        <w:t>−1</w:t>
      </w:r>
      <w:r>
        <w:t xml:space="preserve"> </w:t>
      </w:r>
      <w:r>
        <w:t>at 500°C and a GHSV of 288 000 h</w:t>
      </w:r>
      <w:r>
        <w:t xml:space="preserve"> </w:t>
      </w:r>
      <w:r>
        <w:t>−</w:t>
      </w:r>
      <w:r>
        <w:rPr>
          <w:vertAlign w:val="subscript"/>
        </w:rPr>
        <w:t>1</w:t>
      </w:r>
      <w:r>
        <w:t>, outperforming state‐of‐the‐art benchmarks by five times, and maintained excellent stability over 1500 min. Experimental and computational studies disclose that the asymmetric architecture enables directional electron transfer and suppresses electron‐hole recombination, as an electron pump, creating electron‐enriched Ru sites and electron‐deficient Ni sites. This interfacial electron configuration furnishes favorable active sites for reactant activation and</w:t>
      </w:r>
      <w:r>
        <w:t xml:space="preserve"> </w:t>
      </w:r>
      <w:r>
        <w:t>*</w:t>
      </w:r>
      <w:r>
        <w:t xml:space="preserve"> </w:t>
      </w:r>
      <w:r>
        <w:t>CH</w:t>
      </w:r>
      <w:r>
        <w:rPr>
          <w:vertAlign w:val="subscript"/>
        </w:rPr>
        <w:t>3</w:t>
      </w:r>
      <w:r>
        <w:t>O formation, thereby improving DRM kinetics. This work unlocks a design strategy for catalysts in solar‐driven reactions and provides a mechanistic lever for enhancing electron‐transfer efficiency and reactant activation.</w:t>
      </w:r>
    </w:p>
    <w:p>
      <w:pPr>
        <w:spacing w:before="120" w:after="120"/>
      </w:pPr>
      <w:r>
        <w:rPr>
          <w:sz w:val="18"/>
        </w:rPr>
        <w:t>——————————————————————————————————————————————————————————————————————</w:t>
      </w:r>
    </w:p>
    <w:p>
      <w:pPr>
        <w:spacing w:before="160" w:after="40" w:line="240" w:lineRule="auto"/>
      </w:pPr>
      <w:r>
        <w:rPr>
          <w:b/>
        </w:rPr>
        <w:t xml:space="preserve">[213] </w:t>
      </w:r>
      <w:hyperlink r:id="rId624">
        <w:r>
          <w:rPr>
            <w:color w:val="1155CC"/>
            <w:u w:val="single"/>
          </w:rPr>
          <w:t>在基于卟啉的双腔金属笼中，客体增强的电荷分离用于可见光驱动的H2O2生产</w:t>
        </w:r>
      </w:hyperlink>
    </w:p>
    <w:p>
      <w:pPr>
        <w:spacing w:before="0" w:after="80"/>
      </w:pPr>
      <w:r>
        <w:rPr>
          <w:i/>
          <w:sz w:val="20"/>
        </w:rPr>
        <w:t>EN: Guest‐Enhanced Charge Separation in Porphyrin‐Based Double‐Cavity Metallacages for Visible‐Light‐Driven H2O2 Production</w:t>
      </w:r>
    </w:p>
    <w:p>
      <w:pPr>
        <w:spacing w:before="0" w:after="120"/>
      </w:pPr>
      <w:r>
        <w:rPr>
          <w:b/>
        </w:rPr>
        <w:t xml:space="preserve">Source: </w:t>
      </w:r>
      <w:r>
        <w:t>Wiley: Angewandte Chemie International Edition: Table of Contents</w:t>
      </w:r>
      <w:r>
        <w:t xml:space="preserve">    </w:t>
      </w:r>
      <w:r>
        <w:rPr>
          <w:b/>
        </w:rPr>
        <w:t xml:space="preserve">Pub date: </w:t>
      </w:r>
      <w:r>
        <w:t>2026-03-17 08:01:38+00:00</w:t>
      </w:r>
      <w:r>
        <w:t xml:space="preserve">    </w:t>
      </w:r>
      <w:r>
        <w:rPr>
          <w:b/>
        </w:rPr>
        <w:t xml:space="preserve">DOI: </w:t>
      </w:r>
      <w:hyperlink r:id="rId625">
        <w:r>
          <w:rPr>
            <w:color w:val="1155CC"/>
            <w:u w:val="single"/>
          </w:rPr>
          <w:t>10.1002/anie.9964829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过氧化氢（H</w:t>
      </w:r>
      <w:r>
        <w:rPr>
          <w:vertAlign w:val="subscript"/>
        </w:rPr>
        <w:t>2</w:t>
      </w:r>
      <w:r>
        <w:t>O</w:t>
      </w:r>
      <w:r>
        <w:rPr>
          <w:vertAlign w:val="subscript"/>
        </w:rPr>
        <w:t>2</w:t>
      </w:r>
      <w:r>
        <w:t>）是一种多功能且绿色的氧化剂，具有广泛的工业应用，但其大规模生产仍依赖于能量密集的蒽醌工艺。在可见光下的光催化合成H</w:t>
      </w:r>
      <w:r>
        <w:rPr>
          <w:vertAlign w:val="subscript"/>
        </w:rPr>
        <w:t>2</w:t>
      </w:r>
      <w:r>
        <w:t>O</w:t>
      </w:r>
      <w:r>
        <w:rPr>
          <w:vertAlign w:val="subscript"/>
        </w:rPr>
        <w:t>2</w:t>
      </w:r>
      <w:r>
        <w:t>提供了一种可持续的替代方案，但由于扩展框架材料中低效的电荷分离和质量传输而受到限制。在此，我们通过正交Pt(II)/羧酸盐/吡啶和Zn-卟啉/吡啶配位，报告了两种卟啉基双腔金属笼的模块化构建。所得的金属笼具有</w:t>
      </w:r>
    </w:p>
    <w:p>
      <w:pPr>
        <w:spacing w:before="0" w:after="200" w:lineRule="auto" w:line="276"/>
      </w:pPr>
      <w:r>
        <w:rPr>
          <w:b/>
        </w:rPr>
        <w:t xml:space="preserve">Abstract (EN): </w:t>
      </w:r>
      <w:r>
        <w:t>Hydrogen peroxide (H</w:t>
      </w:r>
      <w:r>
        <w:rPr>
          <w:vertAlign w:val="subscript"/>
        </w:rPr>
        <w:t>2</w:t>
      </w:r>
      <w:r>
        <w:t>O</w:t>
      </w:r>
      <w:r>
        <w:rPr>
          <w:vertAlign w:val="subscript"/>
        </w:rPr>
        <w:t>2</w:t>
      </w:r>
      <w:r>
        <w:t>) is a versatile and green oxidant with wide industrial applications, yet its large‐scale production still relies on the energy‐intensive anthraquinone process. Photocatalytic synthesis of H</w:t>
      </w:r>
      <w:r>
        <w:rPr>
          <w:vertAlign w:val="subscript"/>
        </w:rPr>
        <w:t>2</w:t>
      </w:r>
      <w:r>
        <w:t>O</w:t>
      </w:r>
      <w:r>
        <w:rPr>
          <w:vertAlign w:val="subscript"/>
        </w:rPr>
        <w:t>2</w:t>
      </w:r>
      <w:r>
        <w:t>under visible light offers a sustainable alternative but remains limited by inefficient charge separation and mass transport in extended framework materials. Herein, we report the modular construction of two porphyrin‐based double‐cavity metallacages via orthogonal Pt(II)/carboxylate/pyridine and Zn‐porphyrin/pyridine coordination. The resulting metallacages feature an intrinsic donor‐acceptor architecture that promotes photoinduced electron transfer and charge separation. Encapsulation of electron‐rich aromatic guests (triphenylene or benzotrithiophene) further stabilizes the charge‐separated state and prolongs carrier lifetimes, thereby enhancing the photocatalytic H</w:t>
      </w:r>
      <w:r>
        <w:rPr>
          <w:vertAlign w:val="subscript"/>
        </w:rPr>
        <w:t>2</w:t>
      </w:r>
      <w:r>
        <w:t>O</w:t>
      </w:r>
      <w:r>
        <w:rPr>
          <w:vertAlign w:val="subscript"/>
        </w:rPr>
        <w:t>2</w:t>
      </w:r>
      <w:r>
        <w:t>generation with a rate of 4037 µmol·g</w:t>
      </w:r>
      <w:r>
        <w:t xml:space="preserve"> </w:t>
      </w:r>
      <w:r>
        <w:t>−1</w:t>
      </w:r>
      <w:r>
        <w:t xml:space="preserve"> </w:t>
      </w:r>
      <w:r>
        <w:t>·h</w:t>
      </w:r>
      <w:r>
        <w:t xml:space="preserve"> </w:t>
      </w:r>
      <w:r>
        <w:t>−1</w:t>
      </w:r>
      <w:r>
        <w:t xml:space="preserve"> </w:t>
      </w:r>
      <w:r>
        <w:t>in the presence of benzyl alcohol, among the highest reported values for visible‐light supramolecular photocatalysts. This work establishes discrete metallacages and their host–guest complexes as an emerging platform for supramolecular photocatalysis and rational H</w:t>
      </w:r>
      <w:r>
        <w:rPr>
          <w:vertAlign w:val="subscript"/>
        </w:rPr>
        <w:t>2</w:t>
      </w:r>
      <w:r>
        <w:t>O</w:t>
      </w:r>
      <w:r>
        <w:rPr>
          <w:vertAlign w:val="subscript"/>
        </w:rPr>
        <w:t>2</w:t>
      </w:r>
      <w:r>
        <w:t>photosynthesis, which will pave the way for the future development of metallacages in photocatalytic applications.</w:t>
      </w:r>
    </w:p>
    <w:p>
      <w:pPr>
        <w:spacing w:before="120" w:after="120"/>
      </w:pPr>
      <w:r>
        <w:rPr>
          <w:sz w:val="18"/>
        </w:rPr>
        <w:t>——————————————————————————————————————————————————————————————————————</w:t>
      </w:r>
    </w:p>
    <w:p>
      <w:pPr>
        <w:spacing w:before="160" w:after="40" w:line="240" w:lineRule="auto"/>
      </w:pPr>
      <w:r>
        <w:rPr>
          <w:b/>
        </w:rPr>
        <w:t xml:space="preserve">[214] </w:t>
      </w:r>
      <w:hyperlink r:id="rId626">
        <w:r>
          <w:rPr>
            <w:color w:val="1155CC"/>
            <w:u w:val="single"/>
          </w:rPr>
          <w:t>[ASAP] 通过电化学重构定制材料设计用于水系能量存储和转换</w:t>
        </w:r>
      </w:hyperlink>
    </w:p>
    <w:p>
      <w:pPr>
        <w:spacing w:before="0" w:after="80"/>
      </w:pPr>
      <w:r>
        <w:rPr>
          <w:i/>
          <w:sz w:val="20"/>
        </w:rPr>
        <w:t>EN: [ASAP] Tailoring Materials Design for Aqueous Energy Storage and Conversion through Electrochemical Reconstruction</w:t>
      </w:r>
    </w:p>
    <w:p>
      <w:pPr>
        <w:spacing w:before="0" w:after="120"/>
      </w:pPr>
      <w:r>
        <w:rPr>
          <w:b/>
        </w:rPr>
        <w:t xml:space="preserve">Source: </w:t>
      </w:r>
      <w:r>
        <w:t>Chemical Reviews: Latest Articles (ACS Publications)</w:t>
      </w:r>
      <w:r>
        <w:t xml:space="preserve">    </w:t>
      </w:r>
      <w:r>
        <w:rPr>
          <w:b/>
        </w:rPr>
        <w:t xml:space="preserve">Pub date: </w:t>
      </w:r>
      <w:r>
        <w:t>2026-03-17 08:12:17+00:00</w:t>
      </w:r>
      <w:r>
        <w:t xml:space="preserve">    </w:t>
      </w:r>
      <w:r>
        <w:rPr>
          <w:b/>
        </w:rPr>
        <w:t xml:space="preserve">DOI: </w:t>
      </w:r>
      <w:hyperlink r:id="rId627">
        <w:r>
          <w:rPr>
            <w:color w:val="1155CC"/>
            <w:u w:val="single"/>
          </w:rPr>
          <w:t>10.1021/acs.chemrev.5c00775</w:t>
        </w:r>
      </w:hyperlink>
    </w:p>
    <w:p>
      <w:pPr>
        <w:spacing w:before="0" w:after="120"/>
      </w:pPr>
      <w:r>
        <w:rPr>
          <w:b/>
        </w:rPr>
        <w:t xml:space="preserve">Notes: </w:t>
      </w:r>
      <w:r>
        <w:t>abstract_source=pubmed</w:t>
      </w:r>
    </w:p>
    <w:p>
      <w:pPr>
        <w:spacing w:before="0" w:after="80" w:lineRule="auto" w:line="276"/>
      </w:pPr>
      <w:r>
        <w:rPr>
          <w:b/>
        </w:rPr>
        <w:t xml:space="preserve">摘要（ZH）: </w:t>
      </w:r>
      <w:r>
        <w:t>对可再生能源日益增长的需求推动了高效电化学系统的发展。过渡金属基材料由于其可调结构和氧化还原活性，成为关键的电极材料，电化学重构在其性能调节中起着关键作用。深入了解活性位点和局部环境的演变对于能量材料的合理设计至关重要。本文重点讨论了水系能量存储和水分解中的行为、机制和热力学，系统总结了通过电化学重构在六个方面的材料设计的最新进展：掺杂、缺陷、活性中心、高价位点、异质结构</w:t>
      </w:r>
    </w:p>
    <w:p>
      <w:pPr>
        <w:spacing w:before="0" w:after="200" w:lineRule="auto" w:line="276"/>
      </w:pPr>
      <w:r>
        <w:rPr>
          <w:b/>
        </w:rPr>
        <w:t xml:space="preserve">Abstract (EN): </w:t>
      </w:r>
      <w:r>
        <w:t>The growing demand for renewable energy has spurred the development of efficient electrochemical systems. Transition metal-based materials serve as key electrode materials due to their tunable structures and redox activity, with electrochemical reconstruction playing a critical role in modulation of their properties. A deep understanding of the evolution of active sites and local environments is essential for the rational design of energy materials. Focusing on aqueous energy storage and water splitting, this review discusses the behaviors, mechanisms, and thermodynamics of electrochemical reconstruction. It systematically summarizes recent advances in material design through electrochemical reconstruction across six aspects: doping, defects, active centers, high-valence sites, heterostructures, and electrode/electrolyte interfaces. A connection is established among the reconstruction techniques, the nature of active species, and the corresponding electrochemical behaviors. We also highlight milestone discoveries in reconstruction guided by external fields and the starting topology, alongside in situ/operando techniques for probing dynamic processes. Furthermore, we outline the growing role of artificial intelligence (AI)-driven methods in facilitating material discovery and process optimization, emphasizing the underlying principles of scientific synthesis and analysis. Besides, we discuss the remaining challenges and offer new insights, aiming to inspire future research in machine-learning-assisted design and fabrication of advanced materials for energy storage and conversion.</w:t>
      </w:r>
    </w:p>
    <w:p>
      <w:pPr>
        <w:spacing w:before="120" w:after="120"/>
      </w:pPr>
      <w:r>
        <w:rPr>
          <w:sz w:val="18"/>
        </w:rPr>
        <w:t>——————————————————————————————————————————————————————————————————————</w:t>
      </w:r>
    </w:p>
    <w:p>
      <w:pPr>
        <w:spacing w:before="160" w:after="40" w:line="240" w:lineRule="auto"/>
      </w:pPr>
      <w:r>
        <w:rPr>
          <w:b/>
        </w:rPr>
        <w:t xml:space="preserve">[215] </w:t>
      </w:r>
      <w:hyperlink r:id="rId628">
        <w:r>
          <w:rPr>
            <w:color w:val="1155CC"/>
            <w:u w:val="single"/>
          </w:rPr>
          <w:t>[ASAP] 使用光响应过度拥挤烯烃的动态手性表面</w:t>
        </w:r>
      </w:hyperlink>
    </w:p>
    <w:p>
      <w:pPr>
        <w:spacing w:before="0" w:after="80"/>
      </w:pPr>
      <w:r>
        <w:rPr>
          <w:i/>
          <w:sz w:val="20"/>
        </w:rPr>
        <w:t>EN: [ASAP] Dynamically Chiral Surfaces Using Photoresponsive Overcrowded Alkenes</w:t>
      </w:r>
    </w:p>
    <w:p>
      <w:pPr>
        <w:spacing w:before="0" w:after="120"/>
      </w:pPr>
      <w:r>
        <w:rPr>
          <w:b/>
        </w:rPr>
        <w:t xml:space="preserve">Source: </w:t>
      </w:r>
      <w:r>
        <w:t>Journal of the American Chemical Society: Latest Articles (ACS Publications)</w:t>
      </w:r>
      <w:r>
        <w:t xml:space="preserve">    </w:t>
      </w:r>
      <w:r>
        <w:rPr>
          <w:b/>
        </w:rPr>
        <w:t xml:space="preserve">Pub date: </w:t>
      </w:r>
      <w:r>
        <w:t>2026-03-17 08:21:10+00:00</w:t>
      </w:r>
      <w:r>
        <w:t xml:space="preserve">    </w:t>
      </w:r>
      <w:r>
        <w:rPr>
          <w:b/>
        </w:rPr>
        <w:t xml:space="preserve">DOI: </w:t>
      </w:r>
      <w:hyperlink r:id="rId629">
        <w:r>
          <w:rPr>
            <w:color w:val="1155CC"/>
            <w:u w:val="single"/>
          </w:rPr>
          <w:t>10.1021/jacs.5c22392</w:t>
        </w:r>
      </w:hyperlink>
    </w:p>
    <w:p>
      <w:pPr>
        <w:spacing w:before="0" w:after="120"/>
      </w:pPr>
      <w:r>
        <w:rPr>
          <w:b/>
        </w:rPr>
        <w:t xml:space="preserve">Notes: </w:t>
      </w:r>
      <w:r>
        <w:t>abstract_source=pubmed</w:t>
      </w:r>
    </w:p>
    <w:p>
      <w:pPr>
        <w:spacing w:before="0" w:after="80" w:lineRule="auto" w:line="276"/>
      </w:pPr>
      <w:r>
        <w:rPr>
          <w:b/>
        </w:rPr>
        <w:t xml:space="preserve">摘要（ZH）: </w:t>
      </w:r>
      <w:r>
        <w:t>结合表面手性和光响应性可以产生具有动态立体化学性质的界面。这类材料在界面可调手性识别方面提供了独特的机会。在此，我们提出了一种策略，通过在高度定向的热解石墨上使用过度拥挤的烯烃基分子马达的自组装分子网络（SAMNs）来实现动态手性表面。使用扫描隧道显微镜（STM）与原位照射显示，当分子马达被限制在SAMN中时，其光学性质和动态行为得以保持。光触发分子马达稳定状态（RP手性）的同手性组装向稳定和亚稳态之间的异手性共组装的转变</w:t>
      </w:r>
    </w:p>
    <w:p>
      <w:pPr>
        <w:spacing w:before="0" w:after="200" w:lineRule="auto" w:line="276"/>
      </w:pPr>
      <w:r>
        <w:rPr>
          <w:b/>
        </w:rPr>
        <w:t xml:space="preserve">Abstract (EN): </w:t>
      </w:r>
      <w:r>
        <w:t>Combining surface chirality and photoresponsiveness can result in interfaces with dynamic stereochemical properties. Such materials offer unique opportunities in the context of tunable chiral recognition at interfaces. Here, we present a strategy to achieve dynamically chiral surfaces using self-assembled molecular networks (SAMNs) of overcrowded alkene-based molecular motors on highly oriented pyrolytic graphite. The chiroptical properties and the dynamic behavior of the molecular motors are maintained when confined in the SAMN, as shown using scanning tunneling microscopy (STM) with in situ irradiation. Light triggers the transition from a homochiral assembly of the stable state of a molecular motor (RP chirality) to the heterochiral coassembly between the stable and the metastable state (RP/RM chirality). The RP/RM coassembly is a kinetic phase that disappears once the external stimulus is removed─highlighting the reversibility of the system. These results demonstrate how molecular motion can be harnessed to encode reversible chirality into surfaces.</w:t>
      </w:r>
    </w:p>
    <w:p>
      <w:pPr>
        <w:spacing w:before="120" w:after="120"/>
      </w:pPr>
      <w:r>
        <w:rPr>
          <w:sz w:val="18"/>
        </w:rPr>
        <w:t>——————————————————————————————————————————————————————————————————————</w:t>
      </w:r>
    </w:p>
    <w:p>
      <w:pPr>
        <w:spacing w:before="160" w:after="40" w:line="240" w:lineRule="auto"/>
      </w:pPr>
      <w:r>
        <w:rPr>
          <w:b/>
        </w:rPr>
        <w:t xml:space="preserve">[216] </w:t>
      </w:r>
      <w:hyperlink r:id="rId630">
        <w:r>
          <w:rPr>
            <w:color w:val="1155CC"/>
            <w:u w:val="single"/>
          </w:rPr>
          <w:t>工程体积压缩和表面张力应变以实现厌氧5-羟甲基糠醛光转化</w:t>
        </w:r>
      </w:hyperlink>
    </w:p>
    <w:p>
      <w:pPr>
        <w:spacing w:before="0" w:after="80"/>
      </w:pPr>
      <w:r>
        <w:rPr>
          <w:i/>
          <w:sz w:val="20"/>
        </w:rPr>
        <w:t>EN: Engineering Bulk Compression and Surface Tension Strains Toward Anaerobic 5‐Hydroxymethylfurfural Photoconversion</w:t>
      </w:r>
    </w:p>
    <w:p>
      <w:pPr>
        <w:spacing w:before="0" w:after="120"/>
      </w:pPr>
      <w:r>
        <w:rPr>
          <w:b/>
        </w:rPr>
        <w:t xml:space="preserve">Source: </w:t>
      </w:r>
      <w:r>
        <w:t>Wiley: Angewandte Chemie International Edition: Table of Contents</w:t>
      </w:r>
      <w:r>
        <w:t xml:space="preserve">    </w:t>
      </w:r>
      <w:r>
        <w:rPr>
          <w:b/>
        </w:rPr>
        <w:t xml:space="preserve">Pub date: </w:t>
      </w:r>
      <w:r>
        <w:t>2026-03-17 08:25:04+00:00</w:t>
      </w:r>
      <w:r>
        <w:t xml:space="preserve">    </w:t>
      </w:r>
      <w:r>
        <w:rPr>
          <w:b/>
        </w:rPr>
        <w:t xml:space="preserve">DOI: </w:t>
      </w:r>
      <w:hyperlink r:id="rId631">
        <w:r>
          <w:rPr>
            <w:color w:val="1155CC"/>
            <w:u w:val="single"/>
          </w:rPr>
          <w:t>10.1002/anie.6400652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通过常规氧化5-羟甲基糠醛（HMF）制备2,5-二甲酰基呋喃（DFF），一种关键的绿色生物质塑料单体，通常涉及苛刻条件，如强碱性介质，并容易发生碱催化的聚合副反应。在此，我们通过铝掺杂（Al/Rh NC-CdS）在铑纳米簇修饰的硫化镉纳米棒中设计了体积压缩和表面张力应变，以在温和条件下从中性HMF水溶液中高选择性地厌氧光催化共生产DFF和氢。原位表征结合第一性原理模拟证明，体积压缩应变显著增强了光生</w:t>
      </w:r>
    </w:p>
    <w:p>
      <w:pPr>
        <w:spacing w:before="0" w:after="200" w:lineRule="auto" w:line="276"/>
      </w:pPr>
      <w:r>
        <w:rPr>
          <w:b/>
        </w:rPr>
        <w:t xml:space="preserve">Abstract (EN): </w:t>
      </w:r>
      <w:r>
        <w:t>Achieving 2,5‐diformylfuran (DFF), a key green biomass plastic monomer, from conventional oxidation of 5‐hydroxymethylfurfural (HMF) often involves harsh conditions such as strong alkaline media and is prone to base‐catalyzed polymerization side reactions. Herein, we engineered both bulk compression and surface tension strain in rhodium nanoclusters‐modified cadmium sulfide nanorods through aluminum doping (Al/Rh</w:t>
      </w:r>
      <w:r>
        <w:t xml:space="preserve"> </w:t>
      </w:r>
      <w:r>
        <w:t>NC</w:t>
      </w:r>
      <w:r>
        <w:t xml:space="preserve"> </w:t>
      </w:r>
      <w:r>
        <w:t>‐CdS) to boost highly selective anaerobic photocatalytic coproduction of DFF and hydrogen from neutral HMF aqueous solutions under mild conditions. In situ characterization combined with first‐principles simulation proves that the bulk compression strain significantly enhances the photogenerated charge separation in Al/Rh</w:t>
      </w:r>
      <w:r>
        <w:t xml:space="preserve"> </w:t>
      </w:r>
      <w:r>
        <w:t>NC</w:t>
      </w:r>
      <w:r>
        <w:t xml:space="preserve"> </w:t>
      </w:r>
      <w:r>
        <w:t>‐CdS, while the surface tension strain facilitates the rate‐determining dehydrogenation oxidation of HMF into the key *C</w:t>
      </w:r>
      <w:r>
        <w:rPr>
          <w:vertAlign w:val="subscript"/>
        </w:rPr>
        <w:t>6</w:t>
      </w:r>
      <w:r>
        <w:t>H</w:t>
      </w:r>
      <w:r>
        <w:rPr>
          <w:vertAlign w:val="subscript"/>
        </w:rPr>
        <w:t>5</w:t>
      </w:r>
      <w:r>
        <w:t>O</w:t>
      </w:r>
      <w:r>
        <w:rPr>
          <w:vertAlign w:val="subscript"/>
        </w:rPr>
        <w:t>3</w:t>
      </w:r>
      <w:r>
        <w:t>intermediate. These unique characteristics enables Al/Rh</w:t>
      </w:r>
      <w:r>
        <w:t xml:space="preserve"> </w:t>
      </w:r>
      <w:r>
        <w:t>NC</w:t>
      </w:r>
      <w:r>
        <w:t xml:space="preserve"> </w:t>
      </w:r>
      <w:r>
        <w:t>‐CdS to achieve a 17‐, 9‐, and 4‐fold higher H</w:t>
      </w:r>
      <w:r>
        <w:rPr>
          <w:vertAlign w:val="subscript"/>
        </w:rPr>
        <w:t>2</w:t>
      </w:r>
      <w:r>
        <w:t>(776.8 µmol g</w:t>
      </w:r>
      <w:r>
        <w:t xml:space="preserve"> </w:t>
      </w:r>
      <w:r>
        <w:t>−</w:t>
      </w:r>
      <w:r>
        <w:rPr>
          <w:vertAlign w:val="subscript"/>
        </w:rPr>
        <w:t>1</w:t>
      </w:r>
      <w:r>
        <w:t>h</w:t>
      </w:r>
      <w:r>
        <w:t xml:space="preserve"> </w:t>
      </w:r>
      <w:r>
        <w:t>−</w:t>
      </w:r>
      <w:r>
        <w:rPr>
          <w:vertAlign w:val="subscript"/>
        </w:rPr>
        <w:t>1</w:t>
      </w:r>
      <w:r>
        <w:t>) and DFF yield (745.9 µmol g</w:t>
      </w:r>
      <w:r>
        <w:t xml:space="preserve"> </w:t>
      </w:r>
      <w:r>
        <w:t>−</w:t>
      </w:r>
      <w:r>
        <w:rPr>
          <w:vertAlign w:val="subscript"/>
        </w:rPr>
        <w:t>1</w:t>
      </w:r>
      <w:r>
        <w:t>h</w:t>
      </w:r>
      <w:r>
        <w:t xml:space="preserve"> </w:t>
      </w:r>
      <w:r>
        <w:t>−</w:t>
      </w:r>
      <w:r>
        <w:rPr>
          <w:vertAlign w:val="subscript"/>
        </w:rPr>
        <w:t>1</w:t>
      </w:r>
      <w:r>
        <w:t>, with 94.8% selectivity) compared to CdS modified with conventional Rh nanoparticles, nanoclusters, or single atoms. This strain‐induced activity enhancement is also observed in other metal nanocluster‐loaded CdS systems, highlighting the universal applicability of the proposed strategy. More significantly, Al/Rh</w:t>
      </w:r>
      <w:r>
        <w:t xml:space="preserve"> </w:t>
      </w:r>
      <w:r>
        <w:t>NC</w:t>
      </w:r>
      <w:r>
        <w:t xml:space="preserve"> </w:t>
      </w:r>
      <w:r>
        <w:t>‐CdS exhibited remarkable yields toward H</w:t>
      </w:r>
      <w:r>
        <w:rPr>
          <w:vertAlign w:val="subscript"/>
        </w:rPr>
        <w:t>2</w:t>
      </w:r>
      <w:r>
        <w:t>(270.9 µmol g</w:t>
      </w:r>
      <w:r>
        <w:t xml:space="preserve"> </w:t>
      </w:r>
      <w:r>
        <w:t>−</w:t>
      </w:r>
      <w:r>
        <w:rPr>
          <w:vertAlign w:val="subscript"/>
        </w:rPr>
        <w:t>1</w:t>
      </w:r>
      <w:r>
        <w:t>h</w:t>
      </w:r>
      <w:r>
        <w:t xml:space="preserve"> </w:t>
      </w:r>
      <w:r>
        <w:t>−</w:t>
      </w:r>
      <w:r>
        <w:rPr>
          <w:vertAlign w:val="subscript"/>
        </w:rPr>
        <w:t>1</w:t>
      </w:r>
      <w:r>
        <w:t>) and DFF (255.3 µmol g</w:t>
      </w:r>
      <w:r>
        <w:t xml:space="preserve"> </w:t>
      </w:r>
      <w:r>
        <w:t>−</w:t>
      </w:r>
      <w:r>
        <w:rPr>
          <w:vertAlign w:val="subscript"/>
        </w:rPr>
        <w:t>1</w:t>
      </w:r>
      <w:r>
        <w:t>h</w:t>
      </w:r>
      <w:r>
        <w:t xml:space="preserve"> </w:t>
      </w:r>
      <w:r>
        <w:t>−</w:t>
      </w:r>
      <w:r>
        <w:rPr>
          <w:vertAlign w:val="subscript"/>
        </w:rPr>
        <w:t>1</w:t>
      </w:r>
      <w:r>
        <w:t>, with 95.4% selectivity) in an outdoor concentrated solar‐driven photocatalytic system, thus verifying its feasibility for large‐scale manufacturing.</w:t>
      </w:r>
    </w:p>
    <w:p>
      <w:pPr>
        <w:spacing w:before="120" w:after="120"/>
      </w:pPr>
      <w:r>
        <w:rPr>
          <w:sz w:val="18"/>
        </w:rPr>
        <w:t>——————————————————————————————————————————————————————————————————————</w:t>
      </w:r>
    </w:p>
    <w:p>
      <w:pPr>
        <w:spacing w:before="160" w:after="40" w:line="240" w:lineRule="auto"/>
      </w:pPr>
      <w:r>
        <w:rPr>
          <w:b/>
        </w:rPr>
        <w:t xml:space="preserve">[217] </w:t>
      </w:r>
      <w:hyperlink r:id="rId632">
        <w:r>
          <w:rPr>
            <w:color w:val="1155CC"/>
            <w:u w:val="single"/>
          </w:rPr>
          <w:t>金属卤化物混合玻璃的自由基诱导小时级余辉和高效圆偏振发光</w:t>
        </w:r>
      </w:hyperlink>
    </w:p>
    <w:p>
      <w:pPr>
        <w:spacing w:before="0" w:after="80"/>
      </w:pPr>
      <w:r>
        <w:rPr>
          <w:i/>
          <w:sz w:val="20"/>
        </w:rPr>
        <w:t>EN: Radical‐Induced Hour‐Level Afterglow and Efficient Circularly Polarized Luminescence From Metal Halide Hybrid Glasses</w:t>
      </w:r>
    </w:p>
    <w:p>
      <w:pPr>
        <w:spacing w:before="0" w:after="120"/>
      </w:pPr>
      <w:r>
        <w:rPr>
          <w:b/>
        </w:rPr>
        <w:t xml:space="preserve">Source: </w:t>
      </w:r>
      <w:r>
        <w:t>Wiley: Angewandte Chemie International Edition: Table of Contents</w:t>
      </w:r>
      <w:r>
        <w:t xml:space="preserve">    </w:t>
      </w:r>
      <w:r>
        <w:rPr>
          <w:b/>
        </w:rPr>
        <w:t xml:space="preserve">Pub date: </w:t>
      </w:r>
      <w:r>
        <w:t>2026-03-17 08:34:58+00:00</w:t>
      </w:r>
      <w:r>
        <w:t xml:space="preserve">    </w:t>
      </w:r>
      <w:r>
        <w:rPr>
          <w:b/>
        </w:rPr>
        <w:t xml:space="preserve">DOI: </w:t>
      </w:r>
      <w:hyperlink r:id="rId633">
        <w:r>
          <w:rPr>
            <w:color w:val="1155CC"/>
            <w:u w:val="single"/>
          </w:rPr>
          <w:t>10.1002/anie.8889513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杂化玻璃已成为玻璃化学和材料中的第四类，提供了超越传统无机（非金属）、有机和金属系统的合成限制和性能约束的新可能性。该领域的一个关键进展是将多功能性集成到单片玻璃中，这对于下一代智能光学显示和信息存储至关重要，但进展仍处于初期阶段。在此，我们介绍了一系列大规模单片光活性杂化玻璃，具有增强的环境可持续性且不依赖稀土元素。将胺衍生物引入零维有机-无机卤化物玻璃中，实现了持久发光（PersL）</w:t>
      </w:r>
    </w:p>
    <w:p>
      <w:pPr>
        <w:spacing w:before="0" w:after="200" w:lineRule="auto" w:line="276"/>
      </w:pPr>
      <w:r>
        <w:rPr>
          <w:b/>
        </w:rPr>
        <w:t xml:space="preserve">Abstract (EN): </w:t>
      </w:r>
      <w:r>
        <w:t>Molecular hybrid glasses have emerged as a fourth category in glass chemistry and materials, offering new possibilities beyond the synthesis limits and property constraints of traditional inorganic (nonmetallic), organic, and metallic systems. A key advancement in this field is the integration of multifunctionality into monolithic glasses, essential for next‐generation smart optical display and information storage, but progress remains its nascent stage. Here, we introduce a family of large‐scale monolithic photoactive hybrid glasses with enhanced environmental sustainability and no reliance on rare earth elements. Incorporating amine derivatives into a zero‐dimensional organic‐inorganic halide glass enables persistent luminescence (PersL) over hours—surpassing state‐of‐the‐art hybrid glasses based on RTP or TADF. Importantly, we disruptively elucidate the underlying mechanisms of radical‐induced PersL (RIP) and precise photochromism in these glasses, addressing a long‐standing scientific challenge. Additionally, embedding chiral molecules in the glass matrix induces efficient circularly polarized luminescence (CPL), achieving an optical dissymmetry factor (g</w:t>
      </w:r>
      <w:r>
        <w:t xml:space="preserve"> </w:t>
      </w:r>
      <w:r>
        <w:t>lum</w:t>
      </w:r>
      <w:r>
        <w:t xml:space="preserve"> </w:t>
      </w:r>
      <w:r>
        <w:t>) of up to 1.1 × 10</w:t>
      </w:r>
      <w:r>
        <w:t xml:space="preserve"> </w:t>
      </w:r>
      <w:r>
        <w:t>−2</w:t>
      </w:r>
      <w:r>
        <w:t xml:space="preserve"> </w:t>
      </w:r>
      <w:r>
        <w:t>—setting a new benchmark for chiral hybrid glasses. This work not only advances the design and synthesis of high‐performance photofunctional hybrid glasses integrating PersL, photochromism, and CPL, but also expands their potential applications in information security, semiconductor inks, UV printing, and chiroptical devices.</w:t>
      </w:r>
    </w:p>
    <w:p>
      <w:pPr>
        <w:spacing w:before="120" w:after="120"/>
      </w:pPr>
      <w:r>
        <w:rPr>
          <w:sz w:val="18"/>
        </w:rPr>
        <w:t>——————————————————————————————————————————————————————————————————————</w:t>
      </w:r>
    </w:p>
    <w:p>
      <w:pPr>
        <w:spacing w:before="160" w:after="40" w:line="240" w:lineRule="auto"/>
      </w:pPr>
      <w:r>
        <w:rPr>
          <w:b/>
        </w:rPr>
        <w:t xml:space="preserve">[218] </w:t>
      </w:r>
      <w:hyperlink r:id="rId634">
        <w:r>
          <w:rPr>
            <w:color w:val="1155CC"/>
            <w:u w:val="single"/>
          </w:rPr>
          <w:t>通过全息聚合物波导的点激发宽场上转换成像</w:t>
        </w:r>
      </w:hyperlink>
    </w:p>
    <w:p>
      <w:pPr>
        <w:spacing w:before="0" w:after="80"/>
      </w:pPr>
      <w:r>
        <w:rPr>
          <w:i/>
          <w:sz w:val="20"/>
        </w:rPr>
        <w:t>EN: Point‐Excitation Wide‐Field Upconversion Imaging via a Holographic Polymer Waveguide</w:t>
      </w:r>
    </w:p>
    <w:p>
      <w:pPr>
        <w:spacing w:before="0" w:after="120"/>
      </w:pPr>
      <w:r>
        <w:rPr>
          <w:b/>
        </w:rPr>
        <w:t xml:space="preserve">Source: </w:t>
      </w:r>
      <w:r>
        <w:t>Wiley: Advanced Materials: Table of Contents</w:t>
      </w:r>
      <w:r>
        <w:t xml:space="preserve">    </w:t>
      </w:r>
      <w:r>
        <w:rPr>
          <w:b/>
        </w:rPr>
        <w:t xml:space="preserve">Pub date: </w:t>
      </w:r>
      <w:r>
        <w:t>2026-03-17 09:15:12+00:00</w:t>
      </w:r>
      <w:r>
        <w:t xml:space="preserve">    </w:t>
      </w:r>
      <w:r>
        <w:rPr>
          <w:b/>
        </w:rPr>
        <w:t xml:space="preserve">DOI: </w:t>
      </w:r>
      <w:hyperlink r:id="rId635">
        <w:r>
          <w:rPr>
            <w:color w:val="1155CC"/>
            <w:u w:val="single"/>
          </w:rPr>
          <w:t>10.1002/adma.202521024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上转换功能组织成一个集成的材料系统在高安全性加密和数据多样化方面具有巨大潜力。然而，简便的上转换成像的实际应用长期以来受到其有限的活性区域的阻碍。在此，我们通过设计一个全息聚合物波导来解决这一挑战，该波导由液晶（LCs）和二噻吩乙烯（DTE）作为高折射率相组成，聚合物基质中嵌入上转换纳米颗粒作为低折射率相。该设计使上转换发射从局部点转变为宏观区域，将成像区域扩大至225倍。机制研究表明，LCs和DTE之间的协同作用是c</w:t>
      </w:r>
    </w:p>
    <w:p>
      <w:pPr>
        <w:spacing w:before="0" w:after="200" w:lineRule="auto" w:line="276"/>
      </w:pPr>
      <w:r>
        <w:rPr>
          <w:b/>
        </w:rPr>
        <w:t xml:space="preserve">Abstract (EN): </w:t>
      </w:r>
      <w:r>
        <w:t>Organizing upconversion functionality into an integrated material system holds great promise for high‐security encryption and data diversification. However, the practical application of facile upconversion imaging has long been hindered by its limited active area. Herein, we address this challenge by designing a holographic polymer waveguide composed of liquid crystals (LCs) and dithienylethene (DTE) as the high‐refractive‐index phase, with a polymer matrix embedded with upconversion nanoparticles serving as the low‐refractive‐index phase. This design enables the transformation of upconversion emission from a localized point to a macroscopic area, expanding the imaging region by up to 225 times. Mechanistic studies reveal that the synergy between LCs and DTE is crucial: the high‐refractive‐index LCs facilitate waveguiding, while DTE promotes the formation of well‐defined holographic waveguide structures. Beyond this conceptual advance, the holographic polymer waveguide has successfully enabled triple‐mode image encryption—integrating solidified holograms with rewritable upconversion and photochromic images—thereby opening new avenues for high‐security anticounterfeiting technologies.</w:t>
      </w:r>
    </w:p>
    <w:p>
      <w:pPr>
        <w:spacing w:before="120" w:after="120"/>
      </w:pPr>
      <w:r>
        <w:rPr>
          <w:sz w:val="18"/>
        </w:rPr>
        <w:t>——————————————————————————————————————————————————————————————————————</w:t>
      </w:r>
    </w:p>
    <w:p>
      <w:pPr>
        <w:spacing w:before="160" w:after="40" w:line="240" w:lineRule="auto"/>
      </w:pPr>
      <w:r>
        <w:rPr>
          <w:b/>
        </w:rPr>
        <w:t xml:space="preserve">[219] </w:t>
      </w:r>
      <w:hyperlink r:id="rId636">
        <w:r>
          <w:rPr>
            <w:color w:val="1155CC"/>
            <w:u w:val="single"/>
          </w:rPr>
          <w:t>纳米碲基氧化物的原位p型掺杂用于室温CMOS电路</w:t>
        </w:r>
      </w:hyperlink>
    </w:p>
    <w:p>
      <w:pPr>
        <w:spacing w:before="0" w:after="80"/>
      </w:pPr>
      <w:r>
        <w:rPr>
          <w:i/>
          <w:sz w:val="20"/>
        </w:rPr>
        <w:t>EN: In‐situ p‐Doping of Nanometer Tellurium‐based Oxide for Room‐Temperature CMOS Circuits</w:t>
      </w:r>
    </w:p>
    <w:p>
      <w:pPr>
        <w:spacing w:before="0" w:after="120"/>
      </w:pPr>
      <w:r>
        <w:rPr>
          <w:b/>
        </w:rPr>
        <w:t xml:space="preserve">Source: </w:t>
      </w:r>
      <w:r>
        <w:t>Wiley: Advanced Materials: Table of Contents</w:t>
      </w:r>
      <w:r>
        <w:t xml:space="preserve">    </w:t>
      </w:r>
      <w:r>
        <w:rPr>
          <w:b/>
        </w:rPr>
        <w:t xml:space="preserve">Pub date: </w:t>
      </w:r>
      <w:r>
        <w:t>2026-03-17 09:17:11+00:00</w:t>
      </w:r>
      <w:r>
        <w:t xml:space="preserve">    </w:t>
      </w:r>
      <w:r>
        <w:rPr>
          <w:b/>
        </w:rPr>
        <w:t xml:space="preserve">DOI: </w:t>
      </w:r>
      <w:hyperlink r:id="rId637">
        <w:r>
          <w:rPr>
            <w:color w:val="1155CC"/>
            <w:u w:val="single"/>
          </w:rPr>
          <w:t>10.1002/adma.72813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p型氧化物半导体的发展对于可扩展的CMOS技术至关重要，但传统氧化物由于氧轨道的局部化性质和强缺陷补偿，固有地难以进行p掺杂。在此，我们报告了一种反应金属介导的氧化还原策略，该策略利用沉积环境进行碲氧化物的原位p型掺杂。钼辅助还原产生具有可调碲纳米通道的纳米级碲基氧化物薄膜，这些通道形成渗透路径，显著增强了空穴传输。值得注意的是，在室温(RT)下沉积的薄膜实现了超过10 cm</w:t>
      </w:r>
    </w:p>
    <w:p>
      <w:pPr>
        <w:spacing w:before="0" w:after="200" w:lineRule="auto" w:line="276"/>
      </w:pPr>
      <w:r>
        <w:rPr>
          <w:b/>
        </w:rPr>
        <w:t xml:space="preserve">Abstract (EN): </w:t>
      </w:r>
      <w:r>
        <w:t>The development of high‐performance</w:t>
      </w:r>
      <w:r>
        <w:t xml:space="preserve"> </w:t>
      </w:r>
      <w:r>
        <w:t>p</w:t>
      </w:r>
      <w:r>
        <w:t xml:space="preserve"> </w:t>
      </w:r>
      <w:r>
        <w:t>‐type oxide semiconductors is crucial for scalable CMOS technologies, yet conventional oxides remain intrinsically difficult to p‐dope owing to the localized nature of oxygen orbitals and strong defect compensation. Here, we report a reaction‐metal‐mediated redox strategy that exploits the deposition environment for intrinsic in situ</w:t>
      </w:r>
      <w:r>
        <w:t xml:space="preserve"> </w:t>
      </w:r>
      <w:r>
        <w:t>p</w:t>
      </w:r>
      <w:r>
        <w:t xml:space="preserve"> </w:t>
      </w:r>
      <w:r>
        <w:t>‐type doping of tellurium oxide. Mo‐assisted reduction produces nanometer Te‐based oxide films with tunable Te nanochannels, which form percolative pathways that markedly enhance hole transport. Remarkably, films deposited at room temperature (RT) achieve mobilities above 10 cm</w:t>
      </w:r>
      <w:r>
        <w:rPr>
          <w:vertAlign w:val="subscript"/>
        </w:rPr>
        <w:t>2</w:t>
      </w:r>
      <w:r>
        <w:t>V</w:t>
      </w:r>
      <w:r>
        <w:t xml:space="preserve"> </w:t>
      </w:r>
      <w:r>
        <w:t>−1</w:t>
      </w:r>
      <w:r>
        <w:t xml:space="preserve"> </w:t>
      </w:r>
      <w:r>
        <w:t>s</w:t>
      </w:r>
      <w:r>
        <w:t xml:space="preserve"> </w:t>
      </w:r>
      <w:r>
        <w:t>−1</w:t>
      </w:r>
      <w:r>
        <w:t xml:space="preserve"> </w:t>
      </w:r>
      <w:r>
        <w:t>and carrier densities tunable over more than five orders of magnitude. Co‐integration with</w:t>
      </w:r>
      <w:r>
        <w:t xml:space="preserve"> </w:t>
      </w:r>
      <w:r>
        <w:t>n</w:t>
      </w:r>
      <w:r>
        <w:t xml:space="preserve"> </w:t>
      </w:r>
      <w:r>
        <w:t>‐type oxide transistors enables the fabrication of all‐oxide CMOS circuits entirely at RT with robust logic functionality. This intrinsically regulated doping pathway provides a generalizable route to overcome long‐standing bottlenecks in</w:t>
      </w:r>
      <w:r>
        <w:t xml:space="preserve"> </w:t>
      </w:r>
      <w:r>
        <w:t>p</w:t>
      </w:r>
      <w:r>
        <w:t xml:space="preserve"> </w:t>
      </w:r>
      <w:r>
        <w:t>‐type oxides and advance oxide semiconductors toward large‐area, flexible CMOS electronics.</w:t>
      </w:r>
    </w:p>
    <w:p>
      <w:pPr>
        <w:spacing w:before="120" w:after="120"/>
      </w:pPr>
      <w:r>
        <w:rPr>
          <w:sz w:val="18"/>
        </w:rPr>
        <w:t>——————————————————————————————————————————————————————————————————————</w:t>
      </w:r>
    </w:p>
    <w:p>
      <w:pPr>
        <w:spacing w:before="160" w:after="40" w:line="240" w:lineRule="auto"/>
      </w:pPr>
      <w:r>
        <w:rPr>
          <w:b/>
        </w:rPr>
        <w:t xml:space="preserve">[220] </w:t>
      </w:r>
      <w:hyperlink r:id="rId638">
        <w:r>
          <w:rPr>
            <w:color w:val="1155CC"/>
            <w:u w:val="single"/>
          </w:rPr>
          <w:t>解锁高效自发去对映体化：MOF介导的异质系统克服共结晶中的催化不兼容性</w:t>
        </w:r>
      </w:hyperlink>
    </w:p>
    <w:p>
      <w:pPr>
        <w:spacing w:before="0" w:after="80"/>
      </w:pPr>
      <w:r>
        <w:rPr>
          <w:i/>
          <w:sz w:val="20"/>
        </w:rPr>
        <w:t>EN: Unlocking Efficient Spontaneous Deracemization: A MOF‐Mediated Heterogeneous System Overcomes Catalytic Incompatibility in Cocrystallization</w:t>
      </w:r>
    </w:p>
    <w:p>
      <w:pPr>
        <w:spacing w:before="0" w:after="120"/>
      </w:pPr>
      <w:r>
        <w:rPr>
          <w:b/>
        </w:rPr>
        <w:t xml:space="preserve">Source: </w:t>
      </w:r>
      <w:r>
        <w:t>Wiley: Angewandte Chemie International Edition: Table of Contents</w:t>
      </w:r>
      <w:r>
        <w:t xml:space="preserve">    </w:t>
      </w:r>
      <w:r>
        <w:rPr>
          <w:b/>
        </w:rPr>
        <w:t xml:space="preserve">Pub date: </w:t>
      </w:r>
      <w:r>
        <w:t>2026-03-17 09:25:15+00:00</w:t>
      </w:r>
      <w:r>
        <w:t xml:space="preserve">    </w:t>
      </w:r>
      <w:r>
        <w:rPr>
          <w:b/>
        </w:rPr>
        <w:t xml:space="preserve">DOI: </w:t>
      </w:r>
      <w:hyperlink r:id="rId639">
        <w:r>
          <w:rPr>
            <w:color w:val="1155CC"/>
            <w:u w:val="single"/>
          </w:rPr>
          <w:t>10.1002/anie.3464047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结晶诱导的去消旋化是获得单一对映体药物的强大途径，但受到均相催化剂与手性组分之间有害相互作用的阻碍。在此，我们报告了一种新颖的异相催化策略，使用金属有机框架（MOFs）来克服这种兼容性挑战。通过将碱催化剂1,8-二氮杂双环[5.4.0]十一碳-7-烯（DBU）封装到ZIF-8中，我们创造了ZIF-8@DBU复合催化剂，有效地隔离了催化剂，同时保留了其消旋活性。这使得通过共结晶有效地去消旋化消旋DMY，选择性地产生（2R,3R）-或（</w:t>
      </w:r>
    </w:p>
    <w:p>
      <w:pPr>
        <w:spacing w:before="0" w:after="200" w:lineRule="auto" w:line="276"/>
      </w:pPr>
      <w:r>
        <w:rPr>
          <w:b/>
        </w:rPr>
        <w:t xml:space="preserve">Abstract (EN): </w:t>
      </w:r>
      <w:r>
        <w:t>Cocrystallization‐induced deracemization is a powerful route to enantiopure pharmaceuticals, yet is hindered by detrimental interactions between homogeneous catalysts and chiral components. Herein, we report a novel heterogeneous catalysis strategy using metal–organic frameworks (MOFs) to overcome this compatibility challenge. By encapsulating the base catalyst 1,8‐diazabicyclo[5.4.0]undec‐7‐ene (DBU) into ZIF‐8, we created a ZIF‐8@DBU composite catalyst, that effectively isolates the catalyst while preserving its racemization activity. This enabled the efficient deracemization of racemic DMY via cocrystallization, selectively yielding either the (2</w:t>
      </w:r>
      <w:r>
        <w:t xml:space="preserve"> </w:t>
      </w:r>
      <w:r>
        <w:t>R</w:t>
      </w:r>
      <w:r>
        <w:t xml:space="preserve"> </w:t>
      </w:r>
      <w:r>
        <w:t>,3</w:t>
      </w:r>
      <w:r>
        <w:t xml:space="preserve"> </w:t>
      </w:r>
      <w:r>
        <w:t>R</w:t>
      </w:r>
      <w:r>
        <w:t xml:space="preserve"> </w:t>
      </w:r>
      <w:r>
        <w:t>)‐ or (2</w:t>
      </w:r>
      <w:r>
        <w:t xml:space="preserve"> </w:t>
      </w:r>
      <w:r>
        <w:t>S</w:t>
      </w:r>
      <w:r>
        <w:t xml:space="preserve"> </w:t>
      </w:r>
      <w:r>
        <w:t>,3</w:t>
      </w:r>
      <w:r>
        <w:t xml:space="preserve"> </w:t>
      </w:r>
      <w:r>
        <w:t>S</w:t>
      </w:r>
      <w:r>
        <w:t xml:space="preserve"> </w:t>
      </w:r>
      <w:r>
        <w:t>)‐enantiomer simply by switching the handedness of the coformer, N‐benzyl‐1‐phenylethylamine (NBP). Remarkably, the product yield reached up to 52%, surpassing the 50% theoretical limit of conventional chiral resolution techniques. The strategy proved general, extending successfully to ZIF‐67@DBU and ZIF‐90@DBU. This work demonstrates the feasibility of using tailored MOF composites to overcome long‐standing compatibility barriers in deracemization and opens avenues for their broader application in asymmetric synthesis.</w:t>
      </w:r>
    </w:p>
    <w:p>
      <w:pPr>
        <w:spacing w:before="120" w:after="120"/>
      </w:pPr>
      <w:r>
        <w:rPr>
          <w:sz w:val="18"/>
        </w:rPr>
        <w:t>——————————————————————————————————————————————————————————————————————</w:t>
      </w:r>
    </w:p>
    <w:p>
      <w:pPr>
        <w:spacing w:before="160" w:after="40" w:line="240" w:lineRule="auto"/>
      </w:pPr>
      <w:r>
        <w:rPr>
          <w:b/>
        </w:rPr>
        <w:t xml:space="preserve">[221] </w:t>
      </w:r>
      <w:hyperlink r:id="rId640">
        <w:r>
          <w:rPr>
            <w:color w:val="1155CC"/>
            <w:u w:val="single"/>
          </w:rPr>
          <w:t>[ASAP] 用于近红外-I生物成像和近红外-III四光子上转换的混合镧系金属-有机框架</w:t>
        </w:r>
      </w:hyperlink>
    </w:p>
    <w:p>
      <w:pPr>
        <w:spacing w:before="0" w:after="80"/>
      </w:pPr>
      <w:r>
        <w:rPr>
          <w:i/>
          <w:sz w:val="20"/>
        </w:rPr>
        <w:t>EN: [ASAP] Mixed-Lanthanide Metal–Organic Frameworks for Near-Infrared-I Bioimaging and Near-Infrared-III Four-Photon Upconversion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2026-03-17 09:53:22+00:00</w:t>
      </w:r>
      <w:r>
        <w:t xml:space="preserve">    </w:t>
      </w:r>
      <w:r>
        <w:rPr>
          <w:b/>
        </w:rPr>
        <w:t xml:space="preserve">DOI: </w:t>
      </w:r>
      <w:hyperlink r:id="rId641">
        <w:r>
          <w:rPr>
            <w:color w:val="1155CC"/>
            <w:u w:val="single"/>
          </w:rPr>
          <w:t>10.1021/jacs.6c00409</w:t>
        </w:r>
      </w:hyperlink>
    </w:p>
    <w:p>
      <w:pPr>
        <w:spacing w:before="0" w:after="120"/>
      </w:pPr>
      <w:r>
        <w:rPr>
          <w:b/>
        </w:rPr>
        <w:t xml:space="preserve">Notes: </w:t>
      </w:r>
      <w:r>
        <w:t>abstract_source=pubmed</w:t>
      </w:r>
    </w:p>
    <w:p>
      <w:pPr>
        <w:spacing w:before="0" w:after="80" w:lineRule="auto" w:line="276"/>
      </w:pPr>
      <w:r>
        <w:rPr>
          <w:b/>
        </w:rPr>
        <w:t xml:space="preserve">摘要（ZH）: </w:t>
      </w:r>
      <w:r>
        <w:t>基于镧系元素的金属有机框架（Ln-MOFs）提供了一个结构精确的平台用于上转换发光工程，但实际应用受到结构稳定性不足、颜色可调性受限以及NIR-III窗口激发缺乏的限制。在此，我们报告了一种MOF，结合了混合镧系元素Yb3+、Tb3+和Eu3+离子，解决了这些挑战。光学透明和周期性框架强制镧系中心的均匀空间分布，并建立逐步的离子间能量转移路径，而含醚的有机连接体增强了光和热稳定性。在NIR-I（980 nm）激发下，Ln-MOFs表现出可调的多色上转换发射，具有高水解稳定性和生物相容性，</w:t>
      </w:r>
    </w:p>
    <w:p>
      <w:pPr>
        <w:spacing w:before="0" w:after="200" w:lineRule="auto" w:line="276"/>
      </w:pPr>
      <w:r>
        <w:rPr>
          <w:b/>
        </w:rPr>
        <w:t xml:space="preserve">Abstract (EN): </w:t>
      </w:r>
      <w:r>
        <w:t>Lanthanide-based metal-organic frameworks (Ln-MOFs) provide a structurally precise platform for upconversion luminescence engineering, yet practical applications are limited by insufficient structural stability, restricted color tunability, and the lack of excitation in the NIR-III window. Here, we report a MOF incorporating mixed-lanthanide Yb3+, Tb3+, and Eu3+ ions that addresses these challenges. The optically transparent and periodic framework enforces a uniform spatial distribution of lanthanide centers and establishes stepwise interionic energy transfer pathways, while ether-containing organic linkers enhance photo and thermal stability. Under NIR-I (980 nm) excitation, the Ln-MOFs exhibit tunable multicolor upconversion emission with high hydrolytic stability and biocompatibility, enabling reliable in vivo imaging in zebrafish models. Remarkably, under NIR-III (1960 nm) excitation, a four-photon upconversion process is observed for the first time in Ln-MOFs. Together, these results expand the excitation landscape of Ln-MOFs from NIR-I to NIR-III and confirm the potential of structurally programmable Ln-MOFs for bioimaging and nonlinear photonic applications.</w:t>
      </w:r>
    </w:p>
    <w:p>
      <w:pPr>
        <w:spacing w:before="120" w:after="120"/>
      </w:pPr>
      <w:r>
        <w:rPr>
          <w:sz w:val="18"/>
        </w:rPr>
        <w:t>——————————————————————————————————————————————————————————————————————</w:t>
      </w:r>
    </w:p>
    <w:p>
      <w:pPr>
        <w:spacing w:before="160" w:after="40" w:line="240" w:lineRule="auto"/>
      </w:pPr>
      <w:r>
        <w:rPr>
          <w:b/>
        </w:rPr>
        <w:t xml:space="preserve">[222] </w:t>
      </w:r>
      <w:hyperlink r:id="rId642">
        <w:r>
          <w:rPr>
            <w:color w:val="1155CC"/>
            <w:u w:val="single"/>
          </w:rPr>
          <w:t>铁催化的未活化烯烃的反马氏羟基叠氮化反应</w:t>
        </w:r>
      </w:hyperlink>
    </w:p>
    <w:p>
      <w:pPr>
        <w:spacing w:before="0" w:after="80"/>
      </w:pPr>
      <w:r>
        <w:rPr>
          <w:i/>
          <w:sz w:val="20"/>
        </w:rPr>
        <w:t>EN: Iron‐Catalyzed Anti‐Markovnikov Hydroxyazidation of Unactivated Alkenes</w:t>
      </w:r>
    </w:p>
    <w:p>
      <w:pPr>
        <w:spacing w:before="0" w:after="120"/>
      </w:pPr>
      <w:r>
        <w:rPr>
          <w:b/>
        </w:rPr>
        <w:t xml:space="preserve">Source: </w:t>
      </w:r>
      <w:r>
        <w:t>Wiley: Angewandte Chemie International Edition: Table of Contents</w:t>
      </w:r>
      <w:r>
        <w:t xml:space="preserve">    </w:t>
      </w:r>
      <w:r>
        <w:rPr>
          <w:b/>
        </w:rPr>
        <w:t xml:space="preserve">Pub date: </w:t>
      </w:r>
      <w:r>
        <w:t>2026-03-17 10:15:19+00:00</w:t>
      </w:r>
      <w:r>
        <w:t xml:space="preserve">    </w:t>
      </w:r>
      <w:r>
        <w:rPr>
          <w:b/>
        </w:rPr>
        <w:t xml:space="preserve">DOI: </w:t>
      </w:r>
      <w:hyperlink r:id="rId643">
        <w:r>
          <w:rPr>
            <w:color w:val="1155CC"/>
            <w:u w:val="single"/>
          </w:rPr>
          <w:t>10.1002/anie.5568728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烯烃的反马氏氧化以获得伯醇由于固有的区域选择性限制仍然是一个重要的合成挑战。在此，我们报告了一种生物启发的铁催化剂，具有半胱氨酸衍生的配体（BCtLOM），能够对非共轭三、二和单取代烯烃进行高反马氏选择性的自由基羟基叠氮化反应。利用TMSN3和过氧化氢分别作为叠氮源和氧化剂，该方法在温和条件下运行，并能耐受多种官能团，包括复杂的天然产物和药物。机理研究表明，这是一种铁氧自由基介导的途径。</w:t>
      </w:r>
    </w:p>
    <w:p>
      <w:pPr>
        <w:spacing w:before="0" w:after="200" w:lineRule="auto" w:line="276"/>
      </w:pPr>
      <w:r>
        <w:rPr>
          <w:b/>
        </w:rPr>
        <w:t xml:space="preserve">Abstract (EN): </w:t>
      </w:r>
      <w:r>
        <w:t>Anti‐Markovnikov oxidation of alkenes to access primary alcohols remains a significant synthetic challenge due to inherent regioselectivity constraints. Here we report a bio‐inspired iron catalyst bearing a cysteine‐derived ligand (BC</w:t>
      </w:r>
      <w:r>
        <w:t xml:space="preserve"> </w:t>
      </w:r>
      <w:r>
        <w:t>t</w:t>
      </w:r>
      <w:r>
        <w:t xml:space="preserve"> </w:t>
      </w:r>
      <w:r>
        <w:t>LOM) that enables radical hydroxyazidation of unconjugated tri‐, di‐, and monosubstituted alkenes with high anti‐Markovnikov selectivity. Utilizing TMSN</w:t>
      </w:r>
      <w:r>
        <w:rPr>
          <w:vertAlign w:val="subscript"/>
        </w:rPr>
        <w:t>3</w:t>
      </w:r>
      <w:r>
        <w:t>and hydrogen peroxide as azide source and oxidant, respectively, this method operates under mild conditions and tolerates diverse functional groups, including complex natural products and pharmaceuticals. Mechanistic studies suggest an iron‐oxo mediated radical pathway that suppresses competing epoxidation. This approach provides direct access to unprotected 2‐azido primary alcohols, versatile intermediates for further functionalization. The strategy expands the toolkit for selective alkene difunctionalization, offering potential applications in organic synthesis, chemical biology, and drug discovery.</w:t>
      </w:r>
    </w:p>
    <w:p>
      <w:pPr>
        <w:spacing w:before="120" w:after="120"/>
      </w:pPr>
      <w:r>
        <w:rPr>
          <w:sz w:val="18"/>
        </w:rPr>
        <w:t>——————————————————————————————————————————————————————————————————————</w:t>
      </w:r>
    </w:p>
    <w:p>
      <w:pPr>
        <w:spacing w:before="160" w:after="40" w:line="240" w:lineRule="auto"/>
      </w:pPr>
      <w:r>
        <w:rPr>
          <w:b/>
        </w:rPr>
        <w:t xml:space="preserve">[223] </w:t>
      </w:r>
      <w:hyperlink r:id="rId644">
        <w:r>
          <w:rPr>
            <w:color w:val="1155CC"/>
            <w:u w:val="single"/>
          </w:rPr>
          <w:t>近红外光驱动的光化学和光催化：机制、最新应用及在有机合成和生物学中的机遇</w:t>
        </w:r>
      </w:hyperlink>
    </w:p>
    <w:p>
      <w:pPr>
        <w:spacing w:before="0" w:after="80"/>
      </w:pPr>
      <w:r>
        <w:rPr>
          <w:i/>
          <w:sz w:val="20"/>
        </w:rPr>
        <w:t>EN: Near‐Infrared‐Light‐Driven Photochemistry and Photocatalysis: Mechanisms, Recent Applications, and Opportunities in Organic Synthesis and Biology</w:t>
      </w:r>
    </w:p>
    <w:p>
      <w:pPr>
        <w:spacing w:before="0" w:after="120"/>
      </w:pPr>
      <w:r>
        <w:rPr>
          <w:b/>
        </w:rPr>
        <w:t xml:space="preserve">Source: </w:t>
      </w:r>
      <w:r>
        <w:t>Wiley: Angewandte Chemie International Edition: Table of Contents</w:t>
      </w:r>
      <w:r>
        <w:t xml:space="preserve">    </w:t>
      </w:r>
      <w:r>
        <w:rPr>
          <w:b/>
        </w:rPr>
        <w:t xml:space="preserve">Pub date: </w:t>
      </w:r>
      <w:r>
        <w:t>2026-03-17 10:19:36+00:00</w:t>
      </w:r>
      <w:r>
        <w:t xml:space="preserve">    </w:t>
      </w:r>
      <w:r>
        <w:rPr>
          <w:b/>
        </w:rPr>
        <w:t xml:space="preserve">DOI: </w:t>
      </w:r>
      <w:hyperlink r:id="rId645">
        <w:r>
          <w:rPr>
            <w:color w:val="1155CC"/>
            <w:u w:val="single"/>
          </w:rPr>
          <w:t>10.1002/anie.202526147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红外（NIR）光化学和光催化作为类似可见光方法的强大扩展，提供了独特的优势，如通过不透明介质的更深穿透、最小的背景吸收、减少的散射、更具选择性的光子吸收和增强的安全性。这些特性使其在复杂环境中具有反应性，更易于在批量工艺中进行放大，并允许在传统紫外和可见光方法仍具挑战性的生物环境中进行反应。本文小综述专注于真正的NIR范围（700–1000 nm），整合了合成和生物学视角，确立了这一领域作为一个快速扩展的前沿，具有广泛的机会。</w:t>
      </w:r>
    </w:p>
    <w:p>
      <w:pPr>
        <w:spacing w:before="0" w:after="200" w:lineRule="auto" w:line="276"/>
      </w:pPr>
      <w:r>
        <w:rPr>
          <w:b/>
        </w:rPr>
        <w:t xml:space="preserve">Abstract (EN): </w:t>
      </w:r>
      <w:r>
        <w:t>Near‐infrared (NIR) photochemistry and photocatalysis have emerged as powerful extensions of analogous visible‐light methods, offering unique advantages, such as deeper penetration through opaque media, minimal background absorption, reduced scattering, more selective photon absorption, and enhanced safety profiles. These properties enable reactivity in complex environments, are more amenable to scale‐up in batch processes, and permit reactions in biological settings that remain challenging for traditional ultraviolet and visible‐light manifolds. This minireview focuses exclusively on the true NIR regime (700–1000 nm) and integrates both synthetic and biological perspectives, which establish this area as a rapidly expanding frontier with broad opportunities. Emphasis is placed on contributions reported since 2019.</w:t>
      </w:r>
    </w:p>
    <w:p>
      <w:pPr>
        <w:spacing w:before="120" w:after="120"/>
      </w:pPr>
      <w:r>
        <w:rPr>
          <w:sz w:val="18"/>
        </w:rPr>
        <w:t>——————————————————————————————————————————————————————————————————————</w:t>
      </w:r>
    </w:p>
    <w:p>
      <w:pPr>
        <w:spacing w:before="160" w:after="40" w:line="240" w:lineRule="auto"/>
      </w:pPr>
      <w:r>
        <w:rPr>
          <w:b/>
        </w:rPr>
        <w:t xml:space="preserve">[224] </w:t>
      </w:r>
      <w:hyperlink r:id="rId646">
        <w:r>
          <w:rPr>
            <w:color w:val="1155CC"/>
            <w:u w:val="single"/>
          </w:rPr>
          <w:t>烯烃与亚砜鎓叶立德的氧化还原中性电化学顺式环丙烷化</w:t>
        </w:r>
      </w:hyperlink>
    </w:p>
    <w:p>
      <w:pPr>
        <w:spacing w:before="0" w:after="80"/>
      </w:pPr>
      <w:r>
        <w:rPr>
          <w:i/>
          <w:sz w:val="20"/>
        </w:rPr>
        <w:t>EN: Redox‐Neutral Electrochemical Cis‐Cyclopropanation of Alkenes With Sulfoxonium Ylides</w:t>
      </w:r>
    </w:p>
    <w:p>
      <w:pPr>
        <w:spacing w:before="0" w:after="120"/>
      </w:pPr>
      <w:r>
        <w:rPr>
          <w:b/>
        </w:rPr>
        <w:t xml:space="preserve">Source: </w:t>
      </w:r>
      <w:r>
        <w:t>Wiley: Angewandte Chemie International Edition: Table of Contents</w:t>
      </w:r>
      <w:r>
        <w:t xml:space="preserve">    </w:t>
      </w:r>
      <w:r>
        <w:rPr>
          <w:b/>
        </w:rPr>
        <w:t xml:space="preserve">Pub date: </w:t>
      </w:r>
      <w:r>
        <w:t>2026-03-17 10:28:41+00:00</w:t>
      </w:r>
      <w:r>
        <w:t xml:space="preserve">    </w:t>
      </w:r>
      <w:r>
        <w:rPr>
          <w:b/>
        </w:rPr>
        <w:t xml:space="preserve">DOI: </w:t>
      </w:r>
      <w:hyperlink r:id="rId647">
        <w:r>
          <w:rPr>
            <w:color w:val="1155CC"/>
            <w:u w:val="single"/>
          </w:rPr>
          <w:t>10.1002/anie.7024568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文报道了一种高效的无金属和氧化还原中性的电化学策略，用于顺式选择性环丙烷化不活泼烯烃与亚砜鎓叶立德。该方案规避了传统方法的限制，传统方法通常仅限于电子缺乏的烯烃，并提供了获得热力学上不太稳定的顺式环丙烷的途径。此外，所得的环丙烷可以通过受控阴极还原开环轻松转化为烃基化产物。机制研究支持一个自由基阳离子介导的逐步环加成路径，其中顺式二面选择性</w:t>
      </w:r>
    </w:p>
    <w:p>
      <w:pPr>
        <w:spacing w:before="0" w:after="200" w:lineRule="auto" w:line="276"/>
      </w:pPr>
      <w:r>
        <w:rPr>
          <w:b/>
        </w:rPr>
        <w:t xml:space="preserve">Abstract (EN): </w:t>
      </w:r>
      <w:r>
        <w:t>Herein, we report an efficient metal‐free and redox‐neutral electrochemical strategy for the</w:t>
      </w:r>
      <w:r>
        <w:t xml:space="preserve"> </w:t>
      </w:r>
      <w:r>
        <w:t>cis</w:t>
      </w:r>
      <w:r>
        <w:t xml:space="preserve"> </w:t>
      </w:r>
      <w:r>
        <w:t>‐selective cyclopropanation of less active alkenes with sulfoxonium ylides. This protocol circumvents the limitations of traditional methods, which are typically restricted to electron‐deficient alkenes, and provides access to thermodynamically less stable</w:t>
      </w:r>
      <w:r>
        <w:t xml:space="preserve"> </w:t>
      </w:r>
      <w:r>
        <w:t>cis</w:t>
      </w:r>
      <w:r>
        <w:t xml:space="preserve"> </w:t>
      </w:r>
      <w:r>
        <w:t>‐cyclopropanes. Furthermore, the resulting cyclopropanes can be readily diverted to hydroalkylation products via controlled cathodic reductive ring‐opening. Mechanistic studies support a radical cation‐mediated stepwise cycloaddition pathway, wherein the</w:t>
      </w:r>
      <w:r>
        <w:t xml:space="preserve"> </w:t>
      </w:r>
      <w:r>
        <w:t>cis</w:t>
      </w:r>
      <w:r>
        <w:t xml:space="preserve"> </w:t>
      </w:r>
      <w:r>
        <w:t>‐diastereoselectivity is established during the initial radical addition. This sustainable approach not only broadens the synthetic utility of sulfoxonium ylides but also represents a significant advance in green electrochemical synthesis.</w:t>
      </w:r>
    </w:p>
    <w:p>
      <w:pPr>
        <w:spacing w:before="120" w:after="120"/>
      </w:pPr>
      <w:r>
        <w:rPr>
          <w:sz w:val="18"/>
        </w:rPr>
        <w:t>——————————————————————————————————————————————————————————————————————</w:t>
      </w:r>
    </w:p>
    <w:p>
      <w:pPr>
        <w:spacing w:before="160" w:after="40" w:line="240" w:lineRule="auto"/>
      </w:pPr>
      <w:r>
        <w:rPr>
          <w:b/>
        </w:rPr>
        <w:t xml:space="preserve">[225] </w:t>
      </w:r>
      <w:hyperlink r:id="rId648">
        <w:r>
          <w:rPr>
            <w:color w:val="1155CC"/>
            <w:u w:val="single"/>
          </w:rPr>
          <w:t>单原子合金上的原子间协同作用促进环己酮肟电合成</w:t>
        </w:r>
      </w:hyperlink>
    </w:p>
    <w:p>
      <w:pPr>
        <w:spacing w:before="0" w:after="80"/>
      </w:pPr>
      <w:r>
        <w:rPr>
          <w:i/>
          <w:sz w:val="20"/>
        </w:rPr>
        <w:t>EN: Inter‐Atomic Synergy on Single‐Atom Alloy Promotes Cyclohexanone Oxime Electrosynthesis</w:t>
      </w:r>
    </w:p>
    <w:p>
      <w:pPr>
        <w:spacing w:before="0" w:after="120"/>
      </w:pPr>
      <w:r>
        <w:rPr>
          <w:b/>
        </w:rPr>
        <w:t xml:space="preserve">Source: </w:t>
      </w:r>
      <w:r>
        <w:t>Wiley: Advanced Materials: Table of Contents</w:t>
      </w:r>
      <w:r>
        <w:t xml:space="preserve">    </w:t>
      </w:r>
      <w:r>
        <w:rPr>
          <w:b/>
        </w:rPr>
        <w:t xml:space="preserve">Pub date: </w:t>
      </w:r>
      <w:r>
        <w:t>2026-03-17 10:28:45+00:00</w:t>
      </w:r>
      <w:r>
        <w:t xml:space="preserve">    </w:t>
      </w:r>
      <w:r>
        <w:rPr>
          <w:b/>
        </w:rPr>
        <w:t xml:space="preserve">DOI: </w:t>
      </w:r>
      <w:hyperlink r:id="rId649">
        <w:r>
          <w:rPr>
            <w:color w:val="1155CC"/>
            <w:u w:val="single"/>
          </w:rPr>
          <w:t>10.1002/adma.72807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可再生电力驱动的环己酮和含氮原料电合成环己酮肟提供了一种可持续的替代方案，以替代能耗高且危险的工业过程。然而，实现高活性和选择性面临着关键中间体的过度还原和缺乏有效的C─N偶联位点的挑战。在此，我们报告了一种Fe1Bi单原子合金（Fe1Bi SAA），其Fe-Bi原子界面协同作用于环己酮肟的一锅电合成。Fe1Bi SAA实现了显著的法拉第效率70.9%和产率0.94 mmol</w:t>
      </w:r>
    </w:p>
    <w:p>
      <w:pPr>
        <w:spacing w:before="0" w:after="200" w:lineRule="auto" w:line="276"/>
      </w:pPr>
      <w:r>
        <w:rPr>
          <w:b/>
        </w:rPr>
        <w:t xml:space="preserve">Abstract (EN): </w:t>
      </w:r>
      <w:r>
        <w:t>The electrosynthesis of cyclohexanone oxime from cyclohexanone and nitrogenous feedstock driven by renewable electricity presents a sustainable alternative to energy‐intensive and hazardous industrial processes. However, achieving high activity and selectivity is challenged by the over‐reduction of key intermediates and the lack of effective sites for C─N coupling. Herein, we report a Fe</w:t>
      </w:r>
      <w:r>
        <w:rPr>
          <w:vertAlign w:val="subscript"/>
        </w:rPr>
        <w:t>1</w:t>
      </w:r>
      <w:r>
        <w:t>Bi single‐atom alloy (Fe</w:t>
      </w:r>
      <w:r>
        <w:rPr>
          <w:vertAlign w:val="subscript"/>
        </w:rPr>
        <w:t>1</w:t>
      </w:r>
      <w:r>
        <w:t>Bi SAA) featuring Fe‐Bi atomic interfaces that collaborate for the one‐pot electrosynthesis of cyclohexanone oxime. The Fe</w:t>
      </w:r>
      <w:r>
        <w:rPr>
          <w:vertAlign w:val="subscript"/>
        </w:rPr>
        <w:t>1</w:t>
      </w:r>
      <w:r>
        <w:t>Bi SAA achieves a remarkable Faradaic efficiency of 70.9% and a yield rate of 0.94 mmol cm</w:t>
      </w:r>
      <w:r>
        <w:t xml:space="preserve"> </w:t>
      </w:r>
      <w:r>
        <w:t>−2</w:t>
      </w:r>
      <w:r>
        <w:t xml:space="preserve"> </w:t>
      </w:r>
      <w:r>
        <w:t>h</w:t>
      </w:r>
      <w:r>
        <w:t xml:space="preserve"> </w:t>
      </w:r>
      <w:r>
        <w:t>−1</w:t>
      </w:r>
      <w:r>
        <w:t xml:space="preserve"> </w:t>
      </w:r>
      <w:r>
        <w:t>for cyclohexanone oxime. Combined in situ electrochemical spectroscopic measurements and density functional theory calculations reveal an atomic‐scale synergistic mechanism: dispersed Fe sites adsorb and activate cyclohexanone, while adjacent Bi sites selectively reduce nitrite to the key hydroxylamine intermediate. The techno‐economic analysis based on flow electrolyzer operation confirms the potential economic viability of the electrosynthesis of cyclohexanone oxime. This work provides profound atomic‐level insight into cooperative catalysis for C─N coupling reactions toward the electrosynthesis of value‐added organonitrogen compounds.</w:t>
      </w:r>
    </w:p>
    <w:p>
      <w:pPr>
        <w:spacing w:before="120" w:after="120"/>
      </w:pPr>
      <w:r>
        <w:rPr>
          <w:sz w:val="18"/>
        </w:rPr>
        <w:t>——————————————————————————————————————————————————————————————————————</w:t>
      </w:r>
    </w:p>
    <w:p>
      <w:pPr>
        <w:spacing w:before="160" w:after="40" w:line="240" w:lineRule="auto"/>
      </w:pPr>
      <w:r>
        <w:rPr>
          <w:b/>
        </w:rPr>
        <w:t xml:space="preserve">[226] </w:t>
      </w:r>
      <w:hyperlink r:id="rId650">
        <w:r>
          <w:rPr>
            <w:color w:val="1155CC"/>
            <w:u w:val="single"/>
          </w:rPr>
          <w:t>通过光开关RNA结合配体触发UGGAA重复RNA焦点的形态和组成变化</w:t>
        </w:r>
      </w:hyperlink>
    </w:p>
    <w:p>
      <w:pPr>
        <w:spacing w:before="0" w:after="80"/>
      </w:pPr>
      <w:r>
        <w:rPr>
          <w:i/>
          <w:sz w:val="20"/>
        </w:rPr>
        <w:t>EN: Phototriggered Morphological and Compositional Change of UGGAA Repeat RNA Foci by Photoswitchable RNA‐Binding Ligand</w:t>
      </w:r>
    </w:p>
    <w:p>
      <w:pPr>
        <w:spacing w:before="0" w:after="120"/>
      </w:pPr>
      <w:r>
        <w:rPr>
          <w:b/>
        </w:rPr>
        <w:t xml:space="preserve">Source: </w:t>
      </w:r>
      <w:r>
        <w:t>Wiley: Angewandte Chemie International Edition: Table of Contents</w:t>
      </w:r>
      <w:r>
        <w:t xml:space="preserve">    </w:t>
      </w:r>
      <w:r>
        <w:rPr>
          <w:b/>
        </w:rPr>
        <w:t xml:space="preserve">Pub date: </w:t>
      </w:r>
      <w:r>
        <w:t>2026-03-17 10:30:25+00:00</w:t>
      </w:r>
      <w:r>
        <w:t xml:space="preserve">    </w:t>
      </w:r>
      <w:r>
        <w:rPr>
          <w:b/>
        </w:rPr>
        <w:t xml:space="preserve">DOI: </w:t>
      </w:r>
      <w:hyperlink r:id="rId651">
        <w:r>
          <w:rPr>
            <w:color w:val="1155CC"/>
            <w:u w:val="single"/>
          </w:rPr>
          <w:t>10.1002/anie.202522077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特定重复序列的扩展导致数十种遗传性神经肌肉疾病，其中扩展的重复RNA在致病机制中起关键作用。尽管RNA焦点的形成已被确定为重复疾病的共同标志，但其性质、动态和毒性机制仍不清楚。在此，我们展示了一种新策略，通过光控UGGAA重复RNA焦点，这是一种小脑共济失调31型（SCA31）的病理标志，基于光开关RNA结合配体NCTA调节RNA-RNA相互作用。在NCTA存在下，紫外线照射诱导细胞中UGGAA重复RNA焦点的生长。随后可见光照射将结构溶解为</w:t>
      </w:r>
    </w:p>
    <w:p>
      <w:pPr>
        <w:spacing w:before="0" w:after="200" w:lineRule="auto" w:line="276"/>
      </w:pPr>
      <w:r>
        <w:rPr>
          <w:b/>
        </w:rPr>
        <w:t xml:space="preserve">Abstract (EN): </w:t>
      </w:r>
      <w:r>
        <w:t>The expansion of specific repeat sequences causes dozens of heritable neuromuscular diseases, where expanded repeat RNAs play key roles in the pathogenic mechanism. Although the formation of RNA foci has been identified as a common hallmark of repeat diseases, their properties, dynamics, and mechanisms underlying toxicity remain elusive. Here, we demonstrate a novel strategy for the optical control of UGGAA repeat RNA foci, a pathological hallmark of spinocerebellar ataxia type 31 (SCA31), based on the modulation of RNA–RNA interactions by a photoswitchable RNA‐binding ligand, NCTA. In the presence of NCTA, UV irradiation induced the growth of UGGAA repeat RNA foci in cells. Subsequent visible light irradiation dissolved the structure into the original smaller RNA foci. Reversible photoisomerization between</w:t>
      </w:r>
      <w:r>
        <w:t xml:space="preserve"> </w:t>
      </w:r>
      <w:r>
        <w:t>E</w:t>
      </w:r>
      <w:r>
        <w:t xml:space="preserve"> </w:t>
      </w:r>
      <w:r>
        <w:t>‐ and</w:t>
      </w:r>
      <w:r>
        <w:t xml:space="preserve"> </w:t>
      </w:r>
      <w:r>
        <w:t>Z</w:t>
      </w:r>
      <w:r>
        <w:t xml:space="preserve"> </w:t>
      </w:r>
      <w:r>
        <w:t>‐NCTA is responsible for the photocontrol of RNA foci, where Z‐NCTA stabilizes the association between UGGAAs. These changes were accompanied by alterations in the composition of RNA‐binding proteins within the RNA foci, suggesting that NCTA modulates their properties and functions by remodeling RNA foci. Our photocontrol system will be useful for investigating, manipulating and regulating dynamic structures containing RNA scaffolds, including disease‐related repeat RNA foci and membraneless ribonucleoprotein organelles.</w:t>
      </w:r>
    </w:p>
    <w:p>
      <w:pPr>
        <w:spacing w:before="120" w:after="120"/>
      </w:pPr>
      <w:r>
        <w:rPr>
          <w:sz w:val="18"/>
        </w:rPr>
        <w:t>——————————————————————————————————————————————————————————————————————</w:t>
      </w:r>
    </w:p>
    <w:p>
      <w:pPr>
        <w:spacing w:before="160" w:after="40" w:line="240" w:lineRule="auto"/>
      </w:pPr>
      <w:r>
        <w:rPr>
          <w:b/>
        </w:rPr>
        <w:t xml:space="preserve">[227] </w:t>
      </w:r>
      <w:hyperlink r:id="rId652">
        <w:r>
          <w:rPr>
            <w:color w:val="1155CC"/>
            <w:u w:val="single"/>
          </w:rPr>
          <w:t>突破性超低气流速度响应的摩擦电自供电气流传感器，用于风速检测和呼吸监测</w:t>
        </w:r>
      </w:hyperlink>
    </w:p>
    <w:p>
      <w:pPr>
        <w:spacing w:before="0" w:after="80"/>
      </w:pPr>
      <w:r>
        <w:rPr>
          <w:i/>
          <w:sz w:val="20"/>
        </w:rPr>
        <w:t>EN: Triboelectric Self‐Powered Airflow Sensor with Breakthrough Ultralow Airflow Speed Response for Wind Speed Detection and Respiration Monitoring</w:t>
      </w:r>
    </w:p>
    <w:p>
      <w:pPr>
        <w:spacing w:before="0" w:after="120"/>
      </w:pPr>
      <w:r>
        <w:rPr>
          <w:b/>
        </w:rPr>
        <w:t xml:space="preserve">Source: </w:t>
      </w:r>
      <w:r>
        <w:t>Wiley: Advanced Energy Materials: Table of Contents</w:t>
      </w:r>
      <w:r>
        <w:t xml:space="preserve">    </w:t>
      </w:r>
      <w:r>
        <w:rPr>
          <w:b/>
        </w:rPr>
        <w:t xml:space="preserve">Pub date: </w:t>
      </w:r>
      <w:r>
        <w:t>2026-03-17 10:38:28+00:00</w:t>
      </w:r>
      <w:r>
        <w:t xml:space="preserve">    </w:t>
      </w:r>
      <w:r>
        <w:rPr>
          <w:b/>
        </w:rPr>
        <w:t xml:space="preserve">DOI: </w:t>
      </w:r>
      <w:hyperlink r:id="rId653">
        <w:r>
          <w:rPr>
            <w:color w:val="1155CC"/>
            <w:u w:val="single"/>
          </w:rPr>
          <w:t>10.1002/aenm.70840</w:t>
        </w:r>
      </w:hyperlink>
    </w:p>
    <w:p>
      <w:pPr>
        <w:spacing w:before="0" w:after="120"/>
      </w:pPr>
      <w:r>
        <w:rPr>
          <w:b/>
        </w:rPr>
        <w:t xml:space="preserve">Notes: </w:t>
      </w:r>
      <w:r>
        <w:t>abstract_source=crossref</w:t>
      </w:r>
    </w:p>
    <w:p>
      <w:pPr>
        <w:spacing w:before="0" w:after="80" w:lineRule="auto" w:line="276"/>
      </w:pPr>
      <w:r>
        <w:rPr>
          <w:b/>
        </w:rPr>
        <w:t xml:space="preserve">摘要（ZH）: </w:t>
      </w:r>
      <w:r>
        <w:t>摘要 高灵敏度和高精度传感器对于环境和健康监测至关重要。然而，传统的分布式风速传感器通常存在启动风速高和依赖外部电源的问题。同时，可穿戴呼吸监测设备面临灵敏度有限和缺乏自适应电源供应的挑战。在此，本文提出了一种自供电电容式高灵敏度摩擦电空气流量传感器（CHTAS）。该传感器利用摩擦电-静电感应和流体-固体耦合效应，实现了超低启动气流（0.1 m/s），相应的等效动态压力仅为0.006 Pa，打破了基于TENG的气流速度传感的新纪录。CHTAS具有快速响应（</w:t>
      </w:r>
    </w:p>
    <w:p>
      <w:pPr>
        <w:spacing w:before="0" w:after="200" w:lineRule="auto" w:line="276"/>
      </w:pPr>
      <w:r>
        <w:rPr>
          <w:b/>
        </w:rPr>
        <w:t xml:space="preserve">Abstract (EN): </w:t>
      </w:r>
      <w:r>
        <w:t>High‐sensitivity and high‐accuracy sensors are crucial for environmental and health monitoring. However, traditional distributed wind speed sensors commonly suffer from high start‐up wind speeds and external power dependency. Meanwhile, wearable respiratory monitoring devices face challenges such as limited sensitivity and a lack of adaptive power supply. Herein, this work proposes a self‐powered capacitive high‐sensitivity triboelectric airflow sensor (CHTAS). This sensor exploits triboelectric‐electrostatic induction and fluid‐solid coupling effects to achieve an ultralow start‐up airflow (0.1 m/s) and the corresponding equivalent dynamic pressure is only 0.006 Pa, breaking a new record for TENG‐based airflow speed sensing. CHTAS features expeditious response (response time 29 ms, recovery time 27 ms) and a wide range (0.1–10 m/s). Integrated with self‐developed software, CHTAS achieves high‐precision wind speed detection. Furthermore, its ability to be miniaturized and integrated into face masks enables wireless, real‐time respiratory monitoring, intelligent‐assisted identification of sleep‐disordered respiration and the exploration of potential interventions for sleep paralysis. Notably, by combining deep learning for respiratory state recognition, the system achieved a 91.06% recognition mean accuracy. This work paves a new technological path for the development of airflow sensing technology and wearable medical devices.</w:t>
      </w:r>
    </w:p>
    <w:p>
      <w:pPr>
        <w:spacing w:before="120" w:after="120"/>
      </w:pPr>
      <w:r>
        <w:rPr>
          <w:sz w:val="18"/>
        </w:rPr>
        <w:t>——————————————————————————————————————————————————————————————————————</w:t>
      </w:r>
    </w:p>
    <w:p>
      <w:pPr>
        <w:spacing w:before="160" w:after="40" w:line="240" w:lineRule="auto"/>
      </w:pPr>
      <w:r>
        <w:rPr>
          <w:b/>
        </w:rPr>
        <w:t xml:space="preserve">[228] </w:t>
      </w:r>
      <w:hyperlink r:id="rId654">
        <w:r>
          <w:rPr>
            <w:color w:val="1155CC"/>
            <w:u w:val="single"/>
          </w:rPr>
          <w:t>烷氧基磺鎓盐解锁新芳基磺鎓盐的交叉偶联</w:t>
        </w:r>
      </w:hyperlink>
    </w:p>
    <w:p>
      <w:pPr>
        <w:spacing w:before="0" w:after="80"/>
      </w:pPr>
      <w:r>
        <w:rPr>
          <w:i/>
          <w:sz w:val="20"/>
        </w:rPr>
        <w:t>EN: Alkoxysulfonium Salts Unlock Access to New Aryl Sulfonium Salts for Cross‐Coupling</w:t>
      </w:r>
    </w:p>
    <w:p>
      <w:pPr>
        <w:spacing w:before="0" w:after="120"/>
      </w:pPr>
      <w:r>
        <w:rPr>
          <w:b/>
        </w:rPr>
        <w:t xml:space="preserve">Source: </w:t>
      </w:r>
      <w:r>
        <w:t>Wiley: Angewandte Chemie International Edition: Table of Contents</w:t>
      </w:r>
      <w:r>
        <w:t xml:space="preserve">    </w:t>
      </w:r>
      <w:r>
        <w:rPr>
          <w:b/>
        </w:rPr>
        <w:t xml:space="preserve">Pub date: </w:t>
      </w:r>
      <w:r>
        <w:t>2026-03-17 10:44:31+00:00</w:t>
      </w:r>
      <w:r>
        <w:t xml:space="preserve">    </w:t>
      </w:r>
      <w:r>
        <w:rPr>
          <w:b/>
        </w:rPr>
        <w:t xml:space="preserve">DOI: </w:t>
      </w:r>
      <w:hyperlink r:id="rId655">
        <w:r>
          <w:rPr>
            <w:color w:val="1155CC"/>
            <w:u w:val="single"/>
          </w:rPr>
          <w:t>10.1002/anie.202525298</w:t>
        </w:r>
      </w:hyperlink>
    </w:p>
    <w:p>
      <w:pPr>
        <w:spacing w:before="0" w:after="120"/>
      </w:pPr>
      <w:r>
        <w:rPr>
          <w:b/>
        </w:rPr>
        <w:t xml:space="preserve">Notes: </w:t>
      </w:r>
      <w:r>
        <w:t>abstract_source=crossref</w:t>
      </w:r>
    </w:p>
    <w:p>
      <w:pPr>
        <w:spacing w:before="0" w:after="80" w:lineRule="auto" w:line="276"/>
      </w:pPr>
      <w:r>
        <w:rPr>
          <w:b/>
        </w:rPr>
        <w:t xml:space="preserve">摘要（ZH）: </w:t>
      </w:r>
      <w:r>
        <w:t>摘要 芳基磺鎓盐是交叉偶联反应中不可或缺的伙伴，能够获得芳基金属或芳基自由基中间体，并在某些方面优于芳基卤化物或其他伪卤化物。芳基磺鎓盐的合成途径有限；标准方法涉及使用亚砜衍生的亲电试剂活化芳烃。虽然非预功能化芳烃伙伴的活化具有吸引力，但该方法仅限于与硫亲电试剂反应的电子丰富的芳烃，并且在使用单取代苯时通常以对位选择性为主。这种对芳基磺鎓盐的有限获取导致了基质范围的偏向和可访问性的限制</w:t>
      </w:r>
    </w:p>
    <w:p>
      <w:pPr>
        <w:spacing w:before="0" w:after="200" w:lineRule="auto" w:line="276"/>
      </w:pPr>
      <w:r>
        <w:rPr>
          <w:b/>
        </w:rPr>
        <w:t xml:space="preserve">Abstract (EN): </w:t>
      </w:r>
      <w:r>
        <w:t>Aryl sulfonium salts are indispensable partners in cross‐coupling reactions, allowing access to aryl metal or aryl radical intermediates, and offering advantages over aryl halides or other pseudohalides. Routes to aryl sulfonium salts are limited; the standard approach involves activation of arenes using a sulfoxide‐derived electrophile. While the activation of non‐prefunctionalized arene partners is attractive, the method is limited to arenes that are sufficiently electron‐rich to engage with sulfur electrophiles and is often dominated by</w:t>
      </w:r>
      <w:r>
        <w:t xml:space="preserve"> </w:t>
      </w:r>
      <w:r>
        <w:t>para</w:t>
      </w:r>
      <w:r>
        <w:t xml:space="preserve"> </w:t>
      </w:r>
      <w:r>
        <w:t>‐selectivity when monosubstituted benzenes are used. This limited access to aryl sulfonium salts leads to biased substrate scopes and restrictions on accessible chemical space. We describe a route to otherwise hard‐to‐access (hetero)aryl sulfonium salts that exploits bench‐stable alkoxysulfonium salts in combination with the well‐established magnesiation of readily available aryl bromides. The approach allows access to aryl sulfonium salts bearing electron‐deficient aryl and heteroaryl rings, or electron‐rich systems in which the sulfonium motif resides at an alternative position on the ring to that delivered by electrophilic arene sulfenylation. To illustrate their value, the new sulfonium salts have been used to expand the scope of a selection of coupling processes.</w:t>
      </w:r>
    </w:p>
    <w:p>
      <w:pPr>
        <w:spacing w:before="120" w:after="120"/>
      </w:pPr>
      <w:r>
        <w:rPr>
          <w:sz w:val="18"/>
        </w:rPr>
        <w:t>——————————————————————————————————————————————————————————————————————</w:t>
      </w:r>
    </w:p>
    <w:p>
      <w:pPr>
        <w:spacing w:before="160" w:after="40" w:line="240" w:lineRule="auto"/>
      </w:pPr>
      <w:r>
        <w:rPr>
          <w:b/>
        </w:rPr>
        <w:t xml:space="preserve">[229] </w:t>
      </w:r>
      <w:hyperlink r:id="rId656">
        <w:r>
          <w:rPr>
            <w:color w:val="1155CC"/>
            <w:u w:val="single"/>
          </w:rPr>
          <w:t>通过二硫化物共催化和质子-硅鎓互转实现的α-烯烃分子内硅基化</w:t>
        </w:r>
      </w:hyperlink>
    </w:p>
    <w:p>
      <w:pPr>
        <w:spacing w:before="0" w:after="80"/>
      </w:pPr>
      <w:r>
        <w:rPr>
          <w:i/>
          <w:sz w:val="20"/>
        </w:rPr>
        <w:t>EN: Intramolecular Silylarylation of α‐Olefins Enabled by Disulfide Co‐Catalysis and Maintained by Proton‐into‐Silylium Interconversion</w:t>
      </w:r>
    </w:p>
    <w:p>
      <w:pPr>
        <w:spacing w:before="0" w:after="120"/>
      </w:pPr>
      <w:r>
        <w:rPr>
          <w:b/>
        </w:rPr>
        <w:t xml:space="preserve">Source: </w:t>
      </w:r>
      <w:r>
        <w:t>Wiley: Angewandte Chemie International Edition: Table of Contents</w:t>
      </w:r>
      <w:r>
        <w:t xml:space="preserve">    </w:t>
      </w:r>
      <w:r>
        <w:rPr>
          <w:b/>
        </w:rPr>
        <w:t xml:space="preserve">Pub date: </w:t>
      </w:r>
      <w:r>
        <w:t>2026-03-17 12:05:47+00:00</w:t>
      </w:r>
      <w:r>
        <w:t xml:space="preserve">    </w:t>
      </w:r>
      <w:r>
        <w:rPr>
          <w:b/>
        </w:rPr>
        <w:t xml:space="preserve">DOI: </w:t>
      </w:r>
      <w:hyperlink r:id="rId657">
        <w:r>
          <w:rPr>
            <w:color w:val="1155CC"/>
            <w:u w:val="single"/>
          </w:rPr>
          <w:t>10.1002/anie.5903420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披露了一种“仿生”硅基化反应，涉及未活化的末端烯烃的形式硫硅化C═C双键，随后进行分子内亲电芳香取代（SEAr）。该反应由硅离子与末端烯烃的弱配位启动，形成β-硅稳定的碳正离子，随后被外部硫化物共催化剂捕获，生成磺鎓离子亲电体。随后，系链芳烃的亲核攻击产生高度布朗斯特酸性的芳鎓离子，这允许通过芳基硅烷添加剂的质子去芳基化来再生由硫供体稳定的硅离子。此步骤也由硫化物调节</w:t>
      </w:r>
    </w:p>
    <w:p>
      <w:pPr>
        <w:spacing w:before="0" w:after="200" w:lineRule="auto" w:line="276"/>
      </w:pPr>
      <w:r>
        <w:rPr>
          <w:b/>
        </w:rPr>
        <w:t xml:space="preserve">Abstract (EN): </w:t>
      </w:r>
      <w:r>
        <w:t>A “bioinspired” silylarylation of unactivated terminal alkenes involving formal thiosilylation of the C═C double bond followed by an intramolecular electrophilic aromatic substitution (S</w:t>
      </w:r>
      <w:r>
        <w:t xml:space="preserve"> </w:t>
      </w:r>
      <w:r>
        <w:t>E</w:t>
      </w:r>
      <w:r>
        <w:t xml:space="preserve"> </w:t>
      </w:r>
      <w:r>
        <w:t>Ar) is disclosed. The reaction is initiated by weak coordination of a silylium ion to the terminal alkene to form a β‐silicon‐stabilized carbenium ion that is subsequently captured by an external sulfide co‐catalyst to yield a sulfonium‐ion electrophile. Nucleophilic attack of the tethered arene then affords a highly Brønsted acidic arenium ion, which allows for protodearylation of an arylsilane additive for the regeneration of the silylium ion stabilized by the sulfur donor. This step is also modulated by the sulfide donor as a proton shuttle thereby mitigating side reactions such as competing hydroarylation or alkene oligomerization. This ionic alkene silylarylation is a silylium‐ion‐mediated reaction where a sulfide co‐catalyst balances the reactivities of the involved cationic intermediates, eventually improving the overall efficiency of the process.</w:t>
      </w:r>
    </w:p>
    <w:p>
      <w:pPr>
        <w:spacing w:before="120" w:after="120"/>
      </w:pPr>
      <w:r>
        <w:rPr>
          <w:sz w:val="18"/>
        </w:rPr>
        <w:t>——————————————————————————————————————————————————————————————————————</w:t>
      </w:r>
    </w:p>
    <w:p>
      <w:pPr>
        <w:spacing w:before="160" w:after="40" w:line="240" w:lineRule="auto"/>
      </w:pPr>
      <w:r>
        <w:rPr>
          <w:b/>
        </w:rPr>
        <w:t xml:space="preserve">[230] </w:t>
      </w:r>
      <w:hyperlink r:id="rId658">
        <w:r>
          <w:rPr>
            <w:color w:val="1155CC"/>
            <w:u w:val="single"/>
          </w:rPr>
          <w:t>具有连续疏水槽的柱[6]芳烃组装体用于捕获π-共轭分子</w:t>
        </w:r>
      </w:hyperlink>
    </w:p>
    <w:p>
      <w:pPr>
        <w:spacing w:before="0" w:after="80"/>
      </w:pPr>
      <w:r>
        <w:rPr>
          <w:i/>
          <w:sz w:val="20"/>
        </w:rPr>
        <w:t>EN: Pillar[6]arene Assemblies With Continuous Hydrophobic Grooves for Capture of π‐Conjugated Molecules</w:t>
      </w:r>
    </w:p>
    <w:p>
      <w:pPr>
        <w:spacing w:before="0" w:after="120"/>
      </w:pPr>
      <w:r>
        <w:rPr>
          <w:b/>
        </w:rPr>
        <w:t xml:space="preserve">Source: </w:t>
      </w:r>
      <w:r>
        <w:t>Wiley: Angewandte Chemie International Edition: Table of Contents</w:t>
      </w:r>
      <w:r>
        <w:t xml:space="preserve">    </w:t>
      </w:r>
      <w:r>
        <w:rPr>
          <w:b/>
        </w:rPr>
        <w:t xml:space="preserve">Pub date: </w:t>
      </w:r>
      <w:r>
        <w:t>2026-03-17 12:06:23+00:00</w:t>
      </w:r>
      <w:r>
        <w:t xml:space="preserve">    </w:t>
      </w:r>
      <w:r>
        <w:rPr>
          <w:b/>
        </w:rPr>
        <w:t xml:space="preserve">DOI: </w:t>
      </w:r>
      <w:hyperlink r:id="rId659">
        <w:r>
          <w:rPr>
            <w:color w:val="1155CC"/>
            <w:u w:val="single"/>
          </w:rPr>
          <w:t>10.1002/anie.2176248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预组织是超分子化学中的一个核心原则，通过限制的宏环空腔实现选择性分子识别。将这一概念从单一宏环扩展到其组装体可能使识别超越单一空腔的限制。然而，目前尚不清楚如何合理设计分子组装体以生成集体结合环境，以及在没有明确限制的情况下如何产生选择性分子识别。在此，我们报告了一种包含桥功能化两亲性pillar[6]arene的分级组装体，该组装体能够实现选择性分子识别。六角形pillar[6]arene首先在水中组装成管状结构，进一步堆叠成片状，生成连续的疏水沟槽。</w:t>
      </w:r>
    </w:p>
    <w:p>
      <w:pPr>
        <w:spacing w:before="0" w:after="200" w:lineRule="auto" w:line="276"/>
      </w:pPr>
      <w:r>
        <w:rPr>
          <w:b/>
        </w:rPr>
        <w:t xml:space="preserve">Abstract (EN): </w:t>
      </w:r>
      <w:r>
        <w:t>Preorganization is a central principle in supramolecular chemistry, enabling selective molecular recognition through confined macrocyclic cavities. Extending this concept from single macrocycles to their assemblies could enable recognition beyond single‐cavity limits. However, it remains unclear how molecular assemblies can be rationally designed to generate collective binding environments and how selective molecular recognition can emerge without well‐defined confinement. Herein, we report a hierarchical assembly comprising a bridge‐functionalized amphiphilic pillar[6]arene that enables selective molecular recognition. Hexagonal pillar[6]arenes first assemble into tubular structures, which further stack into sheets in water, generating continuous hydrophobic grooves between adjacent tube surfaces. These grooves enable selective capture of aromatic hydrocarbons that cannot be accommodated within the intrinsic cavity of pillar[6]arene. The recognition selectivity is governed by a balance between guest surface area and water solubility, allowing efficient separation of structurally similar isomers such as phenanthrene and anthracene. Beyond small hydrocarbons, the use of mechanical grinding allows unsubstituted π‐conjugated polymers, which are generally insoluble in common solvents including water, to be dispersed in water through incorporation within the grooves. Therefore, in the present study we constructed pillar[6]arene assemblies that are capable of external recognition and provide a means of extending host–guest chemistry beyond individual building blocks.</w:t>
      </w:r>
    </w:p>
    <w:p>
      <w:pPr>
        <w:spacing w:before="120" w:after="120"/>
      </w:pPr>
      <w:r>
        <w:rPr>
          <w:sz w:val="18"/>
        </w:rPr>
        <w:t>——————————————————————————————————————————————————————————————————————</w:t>
      </w:r>
    </w:p>
    <w:p>
      <w:pPr>
        <w:spacing w:before="160" w:after="40" w:line="240" w:lineRule="auto"/>
      </w:pPr>
      <w:r>
        <w:rPr>
          <w:b/>
        </w:rPr>
        <w:t xml:space="preserve">[231] </w:t>
      </w:r>
      <w:hyperlink r:id="rId660">
        <w:r>
          <w:rPr>
            <w:color w:val="1155CC"/>
            <w:u w:val="single"/>
          </w:rPr>
          <w:t>三噁唑大环内酯增强紫杉烷的微管组装和抗有丝分裂活性</w:t>
        </w:r>
      </w:hyperlink>
    </w:p>
    <w:p>
      <w:pPr>
        <w:spacing w:before="0" w:after="80"/>
      </w:pPr>
      <w:r>
        <w:rPr>
          <w:i/>
          <w:sz w:val="20"/>
        </w:rPr>
        <w:t>EN: Trisoxazole Macrolides Potentiate the Microtubule Assembly and Antimitotic Activities of Taxanes</w:t>
      </w:r>
    </w:p>
    <w:p>
      <w:pPr>
        <w:spacing w:before="0" w:after="120"/>
      </w:pPr>
      <w:r>
        <w:rPr>
          <w:b/>
        </w:rPr>
        <w:t xml:space="preserve">Source: </w:t>
      </w:r>
      <w:r>
        <w:t>Wiley: Angewandte Chemie International Edition: Table of Contents</w:t>
      </w:r>
      <w:r>
        <w:t xml:space="preserve">    </w:t>
      </w:r>
      <w:r>
        <w:rPr>
          <w:b/>
        </w:rPr>
        <w:t xml:space="preserve">Pub date: </w:t>
      </w:r>
      <w:r>
        <w:t>2026-03-17 12:09:32+00:00</w:t>
      </w:r>
      <w:r>
        <w:t xml:space="preserve">    </w:t>
      </w:r>
      <w:r>
        <w:rPr>
          <w:b/>
        </w:rPr>
        <w:t xml:space="preserve">DOI: </w:t>
      </w:r>
      <w:hyperlink r:id="rId661">
        <w:r>
          <w:rPr>
            <w:color w:val="1155CC"/>
            <w:u w:val="single"/>
          </w:rPr>
          <w:t>10.1002/anie.202522954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ycalolides是海洋来源的三噁唑大环内酯，表现出强效的肌动蛋白去聚合作用，并抑制各种癌细胞的增殖、迁移和侵袭。Mycalolides的C25–C35侧链部分对其肌动蛋白结合特性很重要；然而，C1–C24三噁唑大环内酯部分的生物功能仍然很大程度上未被探索。在本研究中，使用光亲和生物素探针，我们确定了微管蛋白作为Mycalolide C (MyC)的新靶点，与肌动蛋白无关。超速离心、基于荧光的微管蛋白聚合测定和负染色微管（MTs）的透射电子显微镜显示，MyC和三噁唑大环内酯对紫杉醇诱导的M表现出强效的协同作用。</w:t>
      </w:r>
    </w:p>
    <w:p>
      <w:pPr>
        <w:spacing w:before="0" w:after="200" w:lineRule="auto" w:line="276"/>
      </w:pPr>
      <w:r>
        <w:rPr>
          <w:b/>
        </w:rPr>
        <w:t xml:space="preserve">Abstract (EN): </w:t>
      </w:r>
      <w:r>
        <w:t>Mycalolides are marine‐derived trisoxazole macrolides that exhibit potent actin‐depolymerizing activity and inhibit the proliferation, migration, and invasion of various cancer cells. The C25–C35 side‐chain moiety of mycalolides is important for their actin‐binding properties; however, the biological function of the C1–C24 trisoxazole macrolactone moiety remains largely unexplored. In this study, using a photoaffinity biotin probe, we identified tubulin as a new, actin‐independent target of mycalolide C (MyC). Ultracentrifugation, fluorescence‐based tubulin polymerization assays, and transmission electron microscopy of negatively stained microtubules (MTs) demonstrated that MyC and trisoxazole macrolactones exert potent synergistic effects on paclitaxel‐induced MT assembly and stabilization. These compounds enhanced the antiproliferative activity of paclitaxel by 4.2‐ to 6.7‐fold in HCT‐116 human colon cancer cells but showed little synergy in 3T3‐L1 murine fibroblast. Molecular modeling studies suggest that MyC stabilizes the protein–protein interactions between α/β‐tubulin heterodimers. Given that the C1–C24 trisoxazole macrolactone moiety and its analogues exhibit little cytotoxicity, our findings may contribute to the development of new lead compounds for MT inhibitors with reduced side effects.</w:t>
      </w:r>
    </w:p>
    <w:p>
      <w:pPr>
        <w:spacing w:before="120" w:after="120"/>
      </w:pPr>
      <w:r>
        <w:rPr>
          <w:sz w:val="18"/>
        </w:rPr>
        <w:t>——————————————————————————————————————————————————————————————————————</w:t>
      </w:r>
    </w:p>
    <w:p>
      <w:pPr>
        <w:spacing w:before="160" w:after="40" w:line="240" w:lineRule="auto"/>
      </w:pPr>
      <w:r>
        <w:rPr>
          <w:b/>
        </w:rPr>
        <w:t xml:space="preserve">[232] </w:t>
      </w:r>
      <w:hyperlink r:id="rId662">
        <w:r>
          <w:rPr>
            <w:color w:val="1155CC"/>
            <w:u w:val="single"/>
          </w:rPr>
          <w:t>鸟嘌呤生物结晶的控制策略</w:t>
        </w:r>
      </w:hyperlink>
    </w:p>
    <w:p>
      <w:pPr>
        <w:spacing w:before="0" w:after="80"/>
      </w:pPr>
      <w:r>
        <w:rPr>
          <w:i/>
          <w:sz w:val="20"/>
        </w:rPr>
        <w:t>EN: Control Strategies in Guanine Biocrystallization</w:t>
      </w:r>
    </w:p>
    <w:p>
      <w:pPr>
        <w:spacing w:before="0" w:after="120"/>
      </w:pPr>
      <w:r>
        <w:rPr>
          <w:b/>
        </w:rPr>
        <w:t xml:space="preserve">Source: </w:t>
      </w:r>
      <w:r>
        <w:t>Wiley: Angewandte Chemie International Edition: Table of Contents</w:t>
      </w:r>
      <w:r>
        <w:t xml:space="preserve">    </w:t>
      </w:r>
      <w:r>
        <w:rPr>
          <w:b/>
        </w:rPr>
        <w:t xml:space="preserve">Pub date: </w:t>
      </w:r>
      <w:r>
        <w:t>2026-03-17 12:10:26+00:00</w:t>
      </w:r>
      <w:r>
        <w:t xml:space="preserve">    </w:t>
      </w:r>
      <w:r>
        <w:rPr>
          <w:b/>
        </w:rPr>
        <w:t xml:space="preserve">DOI: </w:t>
      </w:r>
      <w:hyperlink r:id="rId663">
        <w:r>
          <w:rPr>
            <w:color w:val="1155CC"/>
            <w:u w:val="single"/>
          </w:rPr>
          <w:t>10.1002/anie.1347419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鸟嘌呤晶体的高反射组装在动物中产生了多种光学现象，从伪装反射器到成像镜。鸟嘌呤晶体的光学功能及其相关的动物行为已被研究了一个多世纪。然而，直到最近我们才开始揭示生物体如何精确控制这些晶体的结构和形态，这些晶体是其光子特性的基础。在这篇小综述中，我们概述了动物控制鸟嘌呤晶体形成和性质的策略，整合了体外和体内研究。我们通过类比无机生物矿化中的‘设计’原则来框定这些进展——从掺杂剂和大分子的使用。</w:t>
      </w:r>
    </w:p>
    <w:p>
      <w:pPr>
        <w:spacing w:before="0" w:after="200" w:lineRule="auto" w:line="276"/>
      </w:pPr>
      <w:r>
        <w:rPr>
          <w:b/>
        </w:rPr>
        <w:t xml:space="preserve">Abstract (EN): </w:t>
      </w:r>
      <w:r>
        <w:t>Highly reflective assemblies of guanine crystals generate a diverse array of optical phenomena in animals, from camouflage reflectors to image‐forming mirrors. The optical functions of guanine crystals and their related animal behaviors have been studied for over a century. However, only recently have we begun to unravel how organisms precisely control the structure and morphologies of these crystals which underly their photonic properties. In this minireview, we outline strategies employed by animals to control the formation and properties of guanine crystals, integrating both in vitro and in vivo studies. We frame these advances using analogies to ‘design’ principles in inorganic biomineralization—from the use of dopants and macromolecular templates in crystal morphology control to non‐classical crystallization pathways. We show that, despite their distinct biology, organic and inorganic biocrystallization share strikingly similar crystal design strategies. These strategies are a rich source of inspiration for bio‐inspired materials, especially in the development of sustainable optical materials. Finally, we outline key challenges for this exciting new field of</w:t>
      </w:r>
      <w:r>
        <w:t xml:space="preserve"> </w:t>
      </w:r>
      <w:r>
        <w:t>organic biomineralization</w:t>
      </w:r>
      <w:r>
        <w:t xml:space="preserve"> </w:t>
      </w:r>
      <w:r>
        <w:t>.</w:t>
      </w:r>
    </w:p>
    <w:p>
      <w:pPr>
        <w:spacing w:before="120" w:after="120"/>
      </w:pPr>
      <w:r>
        <w:rPr>
          <w:sz w:val="18"/>
        </w:rPr>
        <w:t>——————————————————————————————————————————————————————————————————————</w:t>
      </w:r>
    </w:p>
    <w:p>
      <w:pPr>
        <w:spacing w:before="160" w:after="40" w:line="240" w:lineRule="auto"/>
      </w:pPr>
      <w:r>
        <w:rPr>
          <w:b/>
        </w:rPr>
        <w:t xml:space="preserve">[233] </w:t>
      </w:r>
      <w:hyperlink r:id="rId664">
        <w:r>
          <w:rPr>
            <w:color w:val="1155CC"/>
            <w:u w:val="single"/>
          </w:rPr>
          <w:t>具有高质子导电性和可调透明度的MOF陶瓷膜</w:t>
        </w:r>
      </w:hyperlink>
    </w:p>
    <w:p>
      <w:pPr>
        <w:spacing w:before="0" w:after="80"/>
      </w:pPr>
      <w:r>
        <w:rPr>
          <w:i/>
          <w:sz w:val="20"/>
        </w:rPr>
        <w:t>EN: MOF Ceramic‐Like Membrane With High Proton Conduction and Tunable Transparency</w:t>
      </w:r>
    </w:p>
    <w:p>
      <w:pPr>
        <w:spacing w:before="0" w:after="120"/>
      </w:pPr>
      <w:r>
        <w:rPr>
          <w:b/>
        </w:rPr>
        <w:t xml:space="preserve">Source: </w:t>
      </w:r>
      <w:r>
        <w:t>Wiley: Angewandte Chemie International Edition: Table of Contents</w:t>
      </w:r>
      <w:r>
        <w:t xml:space="preserve">    </w:t>
      </w:r>
      <w:r>
        <w:rPr>
          <w:b/>
        </w:rPr>
        <w:t xml:space="preserve">Pub date: </w:t>
      </w:r>
      <w:r>
        <w:t>2026-03-17 12:16:24+00:00</w:t>
      </w:r>
      <w:r>
        <w:t xml:space="preserve">    </w:t>
      </w:r>
      <w:r>
        <w:rPr>
          <w:b/>
        </w:rPr>
        <w:t xml:space="preserve">DOI: </w:t>
      </w:r>
      <w:hyperlink r:id="rId665">
        <w:r>
          <w:rPr>
            <w:color w:val="1155CC"/>
            <w:u w:val="single"/>
          </w:rPr>
          <w:t>10.1002/anie.6236795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MOFs）的工业应用受到其颗粒形态的阻碍，而宏观结构的制造——特别是连续膜仍然是一个主要挑战。传统方法，如基质混合、玻璃化或基板支持沉积，往往牺牲MOF的负载量、结晶度、孔隙率或机械完整性。在此，我们提出了一种基于OH桥接（即使用金属─OH─金属键连接纳米颗粒）的突破性策略，用于制造MOF陶瓷状膜，这赋予膜纯MOF成分、有序多孔结构和自支撑能力。制备的膜表现出显著的质子导电性和湿度响应光学性能。</w:t>
      </w:r>
    </w:p>
    <w:p>
      <w:pPr>
        <w:spacing w:before="0" w:after="200" w:lineRule="auto" w:line="276"/>
      </w:pPr>
      <w:r>
        <w:rPr>
          <w:b/>
        </w:rPr>
        <w:t xml:space="preserve">Abstract (EN): </w:t>
      </w:r>
      <w:r>
        <w:t>The industrial deployment of metal‐organic frameworks (MOFs) is hindered by their particulate morphology, while the fabrication of macroscopic architectures—particularly continuous membranes remain a major challenge. Traditional approaches, such as matrix blending, vitrification, or substrate‐supported deposition, often sacrifice MOF loading amount, crystallinity, porosity, or mechanical integrity. Here, we present a breakthrough strategy based on OH‐bridging (i.e., using metal─OH‐metal bonds to connect nanoparticles) for fabricating MOF ceramic‐like membrane, which endows the membranes with pure MOF composition, ordered porous structure, and self‐supporting capability. The prepared membrane demonstrates remarkable proton conduction and humidity‐responsive optical transparency, which stems from its compact grain boundary structure and the strong grain boundary‐water interactions. This OH‐bridging strategy overcomes a critical challenge in metal‐organic frameworks: the inability to process powdered MOFs into freestanding, crystalline porous membranes, which is beneficial for bridging the gap between nanoscale design and macroscopic functional systems.</w:t>
      </w:r>
    </w:p>
    <w:p>
      <w:pPr>
        <w:spacing w:before="120" w:after="120"/>
      </w:pPr>
      <w:r>
        <w:rPr>
          <w:sz w:val="18"/>
        </w:rPr>
        <w:t>——————————————————————————————————————————————————————————————————————</w:t>
      </w:r>
    </w:p>
    <w:p>
      <w:pPr>
        <w:spacing w:before="160" w:after="40" w:line="240" w:lineRule="auto"/>
      </w:pPr>
      <w:r>
        <w:rPr>
          <w:b/>
        </w:rPr>
        <w:t xml:space="preserve">[234] </w:t>
      </w:r>
      <w:hyperlink r:id="rId666">
        <w:r>
          <w:rPr>
            <w:color w:val="1155CC"/>
            <w:u w:val="single"/>
          </w:rPr>
          <w:t>α-石英中的手性声子和伪角动量守恒（Adv. Mater. 16/2026）</w:t>
        </w:r>
      </w:hyperlink>
    </w:p>
    <w:p>
      <w:pPr>
        <w:spacing w:before="0" w:after="80"/>
      </w:pPr>
      <w:r>
        <w:rPr>
          <w:i/>
          <w:sz w:val="20"/>
        </w:rPr>
        <w:t>EN: Chiral Acoustic Phonon and Conservation of Pseudoangular Momentum in α‐Quartz (Adv. Mater. 16/2026)</w:t>
      </w:r>
    </w:p>
    <w:p>
      <w:pPr>
        <w:spacing w:before="0" w:after="120"/>
      </w:pPr>
      <w:r>
        <w:rPr>
          <w:b/>
        </w:rPr>
        <w:t xml:space="preserve">Source: </w:t>
      </w:r>
      <w:r>
        <w:t>Wiley: Advanced Materials: Table of Contents</w:t>
      </w:r>
      <w:r>
        <w:t xml:space="preserve">    </w:t>
      </w:r>
      <w:r>
        <w:rPr>
          <w:b/>
        </w:rPr>
        <w:t xml:space="preserve">Pub date: </w:t>
      </w:r>
      <w:r>
        <w:t>2026-03-17 12:16:50+00:00</w:t>
      </w:r>
      <w:r>
        <w:t xml:space="preserve">    </w:t>
      </w:r>
      <w:r>
        <w:rPr>
          <w:b/>
        </w:rPr>
        <w:t xml:space="preserve">DOI: </w:t>
      </w:r>
      <w:hyperlink r:id="rId667">
        <w:r>
          <w:rPr>
            <w:color w:val="1155CC"/>
            <w:u w:val="single"/>
          </w:rPr>
          <w:t>10.1002/adma.72681</w:t>
        </w:r>
      </w:hyperlink>
    </w:p>
    <w:p>
      <w:pPr>
        <w:spacing w:before="0" w:after="120"/>
      </w:pPr>
      <w:r>
        <w:rPr>
          <w:b/>
        </w:rPr>
        <w:t xml:space="preserve">Notes: </w:t>
      </w:r>
      <w:r>
        <w:t>abstract_source=openalex</w:t>
      </w:r>
    </w:p>
    <w:p>
      <w:pPr>
        <w:spacing w:before="0" w:after="80" w:lineRule="auto" w:line="276"/>
      </w:pPr>
      <w:r>
        <w:rPr>
          <w:b/>
        </w:rPr>
        <w:t xml:space="preserve">摘要（ZH）: </w:t>
      </w:r>
      <w:r>
        <w:t>手性声子 在他们的研究文章（DOI: 10.1002/adma.202511289）中，Changsoo Kim、Chanyong Hwang及其合作者报告了在α-石英的右手和左手手性结构中存在手性声子，并展示了伪角动量的守恒，这决定了它们与光的非弹性相互作用。根据伪角动量选择规则，给定螺旋度的圆偏振光仅与相应方向旋转的手性声子耦合，这通过布里渊光散射测量得到验证。这项工作为手性声子提供了微观证据，并提出了与自旋电子学和轨道电子学的潜在协同作用，这些领域利用电子角动量。</w:t>
      </w:r>
    </w:p>
    <w:p>
      <w:pPr>
        <w:spacing w:before="0" w:after="200" w:lineRule="auto" w:line="276"/>
      </w:pPr>
      <w:r>
        <w:rPr>
          <w:b/>
        </w:rPr>
        <w:t xml:space="preserve">Abstract (EN): </w:t>
      </w:r>
      <w:r>
        <w:t>Chiral Acoustic Phonons In their Research Article (DOI: 10.1002/adma.202511289), Changsoo Kim, Chanyong Hwang, and co-workers report the existence of chiral acoustic phonons in the right- and left-handed chiral structures of α-quartz and demonstrate the conservation of pseudoangular momentum that governs their inelastic interactions with light. According to the pseudoangular-momentum selection rule, circularly polarized light of a given helicity couples exclusively to chiral phonons rotating in the corresponding direction, as verified through Brillouin light-scattering measurements. This work provides microscopic evidence for chiral acoustic phonons and suggests potential synergies with spintronics and orbitronics that exploit electron angular momentum.</w:t>
      </w:r>
    </w:p>
    <w:p>
      <w:pPr>
        <w:spacing w:before="120" w:after="120"/>
      </w:pPr>
      <w:r>
        <w:rPr>
          <w:sz w:val="18"/>
        </w:rPr>
        <w:t>——————————————————————————————————————————————————————————————————————</w:t>
      </w:r>
    </w:p>
    <w:p>
      <w:pPr>
        <w:spacing w:before="160" w:after="40" w:line="240" w:lineRule="auto"/>
      </w:pPr>
      <w:r>
        <w:rPr>
          <w:b/>
        </w:rPr>
        <w:t xml:space="preserve">[235] </w:t>
      </w:r>
      <w:hyperlink r:id="rId668">
        <w:r>
          <w:rPr>
            <w:color w:val="1155CC"/>
            <w:u w:val="single"/>
          </w:rPr>
          <w:t>用于紧急响应机器人行为的多功能流体单元（Adv. Mater. 16/2026）</w:t>
        </w:r>
      </w:hyperlink>
    </w:p>
    <w:p>
      <w:pPr>
        <w:spacing w:before="0" w:after="80"/>
      </w:pPr>
      <w:r>
        <w:rPr>
          <w:i/>
          <w:sz w:val="20"/>
        </w:rPr>
        <w:t>EN: Multifunctional Fluidic Units for Emergent, Responsive Robotic Behaviors (Adv. Mater. 16/2026)</w:t>
      </w:r>
    </w:p>
    <w:p>
      <w:pPr>
        <w:spacing w:before="0" w:after="120"/>
      </w:pPr>
      <w:r>
        <w:rPr>
          <w:b/>
        </w:rPr>
        <w:t xml:space="preserve">Source: </w:t>
      </w:r>
      <w:r>
        <w:t>Wiley: Advanced Materials: Table of Contents</w:t>
      </w:r>
      <w:r>
        <w:t xml:space="preserve">    </w:t>
      </w:r>
      <w:r>
        <w:rPr>
          <w:b/>
        </w:rPr>
        <w:t xml:space="preserve">Pub date: </w:t>
      </w:r>
      <w:r>
        <w:t>2026-03-17 12:16:50+00:00</w:t>
      </w:r>
      <w:r>
        <w:t xml:space="preserve">    </w:t>
      </w:r>
      <w:r>
        <w:rPr>
          <w:b/>
        </w:rPr>
        <w:t xml:space="preserve">DOI: </w:t>
      </w:r>
      <w:hyperlink r:id="rId669">
        <w:r>
          <w:rPr>
            <w:color w:val="1155CC"/>
            <w:u w:val="single"/>
          </w:rPr>
          <w:t>10.1002/adma.72678</w:t>
        </w:r>
      </w:hyperlink>
    </w:p>
    <w:p>
      <w:pPr>
        <w:spacing w:before="0" w:after="120"/>
      </w:pPr>
      <w:r>
        <w:rPr>
          <w:b/>
        </w:rPr>
        <w:t xml:space="preserve">Notes: </w:t>
      </w:r>
      <w:r>
        <w:t>abstract_source=openalex</w:t>
      </w:r>
    </w:p>
    <w:p>
      <w:pPr>
        <w:spacing w:before="0" w:after="80" w:lineRule="auto" w:line="276"/>
      </w:pPr>
      <w:r>
        <w:rPr>
          <w:b/>
        </w:rPr>
        <w:t xml:space="preserve">摘要（ZH）: </w:t>
      </w:r>
      <w:r>
        <w:t>软体机器人 在他们的研究文章（DOI: 10.1002/adma.202510298）中，Mostafa Mousa、Alberto Comoretto、Johannes T.B. Overvelde和Antonio E. Forte展示了一种多功能可重构流体单元，可用作传感器、阀门和执行器。独特的配置结合了这三个组件的特征，形成一个响应性自振荡执行器。这些振荡执行器的网络中被动出现同步，从而实现运动。通过仅改变流体单元的排列和连接，构建不同机器人的显著多功能性得以展示。</w:t>
      </w:r>
    </w:p>
    <w:p>
      <w:pPr>
        <w:spacing w:before="0" w:after="200" w:lineRule="auto" w:line="276"/>
      </w:pPr>
      <w:r>
        <w:rPr>
          <w:b/>
        </w:rPr>
        <w:t xml:space="preserve">Abstract (EN): </w:t>
      </w:r>
      <w:r>
        <w:t>Soft Robots In their Research Article (DOI: 10.1002/adma.202510298), Mostafa Mousa, Alberto Comoretto, Johannes T.B. Overvelde, and Antonio E. Forte present a multifunctional reconfigurable fluidic unit that can be used as a sensor, valve and actuator. A unique configuration combines the features of the three components as a responsive self-oscillating actuator. Synchronisation passively emerges in networks of these oscillating actuators, enabling locomotion. The remarkable versatility of the fluidic unit is demonstrated by building different robots with the same fluidic units, only by varying their arrangement and connections.</w:t>
      </w:r>
    </w:p>
    <w:p>
      <w:pPr>
        <w:spacing w:before="120" w:after="120"/>
      </w:pPr>
      <w:r>
        <w:rPr>
          <w:sz w:val="18"/>
        </w:rPr>
        <w:t>——————————————————————————————————————————————————————————————————————</w:t>
      </w:r>
    </w:p>
    <w:p>
      <w:pPr>
        <w:spacing w:before="160" w:after="40" w:line="240" w:lineRule="auto"/>
      </w:pPr>
      <w:r>
        <w:rPr>
          <w:b/>
        </w:rPr>
        <w:t xml:space="preserve">[236] </w:t>
      </w:r>
      <w:hyperlink r:id="rId670">
        <w:r>
          <w:rPr>
            <w:color w:val="1155CC"/>
            <w:u w:val="single"/>
          </w:rPr>
          <w:t>用于高性能本征可拉伸发光二极管的亚微米结构限制聚合物（Adv. Mater. 16/2026）</w:t>
        </w:r>
      </w:hyperlink>
    </w:p>
    <w:p>
      <w:pPr>
        <w:spacing w:before="0" w:after="80"/>
      </w:pPr>
      <w:r>
        <w:rPr>
          <w:i/>
          <w:sz w:val="20"/>
        </w:rPr>
        <w:t>EN: Submicron Structure Confined Polymers for High‐Performance Intrinsically Stretchable Light‐Emitting Diodes (Adv. Mater. 16/2026)</w:t>
      </w:r>
    </w:p>
    <w:p>
      <w:pPr>
        <w:spacing w:before="0" w:after="120"/>
      </w:pPr>
      <w:r>
        <w:rPr>
          <w:b/>
        </w:rPr>
        <w:t xml:space="preserve">Source: </w:t>
      </w:r>
      <w:r>
        <w:t>Wiley: Advanced Materials: Table of Contents</w:t>
      </w:r>
      <w:r>
        <w:t xml:space="preserve">    </w:t>
      </w:r>
      <w:r>
        <w:rPr>
          <w:b/>
        </w:rPr>
        <w:t xml:space="preserve">Pub date: </w:t>
      </w:r>
      <w:r>
        <w:t>2026-03-17 12:16:50+00:00</w:t>
      </w:r>
      <w:r>
        <w:t xml:space="preserve">    </w:t>
      </w:r>
      <w:r>
        <w:rPr>
          <w:b/>
        </w:rPr>
        <w:t xml:space="preserve">DOI: </w:t>
      </w:r>
      <w:hyperlink r:id="rId671">
        <w:r>
          <w:rPr>
            <w:color w:val="1155CC"/>
            <w:u w:val="single"/>
          </w:rPr>
          <w:t>10.1002/adma.72673</w:t>
        </w:r>
      </w:hyperlink>
    </w:p>
    <w:p>
      <w:pPr>
        <w:spacing w:before="0" w:after="120"/>
      </w:pPr>
      <w:r>
        <w:rPr>
          <w:b/>
        </w:rPr>
        <w:t xml:space="preserve">Notes: </w:t>
      </w:r>
      <w:r>
        <w:t>abstract_source=openalex</w:t>
      </w:r>
    </w:p>
    <w:p>
      <w:pPr>
        <w:spacing w:before="0" w:after="80" w:lineRule="auto" w:line="276"/>
      </w:pPr>
      <w:r>
        <w:rPr>
          <w:b/>
        </w:rPr>
        <w:t xml:space="preserve">摘要（ZH）: </w:t>
      </w:r>
      <w:r>
        <w:t>本征可拉伸 PLED 阵列 在他们的研究文章中（10.1002/adma.202519650），施文康、赵志远、郭云龙、刘云起和合作者将一种新型微晶弹性体引入到发光聚合物中，用于本征可拉伸 PLED，实现了高性能和在应变下的优异稳定性。这些材料适用于 RGB 原色应用和大面积加工，展示了在可拉伸显示器方面的显著潜力。</w:t>
      </w:r>
    </w:p>
    <w:p>
      <w:pPr>
        <w:spacing w:before="0" w:after="200" w:lineRule="auto" w:line="276"/>
      </w:pPr>
      <w:r>
        <w:rPr>
          <w:b/>
        </w:rPr>
        <w:t xml:space="preserve">Abstract (EN): </w:t>
      </w:r>
      <w:r>
        <w:t>Intrinsically Stretchable PLED Arrays In their Research Article (10.1002/adma.202519650), Wenkang Shi, Zhiyuan Zhao, Yunlong Guo, Yunqi Liu, and co-workers introduce a novel microcrystalline elastomer into light-emitting polymers for intrinsically stretchable PLEDs, which achieves high performance and excellent stability under strain. These materials are suitable for RGB primary color applications and large-area processing, demonstrating significant potential for stretchable displays.</w:t>
      </w:r>
    </w:p>
    <w:p>
      <w:pPr>
        <w:spacing w:before="120" w:after="120"/>
      </w:pPr>
      <w:r>
        <w:rPr>
          <w:sz w:val="18"/>
        </w:rPr>
        <w:t>——————————————————————————————————————————————————————————————————————</w:t>
      </w:r>
    </w:p>
    <w:p>
      <w:pPr>
        <w:spacing w:before="160" w:after="40" w:line="240" w:lineRule="auto"/>
      </w:pPr>
      <w:r>
        <w:rPr>
          <w:b/>
        </w:rPr>
        <w:t xml:space="preserve">[237] </w:t>
      </w:r>
      <w:hyperlink r:id="rId672">
        <w:r>
          <w:rPr>
            <w:color w:val="1155CC"/>
            <w:u w:val="single"/>
          </w:rPr>
          <w:t>从玻璃文化历史中获得的考古灵感：历史记载、轶事和现代材料科学的挑战（Adv. Mater. 16/2026）</w:t>
        </w:r>
      </w:hyperlink>
    </w:p>
    <w:p>
      <w:pPr>
        <w:spacing w:before="0" w:after="80"/>
      </w:pPr>
      <w:r>
        <w:rPr>
          <w:i/>
          <w:sz w:val="20"/>
        </w:rPr>
        <w:t>EN: Archeo‐Inspiration from the Cultural History of Glass: Historic Accounts, Anecdotes and Hard Facts as Challenges to Modern Material Science (Adv. Mater. 16/2026)</w:t>
      </w:r>
    </w:p>
    <w:p>
      <w:pPr>
        <w:spacing w:before="0" w:after="120"/>
      </w:pPr>
      <w:r>
        <w:rPr>
          <w:b/>
        </w:rPr>
        <w:t xml:space="preserve">Source: </w:t>
      </w:r>
      <w:r>
        <w:t>Wiley: Advanced Materials: Table of Contents</w:t>
      </w:r>
      <w:r>
        <w:t xml:space="preserve">    </w:t>
      </w:r>
      <w:r>
        <w:rPr>
          <w:b/>
        </w:rPr>
        <w:t xml:space="preserve">Pub date: </w:t>
      </w:r>
      <w:r>
        <w:t>2026-03-17 12:16:50+00:00</w:t>
      </w:r>
      <w:r>
        <w:t xml:space="preserve">    </w:t>
      </w:r>
      <w:r>
        <w:rPr>
          <w:b/>
        </w:rPr>
        <w:t xml:space="preserve">DOI: </w:t>
      </w:r>
      <w:hyperlink r:id="rId673">
        <w:r>
          <w:rPr>
            <w:color w:val="1155CC"/>
            <w:u w:val="single"/>
          </w:rPr>
          <w:t>10.1002/adma.72670</w:t>
        </w:r>
      </w:hyperlink>
    </w:p>
    <w:p>
      <w:pPr>
        <w:spacing w:before="0" w:after="120"/>
      </w:pPr>
      <w:r>
        <w:rPr>
          <w:b/>
        </w:rPr>
        <w:t xml:space="preserve">Notes: </w:t>
      </w:r>
      <w:r>
        <w:t>abstract_source=openalex</w:t>
      </w:r>
    </w:p>
    <w:p>
      <w:pPr>
        <w:spacing w:before="0" w:after="80" w:lineRule="auto" w:line="276"/>
      </w:pPr>
      <w:r>
        <w:rPr>
          <w:b/>
        </w:rPr>
        <w:t xml:space="preserve">摘要（ZH）: </w:t>
      </w:r>
      <w:r>
        <w:t>考古启发材料 人类的历史就是材料的历史。在他们的观点文章中（DOI: 10.1002/adma.202512937），Bastian E. Rapp 和合作者阐明了人类最早的高性能材料之一——玻璃的历史和文化意义。他们提出考古启发作为未来发展这种材料的框架，从历史和文化背景中汲取灵感，以模板和指导未来的研究。</w:t>
      </w:r>
    </w:p>
    <w:p>
      <w:pPr>
        <w:spacing w:before="0" w:after="200" w:lineRule="auto" w:line="276"/>
      </w:pPr>
      <w:r>
        <w:rPr>
          <w:b/>
        </w:rPr>
        <w:t xml:space="preserve">Abstract (EN): </w:t>
      </w:r>
      <w:r>
        <w:t>Archaeo-Inspired Materials The history of mankind is the history of materials. In their Perspective (DOI: 10.1002/adma.202512937), Bastian E. Rapp and co-workers elucidate the historical and culture significance of one of mankind's very first high-performance materials: glass. Thes propose Archeo-inspiration as a framework for the future development of this material drawing inspiration from historical and cultural contexts to template and guide future research.</w:t>
      </w:r>
    </w:p>
    <w:p>
      <w:pPr>
        <w:spacing w:before="120" w:after="120"/>
      </w:pPr>
      <w:r>
        <w:rPr>
          <w:sz w:val="18"/>
        </w:rPr>
        <w:t>——————————————————————————————————————————————————————————————————————</w:t>
      </w:r>
    </w:p>
    <w:p>
      <w:pPr>
        <w:spacing w:before="160" w:after="40" w:line="240" w:lineRule="auto"/>
      </w:pPr>
      <w:r>
        <w:rPr>
          <w:b/>
        </w:rPr>
        <w:t xml:space="preserve">[238] </w:t>
      </w:r>
      <w:hyperlink r:id="rId674">
        <w:r>
          <w:rPr>
            <w:color w:val="1155CC"/>
            <w:u w:val="single"/>
          </w:rPr>
          <w:t>[ASAP] 钴催化的两种相似丙烯酸酯的选择性交叉加成用于合成己二酸酯和戊二酸酯</w:t>
        </w:r>
      </w:hyperlink>
    </w:p>
    <w:p>
      <w:pPr>
        <w:spacing w:before="0" w:after="80"/>
      </w:pPr>
      <w:r>
        <w:rPr>
          <w:i/>
          <w:sz w:val="20"/>
        </w:rPr>
        <w:t>EN: [ASAP] Cobalt-Catalyzed Selective Cross-Addition of Two Similar Acrylates for the Synthesis of Adipates and Glutarates</w:t>
      </w:r>
    </w:p>
    <w:p>
      <w:pPr>
        <w:spacing w:before="0" w:after="120"/>
      </w:pPr>
      <w:r>
        <w:rPr>
          <w:b/>
        </w:rPr>
        <w:t xml:space="preserve">Source: </w:t>
      </w:r>
      <w:r>
        <w:t>Journal of the American Chemical Society: Latest Articles (ACS Publications)</w:t>
      </w:r>
      <w:r>
        <w:t xml:space="preserve">    </w:t>
      </w:r>
      <w:r>
        <w:rPr>
          <w:b/>
        </w:rPr>
        <w:t xml:space="preserve">Pub date: </w:t>
      </w:r>
      <w:r>
        <w:t>2026-03-17 12:26:53+00:00</w:t>
      </w:r>
      <w:r>
        <w:t xml:space="preserve">    </w:t>
      </w:r>
      <w:r>
        <w:rPr>
          <w:b/>
        </w:rPr>
        <w:t xml:space="preserve">DOI: </w:t>
      </w:r>
      <w:hyperlink r:id="rId675">
        <w:r>
          <w:rPr>
            <w:color w:val="1155CC"/>
            <w:u w:val="single"/>
          </w:rPr>
          <w:t>10.1021/jacs.6c02505</w:t>
        </w:r>
      </w:hyperlink>
    </w:p>
    <w:p>
      <w:pPr>
        <w:spacing w:before="0" w:after="120"/>
      </w:pPr>
      <w:r>
        <w:rPr>
          <w:b/>
        </w:rPr>
        <w:t xml:space="preserve">Notes: </w:t>
      </w:r>
      <w:r>
        <w:t>abstract_source=pubmed</w:t>
      </w:r>
    </w:p>
    <w:p>
      <w:pPr>
        <w:spacing w:before="0" w:after="80" w:lineRule="auto" w:line="276"/>
      </w:pPr>
      <w:r>
        <w:rPr>
          <w:b/>
        </w:rPr>
        <w:t xml:space="preserve">摘要（ZH）: </w:t>
      </w:r>
      <w:r>
        <w:t>己二酸和戊二酸是聚合物生产中的核心中间体。然而，无论是工业还是实验室合成都无法轻松获得主链取代的二酸衍生物，这限制了新型单体用于聚合的开发。在此，我们报道了一种从两个丙烯酸酯合成取代己二酸酯和戊二酸酯的区域分歧合成方法，该方法在多克规模上使用可回收的钴胺。交叉偶联相对于自偶联的化学选择性达到25:1，这由钴催化剂与不同丙烯酸酯之间的相互作用模式决定。在碱性或中性反应条件下，可以实现钴氢化物对两个特定丙烯酸酯的单一区域选择性加成。机制研究揭示</w:t>
      </w:r>
    </w:p>
    <w:p>
      <w:pPr>
        <w:spacing w:before="0" w:after="200" w:lineRule="auto" w:line="276"/>
      </w:pPr>
      <w:r>
        <w:rPr>
          <w:b/>
        </w:rPr>
        <w:t xml:space="preserve">Abstract (EN): </w:t>
      </w:r>
      <w:r>
        <w:t>Adipic acids and glutaric acids are core intermediates in polymer production. However, neither industry nor laboratory synthesis enables facile access to main-chain substituted diacid derivatives, restricting the development of novel monomers for polymerization. Herein, we report a regiodivergent synthesis of substituted adipates and glutarates from two acrylates with minimal structural and electronic differences on a multigram scale with recyclable cobaloxime. Chemoselectivity of cross-coupling over self-coupling reaches 25:1 and was determined by the interaction mode between cobalt catalyst and different acrylates. Single regioselectivity of cobalt hydride addition toward two specific acrylates could be achieved under basic or neutral reaction conditions. Mechanistic investigations revealed a significant chemoselectivity (ΔΔG‡ &gt; 3.0 kcal mol-1), indicating that substrate-specific local electronic properties govern chemo- and regioselectivity, providing predictive insight into rational selectivity control.</w:t>
      </w:r>
    </w:p>
    <w:p>
      <w:pPr>
        <w:spacing w:before="120" w:after="120"/>
      </w:pPr>
      <w:r>
        <w:rPr>
          <w:sz w:val="18"/>
        </w:rPr>
        <w:t>——————————————————————————————————————————————————————————————————————</w:t>
      </w:r>
    </w:p>
    <w:p>
      <w:pPr>
        <w:spacing w:before="160" w:after="40" w:line="240" w:lineRule="auto"/>
      </w:pPr>
      <w:r>
        <w:rPr>
          <w:b/>
        </w:rPr>
        <w:t xml:space="preserve">[239] </w:t>
      </w:r>
      <w:hyperlink r:id="rId676">
        <w:r>
          <w:rPr>
            <w:color w:val="1155CC"/>
            <w:u w:val="single"/>
          </w:rPr>
          <w:t>[ASAP] SJG-2聚糖的全合成：构建空间拥挤的唾液酸化聚糖的一般策略</w:t>
        </w:r>
      </w:hyperlink>
    </w:p>
    <w:p>
      <w:pPr>
        <w:spacing w:before="0" w:after="80"/>
      </w:pPr>
      <w:r>
        <w:rPr>
          <w:i/>
          <w:sz w:val="20"/>
        </w:rPr>
        <w:t>EN: [ASAP] Total Synthesis of the SJG-2 Glycan: General Strategies for Constructing Sterically Congested Sialylated Glycans</w:t>
      </w:r>
    </w:p>
    <w:p>
      <w:pPr>
        <w:spacing w:before="0" w:after="120"/>
      </w:pPr>
      <w:r>
        <w:rPr>
          <w:b/>
        </w:rPr>
        <w:t xml:space="preserve">Source: </w:t>
      </w:r>
      <w:r>
        <w:t>Journal of the American Chemical Society: Latest Articles (ACS Publications)</w:t>
      </w:r>
      <w:r>
        <w:t xml:space="preserve">    </w:t>
      </w:r>
      <w:r>
        <w:rPr>
          <w:b/>
        </w:rPr>
        <w:t xml:space="preserve">Pub date: </w:t>
      </w:r>
      <w:r>
        <w:t>2026-03-17 13:04:12+00:00</w:t>
      </w:r>
      <w:r>
        <w:t xml:space="preserve">    </w:t>
      </w:r>
      <w:r>
        <w:rPr>
          <w:b/>
        </w:rPr>
        <w:t xml:space="preserve">DOI: </w:t>
      </w:r>
      <w:hyperlink r:id="rId677">
        <w:r>
          <w:rPr>
            <w:color w:val="1155CC"/>
            <w:u w:val="single"/>
          </w:rPr>
          <w:t>10.1021/jacs.6c00368</w:t>
        </w:r>
      </w:hyperlink>
    </w:p>
    <w:p>
      <w:pPr>
        <w:spacing w:before="0" w:after="120"/>
      </w:pPr>
      <w:r>
        <w:rPr>
          <w:b/>
        </w:rPr>
        <w:t xml:space="preserve">Notes: </w:t>
      </w:r>
      <w:r>
        <w:t>abstract_source=pubmed</w:t>
      </w:r>
    </w:p>
    <w:p>
      <w:pPr>
        <w:spacing w:before="0" w:after="80" w:lineRule="auto" w:line="276"/>
      </w:pPr>
      <w:r>
        <w:rPr>
          <w:b/>
        </w:rPr>
        <w:t xml:space="preserve">摘要（ZH）: </w:t>
      </w:r>
      <w:r>
        <w:t>神经节苷脂是一类多样化的糖鞘脂，其唾液酸化糖链调节从神经修复到免疫反应的过程。其中，SJG-2是一种来源于棘皮动物的神经节苷脂，具有强大的神经再生活性，以其罕见且高度分支的三唾液酸化糖链结构而著称。SJG-2糖链的七糖结构中，两个末端唾液酸通过α(2,3)-和α(2,4)-唾液酸化连接到半乳糖（Gal），并通过额外的内部β(1,8)-唾液酸化连接到另一个唾液酸，这使其在二十多年来合成上难以实现。在此，我们报道了SJG-2糖链的首次全合成。使用1C4构型的Gal受体的构象反转策略实现了高效的α(2,4)-和α(2,3)-唾液酸化。在关键</w:t>
      </w:r>
    </w:p>
    <w:p>
      <w:pPr>
        <w:spacing w:before="0" w:after="200" w:lineRule="auto" w:line="276"/>
      </w:pPr>
      <w:r>
        <w:rPr>
          <w:b/>
        </w:rPr>
        <w:t xml:space="preserve">Abstract (EN): </w:t>
      </w:r>
      <w:r>
        <w:t>Gangliosides are a diverse class of glycosphingolipids whose sialylated glycans regulate processes ranging from neuronal repair to immune responses. Among them, SJG-2, an echinoderm-derived ganglioside with potent neuroregenerative activity, stands out for its rare and highly branched trisialylated glycan motif. The unusual architecture of the heptasaccharide SJG-2 glycan with two terminal sialic acids attached to galactose (Gal) via α(2,3)- and α(2,4)-sialylations and an additional internal β(1,8)-sialylation to another sialic acid has rendered it synthetically inaccessible for over two decades. Here, we report the first total synthesis of the SJG-2 glycan. A conformational inversion strategy using a 1C4-configured Gal acceptor enabled efficient α(2,4)- and α(2,3)-sialylations. In the key convergent [4 + 3] glycosylation, selective N-acetyl,5-N,4-O-carbonyl protection of sialic acid suppressed competing C8 reactivity, while subsequent deacetylation proved essential for forming the β(1,8)-glycosidic bond. This work achieves a long-standing synthetic goal and establishes broadly applicable strategies for constructing sterically congested sialylated glycans, opening new opportunities to access complex gangliosides and explore their neurobiological functions.</w:t>
      </w:r>
    </w:p>
    <w:p>
      <w:pPr>
        <w:spacing w:before="120" w:after="120"/>
      </w:pPr>
      <w:r>
        <w:rPr>
          <w:sz w:val="18"/>
        </w:rPr>
        <w:t>——————————————————————————————————————————————————————————————————————</w:t>
      </w:r>
    </w:p>
    <w:p>
      <w:pPr>
        <w:spacing w:before="160" w:after="40" w:line="240" w:lineRule="auto"/>
      </w:pPr>
      <w:r>
        <w:rPr>
          <w:b/>
        </w:rPr>
        <w:t xml:space="preserve">[240] </w:t>
      </w:r>
      <w:hyperlink r:id="rId678">
        <w:r>
          <w:rPr>
            <w:color w:val="1155CC"/>
            <w:u w:val="single"/>
          </w:rPr>
          <w:t>[ASAP] 手性联萘基二甲基 η6-苯配体：在钌催化的不对称 C–H 活化中的设计、合成和应用</w:t>
        </w:r>
      </w:hyperlink>
    </w:p>
    <w:p>
      <w:pPr>
        <w:spacing w:before="0" w:after="80"/>
      </w:pPr>
      <w:r>
        <w:rPr>
          <w:i/>
          <w:sz w:val="20"/>
        </w:rPr>
        <w:t>EN: [ASAP] Chiral Binaphthyldimethyl η6-Benzene Ligands: Design, Synthesis, and Application in Ruthenium-Catalyzed Asymmetric C–H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2026-03-17 13:21:29+00:00</w:t>
      </w:r>
      <w:r>
        <w:t xml:space="preserve">    </w:t>
      </w:r>
      <w:r>
        <w:rPr>
          <w:b/>
        </w:rPr>
        <w:t xml:space="preserve">DOI: </w:t>
      </w:r>
      <w:hyperlink r:id="rId679">
        <w:r>
          <w:rPr>
            <w:color w:val="1155CC"/>
            <w:u w:val="single"/>
          </w:rPr>
          <w:t>10.1021/jacs.6c02447</w:t>
        </w:r>
      </w:hyperlink>
    </w:p>
    <w:p>
      <w:pPr>
        <w:spacing w:before="0" w:after="120"/>
      </w:pPr>
      <w:r>
        <w:rPr>
          <w:b/>
        </w:rPr>
        <w:t xml:space="preserve">Notes: </w:t>
      </w:r>
      <w:r>
        <w:t>abstract_source=openalex</w:t>
      </w:r>
    </w:p>
    <w:p>
      <w:pPr>
        <w:spacing w:before="0" w:after="80" w:lineRule="auto" w:line="276"/>
      </w:pPr>
      <w:r>
        <w:rPr>
          <w:b/>
        </w:rPr>
        <w:t xml:space="preserve">摘要（ZH）: </w:t>
      </w:r>
      <w:r>
        <w:t>由手性η6-苯（Ben）金属催化剂实现的不对称催化是一个新兴领域，其核心挑战在于开发有效的手性Ben配体。本文报道了一类新型手性Ben配体的设计和合成，即联萘二甲基Ben配体。在这种情况下，手性联萘骨架通过亚甲基间隔与作为金属配位位点的苯环连接。重要的是，尽管具有多个潜在的η6-苯结合位点，Ben配体仍以位点特异性方式与钌（Ru）配位，从而成功制备了目标手性BenRuII催化剂。显著优于我们早期的手性BenRuII催化剂，本文报道的系统实现了高效的酚导向</w:t>
      </w:r>
    </w:p>
    <w:p>
      <w:pPr>
        <w:spacing w:before="0" w:after="200" w:lineRule="auto" w:line="276"/>
      </w:pPr>
      <w:r>
        <w:rPr>
          <w:b/>
        </w:rPr>
        <w:t xml:space="preserve">Abstract (EN): </w:t>
      </w:r>
      <w:r>
        <w:t>Asymmetric catalysis enabled by a chiral η6-benzene (Ben) metal catalyst is an emerging field with the core challenge lying in the development of effective chiral Ben ligands. This work reports the design and synthesis of a novel class of chiral Ben ligands, namely, binaphthyldimethyl Ben ligands. In this case, a chiral binaphthyl scaffold is linked via a methylene spacer to a benzene ring that serves as the metal-coordination site. Crucially, the Ben ligands coordinate to ruthenium (Ru) in a site-specific manner despite possessing multiple potential η6-benzene binding sites, hence enabling the successful preparation of the targeted chiral BenRuII catalysts. Significantly outperforming our earlier chiral BenRuII catalysts, the system reported herein enables highly efficient phenol-directed asymmetric C–H activation of 1-aryl-2-naphthols with alkynes, providing facile access to diverse chiral spirocyclic compounds featuring an all-carbon quaternary stereocenter in high yields (up to 99%) and with excellent enantioselectivity (up to 97% ee).</w:t>
      </w:r>
    </w:p>
    <w:p>
      <w:pPr>
        <w:spacing w:before="120" w:after="120"/>
      </w:pPr>
      <w:r>
        <w:rPr>
          <w:sz w:val="18"/>
        </w:rPr>
        <w:t>——————————————————————————————————————————————————————————————————————</w:t>
      </w:r>
    </w:p>
    <w:p>
      <w:pPr>
        <w:spacing w:before="160" w:after="40" w:line="240" w:lineRule="auto"/>
      </w:pPr>
      <w:r>
        <w:rPr>
          <w:b/>
        </w:rPr>
        <w:t xml:space="preserve">[241] </w:t>
      </w:r>
      <w:hyperlink r:id="rId680">
        <w:r>
          <w:rPr>
            <w:color w:val="1155CC"/>
            <w:u w:val="single"/>
          </w:rPr>
          <w:t>[ASAP] 通过线粒体上编程的 DNA 网络组装将 miRNA 信号转化为物理免疫调节</w:t>
        </w:r>
      </w:hyperlink>
    </w:p>
    <w:p>
      <w:pPr>
        <w:spacing w:before="0" w:after="80"/>
      </w:pPr>
      <w:r>
        <w:rPr>
          <w:i/>
          <w:sz w:val="20"/>
        </w:rPr>
        <w:t>EN: [ASAP] Translating a miRNA Signal into Physical Immunomodulation via Programmed DNA Network Assembly on Mitochondria</w:t>
      </w:r>
    </w:p>
    <w:p>
      <w:pPr>
        <w:spacing w:before="0" w:after="120"/>
      </w:pPr>
      <w:r>
        <w:rPr>
          <w:b/>
        </w:rPr>
        <w:t xml:space="preserve">Source: </w:t>
      </w:r>
      <w:r>
        <w:t>Journal of the American Chemical Society: Latest Articles (ACS Publications)</w:t>
      </w:r>
      <w:r>
        <w:t xml:space="preserve">    </w:t>
      </w:r>
      <w:r>
        <w:rPr>
          <w:b/>
        </w:rPr>
        <w:t xml:space="preserve">Pub date: </w:t>
      </w:r>
      <w:r>
        <w:t>2026-03-17 15:33:11+00:00</w:t>
      </w:r>
      <w:r>
        <w:t xml:space="preserve">    </w:t>
      </w:r>
      <w:r>
        <w:rPr>
          <w:b/>
        </w:rPr>
        <w:t xml:space="preserve">DOI: </w:t>
      </w:r>
      <w:hyperlink r:id="rId681">
        <w:r>
          <w:rPr>
            <w:color w:val="1155CC"/>
            <w:u w:val="single"/>
          </w:rPr>
          <w:t>10.1021/jacs.5c22138</w:t>
        </w:r>
      </w:hyperlink>
    </w:p>
    <w:p>
      <w:pPr>
        <w:spacing w:before="0" w:after="120"/>
      </w:pPr>
      <w:r>
        <w:rPr>
          <w:b/>
        </w:rPr>
        <w:t xml:space="preserve">Notes: </w:t>
      </w:r>
      <w:r>
        <w:t>abstract_source=pubmed</w:t>
      </w:r>
    </w:p>
    <w:p>
      <w:pPr>
        <w:spacing w:before="0" w:after="80" w:lineRule="auto" w:line="276"/>
      </w:pPr>
      <w:r>
        <w:rPr>
          <w:b/>
        </w:rPr>
        <w:t xml:space="preserve">摘要（ZH）: </w:t>
      </w:r>
      <w:r>
        <w:t>精确免疫治疗受到cGAS-STING通路激动剂的非特异性毒性的严重阻碍。我们通过一种可编程的DNA纳米材料克服了这一基本障碍，该材料在细胞器水平上作为逻辑门控治疗诊断剂运行。我们的纳米装置靶向线粒体，并使用集成的催化电路来解码致癌miR-21的存在。在正识别后，它触发在线粒体表面物理破坏性DNA网络的原位结构组装。这种有针对性的结构应力造成深刻的膜损伤，利用肿瘤细胞自身的线粒体DNA作为精确制导的激动剂，引发强大且局部的STING介导的免疫攻击。这一策略提供了双重功能，使得</w:t>
      </w:r>
    </w:p>
    <w:p>
      <w:pPr>
        <w:spacing w:before="0" w:after="200" w:lineRule="auto" w:line="276"/>
      </w:pPr>
      <w:r>
        <w:rPr>
          <w:b/>
        </w:rPr>
        <w:t xml:space="preserve">Abstract (EN): </w:t>
      </w:r>
      <w:r>
        <w:t>Precision immunotherapy is critically hampered by the nonspecific toxicity of cGAS-STING pathway agonists. We overcome this fundamental barrier with a programmable DNA nanomaterial that operates as a logic-gated theranostic agent at the organelle level. Our nanodevice targets mitochondria and uses an integrated catalytic circuit to decipher the presence of oncogenic microRNA-21 (miR-21). Upon positive identification, it triggers the in situ architectural assembly of a physically disruptive DNA network on the mitochondrial surface. This targeted structural stress inflicts profound membrane damage, weaponizing the tumor cell's own mitochondrial DNA as a precision-guided agonist to ignite a powerful, localized STING-mediated immune assault. This strategy provides a dual function, enabling amplified diagnostic imaging of its molecular trigger while orchestrating the profound suppression of both primary and metastatic tumors in vivo with undetectable systemic toxicity. This work establishes a new design principle for intelligent therapeutics and defines a new therapeutic paradigm, the direct conversion of a fleeting molecular signal into a stable, physical, and immunomodulatory structure, forging a new frontier for dynamic materials in precision medicine.</w:t>
      </w:r>
    </w:p>
    <w:p>
      <w:pPr>
        <w:spacing w:before="120" w:after="120"/>
      </w:pPr>
      <w:r>
        <w:rPr>
          <w:sz w:val="18"/>
        </w:rPr>
        <w:t>——————————————————————————————————————————————————————————————————————</w:t>
      </w:r>
    </w:p>
    <w:p>
      <w:pPr>
        <w:spacing w:before="160" w:after="40" w:line="240" w:lineRule="auto"/>
      </w:pPr>
      <w:r>
        <w:rPr>
          <w:b/>
        </w:rPr>
        <w:t xml:space="preserve">[242] </w:t>
      </w:r>
      <w:hyperlink r:id="rId682">
        <w:r>
          <w:rPr>
            <w:color w:val="1155CC"/>
            <w:u w:val="single"/>
          </w:rPr>
          <w:t>[ASAP] 轴向氧桥双原子位点打破氧还原电催化中的活性–稳定性权衡</w:t>
        </w:r>
      </w:hyperlink>
    </w:p>
    <w:p>
      <w:pPr>
        <w:spacing w:before="0" w:after="80"/>
      </w:pPr>
      <w:r>
        <w:rPr>
          <w:i/>
          <w:sz w:val="20"/>
        </w:rPr>
        <w:t>EN: [ASAP] Axial Oxygen-Bridged Dual-Atom Sites Break the Activity–Stability Trade-Off in Oxygen Reduction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2026-03-17 16:49:17+00:00</w:t>
      </w:r>
      <w:r>
        <w:t xml:space="preserve">    </w:t>
      </w:r>
      <w:r>
        <w:rPr>
          <w:b/>
        </w:rPr>
        <w:t xml:space="preserve">DOI: </w:t>
      </w:r>
      <w:hyperlink r:id="rId683">
        <w:r>
          <w:rPr>
            <w:color w:val="1155CC"/>
            <w:u w:val="single"/>
          </w:rPr>
          <w:t>10.1021/jacs.6c00197</w:t>
        </w:r>
      </w:hyperlink>
    </w:p>
    <w:p>
      <w:pPr>
        <w:spacing w:before="0" w:after="120"/>
      </w:pPr>
      <w:r>
        <w:rPr>
          <w:b/>
        </w:rPr>
        <w:t xml:space="preserve">Notes: </w:t>
      </w:r>
      <w:r>
        <w:t>abstract_source=pubmed</w:t>
      </w:r>
    </w:p>
    <w:p>
      <w:pPr>
        <w:spacing w:before="0" w:after="80" w:lineRule="auto" w:line="276"/>
      </w:pPr>
      <w:r>
        <w:rPr>
          <w:b/>
        </w:rPr>
        <w:t xml:space="preserve">摘要（ZH）: </w:t>
      </w:r>
      <w:r>
        <w:t>推进铁-氮-碳（Fe-N-C）催化剂用于氧还原反应（ORR）的一个关键挑战是其固有的活性-稳定性权衡，这源于强Fe-N键合和Fe活性位点上最佳中间体吸附的相互冲突要求。在第一性原理筛选的指导下，我们在此报告，通过在双层M-N-C结构中构建轴向Fe-O-Co桥，同时解决了中间体吸附能量学和动态Fe-N键稳定性的优化问题。轴向氧的竞争性吸附缓解了Fe位点上过强中间体吸附的问题，加速了*OH解吸并提升了ORR动力学。同时，轴向CoN4-O配体作为电子缓冲器，动态</w:t>
      </w:r>
    </w:p>
    <w:p>
      <w:pPr>
        <w:spacing w:before="0" w:after="200" w:lineRule="auto" w:line="276"/>
      </w:pPr>
      <w:r>
        <w:rPr>
          <w:b/>
        </w:rPr>
        <w:t xml:space="preserve">Abstract (EN): </w:t>
      </w:r>
      <w:r>
        <w:t>A pivotal challenge in advancing iron-nitrogen-carbon (Fe-N-C) catalysts for the oxygen reduction reaction (ORR) is their inherent activity-stability trade-off, which originates from the conflicting requirements of strong Fe-N bonding and optimal intermediate adsorption on the Fe active sites. Guided by first-principles screening, we herein report that constructing an axial Fe-O-Co bridge within a bilayer M-N-C architecture concurrently addresses the optimization of intermediate adsorption energetics and dynamic Fe-N bond stability. The competitive adsorption from axial oxygen alleviates the issue of overstrong intermediate adsorption on the Fe site toward accelerated *OH desorption and boosted ORR kinetics. Simultaneously, the axial CoN4-O ligand serves as an electronic buffer to dynamically compensate for adsorption-induced electronic polarization, thereby stabilizing Fe-N bonds and suppressing iron leaching during electrocatalysis. As a proof of concept, the FeCo dual-atom catalyst featuring an FeN4-O-CoN4 configuration achieves a half-wave potential of 0.93 V in alkaline media, with only 8 mV decay after 140 000 cycles, far outperforming the Fe-N-C counterpart (53 mV decay). It maintains remarkable performance even in the highly challenging acidic electrolyte, delivering a peak power density of 1.12 W cm-2 and nearly 80% power density retention after 30 000 cycles. This study opens up a new avenue to break the activity-stability dilemma for M-N-C catalysts, advancing their practical deployment in fuel cells.</w:t>
      </w:r>
    </w:p>
    <w:p>
      <w:pPr>
        <w:spacing w:before="120" w:after="120"/>
      </w:pPr>
      <w:r>
        <w:rPr>
          <w:sz w:val="18"/>
        </w:rPr>
        <w:t>——————————————————————————————————————————————————————————————————————</w:t>
      </w:r>
    </w:p>
    <w:p>
      <w:pPr>
        <w:spacing w:before="160" w:after="40" w:line="240" w:lineRule="auto"/>
      </w:pPr>
      <w:r>
        <w:rPr>
          <w:b/>
        </w:rPr>
        <w:t xml:space="preserve">[243] </w:t>
      </w:r>
      <w:hyperlink r:id="rId684">
        <w:r>
          <w:rPr>
            <w:color w:val="1155CC"/>
            <w:u w:val="single"/>
          </w:rPr>
          <w:t>[ASAP] 解码硝基芳烃的逐步 N–O 活化：铁-亚硝基芳烃中间体的电子结构和反应性</w:t>
        </w:r>
      </w:hyperlink>
    </w:p>
    <w:p>
      <w:pPr>
        <w:spacing w:before="0" w:after="80"/>
      </w:pPr>
      <w:r>
        <w:rPr>
          <w:i/>
          <w:sz w:val="20"/>
        </w:rPr>
        <w:t>EN: [ASAP] Deciphering the Stepwise N–O Activation of Nitroarenes: Electronic Structure and Reactivity of Iron-Nitrosoarene Intermediates</w:t>
      </w:r>
    </w:p>
    <w:p>
      <w:pPr>
        <w:spacing w:before="0" w:after="120"/>
      </w:pPr>
      <w:r>
        <w:rPr>
          <w:b/>
        </w:rPr>
        <w:t xml:space="preserve">Source: </w:t>
      </w:r>
      <w:r>
        <w:t>Journal of the American Chemical Society: Latest Articles (ACS Publications)</w:t>
      </w:r>
      <w:r>
        <w:t xml:space="preserve">    </w:t>
      </w:r>
      <w:r>
        <w:rPr>
          <w:b/>
        </w:rPr>
        <w:t xml:space="preserve">Pub date: </w:t>
      </w:r>
      <w:r>
        <w:t>2026-03-17 17:42:18+00:00</w:t>
      </w:r>
      <w:r>
        <w:t xml:space="preserve">    </w:t>
      </w:r>
      <w:r>
        <w:rPr>
          <w:b/>
        </w:rPr>
        <w:t xml:space="preserve">DOI: </w:t>
      </w:r>
      <w:hyperlink r:id="rId685">
        <w:r>
          <w:rPr>
            <w:color w:val="1155CC"/>
            <w:u w:val="single"/>
          </w:rPr>
          <w:t>10.1021/jacs.5c19714</w:t>
        </w:r>
      </w:hyperlink>
    </w:p>
    <w:p>
      <w:pPr>
        <w:spacing w:before="0" w:after="120"/>
      </w:pPr>
      <w:r>
        <w:rPr>
          <w:b/>
        </w:rPr>
        <w:t xml:space="preserve">Notes: </w:t>
      </w:r>
      <w:r>
        <w:t>abstract_source=pubmed</w:t>
      </w:r>
    </w:p>
    <w:p>
      <w:pPr>
        <w:spacing w:before="0" w:after="80" w:lineRule="auto" w:line="276"/>
      </w:pPr>
      <w:r>
        <w:rPr>
          <w:b/>
        </w:rPr>
        <w:t xml:space="preserve">摘要（ZH）: </w:t>
      </w:r>
      <w:r>
        <w:t>在还原转化NOx和含硝基官能团的有机底物的过程中，N-O键活化因其在生物系统和合成化学中的重要性而引起了极大的关注。硝基的还原转化涉及顺序的N-O键断裂，亚硝基芳烃（ArNO）是关键但常常难以捕捉的中间体。虽然铁是此类过程在生物和合成中相关的金属，但其机制理解，特别是多核协作的作用，仍然不够完善。在此，我们报告了一种二核铁N-杂环卡宾（NHC）配合物，Fe2-MeCN，能够实现硝基苯的顺序N-O键活化，从而分离并详细表征了两个铁-亚硝基芳烃中间体。</w:t>
      </w:r>
    </w:p>
    <w:p>
      <w:pPr>
        <w:spacing w:before="0" w:after="200" w:lineRule="auto" w:line="276"/>
      </w:pPr>
      <w:r>
        <w:rPr>
          <w:b/>
        </w:rPr>
        <w:t xml:space="preserve">Abstract (EN): </w:t>
      </w:r>
      <w:r>
        <w:t>N-O bond activation in reductive transformation of both NOx- and organic substrates with nitro functional groups has garnered significant interest because of its significance in both biological systems and synthetic chemistry. The reductive transformation of nitro groups involves sequential N-O bond cleavages, with nitrosoarenes (ArNO) as key yet often elusive intermediates. While iron is a biologically and synthetically relevant metal for such processes, the mechanistic understanding, particularly the role of multinuclear cooperation, remains underdeveloped. Herein, we report that a dinuclear iron N-heterocyclic carbene (NHC) complex, Fe2-MeCN, enables the sequential N-O bond activation of nitrobenzene, leading to the isolation and detailed characterization of two iron-nitrosoarene intermediates, Fe2-PhNO and Fe2-(PhNO)2. Spectroscopic and crystallographic studies, complemented by DFT calculations, identified strong charge-transfer interactions that polarize the N-O moiety. This electronic structure underpins a diverse suite of N-O activation pathways, including Lewis acid-induced electron transfer, hydride reduction, proton-coupled electron transfer (PCET), and oxygen atom transfer. The stoichiometric reactivity reveals that the nucleophilic oxygen of the coordinated ArNO can be efficiently attacked by electrophiles, while reactions with nucleophiles require more forcing conditions. Finally, Fe2-MeCN functions as a competent catalyst for the reduction of nitroarenes to anilines and facilitates unprecedented iron-mediated heterocyclizations, underscoring the critical role of bimetallic cooperativity in this multifunctional reactivity.</w:t>
      </w:r>
    </w:p>
    <w:p>
      <w:pPr>
        <w:spacing w:before="120" w:after="120"/>
      </w:pPr>
      <w:r>
        <w:rPr>
          <w:sz w:val="18"/>
        </w:rPr>
        <w:t>——————————————————————————————————————————————————————————————————————</w:t>
      </w:r>
    </w:p>
    <w:p>
      <w:pPr>
        <w:spacing w:before="160" w:after="40" w:line="240" w:lineRule="auto"/>
      </w:pPr>
      <w:r>
        <w:rPr>
          <w:b/>
        </w:rPr>
        <w:t xml:space="preserve">[244] </w:t>
      </w:r>
      <w:hyperlink r:id="rId686">
        <w:r>
          <w:rPr>
            <w:color w:val="1155CC"/>
            <w:u w:val="single"/>
          </w:rPr>
          <w:t>[ASAP] 通过铁电 PbTiO3 的原子终止工程提升光生电子提取以实现高效光催化整体水分解</w:t>
        </w:r>
      </w:hyperlink>
    </w:p>
    <w:p>
      <w:pPr>
        <w:spacing w:before="0" w:after="80"/>
      </w:pPr>
      <w:r>
        <w:rPr>
          <w:i/>
          <w:sz w:val="20"/>
        </w:rPr>
        <w:t>EN: [ASAP] Boosting Photogenerated Electron Extraction by Atomic Termination Engineering of Ferroelectric PbTiO3 for Efficient Photocatalytic Overall Water Splitting</w:t>
      </w:r>
    </w:p>
    <w:p>
      <w:pPr>
        <w:spacing w:before="0" w:after="120"/>
      </w:pPr>
      <w:r>
        <w:rPr>
          <w:b/>
        </w:rPr>
        <w:t xml:space="preserve">Source: </w:t>
      </w:r>
      <w:r>
        <w:t>Journal of the American Chemical Society: Latest Articles (ACS Publications)</w:t>
      </w:r>
      <w:r>
        <w:t xml:space="preserve">    </w:t>
      </w:r>
      <w:r>
        <w:rPr>
          <w:b/>
        </w:rPr>
        <w:t xml:space="preserve">Pub date: </w:t>
      </w:r>
      <w:r>
        <w:t>2026-03-17 18:19:33+00:00</w:t>
      </w:r>
      <w:r>
        <w:t xml:space="preserve">    </w:t>
      </w:r>
      <w:r>
        <w:rPr>
          <w:b/>
        </w:rPr>
        <w:t xml:space="preserve">DOI: </w:t>
      </w:r>
      <w:hyperlink r:id="rId687">
        <w:r>
          <w:rPr>
            <w:color w:val="1155CC"/>
            <w:u w:val="single"/>
          </w:rPr>
          <w:t>10.1021/jacs.5c21165</w:t>
        </w:r>
      </w:hyperlink>
    </w:p>
    <w:p>
      <w:pPr>
        <w:spacing w:before="0" w:after="120"/>
      </w:pPr>
      <w:r>
        <w:rPr>
          <w:b/>
        </w:rPr>
        <w:t xml:space="preserve">Notes: </w:t>
      </w:r>
      <w:r>
        <w:t>abstract_source=pubmed</w:t>
      </w:r>
    </w:p>
    <w:p>
      <w:pPr>
        <w:spacing w:before="0" w:after="80" w:lineRule="auto" w:line="276"/>
      </w:pPr>
      <w:r>
        <w:rPr>
          <w:b/>
        </w:rPr>
        <w:t xml:space="preserve">摘要（ZH）: </w:t>
      </w:r>
      <w:r>
        <w:t>单畴铁电PbTiO3因其由强极化场驱动的高效体电荷分离而被视为光催化整体水分解（POWS）的有前途候选者。然而，其POWS效率仍远低于预期。在此，我们确定了PbTiO3-Rh界面处的界面光生电子提取是决定POWS性能的关键因素。系统研究表明，热力学上有利的Pb-O终止严重阻碍了这一过程。为克服这一限制，开发了一种简便的碱性蚀刻策略，以选择性地将光生电子丰富面的表面终止从Pb-O重构为Ti-O。时间分辨光致发光光谱和激发态电子转移动力学</w:t>
      </w:r>
    </w:p>
    <w:p>
      <w:pPr>
        <w:spacing w:before="0" w:after="200" w:lineRule="auto" w:line="276"/>
      </w:pPr>
      <w:r>
        <w:rPr>
          <w:b/>
        </w:rPr>
        <w:t xml:space="preserve">Abstract (EN): </w:t>
      </w:r>
      <w:r>
        <w:t>Single-domain ferroelectric PbTiO3 is regarded as a promising candidate for photocatalytic overall water splitting (POWS) owing to its highly efficient bulk charge separation driven by strong polarization field. However, its POWS efficiency still remains far below expectations. Herein, we identify interfacial photogenerated electron extraction at the PbTiO3-Rh interface as a critical factor determining POWS performance. Systematic studies reveal that thermodynamically favored Pb-O termination severely impedes this process. To overcome this limitation, a facile alkaline-etching strategy is developed to selectively reconstruct surface termination from Pb-O to Ti-O on photogenerated electron-rich facet. Time-resolved photoluminescence spectroscopy and excited-state electron transfer dynamics simulation demonstrate that the resulting Ti-O termination remarkably accelerates interfacial photogenerated electron extraction, leading to a 46.1-fold enhancement in POWS activity. An apparent quantum yield of 6.8% at 360 nm is achieved, representing a record value among reported ferroelectric photocatalysts for POWS. Mechanistic studies reveal that weakened interfacial electric field and enhanced nonadiabatic coupling strength at the Ti-O-Rh interface jointly accelerate photogenerated electron extraction. This work underscores the importance of surface-termination engineering in enhancing interfacial photogenerated electron extraction and provides insight into designing high-performance photocatalysts.</w:t>
      </w:r>
    </w:p>
    <w:p>
      <w:pPr>
        <w:spacing w:before="120" w:after="120"/>
      </w:pPr>
      <w:r>
        <w:rPr>
          <w:sz w:val="18"/>
        </w:rPr>
        <w:t>——————————————————————————————————————————————————————————————————————</w:t>
      </w:r>
    </w:p>
    <w:p>
      <w:pPr>
        <w:spacing w:before="160" w:after="40" w:line="240" w:lineRule="auto"/>
      </w:pPr>
      <w:r>
        <w:rPr>
          <w:b/>
        </w:rPr>
        <w:t xml:space="preserve">[245] </w:t>
      </w:r>
      <w:hyperlink r:id="rId688">
        <w:r>
          <w:rPr>
            <w:color w:val="1155CC"/>
            <w:u w:val="single"/>
          </w:rPr>
          <w:t>[ASAP] 气相中电喷酶离子的催化活性</w:t>
        </w:r>
      </w:hyperlink>
    </w:p>
    <w:p>
      <w:pPr>
        <w:spacing w:before="0" w:after="80"/>
      </w:pPr>
      <w:r>
        <w:rPr>
          <w:i/>
          <w:sz w:val="20"/>
        </w:rPr>
        <w:t>EN: [ASAP] Catalytic Activity of Electrosprayed Enzyme Ions in the Gas Phase</w:t>
      </w:r>
    </w:p>
    <w:p>
      <w:pPr>
        <w:spacing w:before="0" w:after="120"/>
      </w:pPr>
      <w:r>
        <w:rPr>
          <w:b/>
        </w:rPr>
        <w:t xml:space="preserve">Source: </w:t>
      </w:r>
      <w:r>
        <w:t>Journal of the American Chemical Society: Latest Articles (ACS Publications)</w:t>
      </w:r>
      <w:r>
        <w:t xml:space="preserve">    </w:t>
      </w:r>
      <w:r>
        <w:rPr>
          <w:b/>
        </w:rPr>
        <w:t xml:space="preserve">Pub date: </w:t>
      </w:r>
      <w:r>
        <w:t>2026-03-17 19:01:35+00:00</w:t>
      </w:r>
      <w:r>
        <w:t xml:space="preserve">    </w:t>
      </w:r>
      <w:r>
        <w:rPr>
          <w:b/>
        </w:rPr>
        <w:t xml:space="preserve">DOI: </w:t>
      </w:r>
      <w:hyperlink r:id="rId689">
        <w:r>
          <w:rPr>
            <w:color w:val="1155CC"/>
            <w:u w:val="single"/>
          </w:rPr>
          <w:t>10.1021/jacs.6c00627</w:t>
        </w:r>
      </w:hyperlink>
    </w:p>
    <w:p>
      <w:pPr>
        <w:spacing w:before="0" w:after="120"/>
      </w:pPr>
      <w:r>
        <w:rPr>
          <w:b/>
        </w:rPr>
        <w:t xml:space="preserve">Notes: </w:t>
      </w:r>
      <w:r>
        <w:t>abstract_source=pubmed</w:t>
      </w:r>
    </w:p>
    <w:p>
      <w:pPr>
        <w:spacing w:before="0" w:after="80" w:lineRule="auto" w:line="276"/>
      </w:pPr>
      <w:r>
        <w:rPr>
          <w:b/>
        </w:rPr>
        <w:t xml:space="preserve">摘要（ZH）: </w:t>
      </w:r>
      <w:r>
        <w:t>大多数酶反应发生在水溶液中，但在非水溶剂中催化活性通常得以保持。一个有趣的问题是酶是否也能在无溶剂的气相中保持活性。在此，我们通过研究电喷雾的[L·NAG5 + 8H]8+复合物（L = 溶菌酶，NAGn = N-乙酰氨基葡萄糖寡聚物，溶液中的溶菌酶底物）来解决这个问题。碰撞活化触发了NAG5裂解为NAG4和一个单体NAG单元。反应通过[L·NAG4 + 8H]8+酶·产物复合物进行，证实了NAG5在与溶菌酶结合时发生了裂解。我们证明了该反应表现出酶催化的特征，包括特定活性位点残基（E35和D52）的参与、底物特异性和低</w:t>
      </w:r>
    </w:p>
    <w:p>
      <w:pPr>
        <w:spacing w:before="0" w:after="200" w:lineRule="auto" w:line="276"/>
      </w:pPr>
      <w:r>
        <w:rPr>
          <w:b/>
        </w:rPr>
        <w:t xml:space="preserve">Abstract (EN): </w:t>
      </w:r>
      <w:r>
        <w:t>Most enzyme reactions occur in aqueous solution, but catalytic activity is often retained in nonaqueous solvents. It is an intriguing question whether enzymes can also remain active in the gas phase, without any solvent. Here, we address this question by examining electrosprayed [L·NAG5 + 8H]8+ complexes (L = lysozyme, NAGn = N-acetyl glucosamine oligomer, a lysozyme substrate in solution). Collisional activation triggered cleavage of NAG5 into NAG4 and a monomeric NAG unit. The reaction proceeded via a [L·NAG4 + 8H]8+ enzyme·product complex, confirming that cleavage took place while NAG5 was bound to lysozyme. We demonstrate that the reaction exhibits hallmarks of enzyme catalysis, including the participation of specific active site residues (E35 and D52), substrate specificity, and a lowered activation energy. The gas-phase products differ from those in solution, as dictated by the absence of water. Our experimental findings are bolstered by mobile-proton molecular dynamics simulations of gaseous lysozyme complexes with substrates and products. In conclusion, this work for the first time demonstrates that an enzyme can be catalytically active in vacuo. While it is yet to be determined if this finding can be generalized to other enzymes, our study may provide a stepping stone to novel enzyme-catalyzed (bio)molecular transformations in the absence of a solvent.</w:t>
      </w:r>
    </w:p>
    <w:p>
      <w:pPr>
        <w:spacing w:before="120" w:after="120"/>
      </w:pPr>
      <w:r>
        <w:rPr>
          <w:sz w:val="18"/>
        </w:rPr>
        <w:t>——————————————————————————————————————————————————————————————————————</w:t>
      </w:r>
    </w:p>
    <w:p>
      <w:pPr>
        <w:spacing w:before="160" w:after="40" w:line="240" w:lineRule="auto"/>
      </w:pPr>
      <w:r>
        <w:rPr>
          <w:b/>
        </w:rPr>
        <w:t xml:space="preserve">[246] </w:t>
      </w:r>
      <w:hyperlink r:id="rId690">
        <w:r>
          <w:rPr>
            <w:color w:val="1155CC"/>
            <w:u w:val="single"/>
          </w:rPr>
          <w:t>[ASAP] 在集中阳光下稳定碳氮化物光阳极以实现无辅助的酒精重整与 CO2 还原耦合</w:t>
        </w:r>
      </w:hyperlink>
    </w:p>
    <w:p>
      <w:pPr>
        <w:spacing w:before="0" w:after="80"/>
      </w:pPr>
      <w:r>
        <w:rPr>
          <w:i/>
          <w:sz w:val="20"/>
        </w:rPr>
        <w:t>EN: [ASAP] Stabilizing Carbon Nitride Photoanodes for Unassisted Alcohol Reforming Coupled to CO2 Reduction under Concentrated Sunlight</w:t>
      </w:r>
    </w:p>
    <w:p>
      <w:pPr>
        <w:spacing w:before="0" w:after="120"/>
      </w:pPr>
      <w:r>
        <w:rPr>
          <w:b/>
        </w:rPr>
        <w:t xml:space="preserve">Source: </w:t>
      </w:r>
      <w:r>
        <w:t>Journal of the American Chemical Society: Latest Articles (ACS Publications)</w:t>
      </w:r>
      <w:r>
        <w:t xml:space="preserve">    </w:t>
      </w:r>
      <w:r>
        <w:rPr>
          <w:b/>
        </w:rPr>
        <w:t xml:space="preserve">Pub date: </w:t>
      </w:r>
      <w:r>
        <w:t>2026-03-17 19:11:19+00:00</w:t>
      </w:r>
      <w:r>
        <w:t xml:space="preserve">    </w:t>
      </w:r>
      <w:r>
        <w:rPr>
          <w:b/>
        </w:rPr>
        <w:t xml:space="preserve">DOI: </w:t>
      </w:r>
      <w:hyperlink r:id="rId691">
        <w:r>
          <w:rPr>
            <w:color w:val="1155CC"/>
            <w:u w:val="single"/>
          </w:rPr>
          <w:t>10.1021/jacs.5c20624</w:t>
        </w:r>
      </w:hyperlink>
    </w:p>
    <w:p>
      <w:pPr>
        <w:spacing w:before="0" w:after="120"/>
      </w:pPr>
      <w:r>
        <w:rPr>
          <w:b/>
        </w:rPr>
        <w:t xml:space="preserve">Notes: </w:t>
      </w:r>
      <w:r>
        <w:t>abstract_source=pubmed</w:t>
      </w:r>
    </w:p>
    <w:p>
      <w:pPr>
        <w:spacing w:before="0" w:after="80" w:lineRule="auto" w:line="276"/>
      </w:pPr>
      <w:r>
        <w:rPr>
          <w:b/>
        </w:rPr>
        <w:t xml:space="preserve">摘要（ZH）: </w:t>
      </w:r>
      <w:r>
        <w:t>碳氮化合物是一种可扩展且低成本的有机半导体，有望用于光电化学（PEC）设备，但其稳定性差限制了其实际应用。本研究确立了光强度和施加的电化学电位对用于废物衍生醇氧化的氰胺功能化碳氮化物光阳极稳定性的重要性。在集中阳光（3个太阳）和低偏压（&lt;0.2 V vs 可逆氢电极，RHE）下操作，实现了超过20小时的连续运行。原位光谱和阻抗分析将高电位（&gt;0.4 V vs RHE）下碳氮化物的降解与不可逆的形态变化和自氧化联系起来，这种情况因导电性损失而加剧。这些见解使得碳氮化物光阳极的稳定化成为可能。</w:t>
      </w:r>
    </w:p>
    <w:p>
      <w:pPr>
        <w:spacing w:before="0" w:after="200" w:lineRule="auto" w:line="276"/>
      </w:pPr>
      <w:r>
        <w:rPr>
          <w:b/>
        </w:rPr>
        <w:t xml:space="preserve">Abstract (EN): </w:t>
      </w:r>
      <w:r>
        <w:t>Carbon nitride is a scalable and low-cost organic semiconductor with promise for use in photoelectrochemical (PEC) devices, but its poor stability limits its practical use. This study establishes the importance of light intensity and applied electrochemical potential on the stability of cyanamide-functionalized carbon nitride photoanodes used for waste-derived alcohol oxidation. Operating under concentrated sunlight (3 suns) and low bias (&lt;0.2 V vs reversible hydrogen electrode, RHE) enabled over 20 h of continuous operation. In situ spectroscopy and impedance analysis linked carbon nitride degradation at higher potential (&gt;0.4 V vs RHE) to irreversible morphological changes and self-oxidation, exacerbated by conductivity loss. These insights enabled the stabilization of carbon nitride photoelectrodes and paved the way for the development of a standalone PEC device with an integrated thermoelectric unit to convert heat into an additional internal bias-voltage, where carbon nitride efficiently drives alcohol oxidation coupled to CO2-to-CO conversion for over 70 h. This work sets a benchmark for carbon nitride stability and PEC deployment, and highlights the need to revisit PEC testing protocols to unlock the full potential of emerging semiconductors.</w:t>
      </w:r>
    </w:p>
    <w:p>
      <w:pPr>
        <w:spacing w:before="120" w:after="120"/>
      </w:pPr>
      <w:r>
        <w:rPr>
          <w:sz w:val="18"/>
        </w:rPr>
        <w:t>——————————————————————————————————————————————————————————————————————</w:t>
      </w:r>
    </w:p>
    <w:p>
      <w:pPr>
        <w:spacing w:before="160" w:after="40" w:line="240" w:lineRule="auto"/>
      </w:pPr>
      <w:r>
        <w:rPr>
          <w:b/>
        </w:rPr>
        <w:t xml:space="preserve">[247] </w:t>
      </w:r>
      <w:hyperlink r:id="rId692">
        <w:r>
          <w:rPr>
            <w:color w:val="1155CC"/>
            <w:u w:val="single"/>
          </w:rPr>
          <w:t>[ASAP] 有机磷酸盐配位方法用于控制组装巨型多金属氧酸盐簇</w:t>
        </w:r>
      </w:hyperlink>
    </w:p>
    <w:p>
      <w:pPr>
        <w:spacing w:before="0" w:after="80"/>
      </w:pPr>
      <w:r>
        <w:rPr>
          <w:i/>
          <w:sz w:val="20"/>
        </w:rPr>
        <w:t>EN: [ASAP] Organophosphonate Ligation Approach for the Controlled Assembly of Gigantic Polyoxometalate Clusters</w:t>
      </w:r>
    </w:p>
    <w:p>
      <w:pPr>
        <w:spacing w:before="0" w:after="120"/>
      </w:pPr>
      <w:r>
        <w:rPr>
          <w:b/>
        </w:rPr>
        <w:t xml:space="preserve">Source: </w:t>
      </w:r>
      <w:r>
        <w:t>Journal of the American Chemical Society: Latest Articles (ACS Publications)</w:t>
      </w:r>
      <w:r>
        <w:t xml:space="preserve">    </w:t>
      </w:r>
      <w:r>
        <w:rPr>
          <w:b/>
        </w:rPr>
        <w:t xml:space="preserve">Pub date: </w:t>
      </w:r>
      <w:r>
        <w:t>2026-03-17 19:22:04+00:00</w:t>
      </w:r>
      <w:r>
        <w:t xml:space="preserve">    </w:t>
      </w:r>
      <w:r>
        <w:rPr>
          <w:b/>
        </w:rPr>
        <w:t xml:space="preserve">DOI: </w:t>
      </w:r>
      <w:hyperlink r:id="rId693">
        <w:r>
          <w:rPr>
            <w:color w:val="1155CC"/>
            <w:u w:val="single"/>
          </w:rPr>
          <w:t>10.1021/jacs.5c21427</w:t>
        </w:r>
      </w:hyperlink>
    </w:p>
    <w:p>
      <w:pPr>
        <w:spacing w:before="0" w:after="120"/>
      </w:pPr>
      <w:r>
        <w:rPr>
          <w:b/>
        </w:rPr>
        <w:t xml:space="preserve">Notes: </w:t>
      </w:r>
      <w:r>
        <w:t>abstract_source=pubmed</w:t>
      </w:r>
    </w:p>
    <w:p>
      <w:pPr>
        <w:spacing w:before="0" w:after="80" w:lineRule="auto" w:line="276"/>
      </w:pPr>
      <w:r>
        <w:rPr>
          <w:b/>
        </w:rPr>
        <w:t xml:space="preserve">摘要（ZH）: </w:t>
      </w:r>
      <w:r>
        <w:t>巨型多金属氧酸盐（POM）簇的受控组装仍然是分子自组装中最艰巨的挑战之一，因为它高度依赖于精细的合成参数，这些参数可以产生多种产品。在本研究中，我们报告了一系列前所未有的轮状钼蓝（MB）簇的合成，这些簇由有机磷酸盐（L）和乙酸盐配体引导，形成了一系列新的巨型MB型POMs：{Mo136Na4}、{Mo120}、{Mo118Na2}、{Mo118}和{Mo157}。这些结构由基本的{Mo1}、{Mo2}和{Mo8}构建块构成，展示了其外表面有机配体配位的新特征。值得注意的是，{Mo157}框架作为一个宿主，能够捕获完全还原的ε-Keggin基{Mo16}客体。</w:t>
      </w:r>
    </w:p>
    <w:p>
      <w:pPr>
        <w:spacing w:before="0" w:after="200" w:lineRule="auto" w:line="276"/>
      </w:pPr>
      <w:r>
        <w:rPr>
          <w:b/>
        </w:rPr>
        <w:t xml:space="preserve">Abstract (EN): </w:t>
      </w:r>
      <w:r>
        <w:t>The controlled assembly of gigantic polyoxometalate (POM) clusters remains one of the most formidable challenges in molecular self-assembly, as it is highly dependent on delicate synthesis parameters that can yield a wide variety of products. In this study, we report the synthesis of a series of unprecedented wheel-shaped molybdenum-blue (MB) clusters directed by organophosphonate (L) and acetate ligands, resulting in a new range of giant MB-type POMs: {Mo136Na4}, {Mo120}, {Mo118Na2}, {Mo118}, and {Mo157}. These structures, constructed from fundamental {Mo1}, {Mo2}, and {Mo8} building blocks, exhibit new features of organic ligand coordination on their exterior surfaces. Notably, the {Mo157} framework acts as a host capable of capturing the fully reduced ε-Keggin-based {Mo16} guest. It represents the first pure dodecameric Mo wheel reported to date. Systematic variation of reaction parameters─including ligand type, concentration, solvent composition, and precursor identity─enabled precise control over cluster topology, revealing competitive coordination between organophosphonate and acetate ligands. Structural analyses unveiled new connection modes involving reduced edge-sharing {e-Mo2} units and their derivative {Mo3L2} motifs, which reinforce the overall cage architecture. Mass spectrometry and NMR spectroscopy confirmed the structural integrity of these assemblies in solution. This work not only expands the library of gigantic MB clusters but also establishes a new strategy for their controlled construction using anchored organophosphonate ligands. The resulting clusters exhibit significantly enhanced solubility in organic solvents compared with traditional MB species, offering new opportunities for postsynthetic modification, improved interactions with biomolecules, and diverse applications.</w:t>
      </w:r>
    </w:p>
    <w:p>
      <w:pPr>
        <w:spacing w:before="120" w:after="120"/>
      </w:pPr>
      <w:r>
        <w:rPr>
          <w:sz w:val="18"/>
        </w:rPr>
        <w:t>——————————————————————————————————————————————————————————————————————</w:t>
      </w:r>
    </w:p>
    <w:p>
      <w:pPr>
        <w:spacing w:before="160" w:after="40" w:line="240" w:lineRule="auto"/>
      </w:pPr>
      <w:r>
        <w:rPr>
          <w:b/>
        </w:rPr>
        <w:t xml:space="preserve">[248] </w:t>
      </w:r>
      <w:hyperlink r:id="rId694">
        <w:r>
          <w:rPr>
            <w:color w:val="1155CC"/>
            <w:u w:val="single"/>
          </w:rPr>
          <w:t>[ASAP] 通过 gem-双金属化环丙烷的立体控制合成多取代 Housanes</w:t>
        </w:r>
      </w:hyperlink>
    </w:p>
    <w:p>
      <w:pPr>
        <w:spacing w:before="0" w:after="80"/>
      </w:pPr>
      <w:r>
        <w:rPr>
          <w:i/>
          <w:sz w:val="20"/>
        </w:rPr>
        <w:t>EN: [ASAP] Stereocontrolled Synthesis of Polysubstituted Housanes via gem-Bismetalated Cyclopropanes</w:t>
      </w:r>
    </w:p>
    <w:p>
      <w:pPr>
        <w:spacing w:before="0" w:after="120"/>
      </w:pPr>
      <w:r>
        <w:rPr>
          <w:b/>
        </w:rPr>
        <w:t xml:space="preserve">Source: </w:t>
      </w:r>
      <w:r>
        <w:t>Journal of the American Chemical Society: Latest Articles (ACS Publications)</w:t>
      </w:r>
      <w:r>
        <w:t xml:space="preserve">    </w:t>
      </w:r>
      <w:r>
        <w:rPr>
          <w:b/>
        </w:rPr>
        <w:t xml:space="preserve">Pub date: </w:t>
      </w:r>
      <w:r>
        <w:t>2026-03-17 19:23:03+00:00</w:t>
      </w:r>
      <w:r>
        <w:t xml:space="preserve">    </w:t>
      </w:r>
      <w:r>
        <w:rPr>
          <w:b/>
        </w:rPr>
        <w:t xml:space="preserve">DOI: </w:t>
      </w:r>
      <w:hyperlink r:id="rId695">
        <w:r>
          <w:rPr>
            <w:color w:val="1155CC"/>
            <w:u w:val="single"/>
          </w:rPr>
          <w:t>10.1021/jacs.6c02374</w:t>
        </w:r>
      </w:hyperlink>
    </w:p>
    <w:p>
      <w:pPr>
        <w:spacing w:before="0" w:after="120"/>
      </w:pPr>
      <w:r>
        <w:rPr>
          <w:b/>
        </w:rPr>
        <w:t xml:space="preserve">Notes: </w:t>
      </w:r>
      <w:r>
        <w:t>abstract_source=pubmed</w:t>
      </w:r>
    </w:p>
    <w:p>
      <w:pPr>
        <w:spacing w:before="0" w:after="80" w:lineRule="auto" w:line="276"/>
      </w:pPr>
      <w:r>
        <w:rPr>
          <w:b/>
        </w:rPr>
        <w:t xml:space="preserve">摘要（ZH）: </w:t>
      </w:r>
      <w:r>
        <w:t>我们报告了一种通过双金属化环丙烷中间体立体选择性合成多取代housanes的方法。该策略依赖于锂化环丙烯的非对映选择性烯丙基锌化，然后进行分子内环化，生成金属化housanes作为关键中间体。随后通过电亲试剂捕获实现了housanes的高效多样化。值得注意的是，这种方法提供了2,3-二烷基取代housanes的合成途径，允许选择性合成两种非对映异构体。</w:t>
      </w:r>
    </w:p>
    <w:p>
      <w:pPr>
        <w:spacing w:before="0" w:after="200" w:lineRule="auto" w:line="276"/>
      </w:pPr>
      <w:r>
        <w:rPr>
          <w:b/>
        </w:rPr>
        <w:t xml:space="preserve">Abstract (EN): </w:t>
      </w:r>
      <w:r>
        <w:t>We report a stereoselective synthesis of polysubstituted housanes via bismetalated cyclopropane intermediates. The strategy relies on diastereoselective allylzincation of lithiated cyclopropenes followed by intramolecular cyclization, generating metalated housanes as key intermediates. Subsequent electrophile trapping enables efficient diversification of the housanes. Notably, this approach provides access to 2,3-dialkyl-substituted housanes, allowing the selective synthesis of both the diastereomers.</w:t>
      </w:r>
    </w:p>
    <w:p>
      <w:pPr>
        <w:spacing w:before="120" w:after="120"/>
      </w:pPr>
      <w:r>
        <w:rPr>
          <w:sz w:val="18"/>
        </w:rPr>
        <w:t>——————————————————————————————————————————————————————————————————————</w:t>
      </w:r>
    </w:p>
    <w:p>
      <w:pPr>
        <w:spacing w:before="160" w:after="40" w:line="240" w:lineRule="auto"/>
      </w:pPr>
      <w:r>
        <w:rPr>
          <w:b/>
        </w:rPr>
        <w:t xml:space="preserve">[249] </w:t>
      </w:r>
      <w:hyperlink r:id="rId696">
        <w:r>
          <w:rPr>
            <w:color w:val="1155CC"/>
            <w:u w:val="single"/>
          </w:rPr>
          <w:t>[ASAP] 湿度诱导的三态磁切换在自愈合高自旋簇材料中的应用</w:t>
        </w:r>
      </w:hyperlink>
    </w:p>
    <w:p>
      <w:pPr>
        <w:spacing w:before="0" w:after="80"/>
      </w:pPr>
      <w:r>
        <w:rPr>
          <w:i/>
          <w:sz w:val="20"/>
        </w:rPr>
        <w:t>EN: [ASAP] Humidity-Induced Tristate Magnetic Switching in a Self-Healing High-Spin Cluster Material</w:t>
      </w:r>
    </w:p>
    <w:p>
      <w:pPr>
        <w:spacing w:before="0" w:after="120"/>
      </w:pPr>
      <w:r>
        <w:rPr>
          <w:b/>
        </w:rPr>
        <w:t xml:space="preserve">Source: </w:t>
      </w:r>
      <w:r>
        <w:t>Journal of the American Chemical Society: Latest Articles (ACS Publications)</w:t>
      </w:r>
      <w:r>
        <w:t xml:space="preserve">    </w:t>
      </w:r>
      <w:r>
        <w:rPr>
          <w:b/>
        </w:rPr>
        <w:t xml:space="preserve">Pub date: </w:t>
      </w:r>
      <w:r>
        <w:t>2026-03-17 19:29:56+00:00</w:t>
      </w:r>
      <w:r>
        <w:t xml:space="preserve">    </w:t>
      </w:r>
      <w:r>
        <w:rPr>
          <w:b/>
        </w:rPr>
        <w:t xml:space="preserve">DOI: </w:t>
      </w:r>
      <w:hyperlink r:id="rId697">
        <w:r>
          <w:rPr>
            <w:color w:val="1155CC"/>
            <w:u w:val="single"/>
          </w:rPr>
          <w:t>10.1021/jacs.5c23082</w:t>
        </w:r>
      </w:hyperlink>
    </w:p>
    <w:p>
      <w:pPr>
        <w:spacing w:before="0" w:after="120"/>
      </w:pPr>
      <w:r>
        <w:rPr>
          <w:b/>
        </w:rPr>
        <w:t xml:space="preserve">Notes: </w:t>
      </w:r>
      <w:r>
        <w:t>abstract_source=pubmed</w:t>
      </w:r>
    </w:p>
    <w:p>
      <w:pPr>
        <w:spacing w:before="0" w:after="80" w:lineRule="auto" w:line="276"/>
      </w:pPr>
      <w:r>
        <w:rPr>
          <w:b/>
        </w:rPr>
        <w:t xml:space="preserve">摘要（ZH）: </w:t>
      </w:r>
      <w:r>
        <w:t>外部刺激的磁性材料对于下一代存储和传感技术至关重要；然而，三态磁性开关仍然罕见。本研究展示了一种氰化物桥接的十五核自旋簇，Ni9[W(CN)8]6(pyrazole)18(H2O)6·zH2O (Ni9W6)，其表现出可逆的湿度诱导三态磁性开关。该材料在75%相对湿度（RH）下为顺磁性，在11% RH下为铁磁性（居里温度=11 K），在0% RH下显示出相互作用的超顺磁性（阻塞温度=13 K）。层内结晶水的吸附和解吸调节了连接离散Ni9W6簇的超交换相互作用路径的数量，直接调整了簇间磁耦合，而不改变簇框架或电子状态。</w:t>
      </w:r>
    </w:p>
    <w:p>
      <w:pPr>
        <w:spacing w:before="0" w:after="200" w:lineRule="auto" w:line="276"/>
      </w:pPr>
      <w:r>
        <w:rPr>
          <w:b/>
        </w:rPr>
        <w:t xml:space="preserve">Abstract (EN): </w:t>
      </w:r>
      <w:r>
        <w:t>Externally stimulated magnetic materials are essential for next-generation memory and sensing technologies; however, tristate magnetic switching remains rare. This study presents a cyanide-bridged pentadecanuclear spin-cluster, Ni9[W(CN)8]6(pyrazole)18(H2O)6·zH2O (Ni9W6), which exhibits reversible humidity-induced tristate magnetic switching. The material is paramagnetic at 75% relative humidity (RH), ferromagnetic (Curie temperature = 11 K) at 11% RH, and displays interacting superparamagnetic (blocking temperature = 13 K) at 0% RH. The adsorption and desorption of in-layer crystallization water modulate the number of superexchange interaction pathways linking discrete Ni9W6 clusters, directly tuning intercluster magnetic coupling without altering the cluster framework or electronic states. Complete dehydration induces reversible nanoscale cracking, whereby crystals are divided into 6-8 nm magnetic nanodomains that interact via dipolar forces to yield the interacting superparamagnetic state. This water-mediated control of superexchange pathways and reversible formation of nanoscale magnetic regions achieved in a self-healing spin material provide a design strategy for multistate stimuli-responsive functional materials.</w:t>
      </w:r>
    </w:p>
    <w:p>
      <w:pPr>
        <w:spacing w:before="120" w:after="120"/>
      </w:pPr>
      <w:r>
        <w:rPr>
          <w:sz w:val="18"/>
        </w:rPr>
        <w:t>——————————————————————————————————————————————————————————————————————</w:t>
      </w:r>
    </w:p>
    <w:p>
      <w:pPr>
        <w:spacing w:before="160" w:after="40" w:line="240" w:lineRule="auto"/>
      </w:pPr>
      <w:r>
        <w:rPr>
          <w:b/>
        </w:rPr>
        <w:t xml:space="preserve">[250] </w:t>
      </w:r>
      <w:hyperlink r:id="rId698">
        <w:r>
          <w:rPr>
            <w:color w:val="1155CC"/>
            <w:u w:val="single"/>
          </w:rPr>
          <w:t>[ASAP] 通过硼删除环化反应简易合成非交替 π-共轭氮硼烯</w:t>
        </w:r>
      </w:hyperlink>
    </w:p>
    <w:p>
      <w:pPr>
        <w:spacing w:before="0" w:after="80"/>
      </w:pPr>
      <w:r>
        <w:rPr>
          <w:i/>
          <w:sz w:val="20"/>
        </w:rPr>
        <w:t>EN: [ASAP] Facile Synthesis of Nonalternant π-Conjugated Azaborines via Boron-Deleting Annulation</w:t>
      </w:r>
    </w:p>
    <w:p>
      <w:pPr>
        <w:spacing w:before="0" w:after="120"/>
      </w:pPr>
      <w:r>
        <w:rPr>
          <w:b/>
        </w:rPr>
        <w:t xml:space="preserve">Source: </w:t>
      </w:r>
      <w:r>
        <w:t>Journal of the American Chemical Society: Latest Articles (ACS Publications)</w:t>
      </w:r>
      <w:r>
        <w:t xml:space="preserve">    </w:t>
      </w:r>
      <w:r>
        <w:rPr>
          <w:b/>
        </w:rPr>
        <w:t xml:space="preserve">Pub date: </w:t>
      </w:r>
      <w:r>
        <w:t>2026-03-17 19:38:07+00:00</w:t>
      </w:r>
      <w:r>
        <w:t xml:space="preserve">    </w:t>
      </w:r>
      <w:r>
        <w:rPr>
          <w:b/>
        </w:rPr>
        <w:t xml:space="preserve">DOI: </w:t>
      </w:r>
      <w:hyperlink r:id="rId699">
        <w:r>
          <w:rPr>
            <w:color w:val="1155CC"/>
            <w:u w:val="single"/>
          </w:rPr>
          <w:t>10.1021/jacs.5c23345</w:t>
        </w:r>
      </w:hyperlink>
    </w:p>
    <w:p>
      <w:pPr>
        <w:spacing w:before="0" w:after="120"/>
      </w:pPr>
      <w:r>
        <w:rPr>
          <w:b/>
        </w:rPr>
        <w:t xml:space="preserve">Notes: </w:t>
      </w:r>
      <w:r>
        <w:t>abstract_source=pubmed</w:t>
      </w:r>
    </w:p>
    <w:p>
      <w:pPr>
        <w:spacing w:before="0" w:after="80" w:lineRule="auto" w:line="276"/>
      </w:pPr>
      <w:r>
        <w:rPr>
          <w:b/>
        </w:rPr>
        <w:t xml:space="preserve">摘要（ZH）: </w:t>
      </w:r>
      <w:r>
        <w:t>氮杂芳烃的骨架编辑已成为药物和材料化学中后期分子多样化的强大策略。π-共轭氮硼烯因其卓越的光电性能和在有机发光二极管（OLED）中的实际应用而受到越来越多的关注。然而，含硼环的环操作仍然是一个长期存在的挑战，超越单环框架的级联骨架编辑仍然发展不足。在此，我们报告了一种硼删除环化（BDA）反应，该反应能够在一锅反应中将无应力的双环1,4-氮硼烯转化为二氮五边形-七边形对，提供了大量具有独特光电性能的非交替π-共轭氮硼烯（超过35个例子）。</w:t>
      </w:r>
    </w:p>
    <w:p>
      <w:pPr>
        <w:spacing w:before="0" w:after="200" w:lineRule="auto" w:line="276"/>
      </w:pPr>
      <w:r>
        <w:rPr>
          <w:b/>
        </w:rPr>
        <w:t xml:space="preserve">Abstract (EN): </w:t>
      </w:r>
      <w:r>
        <w:t>Skeletal editing of aza-heteroarenes has become a powerful strategy for late-stage molecular diversification in medicinal and material chemistry. π-Conjugated azaborines have attracted increasing attention due to their exceptional optoelectronic properties and practical applications in organic light-emitting diodes (OLEDs). However, ring manipulation of boron-containing rings remains a long-standing challenge, and cascade skeletal editing beyond monocyclic frameworks is largely underdeveloped. Here, we report a boron-deleting annulation (BDA) reaction that enables the transformation of unstrained bicyclic 1,4-azaborines into a diaza-pentagon-heptagon pair in a one-pot reaction, affording a wide array of nonalternant π-conjugated azaborines (&gt;35 examples) with unique optoelectronic properties. This late-stage modification approach thus balances synthetic simplicity with structural diversity and expands the accessible chemical space of functional π-systems for optoelectronic applications. Additionally, the BDA product can trigger consecutive cyclodehydrogenation to zipping-up sophisticated nanographenes via further periphery-to-core extension. Mechanistic studies reveal a series of unprecedented ring contraction-expansion processes. Remarkably, yellow OLEDs based on BDA product achieved a record 23.0% external quantum efficiency without delayed fluorescence, demonstrating the potential for high-performance electroluminescence.</w:t>
      </w:r>
    </w:p>
    <w:p>
      <w:pPr>
        <w:spacing w:before="120" w:after="120"/>
      </w:pPr>
      <w:r>
        <w:rPr>
          <w:sz w:val="18"/>
        </w:rPr>
        <w:t>——————————————————————————————————————————————————————————————————————</w:t>
      </w:r>
    </w:p>
    <w:p>
      <w:pPr>
        <w:spacing w:before="160" w:after="40" w:line="240" w:lineRule="auto"/>
      </w:pPr>
      <w:r>
        <w:rPr>
          <w:b/>
        </w:rPr>
        <w:t xml:space="preserve">[251] </w:t>
      </w:r>
      <w:hyperlink r:id="rId700">
        <w:r>
          <w:rPr>
            <w:color w:val="1155CC"/>
            <w:u w:val="single"/>
          </w:rPr>
          <w:t>[ASAP] 室温下二维多孔冰的证据</w:t>
        </w:r>
      </w:hyperlink>
    </w:p>
    <w:p>
      <w:pPr>
        <w:spacing w:before="0" w:after="80"/>
      </w:pPr>
      <w:r>
        <w:rPr>
          <w:i/>
          <w:sz w:val="20"/>
        </w:rPr>
        <w:t>EN: [ASAP] Evidence of Two-Dimensional Porous Ice at Room Temperature</w:t>
      </w:r>
    </w:p>
    <w:p>
      <w:pPr>
        <w:spacing w:before="0" w:after="120"/>
      </w:pPr>
      <w:r>
        <w:rPr>
          <w:b/>
        </w:rPr>
        <w:t xml:space="preserve">Source: </w:t>
      </w:r>
      <w:r>
        <w:t>Journal of the American Chemical Society: Latest Articles (ACS Publications)</w:t>
      </w:r>
      <w:r>
        <w:t xml:space="preserve">    </w:t>
      </w:r>
      <w:r>
        <w:rPr>
          <w:b/>
        </w:rPr>
        <w:t xml:space="preserve">Pub date: </w:t>
      </w:r>
      <w:r>
        <w:t>2026-03-17 19:44:22+00:00</w:t>
      </w:r>
      <w:r>
        <w:t xml:space="preserve">    </w:t>
      </w:r>
      <w:r>
        <w:rPr>
          <w:b/>
        </w:rPr>
        <w:t xml:space="preserve">DOI: </w:t>
      </w:r>
      <w:hyperlink r:id="rId701">
        <w:r>
          <w:rPr>
            <w:color w:val="1155CC"/>
            <w:u w:val="single"/>
          </w:rPr>
          <w:t>10.1021/jacs.6c00047</w:t>
        </w:r>
      </w:hyperlink>
    </w:p>
    <w:p>
      <w:pPr>
        <w:spacing w:before="0" w:after="120"/>
      </w:pPr>
      <w:r>
        <w:rPr>
          <w:b/>
        </w:rPr>
        <w:t xml:space="preserve">Notes: </w:t>
      </w:r>
      <w:r>
        <w:t>abstract_source=pubmed</w:t>
      </w:r>
    </w:p>
    <w:p>
      <w:pPr>
        <w:spacing w:before="0" w:after="80" w:lineRule="auto" w:line="276"/>
      </w:pPr>
      <w:r>
        <w:rPr>
          <w:b/>
        </w:rPr>
        <w:t xml:space="preserve">摘要（ZH）: </w:t>
      </w:r>
      <w:r>
        <w:t>水和冰的相行为极其复杂，因为其底层氢键网络的高灵活性。即使是二维（2D）冰，在分子动力学（MD）模拟中也观察到了丰富的单层和双层冰相，包括平面方形单层冰、双层六方冰、具有莫尔图案的扭曲双层冰，以及单层和双层超离子冰。然而，与庞大的三维冰结构家族相比，2D冰家族仍然缺乏多孔冰结构，因为普遍认为2D多孔冰仅在负压下稳定。因此，即使在MD模拟中，2D多孔冰的自发形成也是具有挑战性的。在此，我们首次报告了模拟证据。</w:t>
      </w:r>
    </w:p>
    <w:p>
      <w:pPr>
        <w:spacing w:before="0" w:after="200" w:lineRule="auto" w:line="276"/>
      </w:pPr>
      <w:r>
        <w:rPr>
          <w:b/>
        </w:rPr>
        <w:t xml:space="preserve">Abstract (EN): </w:t>
      </w:r>
      <w:r>
        <w:t>The phase behavior of water and ices is remarkably complex because of the high flexibility of their underlying hydrogen-bonding networks. Even for two-dimensional (2D) ice, rich forms of monolayer and bilayer ice phases have been observed in molecular dynamics (MD) simulations, including, among many others, flat-square monolayer ice, bilayer hexagonal ice, twisted bilayer ices with moiré patterns, and monolayer and bilayer superionic ices. In contrast to the large family of 3D ice structures, however, the 2D ice family still lacks porous ice structures, as it is generally believed that 2D porous ices are stable only under negative pressures. As a result, even in MD simulations, the spontaneous formation of a 2D porous ice is challenging. Here, for the first time, we report simulation evidence of three distinct types of 2D porous ice. Additionally, on the basis of first-principles computations, we show that these 2D porous ices are stable under negative pressures. More importantly, inspired by host-guest chemistry, we demonstrate the spontaneous formation of one of these 2D porous ices (on the time scale of microseconds in MD simulation) from liquid water at 300 K by employing suitable guest particles on a model surface. The nucleation and growth mechanisms of the 2D porous ice are also illustrated at the molecular level. Through extensive MD simulations with tunable molecular and surface parameters, we identify the key factors governing the formation of 2D porous ices.</w:t>
      </w:r>
    </w:p>
    <w:p>
      <w:pPr>
        <w:spacing w:before="120" w:after="120"/>
      </w:pPr>
      <w:r>
        <w:rPr>
          <w:sz w:val="18"/>
        </w:rPr>
        <w:t>——————————————————————————————————————————————————————————————————————</w:t>
      </w:r>
    </w:p>
    <w:p>
      <w:pPr>
        <w:spacing w:before="160" w:after="40" w:line="240" w:lineRule="auto"/>
      </w:pPr>
      <w:r>
        <w:rPr>
          <w:b/>
        </w:rPr>
        <w:t xml:space="preserve">[252] </w:t>
      </w:r>
      <w:hyperlink r:id="rId702">
        <w:r>
          <w:rPr>
            <w:color w:val="1155CC"/>
            <w:u w:val="single"/>
          </w:rPr>
          <w:t>作者更正：肌萎缩侧索硬化症中对C9orf72蛋白的自身免疫反应</w:t>
        </w:r>
      </w:hyperlink>
    </w:p>
    <w:p>
      <w:pPr>
        <w:spacing w:before="0" w:after="80"/>
      </w:pPr>
      <w:r>
        <w:rPr>
          <w:i/>
          <w:sz w:val="20"/>
        </w:rPr>
        <w:t>EN: Author Correction: Autoimmune response to C9orf72 protein in amyotrophic lateral sclerosis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03">
        <w:r>
          <w:rPr>
            <w:color w:val="1155CC"/>
            <w:u w:val="single"/>
          </w:rPr>
          <w:t>10.1038/s41586-026-10388-9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[253] </w:t>
      </w:r>
      <w:hyperlink r:id="rId704">
        <w:r>
          <w:rPr>
            <w:color w:val="1155CC"/>
            <w:u w:val="single"/>
          </w:rPr>
          <w:t>胸腺健康是终生健康和免疫治疗效果的预测指标</w:t>
        </w:r>
      </w:hyperlink>
    </w:p>
    <w:p>
      <w:pPr>
        <w:spacing w:before="0" w:after="80"/>
      </w:pPr>
      <w:r>
        <w:rPr>
          <w:i/>
          <w:sz w:val="20"/>
        </w:rPr>
        <w:t>EN: Thymus health is a predictor of lifelong well-being and immunotherapy effectiveness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05">
        <w:r>
          <w:rPr>
            <w:color w:val="1155CC"/>
            <w:u w:val="single"/>
          </w:rPr>
          <w:t>10.1038/d41586-026-00633-6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706">
        <w:r>
          <w:rPr>
            <w:color w:val="1155CC"/>
            <w:u w:val="single"/>
          </w:rPr>
          <w:t>蛋白酶体引导的血红素信号轴促进T细胞耗竭</w:t>
        </w:r>
      </w:hyperlink>
    </w:p>
    <w:p>
      <w:pPr>
        <w:spacing w:before="0" w:after="80"/>
      </w:pPr>
      <w:r>
        <w:rPr>
          <w:i/>
          <w:sz w:val="20"/>
        </w:rPr>
        <w:t>EN: Proteasome-guided haem signalling axis contributes to T cell exhaustion</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07">
        <w:r>
          <w:rPr>
            <w:color w:val="1155CC"/>
            <w:u w:val="single"/>
          </w:rPr>
          <w:t>10.1038/s41586-026-10250-y</w:t>
        </w:r>
      </w:hyperlink>
    </w:p>
    <w:p>
      <w:pPr>
        <w:spacing w:before="0" w:after="120"/>
      </w:pPr>
      <w:r>
        <w:rPr>
          <w:b/>
        </w:rPr>
        <w:t xml:space="preserve">Notes: </w:t>
      </w:r>
      <w:r>
        <w:t>abstract_source=nature_html</w:t>
      </w:r>
    </w:p>
    <w:p>
      <w:pPr>
        <w:spacing w:before="0" w:after="80" w:lineRule="auto" w:line="276"/>
      </w:pPr>
      <w:r>
        <w:rPr>
          <w:b/>
        </w:rPr>
        <w:t xml:space="preserve">摘要（ZH）: </w:t>
      </w:r>
      <w:r>
        <w:t>去极化线粒体的积累使T细胞趋于衰竭1,2,3，但具体机制仍不清楚。在此，我们发现衰竭的CD8+ T细胞由于去极化线粒体的积累而增加了蛋白酶体活性，这驱动了线粒体蛋白的选择性降解和通过血红蛋白分解释放调节性血红素。反过来，增加的调节性血红素破坏了BACH2介导的转录调控，从而加剧了T细胞衰竭并损害了类干性特性。抑制调节性血红素的核进口可防止BACH2降解并增强抗原特异性T细胞的抗肿瘤效力。我们发现人类CD19+嵌合抗原受体（CAR）-T细胞在患者中的治疗效力</w:t>
      </w:r>
    </w:p>
    <w:p>
      <w:pPr>
        <w:spacing w:before="0" w:after="200" w:lineRule="auto" w:line="276"/>
      </w:pPr>
      <w:r>
        <w:rPr>
          <w:b/>
        </w:rPr>
        <w:t xml:space="preserve">Abstract (EN): </w:t>
      </w:r>
      <w:r>
        <w:t>The accumulation of depolarized mitochondria commits T cells to exhaustion1,2,3, yet the precise mechanism remains unclear. Here we find that exhausted CD8+ T cells increase proteasome activity owing to the accumulation of depolarized mitochondria, which drives the selective degradation of mitochondrial proteins and the release of regulatory haem through haemoprotein breakdown. In turn, increased regulatory haem disrupts BACH2-mediated transcriptional regulation, thereby exacerbating T cell exhaustion and compromising stemness-like properties. Inhibition of nuclear import of regulatory haem prevents BACH2 degradation and enhances the anti-tumour efficacy of antigen-specific T cells. We find that the therapeutic efficacy of human CD19+ chimeric antigen receptor (CAR)-T cells in patients with B cell acute lymphoblastic leukaemia negatively correlates with the proteasome gene signature in their CAR-T cells. Manufacturing CAR-T cells in the presence of bortezomib, an FDA-approved proteasome inhibitor, prevents T cell exhaustion and improves therapeutic efficacy. Our findings identify a proteasome-guided haem signalling axis, governed by mitochondrial integrity, as a regulator of CD8+ T cell exhaustion and propose innovative therapeutic strategies that exploit this pathway to optimize adoptive cellular immunotherapy.</w:t>
      </w:r>
    </w:p>
    <w:p>
      <w:pPr>
        <w:spacing w:before="120" w:after="120"/>
      </w:pPr>
      <w:r>
        <w:rPr>
          <w:sz w:val="18"/>
        </w:rPr>
        <w:t>——————————————————————————————————————————————————————————————————————</w:t>
      </w:r>
    </w:p>
    <w:p>
      <w:pPr>
        <w:spacing w:before="160" w:after="40" w:line="240" w:lineRule="auto"/>
      </w:pPr>
      <w:r>
        <w:rPr>
          <w:b/>
        </w:rPr>
        <w:t xml:space="preserve">[255] </w:t>
      </w:r>
      <w:hyperlink r:id="rId708">
        <w:r>
          <w:rPr>
            <w:color w:val="1155CC"/>
            <w:u w:val="single"/>
          </w:rPr>
          <w:t>用于细胞比例控制的合成电路</w:t>
        </w:r>
      </w:hyperlink>
    </w:p>
    <w:p>
      <w:pPr>
        <w:spacing w:before="0" w:after="80"/>
      </w:pPr>
      <w:r>
        <w:rPr>
          <w:i/>
          <w:sz w:val="20"/>
        </w:rPr>
        <w:t>EN: Synthetic circuits for cell ratio control</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09">
        <w:r>
          <w:rPr>
            <w:color w:val="1155CC"/>
            <w:u w:val="single"/>
          </w:rPr>
          <w:t>10.1038/s41586-026-10259-3</w:t>
        </w:r>
      </w:hyperlink>
    </w:p>
    <w:p>
      <w:pPr>
        <w:spacing w:before="0" w:after="120"/>
      </w:pPr>
      <w:r>
        <w:rPr>
          <w:b/>
        </w:rPr>
        <w:t xml:space="preserve">Notes: </w:t>
      </w:r>
      <w:r>
        <w:t>abstract_source=nature_html</w:t>
      </w:r>
    </w:p>
    <w:p>
      <w:pPr>
        <w:spacing w:before="0" w:after="80" w:lineRule="auto" w:line="276"/>
      </w:pPr>
      <w:r>
        <w:rPr>
          <w:b/>
        </w:rPr>
        <w:t xml:space="preserve">摘要（ZH）: </w:t>
      </w:r>
      <w:r>
        <w:t>遗传工程的最新进展为人工多样化原核和真核细胞群体提供了多种工具1,2,3,4,5,6。然而，实现对单一创始者衍生的群体中多种细胞类型比例的精确控制仍然是一个重大挑战。在此，我们引入了一套重组酶介导的遗传装置，旨在精确控制群体比例，使不同功能分布在多种细胞类型中。我们系统地评估了影响重组效率的关键参数，并开发了数据驱动模型以可靠地预测二元分化结果。利用这些装置，我们构建了并行和串行电路拓扑，以实现用户定义的多步骤细胞命运</w:t>
      </w:r>
    </w:p>
    <w:p>
      <w:pPr>
        <w:spacing w:before="0" w:after="200" w:lineRule="auto" w:line="276"/>
      </w:pPr>
      <w:r>
        <w:rPr>
          <w:b/>
        </w:rPr>
        <w:t xml:space="preserve">Abstract (EN): </w:t>
      </w:r>
      <w:r>
        <w:t>Recent advances in genetic engineering have provided diverse tools for artificially diversifying both prokaryotic and eukaryotic cell populations1,2,3,4,5,6. However, achieving precise control over the ratios of multiple cell types within a population derived from a single founder remains a major challenge. Here we introduce a suite of recombinase-mediated genetic devices designed to accurately control population ratios, enabling the distribution of distinct functionalities across multiple cell types. We systematically evaluated key parameters that influence recombination efficiency and developed data-driven models to reliably predict binary differentiation outcomes. Using these devices, we constructed parallel and series circuit topologies to implement user-defined, multistep cell-fate branching programs. The branching devices facilitated the autonomous differentiation of precision fermentation consortia from a single founder yeast strain, optimizing cell-type ratios for applications such as pigmentation and cellulose degradation. Similar effects were obtained with mammalian cells. We also engineered multicellular aggregates with genetically encoded morphologies by coordinating self-organization through cell adhesion molecules. Our work provides a comprehensive characterization of recombinase-based cell-fate branching mechanisms and introduces an approach for constructing synthetic consortia and multicellular assemblies.</w:t>
      </w:r>
    </w:p>
    <w:p>
      <w:pPr>
        <w:spacing w:before="120" w:after="120"/>
      </w:pPr>
      <w:r>
        <w:rPr>
          <w:sz w:val="18"/>
        </w:rPr>
        <w:t>——————————————————————————————————————————————————————————————————————</w:t>
      </w:r>
    </w:p>
    <w:p>
      <w:pPr>
        <w:spacing w:before="160" w:after="40" w:line="240" w:lineRule="auto"/>
      </w:pPr>
      <w:r>
        <w:rPr>
          <w:b/>
        </w:rPr>
        <w:t xml:space="preserve">[256] </w:t>
      </w:r>
      <w:hyperlink r:id="rId710">
        <w:r>
          <w:rPr>
            <w:color w:val="1155CC"/>
            <w:u w:val="single"/>
          </w:rPr>
          <w:t>体内特定位点工程以重新编程T细胞</w:t>
        </w:r>
      </w:hyperlink>
    </w:p>
    <w:p>
      <w:pPr>
        <w:spacing w:before="0" w:after="80"/>
      </w:pPr>
      <w:r>
        <w:rPr>
          <w:i/>
          <w:sz w:val="20"/>
        </w:rPr>
        <w:t>EN: In vivo site-specific engineering to reprogram T cells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11">
        <w:r>
          <w:rPr>
            <w:color w:val="1155CC"/>
            <w:u w:val="single"/>
          </w:rPr>
          <w:t>10.1038/s41586-026-10235-x</w:t>
        </w:r>
      </w:hyperlink>
    </w:p>
    <w:p>
      <w:pPr>
        <w:spacing w:before="0" w:after="120"/>
      </w:pPr>
      <w:r>
        <w:rPr>
          <w:b/>
        </w:rPr>
        <w:t xml:space="preserve">Notes: </w:t>
      </w:r>
      <w:r>
        <w:t>abstract_source=nature_html</w:t>
      </w:r>
    </w:p>
    <w:p>
      <w:pPr>
        <w:spacing w:before="0" w:after="80" w:lineRule="auto" w:line="276"/>
      </w:pPr>
      <w:r>
        <w:rPr>
          <w:b/>
        </w:rPr>
        <w:t xml:space="preserve">摘要（ZH）: </w:t>
      </w:r>
      <w:r>
        <w:t>工程化T细胞被重新编程以表达嵌合抗原受体（CAR）或T细胞受体（TCR），已改变癌症治疗，并正在探索作为自身免疫和传染病的治疗方法。通过基因组编辑增强T细胞功能，无论是通过破坏内源基因还是精确插入DNA载荷，已显示出相当大的前景1。然而，体外制造过程冗长且昂贵，限制了这些疗法的可及性。体内生成CAR T细胞可以克服这些障碍，但当前方法要么依赖于具有有限持久性的瞬时表达，要么依赖于缺乏特异性的DNA载荷的随机整合。在此，我们证明通过体内位点</w:t>
      </w:r>
    </w:p>
    <w:p>
      <w:pPr>
        <w:spacing w:before="0" w:after="200" w:lineRule="auto" w:line="276"/>
      </w:pPr>
      <w:r>
        <w:rPr>
          <w:b/>
        </w:rPr>
        <w:t xml:space="preserve">Abstract (EN): </w:t>
      </w:r>
      <w:r>
        <w:t>Engineered T cells, reprogrammed to express chimeric antigen receptors (CAR) or T cell receptors (TCR), have transformed cancer treatment and are being explored as therapeutics for autoimmune and infectious diseases. Enhancing T cell function through genome editing, either by disrupting endogenous genes or precisely inserting DNA payloads, has shown considerable promise1. However, the ex vivo manufacturing process is lengthy and costly, limiting accessibility of these therapies. In vivo generation of CAR T cells could overcome these barriers, but current methods rely either on transient expression with limited durability, or on random integration of DNA payloads that lack specificity. Here we demonstrate that stable and cell-specific transgene expression can be achieved through in vivo site-specific integration of large DNA payloads. We developed a two-vector system to deliver CRISPR–Cas9 ribonucleoproteins and a DNA donor template, using enveloped delivery vehicles and adeno-associated viruses, respectively. We optimized both vectors for T cell-specific delivery and gene-targeting efficiency. By integrating a CAR transgene into a T cell-specific locus, we generate therapeutic levels of CAR T cells in vivo in humanized mouse models of B cell aplasia, and haematological and solid malignancies. These findings offer a pathway to more efficient, precise and widely accessible T cell therapies.</w:t>
      </w:r>
    </w:p>
    <w:p>
      <w:pPr>
        <w:spacing w:before="120" w:after="120"/>
      </w:pPr>
      <w:r>
        <w:rPr>
          <w:sz w:val="18"/>
        </w:rPr>
        <w:t>——————————————————————————————————————————————————————————————————————</w:t>
      </w:r>
    </w:p>
    <w:p>
      <w:pPr>
        <w:spacing w:before="160" w:after="40" w:line="240" w:lineRule="auto"/>
      </w:pPr>
      <w:r>
        <w:rPr>
          <w:b/>
        </w:rPr>
        <w:t xml:space="preserve">[257] </w:t>
      </w:r>
      <w:hyperlink r:id="rId712">
        <w:r>
          <w:rPr>
            <w:color w:val="1155CC"/>
            <w:u w:val="single"/>
          </w:rPr>
          <w:t>自由基水在CO2电催化中的平行路径</w:t>
        </w:r>
      </w:hyperlink>
    </w:p>
    <w:p>
      <w:pPr>
        <w:spacing w:before="0" w:after="80"/>
      </w:pPr>
      <w:r>
        <w:rPr>
          <w:i/>
          <w:sz w:val="20"/>
        </w:rPr>
        <w:t>EN: Radical water opens parallel pathways in CO2 electrocatalysis</w:t>
      </w:r>
    </w:p>
    <w:p>
      <w:pPr>
        <w:spacing w:before="0" w:after="120"/>
      </w:pPr>
      <w:r>
        <w:rPr>
          <w:b/>
        </w:rPr>
        <w:t xml:space="preserve">Source: </w:t>
      </w:r>
      <w:r>
        <w:t>Nature Chemistry</w:t>
      </w:r>
      <w:r>
        <w:t xml:space="preserve">    </w:t>
      </w:r>
      <w:r>
        <w:rPr>
          <w:b/>
        </w:rPr>
        <w:t xml:space="preserve">Pub date: </w:t>
      </w:r>
      <w:r>
        <w:t>2026-03-18 00:00:00+00:00</w:t>
      </w:r>
      <w:r>
        <w:t xml:space="preserve">    </w:t>
      </w:r>
      <w:r>
        <w:rPr>
          <w:b/>
        </w:rPr>
        <w:t xml:space="preserve">DOI: </w:t>
      </w:r>
      <w:hyperlink r:id="rId713">
        <w:r>
          <w:rPr>
            <w:color w:val="1155CC"/>
            <w:u w:val="single"/>
          </w:rPr>
          <w:t>10.1038/s41557-026-02088-8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714">
        <w:r>
          <w:rPr>
            <w:color w:val="1155CC"/>
            <w:u w:val="single"/>
          </w:rPr>
          <w:t>通过宽幅卫星测高观测河流的潮汐脉动</w:t>
        </w:r>
      </w:hyperlink>
    </w:p>
    <w:p>
      <w:pPr>
        <w:spacing w:before="0" w:after="80"/>
      </w:pPr>
      <w:r>
        <w:rPr>
          <w:i/>
          <w:sz w:val="20"/>
        </w:rPr>
        <w:t>EN: Observing the tidal pulse of rivers from wide-swath satellite altimetry</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15">
        <w:r>
          <w:rPr>
            <w:color w:val="1155CC"/>
            <w:u w:val="single"/>
          </w:rPr>
          <w:t>10.1038/s41586-026-10287-z</w:t>
        </w:r>
      </w:hyperlink>
    </w:p>
    <w:p>
      <w:pPr>
        <w:spacing w:before="0" w:after="120"/>
      </w:pPr>
      <w:r>
        <w:rPr>
          <w:b/>
        </w:rPr>
        <w:t xml:space="preserve">Notes: </w:t>
      </w:r>
      <w:r>
        <w:t>abstract_source=nature_html</w:t>
      </w:r>
    </w:p>
    <w:p>
      <w:pPr>
        <w:spacing w:before="0" w:after="80" w:lineRule="auto" w:line="276"/>
      </w:pPr>
      <w:r>
        <w:rPr>
          <w:b/>
        </w:rPr>
        <w:t xml:space="preserve">摘要（ZH）: </w:t>
      </w:r>
      <w:r>
        <w:t>沿海河流的特征潮汐影响河口和湿地栖息地的分布1、淡水饮用水的范围2、碳和氮循环3,4以及向海洋的沉积物输出5。尽管河流潮汐的重要性，世界上大多数河流的潮汐范围通常未知，因为潮汐波在河道中的传播是复杂的，测量站稀少，传统的天顶测高6历史上在河流中使用过于稀疏。在此，我们使用最近发射的地表水和海洋地形（SWOT）卫星的数据来量化3,172条沿海河流的潮汐动态。利用SWOT的宽幅覆盖，我们显示超过165,000公里的河流受到潮汐影响。超过7亿人居住在</w:t>
      </w:r>
    </w:p>
    <w:p>
      <w:pPr>
        <w:spacing w:before="0" w:after="200" w:lineRule="auto" w:line="276"/>
      </w:pPr>
      <w:r>
        <w:rPr>
          <w:b/>
        </w:rPr>
        <w:t xml:space="preserve">Abstract (EN): </w:t>
      </w:r>
      <w:r>
        <w:t>The characteristic tides of coastal rivers influence the distribution of estuarine and wetland habitats1, the extent of fresh drinking water2, carbon and nitrogen cycles3,4, and sediment export to the ocean5. Despite the importance of riverine tides, their range is generally unknown over most of the world’s rivers because the propagation of tidal waves in channels is complex, gauging stations are scarce and conventional nadir altimetry6 has historically been too sparse for use in rivers. Here we use data from the recently launched Surface Water and Ocean Topography (SWOT) satellite to quantify tidal dynamics across 3,172 coastal rivers. Capitalizing on the wide swath coverage of SWOT, we show that over 165,000 river kilometres are influenced by tides. More than 700 million people live near and depend on these coastal transition zones. River size, slope and tidal range at the river mouth influence the extent to which tides propagate within river systems. Natural and artificial obstacles, such as dams, limit tidal propagation in an estimated 16% of all tidal rivers. The tidal dataset opens new possibilities for monitoring and modelling changes in estuarine habitats, fresh drinking water for coastal cities and riverine carbon budgets7 across annual to decadal timescales in response to sea-level rise8, megadrought9, intensifying water extraction and river regulation10.</w:t>
      </w:r>
    </w:p>
    <w:p>
      <w:pPr>
        <w:spacing w:before="120" w:after="120"/>
      </w:pPr>
      <w:r>
        <w:rPr>
          <w:sz w:val="18"/>
        </w:rPr>
        <w:t>——————————————————————————————————————————————————————————————————————</w:t>
      </w:r>
    </w:p>
    <w:p>
      <w:pPr>
        <w:spacing w:before="160" w:after="40" w:line="240" w:lineRule="auto"/>
      </w:pPr>
      <w:r>
        <w:rPr>
          <w:b/>
        </w:rPr>
        <w:t xml:space="preserve">[259] </w:t>
      </w:r>
      <w:hyperlink r:id="rId716">
        <w:r>
          <w:rPr>
            <w:color w:val="1155CC"/>
            <w:u w:val="single"/>
          </w:rPr>
          <w:t>成人胸腺健康的后果</w:t>
        </w:r>
      </w:hyperlink>
    </w:p>
    <w:p>
      <w:pPr>
        <w:spacing w:before="0" w:after="80"/>
      </w:pPr>
      <w:r>
        <w:rPr>
          <w:i/>
          <w:sz w:val="20"/>
        </w:rPr>
        <w:t>EN: Thymic health consequences in adults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17">
        <w:r>
          <w:rPr>
            <w:color w:val="1155CC"/>
            <w:u w:val="single"/>
          </w:rPr>
          <w:t>10.1038/s41586-026-10242-y</w:t>
        </w:r>
      </w:hyperlink>
    </w:p>
    <w:p>
      <w:pPr>
        <w:spacing w:before="0" w:after="120"/>
      </w:pPr>
      <w:r>
        <w:rPr>
          <w:b/>
        </w:rPr>
        <w:t xml:space="preserve">Notes: </w:t>
      </w:r>
      <w:r>
        <w:t>abstract_source=nature_html</w:t>
      </w:r>
    </w:p>
    <w:p>
      <w:pPr>
        <w:spacing w:before="0" w:after="80" w:lineRule="auto" w:line="276"/>
      </w:pPr>
      <w:r>
        <w:rPr>
          <w:b/>
        </w:rPr>
        <w:t xml:space="preserve">摘要（ZH）: </w:t>
      </w:r>
      <w:r>
        <w:t>胸腺在生命早期对于建立T细胞多样性至关重要，但随着年龄的增长会发生显著的退化，因此传统上被认为在成人中基本上是非功能性的1,2。在此，我们提出保持胸腺功能对于成人健康和长寿是不可或缺的。我们开发了一个深度学习框架，从常规放射影像中量化胸腺健康，并评估其与长寿和主要年龄相关疾病风险的关联，研究了两个大型前瞻性队列的无症状成人：国家肺癌筛查试验（n = 25,031）和弗雷明汉心脏研究（n = 2,581）。在这两个队列中，胸腺健康在群体中显著变化。在国家肺癌筛查试验中，较高的胸腺健康与较低的al</w:t>
      </w:r>
    </w:p>
    <w:p>
      <w:pPr>
        <w:spacing w:before="0" w:after="200" w:lineRule="auto" w:line="276"/>
      </w:pPr>
      <w:r>
        <w:rPr>
          <w:b/>
        </w:rPr>
        <w:t xml:space="preserve">Abstract (EN): </w:t>
      </w:r>
      <w:r>
        <w:t>The thymus is essential for establishing T cell diversity early in life, but undergoes profound involution with age and has therefore traditionally been regarded as largely nonfunctional in adults1,2. Here we propose that preserving thymic functionality is integral to adult health and longevity. We developed a deep learning framework to quantify thymic health from routine radiographic images and evaluated its association with longevity and risk of major age-associated diseases in two large prospective cohorts of asymptomatic adults: the National Lung Screening Trial (n = 25,031) and the Framingham Heart Study (n = 2,581). In both cohorts, thymic health varied markedly across the population. In the National Lung Screening Trial, higher thymic health was consistently associated with lower all-cause mortality, reduced lung cancer incidence and lower cardiovascular mortality over 12 years of follow-up after adjustment for age, sex, smoking and comorbidities. In the independent Framingham Heart Study cohort, higher thymic health was significantly associated with reduced cardiovascular mortality, independent of age, sex and smoking. Thymic health was further linked to systemic inflammation and metabolic dysregulation, and associated with modifiable lifestyle factors including smoking, obesity and physical activity. Together, these findings reposition the thymus as a central regulator of immune-mediated ageing and disease susceptibility in adulthood, highlighting its potential as a target for preventive and regenerative strategies to promote healthy ageing and longevity.</w:t>
      </w:r>
    </w:p>
    <w:p>
      <w:pPr>
        <w:spacing w:before="120" w:after="120"/>
      </w:pPr>
      <w:r>
        <w:rPr>
          <w:sz w:val="18"/>
        </w:rPr>
        <w:t>——————————————————————————————————————————————————————————————————————</w:t>
      </w:r>
    </w:p>
    <w:p>
      <w:pPr>
        <w:spacing w:before="160" w:after="40" w:line="240" w:lineRule="auto"/>
      </w:pPr>
      <w:r>
        <w:rPr>
          <w:b/>
        </w:rPr>
        <w:t xml:space="preserve">[260] </w:t>
      </w:r>
      <w:hyperlink r:id="rId718">
        <w:r>
          <w:rPr>
            <w:color w:val="1155CC"/>
            <w:u w:val="single"/>
          </w:rPr>
          <w:t>哺乳动物新皮质中基因调控网络的适应性进化</w:t>
        </w:r>
      </w:hyperlink>
    </w:p>
    <w:p>
      <w:pPr>
        <w:spacing w:before="0" w:after="80"/>
      </w:pPr>
      <w:r>
        <w:rPr>
          <w:i/>
          <w:sz w:val="20"/>
        </w:rPr>
        <w:t>EN: Adaptive evolution of gene regulatory networks in mammalian neocortex</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19">
        <w:r>
          <w:rPr>
            <w:color w:val="1155CC"/>
            <w:u w:val="single"/>
          </w:rPr>
          <w:t>10.1038/s41586-026-10226-y</w:t>
        </w:r>
      </w:hyperlink>
    </w:p>
    <w:p>
      <w:pPr>
        <w:spacing w:before="0" w:after="120"/>
      </w:pPr>
      <w:r>
        <w:rPr>
          <w:b/>
        </w:rPr>
        <w:t xml:space="preserve">Notes: </w:t>
      </w:r>
      <w:r>
        <w:t>abstract_source=nature_html</w:t>
      </w:r>
    </w:p>
    <w:p>
      <w:pPr>
        <w:spacing w:before="0" w:after="80" w:lineRule="auto" w:line="276"/>
      </w:pPr>
      <w:r>
        <w:rPr>
          <w:b/>
        </w:rPr>
        <w:t xml:space="preserve">摘要（ZH）: </w:t>
      </w:r>
      <w:r>
        <w:t>哺乳动物进化出更复杂的大脑，这体现在祖先的单层背侧皮层兴奋性投射神经元（ExNs）转变为多层的大脑新皮层1,2,3,4，富含多样的内端脑和外端脑ExN亚型5,6,7，从而建立了增强大脑连接性和功能性的专门投射系统5,6,7,8。这与现代爬行动物和鸟类的单层或伪层柱状组织的ExNs形成对比4,9,10,11,12。然而，这些哺乳动物特有的适应机制仍然难以捉摸。通过比较小鼠ExN亚型的基因表达和假定的顺式调控元件（CREs）的景观，并通过跨物种检查，我们识别出哺乳动物特有</w:t>
      </w:r>
    </w:p>
    <w:p>
      <w:pPr>
        <w:spacing w:before="0" w:after="200" w:lineRule="auto" w:line="276"/>
      </w:pPr>
      <w:r>
        <w:rPr>
          <w:b/>
        </w:rPr>
        <w:t xml:space="preserve">Abstract (EN): </w:t>
      </w:r>
      <w:r>
        <w:t>Mammals have evolved a more complex brain, exemplified by the transformation of the single-layer dorsal cortex of excitatory projection neurons (ExNs) in ancestors into a multilayered cerebral neocortex1,2,3,4 enriched with diverse intratelencephalic and extratelencephalic ExN subtypes5,6,7, thereby establishing specialized projection systems that enhance brain connectivity and functionality5,6,7,8. This is in contrast to modern reptiles and birds with single-layered or pseudolayered columnar organization of ExNs4,9,10,11,12. However, the mechanisms underlying these mammalian-specific adaptations remain elusive. By comparing the landscape of gene expression and putative cis-regulatory elements (CREs) in mouse ExN subtypes and through cross-species examination, we identified mammalian-specific CREs, including a subset bound by the transcription factor ZBTB18 (also RP58, ZFP238 or ZNF238) and associated with genes defining intratelencephalic and extratelencephalic subtypes and connectivity, which have been implicated in intellectual disability and autism. Deletion of Zbtb18 in mouse ExNs dysregulated target gene expression, reduced molecular diversity, diminished cortico-spinal and callosal projections and increased intrahemispheric cortico-cortical association projections to the prefrontal cortex, thereby resembling non-mammalian brain. ZBTB18 binding motifs are highly enriched in callosally projecting intratelencephalic-biased putative CREs and show higher conservation specifically in mammals. This study uncovers critical components and mammalian-specific evolutionary adaptations within a regulatory node essential for neocortical ExN identity and connectivity.</w:t>
      </w:r>
    </w:p>
    <w:p>
      <w:pPr>
        <w:spacing w:before="120" w:after="120"/>
      </w:pPr>
      <w:r>
        <w:rPr>
          <w:sz w:val="18"/>
        </w:rPr>
        <w:t>——————————————————————————————————————————————————————————————————————</w:t>
      </w:r>
    </w:p>
    <w:p>
      <w:pPr>
        <w:spacing w:before="160" w:after="40" w:line="240" w:lineRule="auto"/>
      </w:pPr>
      <w:r>
        <w:rPr>
          <w:b/>
        </w:rPr>
        <w:t xml:space="preserve">[261] </w:t>
      </w:r>
      <w:hyperlink r:id="rId720">
        <w:r>
          <w:rPr>
            <w:color w:val="1155CC"/>
            <w:u w:val="single"/>
          </w:rPr>
          <w:t>过去300万年大气CO2和CH4水平的广泛稳定</w:t>
        </w:r>
      </w:hyperlink>
    </w:p>
    <w:p>
      <w:pPr>
        <w:spacing w:before="0" w:after="80"/>
      </w:pPr>
      <w:r>
        <w:rPr>
          <w:i/>
          <w:sz w:val="20"/>
        </w:rPr>
        <w:t>EN: Broadly stable atmospheric CO2 and CH4 levels over the past 3 million years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21">
        <w:r>
          <w:rPr>
            <w:color w:val="1155CC"/>
            <w:u w:val="single"/>
          </w:rPr>
          <w:t>10.1038/s41586-025-10032-y</w:t>
        </w:r>
      </w:hyperlink>
    </w:p>
    <w:p>
      <w:pPr>
        <w:spacing w:before="0" w:after="120"/>
      </w:pPr>
      <w:r>
        <w:rPr>
          <w:b/>
        </w:rPr>
        <w:t xml:space="preserve">Notes: </w:t>
      </w:r>
      <w:r>
        <w:t>abstract_source=nature_html</w:t>
      </w:r>
    </w:p>
    <w:p>
      <w:pPr>
        <w:spacing w:before="0" w:after="80" w:lineRule="auto" w:line="276"/>
      </w:pPr>
      <w:r>
        <w:rPr>
          <w:b/>
        </w:rPr>
        <w:t xml:space="preserve">摘要（ZH）: </w:t>
      </w:r>
      <w:r>
        <w:t>南极的冰芯记录显示，在过去80万年中，大气温室气体的连续变化，描绘了晚更新世时期的冰期-间冰期循环1,2,3。对蓝冰区的研究4将这些记录延伸至200万年前（Myr）5,6。因此，在此之前的大气温室气体演变仍不确定。我们在此使用跨越3.1–0.5百万年前（Ma）的不连续冰芯快照，显示在2.9 Ma到1.2 Ma之间，甲烷（CH4）的平均值没有显著变化，而二氧化碳（CO2）则小幅下降约20 ppm，随后在中更新世过渡期保持稳定浓度（±10 ppm）。我们的发现基于在南极艾伦山蓝冰区（BIA）钻取的浅冰芯7。</w:t>
      </w:r>
    </w:p>
    <w:p>
      <w:pPr>
        <w:spacing w:before="0" w:after="200" w:lineRule="auto" w:line="276"/>
      </w:pPr>
      <w:r>
        <w:rPr>
          <w:b/>
        </w:rPr>
        <w:t xml:space="preserve">Abstract (EN): </w:t>
      </w:r>
      <w:r>
        <w:t>Ice core records from Antarctica document continuous variations in atmospheric greenhouse gases over the past 800,000 years, delineating the glacial–interglacial cycles that characterize the late Pleistocene epoch1,2,3. Studies of blue ice areas4 have extended these records back to 2 million years (Myr)5,6. The evolution of atmospheric greenhouse gases before this time thus remains uncertain. Here we use discontinuous ice core snapshots spanning 3.1–0.5 Myr ago (Ma) to show no marked change in mean methane (CH4) and a small decline of about 20 ppm in carbon dioxide (CO2) between 2.9 Ma and 1.2 Ma, followed by stable concentrations (±10 ppm) across the mid-Pleistocene Transition. Our findings are based on the shallow ice cores drilled in the Allan Hills Blue Ice Area (BIA), Antarctica7. The records are complicated by postdepositional processes and probably represent averages over glacial cycles weighted by climate-dependent differences in accumulation rates (which we assume to be constant). Samples aged 2.8–3.1 Myr, affected by respiration and corrected using stable carbon isotopes in CO2 (δ13C), yield mean atmospheric CO2 levels indistinguishable from the early Pleistocene (250 ± 10 ppm). Although palaeoclimate archives from Antarctic blue ice areas are complex, our records show that measurements of greenhouse gases in ice cores can be extended to the late Pliocene epoch, providing snapshots of Earth’s climate system over a time of global cooling7,8 and falling sea level9.</w:t>
      </w:r>
    </w:p>
    <w:p>
      <w:pPr>
        <w:spacing w:before="120" w:after="120"/>
      </w:pPr>
      <w:r>
        <w:rPr>
          <w:sz w:val="18"/>
        </w:rPr>
        <w:t>——————————————————————————————————————————————————————————————————————</w:t>
      </w:r>
    </w:p>
    <w:p>
      <w:pPr>
        <w:spacing w:before="160" w:after="40" w:line="240" w:lineRule="auto"/>
      </w:pPr>
      <w:r>
        <w:rPr>
          <w:b/>
        </w:rPr>
        <w:t xml:space="preserve">[262] </w:t>
      </w:r>
      <w:hyperlink r:id="rId722">
        <w:r>
          <w:rPr>
            <w:color w:val="1155CC"/>
            <w:u w:val="single"/>
          </w:rPr>
          <w:t>南安第斯地区的地方农业转型、危机和迁移</w:t>
        </w:r>
      </w:hyperlink>
    </w:p>
    <w:p>
      <w:pPr>
        <w:spacing w:before="0" w:after="80"/>
      </w:pPr>
      <w:r>
        <w:rPr>
          <w:i/>
          <w:sz w:val="20"/>
        </w:rPr>
        <w:t>EN: Local agricultural transition, crisis and migration in the Southern Andes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23">
        <w:r>
          <w:rPr>
            <w:color w:val="1155CC"/>
            <w:u w:val="single"/>
          </w:rPr>
          <w:t>10.1038/s41586-026-10233-z</w:t>
        </w:r>
      </w:hyperlink>
    </w:p>
    <w:p>
      <w:pPr>
        <w:spacing w:before="0" w:after="120"/>
      </w:pPr>
      <w:r>
        <w:rPr>
          <w:b/>
        </w:rPr>
        <w:t xml:space="preserve">Notes: </w:t>
      </w:r>
      <w:r>
        <w:t>abstract_source=nature_html</w:t>
      </w:r>
    </w:p>
    <w:p>
      <w:pPr>
        <w:spacing w:before="0" w:after="80" w:lineRule="auto" w:line="276"/>
      </w:pPr>
      <w:r>
        <w:rPr>
          <w:b/>
        </w:rPr>
        <w:t xml:space="preserve">摘要（ZH）: </w:t>
      </w:r>
      <w:r>
        <w:t>向农业的过渡是人类历史上一个具有深远影响的转变过程，带来了广泛的人口和社会后果1。在南美洲，农业在不同时间通过多样化的途径被采用，形成了区域上独特的农业历史马赛克2,3。安第斯山脉南部边界的乌斯帕亚塔谷提供了一个研究农业晚期采用的独特机会。我们在此展示，乌斯帕亚塔谷的农业是由当地的狩猎采集者采用的，这通过46个新测序的古代人类基因组推断出的农业前后人口的遗传连续性得以证明。这些群体在美洲原住民多样性中携带了一个独特的遗传成分，表明了一个独特的人口历史。</w:t>
      </w:r>
    </w:p>
    <w:p>
      <w:pPr>
        <w:spacing w:before="0" w:after="200" w:lineRule="auto" w:line="276"/>
      </w:pPr>
      <w:r>
        <w:rPr>
          <w:b/>
        </w:rPr>
        <w:t xml:space="preserve">Abstract (EN): </w:t>
      </w:r>
      <w:r>
        <w:t>The transition to agriculture was a transformative process in human history with wide-ranging demographic and social consequences1. Across South America, agriculture was adopted at different times and through diverse pathways, resulting in a mosaic of regionally distinct farming histories2,3. The Uspallata Valley, at the southern frontier of Andean farming, offers a unique opportunity to examine a case of late adoption of agriculture. Here we show that agriculture in the Uspallata Valley was adopted by local hunter-gatherers, as evidenced by genetic continuity between pre-farming and farming populations inferred from 46 newly sequenced ancient human genomes. These groups carried a distinct genetic component in Indigenous American diversity, indicating a unique population history in the region. Palaeodietary isotopes (δ13C/δ15N) reveal fluctuating maize intake consistent with flexible farming. Strontium isotopes (87Sr/86Sr) indicate the arrival of migrants from nearby regions between around 810–700 cal years BP, shortly before the Inka expansion. Genomic and isotopic analyses show that these migrants belonged to the same regional metapopulation as local groups, relied heavily on maize, probably moved in matrilineally organized family groups, exhibited stress markers (including malnutrition and diseases, such as tuberculosis, as confirmed by pathogen genomics) and experienced a long-term demographic decline. Our results suggest that these groups used social organization and migration as resilience strategies in the face of a multidimensional crisis.</w:t>
      </w:r>
    </w:p>
    <w:p>
      <w:pPr>
        <w:spacing w:before="120" w:after="120"/>
      </w:pPr>
      <w:r>
        <w:rPr>
          <w:sz w:val="18"/>
        </w:rPr>
        <w:t>——————————————————————————————————————————————————————————————————————</w:t>
      </w:r>
    </w:p>
    <w:p>
      <w:pPr>
        <w:spacing w:before="160" w:after="40" w:line="240" w:lineRule="auto"/>
      </w:pPr>
      <w:r>
        <w:rPr>
          <w:b/>
        </w:rPr>
        <w:t xml:space="preserve">[263] </w:t>
      </w:r>
      <w:hyperlink r:id="rId724">
        <w:r>
          <w:rPr>
            <w:color w:val="1155CC"/>
            <w:u w:val="single"/>
          </w:rPr>
          <w:t>量子自旋霍尔绝缘体中的双稳态超晶格切换</w:t>
        </w:r>
      </w:hyperlink>
    </w:p>
    <w:p>
      <w:pPr>
        <w:spacing w:before="0" w:after="80"/>
      </w:pPr>
      <w:r>
        <w:rPr>
          <w:i/>
          <w:sz w:val="20"/>
        </w:rPr>
        <w:t>EN: Bistable superlattice switching in a quantum spin Hall insulator</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25">
        <w:r>
          <w:rPr>
            <w:color w:val="1155CC"/>
            <w:u w:val="single"/>
          </w:rPr>
          <w:t>10.1038/s41586-026-10309-w</w:t>
        </w:r>
      </w:hyperlink>
    </w:p>
    <w:p>
      <w:pPr>
        <w:spacing w:before="0" w:after="120"/>
      </w:pPr>
      <w:r>
        <w:rPr>
          <w:b/>
        </w:rPr>
        <w:t xml:space="preserve">Notes: </w:t>
      </w:r>
      <w:r>
        <w:t>abstract_source=nature_html</w:t>
      </w:r>
    </w:p>
    <w:p>
      <w:pPr>
        <w:spacing w:before="0" w:after="80" w:lineRule="auto" w:line="276"/>
      </w:pPr>
      <w:r>
        <w:rPr>
          <w:b/>
        </w:rPr>
        <w:t xml:space="preserve">摘要（ZH）: </w:t>
      </w:r>
      <w:r>
        <w:t>双稳态开关通常源于铁电性和铁磁性等铁性序列，其中双稳态状态被编码在电荷或自旋自由度中1,2。我们在此报告在单层TaIrTe4中观察到双稳态超晶格开关，这是一种双量子自旋霍尔绝缘体3,4,5。开关发生在两个具有明显对比周期性的晶格配置之间。特别是在原始单层中，我们观察到一个长周期超晶格的自发出现，可以通过静电调节低能电子态以非易失性方式进行编程开关。此开关在两个结构配置之间切换，单位胞面积相差两个数量级。从机制上看，我们的结果揭示了两个</w:t>
      </w:r>
    </w:p>
    <w:p>
      <w:pPr>
        <w:spacing w:before="0" w:after="200" w:lineRule="auto" w:line="276"/>
      </w:pPr>
      <w:r>
        <w:rPr>
          <w:b/>
        </w:rPr>
        <w:t xml:space="preserve">Abstract (EN): </w:t>
      </w:r>
      <w:r>
        <w:t>Bistable switching typically arises from ferroic orders, such as ferroelectricity and ferromagnetism, in which the bistable states are encoded in charge or spin degrees of freedom1,2. Here we report the observation of bistable superlattice switching in monolayer TaIrTe4, a dual quantum spin Hall insulator3,4,5. Switching occurs between two lattice configurations with sharply contrasting periodicities. In particular, in a pristine monolayer, we observe the spontaneous emergence of a long-period superlattice that can be programmed on and off in a non-volatile manner by electrostatic tuning of low-energy electronic states. This switching toggles the system between two structural configurations with unit cell areas differing by two orders of magnitude. Mechanistically, our results reveal two independent and distinct instabilities, one in the lattice and the other in the quantum spin Hall electrons. These instabilities are coupled, leading to electrostatic control of lattice configurations with non-volatile memory. This finding is enabled by combining linear and nonlinear transport measurements6,7,8,9,10,11,12,13, Raman spectroscopy and scanning tunnelling microscopy, which probe complementary aspects of the underlying orders. Notably, this non-volatile memory stabilizes a spontaneous superlattice with a periodicity on the few-nanometre scale that remains robust across a wide doping range, persists over days and survives above 70 K. Our preliminary data also show the emergence of new insulating states at fractional superlattice fillings, which can be switched on and off together with the superlattice.</w:t>
      </w:r>
    </w:p>
    <w:p>
      <w:pPr>
        <w:spacing w:before="120" w:after="120"/>
      </w:pPr>
      <w:r>
        <w:rPr>
          <w:sz w:val="18"/>
        </w:rPr>
        <w:t>——————————————————————————————————————————————————————————————————————</w:t>
      </w:r>
    </w:p>
    <w:p>
      <w:pPr>
        <w:spacing w:before="160" w:after="40" w:line="240" w:lineRule="auto"/>
      </w:pPr>
      <w:r>
        <w:rPr>
          <w:b/>
        </w:rPr>
        <w:t xml:space="preserve">[264] </w:t>
      </w:r>
      <w:hyperlink r:id="rId726">
        <w:r>
          <w:rPr>
            <w:color w:val="1155CC"/>
            <w:u w:val="single"/>
          </w:rPr>
          <w:t>重新审视海洋酸化的行星边界</w:t>
        </w:r>
      </w:hyperlink>
    </w:p>
    <w:p>
      <w:pPr>
        <w:spacing w:before="0" w:after="80"/>
      </w:pPr>
      <w:r>
        <w:rPr>
          <w:i/>
          <w:sz w:val="20"/>
        </w:rPr>
        <w:t>EN: Revisiting the Ocean Acidification Planetary Boundary</w:t>
      </w:r>
    </w:p>
    <w:p>
      <w:pPr>
        <w:spacing w:before="0" w:after="120"/>
      </w:pPr>
      <w:r>
        <w:rPr>
          <w:b/>
        </w:rPr>
        <w:t xml:space="preserve">Source: </w:t>
      </w:r>
      <w:r>
        <w:t>National Science Review Advance Access</w:t>
      </w:r>
      <w:r>
        <w:t xml:space="preserve">    </w:t>
      </w:r>
      <w:r>
        <w:rPr>
          <w:b/>
        </w:rPr>
        <w:t xml:space="preserve">Pub date: </w:t>
      </w:r>
      <w:r>
        <w:t>2026-03-18 00:00:00+00:00</w:t>
      </w:r>
      <w:r>
        <w:t xml:space="preserve">    </w:t>
      </w:r>
      <w:r>
        <w:rPr>
          <w:b/>
        </w:rPr>
        <w:t xml:space="preserve">DOI: </w:t>
      </w:r>
      <w:hyperlink r:id="rId727">
        <w:r>
          <w:rPr>
            <w:color w:val="1155CC"/>
            <w:u w:val="single"/>
          </w:rPr>
          <w:t>10.1093/nsr/nwag173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[265] </w:t>
      </w:r>
      <w:hyperlink r:id="rId728">
        <w:r>
          <w:rPr>
            <w:color w:val="1155CC"/>
            <w:u w:val="single"/>
          </w:rPr>
          <w:t>人工智能将用于绘制未来气候灾害的风险图</w:t>
        </w:r>
      </w:hyperlink>
    </w:p>
    <w:p>
      <w:pPr>
        <w:spacing w:before="0" w:after="80"/>
      </w:pPr>
      <w:r>
        <w:rPr>
          <w:i/>
          <w:sz w:val="20"/>
        </w:rPr>
        <w:t>EN: AI set to map risks of future climate disasters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29">
        <w:r>
          <w:rPr>
            <w:color w:val="1155CC"/>
            <w:u w:val="single"/>
          </w:rPr>
          <w:t>10.1038/d41586-026-00835-y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730">
        <w:r>
          <w:rPr>
            <w:color w:val="1155CC"/>
            <w:u w:val="single"/>
          </w:rPr>
          <w:t>观察到超冷偶极分子自束缚液滴</w:t>
        </w:r>
      </w:hyperlink>
    </w:p>
    <w:p>
      <w:pPr>
        <w:spacing w:before="0" w:after="80"/>
      </w:pPr>
      <w:r>
        <w:rPr>
          <w:i/>
          <w:sz w:val="20"/>
        </w:rPr>
        <w:t>EN: Observation of self-bound droplets of ultracold dipolar molecules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31">
        <w:r>
          <w:rPr>
            <w:color w:val="1155CC"/>
            <w:u w:val="single"/>
          </w:rPr>
          <w:t>10.1038/s41586-026-10245-9</w:t>
        </w:r>
      </w:hyperlink>
    </w:p>
    <w:p>
      <w:pPr>
        <w:spacing w:before="0" w:after="120"/>
      </w:pPr>
      <w:r>
        <w:rPr>
          <w:b/>
        </w:rPr>
        <w:t xml:space="preserve">Notes: </w:t>
      </w:r>
      <w:r>
        <w:t>abstract_source=nature_html</w:t>
      </w:r>
    </w:p>
    <w:p>
      <w:pPr>
        <w:spacing w:before="0" w:after="80" w:lineRule="auto" w:line="276"/>
      </w:pPr>
      <w:r>
        <w:rPr>
          <w:b/>
        </w:rPr>
        <w:t xml:space="preserve">摘要（ZH）: </w:t>
      </w:r>
      <w:r>
        <w:t>超冷偶极分子气体长期以来被设想为实现新型量子相的一个平台1,2,3,4,5,6,7,8。最近在碰撞屏蔽9,10,11,12方面的进展，保护分子免受非弹性损失，使得简并费米气体的创建成为可能13,14,15，最近还实现了偶极分子的玻色-爱因斯坦凝聚16。然而，由偶极-偶极相互作用驱动的超冷分子气体中的量子相观察迄今仍然难以捉摸。在此，我们报告了在强偶极钠-铯分子超冷气体中自束缚液滴和液滴阵列的形成。从分子玻色-爱因斯坦凝聚态开始，使用微波调控场来诱导具有可控强度的偶极-偶极相互作用</w:t>
      </w:r>
    </w:p>
    <w:p>
      <w:pPr>
        <w:spacing w:before="0" w:after="200" w:lineRule="auto" w:line="276"/>
      </w:pPr>
      <w:r>
        <w:rPr>
          <w:b/>
        </w:rPr>
        <w:t xml:space="preserve">Abstract (EN): </w:t>
      </w:r>
      <w:r>
        <w:t>Ultracold gases of dipolar molecules have long been envisioned as a platform for the realization of novel quantum phases1,2,3,4,5,6,7,8. Recent advances in collisional shielding9,10,11,12, protecting molecules from inelastic losses, have enabled the creation of degenerate Fermi gases13,14,15 and, more recently, Bose–Einstein condensation of dipolar molecules16. However, the observation of quantum phases in ultracold molecular gases that are driven by dipole–dipole interactions has so far remained elusive. Here we report the formation of self-bound droplets and droplet arrays in an ultracold gas of strongly dipolar sodium–caesium molecules. Starting from a molecular Bose–Einstein condensate, microwave dressing fields are used to induce dipole–dipole interactions with controllable strength and anisotropy. By varying the speed at which interactions are induced, covering a dynamic range of four orders of magnitude, we prepare droplets under equilibrium and non-equilibrium conditions, observing a transition from robust one-dimensional arrays to fluctuating two-dimensional structures. The droplets show densities up to 100 times higher than the initial Bose–Einstein condensate, reaching the strongly interacting regime and suggesting the possibility of a quantum-liquid or crystalline state9,17. This work establishes ultracold molecules as a system for the exploration of strongly dipolar quantum matter and opens the door to the realization of self-organized crystal phases3,9,18 and dipolar spin liquids in optical lattices19.</w:t>
      </w:r>
    </w:p>
    <w:p>
      <w:pPr>
        <w:spacing w:before="120" w:after="120"/>
      </w:pPr>
      <w:r>
        <w:rPr>
          <w:sz w:val="18"/>
        </w:rPr>
        <w:t>——————————————————————————————————————————————————————————————————————</w:t>
      </w:r>
    </w:p>
    <w:p>
      <w:pPr>
        <w:spacing w:before="160" w:after="40" w:line="240" w:lineRule="auto"/>
      </w:pPr>
      <w:r>
        <w:rPr>
          <w:b/>
        </w:rPr>
        <w:t xml:space="preserve">[267] </w:t>
      </w:r>
      <w:hyperlink r:id="rId732">
        <w:r>
          <w:rPr>
            <w:color w:val="1155CC"/>
            <w:u w:val="single"/>
          </w:rPr>
          <w:t>过去300万年的全球海洋热含量</w:t>
        </w:r>
      </w:hyperlink>
    </w:p>
    <w:p>
      <w:pPr>
        <w:spacing w:before="0" w:after="80"/>
      </w:pPr>
      <w:r>
        <w:rPr>
          <w:i/>
          <w:sz w:val="20"/>
        </w:rPr>
        <w:t>EN: Global ocean heat content over the past 3 million years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33">
        <w:r>
          <w:rPr>
            <w:color w:val="1155CC"/>
            <w:u w:val="single"/>
          </w:rPr>
          <w:t>10.1038/s41586-026-10116-3</w:t>
        </w:r>
      </w:hyperlink>
    </w:p>
    <w:p>
      <w:pPr>
        <w:spacing w:before="0" w:after="120"/>
      </w:pPr>
      <w:r>
        <w:rPr>
          <w:b/>
        </w:rPr>
        <w:t xml:space="preserve">Notes: </w:t>
      </w:r>
      <w:r>
        <w:t>abstract_source=nature_html</w:t>
      </w:r>
    </w:p>
    <w:p>
      <w:pPr>
        <w:spacing w:before="0" w:after="80" w:lineRule="auto" w:line="276"/>
      </w:pPr>
      <w:r>
        <w:rPr>
          <w:b/>
        </w:rPr>
        <w:t xml:space="preserve">摘要（ZH）: </w:t>
      </w:r>
      <w:r>
        <w:t>更新世时期的特征是全球降温以及冰川周期强度和持续时间的增加。区域表面和海洋温度记录在此期间遵循不同的趋势，表明经向和纬向热量传输和海洋环流的动态变化。这些不同的趋势也使得确定总海洋热含量的演变变得复杂。在此，我们提供了过去300万年间的平均海洋温度记录，这些记录来自在南极洲艾伦山蓝冰区回收的浅冰芯中的稀有气体（Xe/Kr）测量1。地层复杂的记录排除了对单个冰川周期的重建，可能代表了冰川和间冰期条件的加权平均2。尽管如此，</w:t>
      </w:r>
    </w:p>
    <w:p>
      <w:pPr>
        <w:spacing w:before="0" w:after="200" w:lineRule="auto" w:line="276"/>
      </w:pPr>
      <w:r>
        <w:rPr>
          <w:b/>
        </w:rPr>
        <w:t xml:space="preserve">Abstract (EN): </w:t>
      </w:r>
      <w:r>
        <w:t>The Pleistocene epoch was characterized by global cooling and an increase in the intensity and duration of glacial cycles. Regional surface and subsurface ocean temperature records follow distinct trends over this interval, suggesting dynamic changes in zonal and meridional heat transport and ocean circulation. These differing trends also complicate efforts to determine the evolution of total ocean heat content. Here we provide a record of mean ocean temperature over the past 3 million years from noble gas (Xe/Kr) measurements in shallow ice cores recovered in the Allan Hills blue ice area, Antarctica1. The stratigraphically complex records preclude reconstruction of individual glacial cycles and probably represent a weighted averaging of glacial and interglacial conditions2. Nonetheless, we find pronounced cooling roughly coincident with the Plio-Pleistocene Transition (around 2.7 million years ago), and steady temperatures across the Mid-Pleistocene Transition (1.2 to 0.8 million years ago). Comparisons with a recent global sea surface temperature compilation3 show broad consistency in long-term cooling but important differences at the Plio-Pleistocene and Mid-Pleistocene transitions. We suggest that the different trends in surface temperature and mean ocean temperature during these intervals are related to a redistribution of heat between the surface and subsurface via changes in deep water formation and upwelling. Our temperature record also permits an estimate of global ice volume changes between 3 and 0.5 million years ago through a deconvolution of the benthic foraminiferal δ18O record and points to a period of enhanced ice sheet growth around the time of the Mid-Pleistocene Transition.</w:t>
      </w:r>
    </w:p>
    <w:p>
      <w:pPr>
        <w:spacing w:before="120" w:after="120"/>
      </w:pPr>
      <w:r>
        <w:rPr>
          <w:sz w:val="18"/>
        </w:rPr>
        <w:t>——————————————————————————————————————————————————————————————————————</w:t>
      </w:r>
    </w:p>
    <w:p>
      <w:pPr>
        <w:spacing w:before="160" w:after="40" w:line="240" w:lineRule="auto"/>
      </w:pPr>
      <w:r>
        <w:rPr>
          <w:b/>
        </w:rPr>
        <w:t xml:space="preserve">[268] </w:t>
      </w:r>
      <w:hyperlink r:id="rId734">
        <w:r>
          <w:rPr>
            <w:color w:val="1155CC"/>
            <w:u w:val="single"/>
          </w:rPr>
          <w:t>胸腺健康与癌症患者免疫治疗结果</w:t>
        </w:r>
      </w:hyperlink>
    </w:p>
    <w:p>
      <w:pPr>
        <w:spacing w:before="0" w:after="80"/>
      </w:pPr>
      <w:r>
        <w:rPr>
          <w:i/>
          <w:sz w:val="20"/>
        </w:rPr>
        <w:t>EN: Thymic health and immunotherapy outcomes in patients with cancer</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35">
        <w:r>
          <w:rPr>
            <w:color w:val="1155CC"/>
            <w:u w:val="single"/>
          </w:rPr>
          <w:t>10.1038/s41586-026-10243-x</w:t>
        </w:r>
      </w:hyperlink>
    </w:p>
    <w:p>
      <w:pPr>
        <w:spacing w:before="0" w:after="120"/>
      </w:pPr>
      <w:r>
        <w:rPr>
          <w:b/>
        </w:rPr>
        <w:t xml:space="preserve">Notes: </w:t>
      </w:r>
      <w:r>
        <w:t>abstract_source=nature_html</w:t>
      </w:r>
    </w:p>
    <w:p>
      <w:pPr>
        <w:spacing w:before="0" w:after="80" w:lineRule="auto" w:line="276"/>
      </w:pPr>
      <w:r>
        <w:rPr>
          <w:b/>
        </w:rPr>
        <w:t xml:space="preserve">摘要（ZH）: </w:t>
      </w:r>
      <w:r>
        <w:t>尽管免疫疗法已经彻底改变了癌症治疗，但许多患者仍然获得的益处有限，这突显了改进生物标志物的迫切需要1。尽管免疫疗法的基础是释放T细胞2，但大多数现有的生物标志物仍然以肿瘤为中心，主要忽视了宿主免疫能力。胸腺是一个关键的免疫器官，对T细胞的成熟至关重要，我们假设胸腺功能与免疫疗法结果相关3。在此，我们展示了胸腺健康（胸腺功能的放射学测量）与多种癌症类型的免疫疗法结果密切相关。使用应用于常规计算机断层扫描图像的深度学习框架，我们在接受免疫治疗的3,476名癌症患者的泛癌队列中量化了胸腺健康</w:t>
      </w:r>
    </w:p>
    <w:p>
      <w:pPr>
        <w:spacing w:before="0" w:after="200" w:lineRule="auto" w:line="276"/>
      </w:pPr>
      <w:r>
        <w:rPr>
          <w:b/>
        </w:rPr>
        <w:t xml:space="preserve">Abstract (EN): </w:t>
      </w:r>
      <w:r>
        <w:t>Although immunotherapy has revolutionized cancer treatment, many patients still experience limited benefit, highlighting the urgent need for improved biomarkers1. Although immunotherapy is founded on unleashing T cells2, most existing biomarkers remain tumour-centric and mainly overlook host immune competence. The thymus is a key immune organ that is crucial for T cell maturation, and we hypothesized that thymic functionality is associated with immunotherapy outcomes3. Here we show that thymic health, a radiographic measure of thymic functionality, is strongly associated with immunotherapy outcomes across several cancer types. Using a deep-learning framework applied to routine computed tomography images, we quantified thymic health in a pan-cancer cohort of 3,476 patients receiving immune checkpoint inhibitors. In patients with non-small cell lung cancer, higher thymic health was associated with reduced risks of progression and all-cause mortality. These associations remained significant across clinically relevant levels of programmed death ligand 1 (PD-L1) and tumour mutation burden. In the prospective TRACERx lung cancer study, thymic health was positively associated with T cell receptor diversity and T cell receptor excision circles, and correlated with immune-system signalling pathways, supporting radiographic thymic health as a proxy for thymic activity and adaptive immune competence. Analysis across patients with melanoma, breast cancer or renal cancer demonstrated pan-cancer relevance. Together, these findings identify thymic health as a previously unrecognized, tumour-agnostic determinant of immunotherapy efficacy, with potential implications for patient stratification, treatment timing and the development of immune-rejuvenating strategies in precision immuno-oncology.</w:t>
      </w:r>
    </w:p>
    <w:p>
      <w:pPr>
        <w:spacing w:before="120" w:after="120"/>
      </w:pPr>
      <w:r>
        <w:rPr>
          <w:sz w:val="18"/>
        </w:rPr>
        <w:t>——————————————————————————————————————————————————————————————————————</w:t>
      </w:r>
    </w:p>
    <w:p>
      <w:pPr>
        <w:spacing w:before="160" w:after="40" w:line="240" w:lineRule="auto"/>
      </w:pPr>
      <w:r>
        <w:rPr>
          <w:b/>
        </w:rPr>
        <w:t xml:space="preserve">[269] </w:t>
      </w:r>
      <w:hyperlink r:id="rId736">
        <w:r>
          <w:rPr>
            <w:color w:val="1155CC"/>
            <w:u w:val="single"/>
          </w:rPr>
          <w:t>森林、草原和高山顶峰的热适应对比</w:t>
        </w:r>
      </w:hyperlink>
    </w:p>
    <w:p>
      <w:pPr>
        <w:spacing w:before="0" w:after="80"/>
      </w:pPr>
      <w:r>
        <w:rPr>
          <w:i/>
          <w:sz w:val="20"/>
        </w:rPr>
        <w:t>EN: Contrasting thermophilization among forests, grasslands and alpine summits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37">
        <w:r>
          <w:rPr>
            <w:color w:val="1155CC"/>
            <w:u w:val="single"/>
          </w:rPr>
          <w:t>10.1038/s41586-025-09622-7</w:t>
        </w:r>
      </w:hyperlink>
    </w:p>
    <w:p>
      <w:pPr>
        <w:spacing w:before="0" w:after="120"/>
      </w:pPr>
      <w:r>
        <w:rPr>
          <w:b/>
        </w:rPr>
        <w:t xml:space="preserve">Notes: </w:t>
      </w:r>
      <w:r>
        <w:t>abstract_source=nature_html</w:t>
      </w:r>
    </w:p>
    <w:p>
      <w:pPr>
        <w:spacing w:before="0" w:after="80" w:lineRule="auto" w:line="276"/>
      </w:pPr>
      <w:r>
        <w:rPr>
          <w:b/>
        </w:rPr>
        <w:t xml:space="preserve">摘要（ZH）: </w:t>
      </w:r>
      <w:r>
        <w:t>气候变暖正在改变生物群落，温暖需求的物种在一个被称为热适应化的过程中被优先考虑，而以适应寒冷的物种为代价1,2,3,4。由于生物多样性对气候变暖的反应通常滞后，气候债务正在全球许多生态系统中积累5,6,7。尽管我们可能预期热适应化和气候债务会因栖息地而异，但跨生态系统的标准化量化仍然缺乏。在此，我们分析了来自欧洲森林、草地和高山顶峰的6,067个重新调查的植被样地的多年代数据，时间跨度为12至78年。我们证明了森林下层和草地植物群落经历了正向热适应化，尽管与零没有显著差异。相反</w:t>
      </w:r>
    </w:p>
    <w:p>
      <w:pPr>
        <w:spacing w:before="0" w:after="200" w:lineRule="auto" w:line="276"/>
      </w:pPr>
      <w:r>
        <w:rPr>
          <w:b/>
        </w:rPr>
        <w:t xml:space="preserve">Abstract (EN): </w:t>
      </w:r>
      <w:r>
        <w:t>Climate warming is shifting biological communities, with warmth-demanding species being favoured at the expense of cold-adapted species in a process referred to as thermophilization1,2,3,4. Because biodiversity responses often lag behind climate warming, climatic debts are accumulating in many ecosystems across the world5,6,7. Although we might expect that thermophilization and climatic debts will vary among habitats, standardized quantification across ecosystems is lacking. Here we analysed multidecadal data from 6,067 resurveyed vegetation plots over 12–78 years in forests, grasslands and on alpine summits across Europe. We demonstrate that forest understory and grassland plant communities experienced positive thermophilization, although not significantly different from zero. By contrast, alpine summit vegetation showed much stronger (up to five times) and significant thermophilization. Thermophilization was driven largely by increases in warmth-demanding species in grasslands, by declines in cold-adapted species on alpine summits and by both processes in forests. Significant climatic debts have accumulated in forests and alpine summits, but less so in grasslands, with debts positively correlated with macroclimate temperature changes. Our findings uncover divergent thermophilization trajectories and increasing climatic debts across ecosystems. Moreover, we highlight the mechanisms that enable some communities to track climate change more closely than others and provide a basis for projecting future shifts in plant communities under accelerating climate warming.</w:t>
      </w:r>
    </w:p>
    <w:p>
      <w:pPr>
        <w:spacing w:before="120" w:after="120"/>
      </w:pPr>
      <w:r>
        <w:rPr>
          <w:sz w:val="18"/>
        </w:rPr>
        <w:t>——————————————————————————————————————————————————————————————————————</w:t>
      </w:r>
    </w:p>
    <w:p>
      <w:pPr>
        <w:spacing w:before="160" w:after="40" w:line="240" w:lineRule="auto"/>
      </w:pPr>
      <w:r>
        <w:rPr>
          <w:b/>
        </w:rPr>
        <w:t xml:space="preserve">[270] </w:t>
      </w:r>
      <w:hyperlink r:id="rId738">
        <w:r>
          <w:rPr>
            <w:color w:val="1155CC"/>
            <w:u w:val="single"/>
          </w:rPr>
          <w:t>植物如何制造一类药用分子的谜团已被解开</w:t>
        </w:r>
      </w:hyperlink>
    </w:p>
    <w:p>
      <w:pPr>
        <w:spacing w:before="0" w:after="80"/>
      </w:pPr>
      <w:r>
        <w:rPr>
          <w:i/>
          <w:sz w:val="20"/>
        </w:rPr>
        <w:t>EN: Mystery of how plants make a family of medicinal molecules has been solved</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39">
        <w:r>
          <w:rPr>
            <w:color w:val="1155CC"/>
            <w:u w:val="single"/>
          </w:rPr>
          <w:t>10.1038/d41586-026-00790-8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[271] </w:t>
      </w:r>
      <w:hyperlink r:id="rId740">
        <w:r>
          <w:rPr>
            <w:color w:val="1155CC"/>
            <w:u w:val="single"/>
          </w:rPr>
          <w:t>令人毛骨悚然：碳污染如何导致静电充电</w:t>
        </w:r>
      </w:hyperlink>
    </w:p>
    <w:p>
      <w:pPr>
        <w:spacing w:before="0" w:after="80"/>
      </w:pPr>
      <w:r>
        <w:rPr>
          <w:i/>
          <w:sz w:val="20"/>
        </w:rPr>
        <w:t>EN: Hair-raising: how carbon contamination can drive static charging</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41">
        <w:r>
          <w:rPr>
            <w:color w:val="1155CC"/>
            <w:u w:val="single"/>
          </w:rPr>
          <w:t>10.1038/d41586-026-00631-8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742">
        <w:r>
          <w:rPr>
            <w:color w:val="1155CC"/>
            <w:u w:val="single"/>
          </w:rPr>
          <w:t>金鸡纳生物碱的生物合成</w:t>
        </w:r>
      </w:hyperlink>
    </w:p>
    <w:p>
      <w:pPr>
        <w:spacing w:before="0" w:after="80"/>
      </w:pPr>
      <w:r>
        <w:rPr>
          <w:i/>
          <w:sz w:val="20"/>
        </w:rPr>
        <w:t>EN: Biosynthesis of cinchona alkaloids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43">
        <w:r>
          <w:rPr>
            <w:color w:val="1155CC"/>
            <w:u w:val="single"/>
          </w:rPr>
          <w:t>10.1038/s41586-026-10227-x</w:t>
        </w:r>
      </w:hyperlink>
    </w:p>
    <w:p>
      <w:pPr>
        <w:spacing w:before="0" w:after="120"/>
      </w:pPr>
      <w:r>
        <w:rPr>
          <w:b/>
        </w:rPr>
        <w:t xml:space="preserve">Notes: </w:t>
      </w:r>
      <w:r>
        <w:t>abstract_source=nature_html</w:t>
      </w:r>
    </w:p>
    <w:p>
      <w:pPr>
        <w:spacing w:before="0" w:after="80" w:lineRule="auto" w:line="276"/>
      </w:pPr>
      <w:r>
        <w:rPr>
          <w:b/>
        </w:rPr>
        <w:t xml:space="preserve">摘要（ZH）: </w:t>
      </w:r>
      <w:r>
        <w:t>金鸡纳生物碱，研究超过250年，是植物衍生的天然产物，在医学和基础科学中具有重要影响1,2,3,4,5。金鸡纳生物碱的例子包括奎宁，一种历史上重要的抗疟药，以及金鸡纳碱，一种在工艺化学中广泛使用的手性催化剂。然而，植物如何合成这些著名化合物仍然很大程度上未知。在此，我们报告了负责金鸡纳生物碱独特的喹啉-喹诺克啶骨架生物合成的基因的发现。通过同位素标记、基因沉默、单核RNA测序和比较转录组学的结合，揭示了几种意想不到的生物合成转化的参与。我们还描述了一个预</w:t>
      </w:r>
    </w:p>
    <w:p>
      <w:pPr>
        <w:spacing w:before="0" w:after="200" w:lineRule="auto" w:line="276"/>
      </w:pPr>
      <w:r>
        <w:rPr>
          <w:b/>
        </w:rPr>
        <w:t xml:space="preserve">Abstract (EN): </w:t>
      </w:r>
      <w:r>
        <w:t>Cinchona alkaloids, which have been studied for more than 250 years, are plant-derived natural products that have collectively had a substantial impact in medicine and basic science1,2,3,4,5. Examples of cinchona alkaloids include quinine, a historically important antimalarial drug, and cinchonidine, a chiral catalyst widely used in process chemistry. However, it is still largely unknown how plants synthesize these well-known compounds. Here we report the discovery of genes responsible for the biosynthesis of the distinctive quinoline–quinuclidine scaffold of cinchona alkaloids. A combination of isotopic labelling, gene silencing, single-nucleus RNA sequencing and comparative transcriptomics revealed the involvement of several unexpected biosynthetic transformations. We also describe a previously unreported quaternary amine intermediate that is generated through an unusual enzymatic cyclization. We show that dihydroquini(di)none, dihydrocinchoni(di)none and cinchoni(di)none can be produced when these genes are heterologously expressed in Nicotiana benthamiana. Furthermore, we demonstrate that this N. benthamiana expression platform can convert non-native fluorinated and chlorinated tryptamine substrates into dihydrocinchoni(di)none analogues, which suggests that these biosynthetic enzymes can be leveraged to produce halogenated cinchona alkaloid derivatives. These discoveries uncover the long-standing mystery of how the cinchona alkaloid scaffold is biosynthesized and highlight prospects for access to these compounds through metabolic engineering approaches.</w:t>
      </w:r>
    </w:p>
    <w:p>
      <w:pPr>
        <w:spacing w:before="120" w:after="120"/>
      </w:pPr>
      <w:r>
        <w:rPr>
          <w:sz w:val="18"/>
        </w:rPr>
        <w:t>——————————————————————————————————————————————————————————————————————</w:t>
      </w:r>
    </w:p>
    <w:p>
      <w:pPr>
        <w:spacing w:before="160" w:after="40" w:line="240" w:lineRule="auto"/>
      </w:pPr>
      <w:r>
        <w:rPr>
          <w:b/>
        </w:rPr>
        <w:t xml:space="preserve">[273] </w:t>
      </w:r>
      <w:hyperlink r:id="rId744">
        <w:r>
          <w:rPr>
            <w:color w:val="1155CC"/>
            <w:u w:val="single"/>
          </w:rPr>
          <w:t>一种基因编辑方法在体内生成免疫治疗CAR T细胞</w:t>
        </w:r>
      </w:hyperlink>
    </w:p>
    <w:p>
      <w:pPr>
        <w:spacing w:before="0" w:after="80"/>
      </w:pPr>
      <w:r>
        <w:rPr>
          <w:i/>
          <w:sz w:val="20"/>
        </w:rPr>
        <w:t>EN: A gene-editing method generates immunotherapeutic CAR T cells in the body</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45">
        <w:r>
          <w:rPr>
            <w:color w:val="1155CC"/>
            <w:u w:val="single"/>
          </w:rPr>
          <w:t>10.1038/d41586-026-00634-5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746">
        <w:r>
          <w:rPr>
            <w:color w:val="1155CC"/>
            <w:u w:val="single"/>
          </w:rPr>
          <w:t>图灵奖首次授予量子科学</w:t>
        </w:r>
      </w:hyperlink>
    </w:p>
    <w:p>
      <w:pPr>
        <w:spacing w:before="0" w:after="80"/>
      </w:pPr>
      <w:r>
        <w:rPr>
          <w:i/>
          <w:sz w:val="20"/>
        </w:rPr>
        <w:t>EN: Major Turing computing award goes to quantum science for first time</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47">
        <w:r>
          <w:rPr>
            <w:color w:val="1155CC"/>
            <w:u w:val="single"/>
          </w:rPr>
          <w:t>10.1038/d41586-026-00818-z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748">
        <w:r>
          <w:rPr>
            <w:color w:val="1155CC"/>
            <w:u w:val="single"/>
          </w:rPr>
          <w:t>静电是一个大谜团——一项新的研究可能有助于解决它</w:t>
        </w:r>
      </w:hyperlink>
    </w:p>
    <w:p>
      <w:pPr>
        <w:spacing w:before="0" w:after="80"/>
      </w:pPr>
      <w:r>
        <w:rPr>
          <w:i/>
          <w:sz w:val="20"/>
        </w:rPr>
        <w:t>EN: Static electricity is a big mystery — a jolt of fresh research could help to solve it</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49">
        <w:r>
          <w:rPr>
            <w:color w:val="1155CC"/>
            <w:u w:val="single"/>
          </w:rPr>
          <w:t>10.1038/d41586-026-00837-w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750">
        <w:r>
          <w:rPr>
            <w:color w:val="1155CC"/>
            <w:u w:val="single"/>
          </w:rPr>
          <w:t>古怪的碱基配对吸引了破坏规则的酶来摧毁微小RNA</w:t>
        </w:r>
      </w:hyperlink>
    </w:p>
    <w:p>
      <w:pPr>
        <w:spacing w:before="0" w:after="80"/>
      </w:pPr>
      <w:r>
        <w:rPr>
          <w:i/>
          <w:sz w:val="20"/>
        </w:rPr>
        <w:t>EN: Quirky base pairing attracts rule-breaking enzymes to destroy microRNAs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51">
        <w:r>
          <w:rPr>
            <w:color w:val="1155CC"/>
            <w:u w:val="single"/>
          </w:rPr>
          <w:t>10.1038/d41586-026-00632-7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[277] </w:t>
      </w:r>
      <w:hyperlink r:id="rId752">
        <w:r>
          <w:rPr>
            <w:color w:val="1155CC"/>
            <w:u w:val="single"/>
          </w:rPr>
          <w:t>作者更正：通过ScO6八面体网络缓解立方钙钛矿氧化物中的质子捕获</w:t>
        </w:r>
      </w:hyperlink>
    </w:p>
    <w:p>
      <w:pPr>
        <w:spacing w:before="0" w:after="80"/>
      </w:pPr>
      <w:r>
        <w:rPr>
          <w:i/>
          <w:sz w:val="20"/>
        </w:rPr>
        <w:t>EN: Author Correction: Mitigating proton trapping in cubic perovskite oxides via ScO6 octahedral networks</w:t>
      </w:r>
    </w:p>
    <w:p>
      <w:pPr>
        <w:spacing w:before="0" w:after="120"/>
      </w:pPr>
      <w:r>
        <w:rPr>
          <w:b/>
        </w:rPr>
        <w:t xml:space="preserve">Source: </w:t>
      </w:r>
      <w:r>
        <w:t>Nature Materials</w:t>
      </w:r>
      <w:r>
        <w:t xml:space="preserve">    </w:t>
      </w:r>
      <w:r>
        <w:rPr>
          <w:b/>
        </w:rPr>
        <w:t xml:space="preserve">Pub date: </w:t>
      </w:r>
      <w:r>
        <w:t>2026-03-18 00:00:00+00:00</w:t>
      </w:r>
      <w:r>
        <w:t xml:space="preserve">    </w:t>
      </w:r>
      <w:r>
        <w:rPr>
          <w:b/>
        </w:rPr>
        <w:t xml:space="preserve">DOI: </w:t>
      </w:r>
      <w:hyperlink r:id="rId753">
        <w:r>
          <w:rPr>
            <w:color w:val="1155CC"/>
            <w:u w:val="single"/>
          </w:rPr>
          <w:t>10.1038/s41563-026-02580-z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754">
        <w:r>
          <w:rPr>
            <w:color w:val="1155CC"/>
            <w:u w:val="single"/>
          </w:rPr>
          <w:t>每日简报：随着NIH转向非机构指导的科学，资金申请急剧下降</w:t>
        </w:r>
      </w:hyperlink>
    </w:p>
    <w:p>
      <w:pPr>
        <w:spacing w:before="0" w:after="80"/>
      </w:pPr>
      <w:r>
        <w:rPr>
          <w:i/>
          <w:sz w:val="20"/>
        </w:rPr>
        <w:t>EN: Daily briefing: Funding calls plummet as NIH turns away from agency-directed science</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55">
        <w:r>
          <w:rPr>
            <w:color w:val="1155CC"/>
            <w:u w:val="single"/>
          </w:rPr>
          <w:t>10.1038/d41586-026-00897-y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[279] </w:t>
      </w:r>
      <w:hyperlink r:id="rId756">
        <w:r>
          <w:rPr>
            <w:color w:val="1155CC"/>
            <w:u w:val="single"/>
          </w:rPr>
          <w:t>后摩尔二维集成电子学用于埃节点</w:t>
        </w:r>
      </w:hyperlink>
    </w:p>
    <w:p>
      <w:pPr>
        <w:spacing w:before="0" w:after="80"/>
      </w:pPr>
      <w:r>
        <w:rPr>
          <w:i/>
          <w:sz w:val="20"/>
        </w:rPr>
        <w:t>EN: Post-Moore two-dimensional integrated electronics for angstrom-nodes</w:t>
      </w:r>
    </w:p>
    <w:p>
      <w:pPr>
        <w:spacing w:before="0" w:after="120"/>
      </w:pPr>
      <w:r>
        <w:rPr>
          <w:b/>
        </w:rPr>
        <w:t xml:space="preserve">Source: </w:t>
      </w:r>
      <w:r>
        <w:t>National Science Review Advance Access</w:t>
      </w:r>
      <w:r>
        <w:t xml:space="preserve">    </w:t>
      </w:r>
      <w:r>
        <w:rPr>
          <w:b/>
        </w:rPr>
        <w:t xml:space="preserve">Pub date: </w:t>
      </w:r>
      <w:r>
        <w:t>2026-03-18 00:00:00+00:00</w:t>
      </w:r>
      <w:r>
        <w:t xml:space="preserve">    </w:t>
      </w:r>
      <w:r>
        <w:rPr>
          <w:b/>
        </w:rPr>
        <w:t xml:space="preserve">DOI: </w:t>
      </w:r>
      <w:hyperlink r:id="rId757">
        <w:r>
          <w:rPr>
            <w:color w:val="1155CC"/>
            <w:u w:val="single"/>
          </w:rPr>
          <w:t>10.1093/nsr/nwag166</w:t>
        </w:r>
      </w:hyperlink>
    </w:p>
    <w:p>
      <w:pPr>
        <w:spacing w:before="0" w:after="120"/>
      </w:pPr>
      <w:r>
        <w:rPr>
          <w:b/>
        </w:rPr>
        <w:t xml:space="preserve">Notes: </w:t>
      </w:r>
      <w:r>
        <w:t>abstract_source=rss_oup</w:t>
      </w:r>
    </w:p>
    <w:p>
      <w:pPr>
        <w:spacing w:before="0" w:after="80" w:lineRule="auto" w:line="276"/>
      </w:pPr>
      <w:r>
        <w:rPr>
          <w:b/>
        </w:rPr>
        <w:t xml:space="preserve">摘要（ZH）: </w:t>
      </w:r>
      <w:r>
        <w:t>随着集成电路在近年来接近埃-纳米节点，基于硅的电子产品的持续缩小面临基本的物理限制和不断上升的制造成本。二维（2D）材料——以其原子级厚度、卓越的静电栅极控制和固有的异质集成适用性为特征——已成为超越硅技术极限的设备缩放的有前途的替代方案。本综述系统地概述了基于2D材料的集成电子学的进展。讨论从2D半导体的晶圆级合成和转移技术的最新发展开始，随后是高性能2D晶体管的进展，重点是栅极介电集成</w:t>
      </w:r>
    </w:p>
    <w:p>
      <w:pPr>
        <w:spacing w:before="0" w:after="200" w:lineRule="auto" w:line="276"/>
      </w:pPr>
      <w:r>
        <w:rPr>
          <w:b/>
        </w:rPr>
        <w:t xml:space="preserve">Abstract (EN): </w:t>
      </w:r>
      <w:r>
        <w:t>As integrated circuits approach the angstrom-nanometer nodes in recent years, the continued downscaling of silicon‑based electronics faces fundamental physical limits and escalating manufacturing costs. Two-dimensional (2D) materials—characterized by their atomically thickness, exceptional electrostatic gate control, and inherent suitability for heterogeneous integration—have arisen as promising alternatives to extend device scaling beyond the limits of silicon technology. This review provides a systematic overview of advances in integrated electronics based on 2D materials. The discussion begins with recent developments in wafer-scale synthesis and transfer techniques for 2D semiconductors. Subsequently with progress in high-performance 2D transistors, focusing on gate dielectric integration, contact optimization, and scaling strategies for high-density and advanced-node configurations. Circuit- and system-level implementations are also surveyed, including logic, memory, and three-dimensional (3D) monolithic integration. Further, key challenges and prospective directions are highlighted for realizing scalable, manufacturable, and low-power 2D electronic systems at the angstrom-nodes.</w:t>
      </w:r>
    </w:p>
    <w:p>
      <w:pPr>
        <w:spacing w:before="120" w:after="120"/>
      </w:pPr>
      <w:r>
        <w:rPr>
          <w:sz w:val="18"/>
        </w:rPr>
        <w:t>——————————————————————————————————————————————————————————————————————</w:t>
      </w:r>
    </w:p>
    <w:p>
      <w:pPr>
        <w:spacing w:before="160" w:after="40" w:line="240" w:lineRule="auto"/>
      </w:pPr>
      <w:r>
        <w:rPr>
          <w:b/>
        </w:rPr>
        <w:t xml:space="preserve">[280] </w:t>
      </w:r>
      <w:hyperlink r:id="rId758">
        <w:r>
          <w:rPr>
            <w:color w:val="1155CC"/>
            <w:u w:val="single"/>
          </w:rPr>
          <w:t>作者更正：用于高度稳健的神经形态假肢的离子储层</w:t>
        </w:r>
      </w:hyperlink>
    </w:p>
    <w:p>
      <w:pPr>
        <w:spacing w:before="0" w:after="80"/>
      </w:pPr>
      <w:r>
        <w:rPr>
          <w:i/>
          <w:sz w:val="20"/>
        </w:rPr>
        <w:t>EN: Author Correction: An iontronic reservoir for highly robust neuromorphic prosthesis</w:t>
      </w:r>
    </w:p>
    <w:p>
      <w:pPr>
        <w:spacing w:before="0" w:after="120"/>
      </w:pPr>
      <w:r>
        <w:rPr>
          <w:b/>
        </w:rPr>
        <w:t xml:space="preserve">Source: </w:t>
      </w:r>
      <w:r>
        <w:t>Nature Materials</w:t>
      </w:r>
      <w:r>
        <w:t xml:space="preserve">    </w:t>
      </w:r>
      <w:r>
        <w:rPr>
          <w:b/>
        </w:rPr>
        <w:t xml:space="preserve">Pub date: </w:t>
      </w:r>
      <w:r>
        <w:t>2026-03-18 00:00:00+00:00</w:t>
      </w:r>
      <w:r>
        <w:t xml:space="preserve">    </w:t>
      </w:r>
      <w:r>
        <w:rPr>
          <w:b/>
        </w:rPr>
        <w:t xml:space="preserve">DOI: </w:t>
      </w:r>
      <w:hyperlink r:id="rId759">
        <w:r>
          <w:rPr>
            <w:color w:val="1155CC"/>
            <w:u w:val="single"/>
          </w:rPr>
          <w:t>10.1038/s41563-026-02579-6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760">
        <w:r>
          <w:rPr>
            <w:color w:val="1155CC"/>
            <w:u w:val="single"/>
          </w:rPr>
          <w:t>人人可负担的出行：为什么我们需要更小、更便宜的电动车</w:t>
        </w:r>
      </w:hyperlink>
    </w:p>
    <w:p>
      <w:pPr>
        <w:spacing w:before="0" w:after="80"/>
      </w:pPr>
      <w:r>
        <w:rPr>
          <w:i/>
          <w:sz w:val="20"/>
        </w:rPr>
        <w:t>EN: Affordable mobility for all: why we need smaller, cheaper electric vehicles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61">
        <w:r>
          <w:rPr>
            <w:color w:val="1155CC"/>
            <w:u w:val="single"/>
          </w:rPr>
          <w:t>10.1038/d41586-026-00779-3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[282] </w:t>
      </w:r>
      <w:hyperlink r:id="rId762">
        <w:r>
          <w:rPr>
            <w:color w:val="1155CC"/>
            <w:u w:val="single"/>
          </w:rPr>
          <w:t>户外稳定性的漫长道路：控制用于太阳能电池的钙钛矿材料的现实挑战</w:t>
        </w:r>
      </w:hyperlink>
    </w:p>
    <w:p>
      <w:pPr>
        <w:spacing w:before="0" w:after="80"/>
      </w:pPr>
      <w:r>
        <w:rPr>
          <w:i/>
          <w:sz w:val="20"/>
        </w:rPr>
        <w:t>EN: The long road to outdoor stability: real-world challenges for controlling perovskite materials for solar cells</w:t>
      </w:r>
    </w:p>
    <w:p>
      <w:pPr>
        <w:spacing w:before="0" w:after="120"/>
      </w:pPr>
      <w:r>
        <w:rPr>
          <w:b/>
        </w:rPr>
        <w:t xml:space="preserve">Source: </w:t>
      </w:r>
      <w:r>
        <w:t>RSC - Chem. Soc. Rev. latest articles</w:t>
      </w:r>
      <w:r>
        <w:t xml:space="preserve">    </w:t>
      </w:r>
      <w:r>
        <w:rPr>
          <w:b/>
        </w:rPr>
        <w:t xml:space="preserve">Pub date: </w:t>
      </w:r>
      <w:r>
        <w:t>2026-03-18 00:00:00+00:00</w:t>
      </w:r>
    </w:p>
    <w:p>
      <w:pPr>
        <w:spacing w:before="0" w:after="120"/>
      </w:pPr>
      <w:r>
        <w:rPr>
          <w:b/>
        </w:rPr>
        <w:t xml:space="preserve">Notes: </w:t>
      </w:r>
      <w:r>
        <w:t>abstract_source=rsc_html</w:t>
      </w:r>
    </w:p>
    <w:p>
      <w:pPr>
        <w:spacing w:before="0" w:after="80" w:lineRule="auto" w:line="276"/>
      </w:pPr>
      <w:r>
        <w:rPr>
          <w:b/>
        </w:rPr>
        <w:t xml:space="preserve">摘要（ZH）: </w:t>
      </w:r>
      <w:r>
        <w:t>钙钛矿光伏在受控实验室测试中表现出令人印象深刻的性能，光电转换效率高达27%，使其成为传统硅基太阳能电池的有前途的替代品，适用于各种应用。然而，尽管取得了这些重大进展，操作稳定性仍然是商业应用的限制因素。大规模实施需要解决诸如对环境压力的敏感性和长期户外稳定性需求等挑战，而很少有标准化的户外测试研究和出版物能够准确评估这些问题。在这篇综述中，建议几个压力因素，如温度和辐照波动、紫外光、湿度和降水对其具有显著的相关性。</w:t>
      </w:r>
    </w:p>
    <w:p>
      <w:pPr>
        <w:spacing w:before="0" w:after="200" w:lineRule="auto" w:line="276"/>
      </w:pPr>
      <w:r>
        <w:rPr>
          <w:b/>
        </w:rPr>
        <w:t xml:space="preserve">Abstract (EN): </w:t>
      </w:r>
      <w:r>
        <w:t>Perovskite photovoltaics have demonstrated impressive performance in controlled laboratory tests, with power conversion efficiencies as high as 27%, positioning them as promising alternatives to conventional silicon-based solar cells for various applications. However, despite these major advances, operational stability remains a limiting factor for commercial applications. Large-scale implementation requires addressing challenges such as susceptibility to environmental stressors and the need for long-term outdoor stability, which few standardized outdoor testing studies and publications have accurately assessed. In this review, it is suggested that several stressors, such as temperature and irradiance fluctuations, UV-light, humidity, and precipitation have a significant relevance on the long-term stability. The main degradation reactions initiated by these stressors are reviewed for different compositions of perovskite absorbers and charge transport layers. Furthermore, we reviewed recent in situ and/or in operando studies of perovskite materials and devices under controlled conditions, which intend to elucidate reaction mechanisms and/or interactions among the device's layers in state-of-the-art perovskite compositions, which pave the way for a more rational design of stable devices and highlight the importance of developing in situ or in operando studies for each perovskite composition interacting with other materials within the cell stack. For controlling perovskite solar cells (PSCs) and improving outdoor stability, we emphasize strategies such as bulk modifications, interface engineering, and back electrode design, and discuss each specific strategy used in the literature that has been proved in outdoor conditions and its direct effect on device real-world stability. Moreover, additional strategies such as optimized interconnection layouts, protective functional layers, and advanced encapsulation materials are discussed. Additionally, in this work, an assessment of different measurement approaches aligned with international standards such as IEC 61215 and ISOS was carried out across different climate zones. Our analysis reveals a predominant focus on temperate climates in outdoor testing, along with growing interest in correlating indoor accelerated aging data with measured outdoor performance. In particular, tropical climates, with consistently high humidity, temperature, and solar radiation, provide an ideal setting for exhaustive and accelerated stability tests to evaluate strategies for improving perovskite devices. This review also emphasizes the need for expanding outdoor testing in diverse climates, particularly those enabling rapid feedback and decision-making, as a critical step towards ensuring PSC stability and commercial viability.</w:t>
      </w:r>
    </w:p>
    <w:p>
      <w:pPr>
        <w:spacing w:before="120" w:after="120"/>
      </w:pPr>
      <w:r>
        <w:rPr>
          <w:sz w:val="18"/>
        </w:rPr>
        <w:t>——————————————————————————————————————————————————————————————————————</w:t>
      </w:r>
    </w:p>
    <w:p>
      <w:pPr>
        <w:spacing w:before="160" w:after="40" w:line="240" w:lineRule="auto"/>
      </w:pPr>
      <w:r>
        <w:rPr>
          <w:b/>
        </w:rPr>
        <w:t xml:space="preserve">[283] </w:t>
      </w:r>
      <w:hyperlink r:id="rId763">
        <w:r>
          <w:rPr>
            <w:color w:val="1155CC"/>
            <w:u w:val="single"/>
          </w:rPr>
          <w:t>来自集体转子动力学的非单调磁摩擦</w:t>
        </w:r>
      </w:hyperlink>
    </w:p>
    <w:p>
      <w:pPr>
        <w:spacing w:before="0" w:after="80"/>
      </w:pPr>
      <w:r>
        <w:rPr>
          <w:i/>
          <w:sz w:val="20"/>
        </w:rPr>
        <w:t>EN: Non-monotonic magnetic friction from collective rotor dynamics</w:t>
      </w:r>
    </w:p>
    <w:p>
      <w:pPr>
        <w:spacing w:before="0" w:after="120"/>
      </w:pPr>
      <w:r>
        <w:rPr>
          <w:b/>
        </w:rPr>
        <w:t xml:space="preserve">Source: </w:t>
      </w:r>
      <w:r>
        <w:t>Nature Materials</w:t>
      </w:r>
      <w:r>
        <w:t xml:space="preserve">    </w:t>
      </w:r>
      <w:r>
        <w:rPr>
          <w:b/>
        </w:rPr>
        <w:t xml:space="preserve">Pub date: </w:t>
      </w:r>
      <w:r>
        <w:t>2026-03-18 00:00:00+00:00</w:t>
      </w:r>
      <w:r>
        <w:t xml:space="preserve">    </w:t>
      </w:r>
      <w:r>
        <w:rPr>
          <w:b/>
        </w:rPr>
        <w:t xml:space="preserve">DOI: </w:t>
      </w:r>
      <w:hyperlink r:id="rId764">
        <w:r>
          <w:rPr>
            <w:color w:val="1155CC"/>
            <w:u w:val="single"/>
          </w:rPr>
          <w:t>10.1038/s41563-026-02538-1</w:t>
        </w:r>
      </w:hyperlink>
    </w:p>
    <w:p>
      <w:pPr>
        <w:spacing w:before="0" w:after="120"/>
      </w:pPr>
      <w:r>
        <w:rPr>
          <w:b/>
        </w:rPr>
        <w:t xml:space="preserve">Notes: </w:t>
      </w:r>
      <w:r>
        <w:t>abstract_source=nature_html</w:t>
      </w:r>
    </w:p>
    <w:p>
      <w:pPr>
        <w:spacing w:before="0" w:after="80" w:lineRule="auto" w:line="276"/>
      </w:pPr>
      <w:r>
        <w:rPr>
          <w:b/>
        </w:rPr>
        <w:t xml:space="preserve">摘要（ZH）: </w:t>
      </w:r>
      <w:r>
        <w:t>阿蒙顿定律假设摩擦力与施加在滑动接触上的法向载荷之间存在单调关系。然而，在内部自由度（如结构或电子有序性）起重要作用的系统中，这一经验法则失效。在此，我们证明摩擦可以完全由磁驱动的构型动力学产生。使用二维可旋转磁矩阵列在相称的磁性基底上滑动，我们观察到摩擦对层间距离的显著非单调依赖性，从而对有效载荷产生影响。摩擦在中间距离达到峰值，此时竞争的铁磁和反铁磁相互作用在滑动过程中引发动态挫折和滞后扭矩循环。分子动力学</w:t>
      </w:r>
    </w:p>
    <w:p>
      <w:pPr>
        <w:spacing w:before="0" w:after="200" w:lineRule="auto" w:line="276"/>
      </w:pPr>
      <w:r>
        <w:rPr>
          <w:b/>
        </w:rPr>
        <w:t xml:space="preserve">Abstract (EN): </w:t>
      </w:r>
      <w:r>
        <w:t>Amontons’ law postulates a monotonic relationship between frictional force and the normal load applied to a sliding contact. This empirical rule, however, fails in systems where internal degrees of freedom—such as structural or electronic order—play a central role. Here, we demonstrate that friction can emerge entirely from magnetically driven configurational dynamics. Using a two-dimensional array of rotatable magnetic moments sliding over a commensurate magnetic substrate, we observe a pronounced non-monotonic dependence of friction on the interlayer separation, and thus on the effective load. The friction peaks at an intermediate distance where competing ferromagnetic and antiferromagnetic interactions induce dynamical frustration and hysteretic torque cycles during sliding. Molecular dynamics simulations and a simplified two-sublattice model confirm that energy dissipation is governed by collective magnetic reorientations and their hysteresis. Our results establish scale-free sliding-induced changes in interfacial collective magnetic order, which has a strong impact on friction, and thus open new possibilities for contactless friction control, magnetic sensing and the design of reconfigurable, wear-free frictional interfaces and metamaterials.</w:t>
      </w:r>
    </w:p>
    <w:p>
      <w:pPr>
        <w:spacing w:before="120" w:after="120"/>
      </w:pPr>
      <w:r>
        <w:rPr>
          <w:sz w:val="18"/>
        </w:rPr>
        <w:t>——————————————————————————————————————————————————————————————————————</w:t>
      </w:r>
    </w:p>
    <w:p>
      <w:pPr>
        <w:spacing w:before="160" w:after="40" w:line="240" w:lineRule="auto"/>
      </w:pPr>
      <w:r>
        <w:rPr>
          <w:b/>
        </w:rPr>
        <w:t xml:space="preserve">[284] </w:t>
      </w:r>
      <w:hyperlink r:id="rId765">
        <w:r>
          <w:rPr>
            <w:color w:val="1155CC"/>
            <w:u w:val="single"/>
          </w:rPr>
          <w:t>细胞外谷胱甘肽的分解代谢为肿瘤提供支持的半胱氨酸</w:t>
        </w:r>
      </w:hyperlink>
    </w:p>
    <w:p>
      <w:pPr>
        <w:spacing w:before="0" w:after="80"/>
      </w:pPr>
      <w:r>
        <w:rPr>
          <w:i/>
          <w:sz w:val="20"/>
        </w:rPr>
        <w:t>EN: Catabolism of extracellular glutathione supplies cysteine to support tumours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66">
        <w:r>
          <w:rPr>
            <w:color w:val="1155CC"/>
            <w:u w:val="single"/>
          </w:rPr>
          <w:t>10.1038/s41586-026-10268-2</w:t>
        </w:r>
      </w:hyperlink>
    </w:p>
    <w:p>
      <w:pPr>
        <w:spacing w:before="0" w:after="120"/>
      </w:pPr>
      <w:r>
        <w:rPr>
          <w:b/>
        </w:rPr>
        <w:t xml:space="preserve">Notes: </w:t>
      </w:r>
      <w:r>
        <w:t>abstract_source=nature_html</w:t>
      </w:r>
    </w:p>
    <w:p>
      <w:pPr>
        <w:spacing w:before="0" w:after="80" w:lineRule="auto" w:line="276"/>
      </w:pPr>
      <w:r>
        <w:rPr>
          <w:b/>
        </w:rPr>
        <w:t xml:space="preserve">摘要（ZH）: </w:t>
      </w:r>
      <w:r>
        <w:t>限制肿瘤中的氨基酸是一种新兴的治疗策略，具有巨大的潜力1。尽管通常被认为是具有促肿瘤能力的细胞内抗氧化剂2，谷胱甘肽（GSH）作为由半胱氨酸、谷氨酸和甘氨酸组成的三肽，可以被分解以释放氨基酸。GSH衍生的氨基酸对癌症的重要性尚不清楚。在此，我们显示细胞内GSH的耗竭并不改变肿瘤生长，而细胞外GSH在肿瘤微环境中高度丰富，突显了GSH在肿瘤外的重要潜力。在胱氨酸缺乏的条件下，补充GSH可以挽救癌细胞的存活和生长，这种挽救依赖于γ-谷氨酰转移酶的分解代谢活性。最后，药理学</w:t>
      </w:r>
    </w:p>
    <w:p>
      <w:pPr>
        <w:spacing w:before="0" w:after="200" w:lineRule="auto" w:line="276"/>
      </w:pPr>
      <w:r>
        <w:rPr>
          <w:b/>
        </w:rPr>
        <w:t xml:space="preserve">Abstract (EN): </w:t>
      </w:r>
      <w:r>
        <w:t>Restricting amino acids from tumours is an emerging therapeutic strategy with substantial promise1. Although typically considered an intracellular antioxidant with tumour-promoting capabilities2, glutathione (GSH), as a tripeptide of cysteine, glutamate and glycine, can be catabolized to release amino acids. The extent to which GSH-derived amino acids are essential to cancers is unclear. Here we show that depletion of intracellular GSH does not alter tumour growth and extracellular GSH is highly abundant in the tumour microenvironment, highlighting the potential importance of GSH outside tumours. Supplementation with GSH rescues cancer cell survival and growth in cystine-deficient conditions, and this rescue depends on the catabolic activity of γ-glutamyltransferases. Finally, pharmacological targeting of the activity of γ-glutamyltransferases prevents the breakdown of circulating GSH, reduces tumour cysteine levels and slows tumour growth. Our findings indicate a non-canonical role for GSH in supporting tumours by acting as a reservoir of amino acids. Depriving tumours of extracellular GSH or inhibiting its breakdown is potentially a therapeutically tractable approach for patients with cancer. Furthermore, these findings change our view of GSH and how amino acids, including cysteine, are supplied to cells.</w:t>
      </w:r>
    </w:p>
    <w:p>
      <w:pPr>
        <w:spacing w:before="120" w:after="120"/>
      </w:pPr>
      <w:r>
        <w:rPr>
          <w:sz w:val="18"/>
        </w:rPr>
        <w:t>——————————————————————————————————————————————————————————————————————</w:t>
      </w:r>
    </w:p>
    <w:p>
      <w:pPr>
        <w:spacing w:before="160" w:after="40" w:line="240" w:lineRule="auto"/>
      </w:pPr>
      <w:r>
        <w:rPr>
          <w:b/>
        </w:rPr>
        <w:t xml:space="preserve">[285] </w:t>
      </w:r>
      <w:hyperlink r:id="rId767">
        <w:r>
          <w:rPr>
            <w:color w:val="1155CC"/>
            <w:u w:val="single"/>
          </w:rPr>
          <w:t>进化</w:t>
        </w:r>
      </w:hyperlink>
    </w:p>
    <w:p>
      <w:pPr>
        <w:spacing w:before="0" w:after="80"/>
      </w:pPr>
      <w:r>
        <w:rPr>
          <w:i/>
          <w:sz w:val="20"/>
        </w:rPr>
        <w:t>EN: Evolution</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68">
        <w:r>
          <w:rPr>
            <w:color w:val="1155CC"/>
            <w:u w:val="single"/>
          </w:rPr>
          <w:t>10.1038/d41586-026-00612-x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[286] </w:t>
      </w:r>
      <w:hyperlink r:id="rId769">
        <w:r>
          <w:rPr>
            <w:color w:val="1155CC"/>
            <w:u w:val="single"/>
          </w:rPr>
          <w:t>E3泛素连接酶机制指定靶向微小RNA降解</w:t>
        </w:r>
      </w:hyperlink>
    </w:p>
    <w:p>
      <w:pPr>
        <w:spacing w:before="0" w:after="80"/>
      </w:pPr>
      <w:r>
        <w:rPr>
          <w:i/>
          <w:sz w:val="20"/>
        </w:rPr>
        <w:t>EN: The E3 ubiquitin ligase mechanism specifying targeted microRNA degradation</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70">
        <w:r>
          <w:rPr>
            <w:color w:val="1155CC"/>
            <w:u w:val="single"/>
          </w:rPr>
          <w:t>10.1038/s41586-026-10232-0</w:t>
        </w:r>
      </w:hyperlink>
    </w:p>
    <w:p>
      <w:pPr>
        <w:spacing w:before="0" w:after="120"/>
      </w:pPr>
      <w:r>
        <w:rPr>
          <w:b/>
        </w:rPr>
        <w:t xml:space="preserve">Notes: </w:t>
      </w:r>
      <w:r>
        <w:t>abstract_source=nature_html</w:t>
      </w:r>
    </w:p>
    <w:p>
      <w:pPr>
        <w:spacing w:before="0" w:after="80" w:lineRule="auto" w:line="276"/>
      </w:pPr>
      <w:r>
        <w:rPr>
          <w:b/>
        </w:rPr>
        <w:t xml:space="preserve">摘要（ZH）: </w:t>
      </w:r>
      <w:r>
        <w:t>MicroRNAs (miRNAs) 与 Argonaute (AGO) 蛋白结合形成复合物，能够下调目标 RNA，包括大多数人类基因的信使 RNA1,2,3。在每个复合物中，miRNA 与目标 RNA 配对，而 AGO 提供效应功能，同时也保护 miRNA 不受细胞核酸酶的影响2,3,4,5。尽管关于 miRNA 指导的基因调控已经有很多研究，但关于 miRNA 自身如何被调控的研究较少。调控 miRNA 的一种途径涉及一种被称为“触发”RNA 的不寻常目标，这些 RNA 逆转了经典的调控逻辑，反而下调 miRNA6,7,8,9。这种目标导向的 miRNA 降解（TDMD）被认为需要 cullin–RING E3 连接酶，因为它依赖于 cullin 蛋白 CUL3 和其他泛素化成分，包括 BC-box prot</w:t>
      </w:r>
    </w:p>
    <w:p>
      <w:pPr>
        <w:spacing w:before="0" w:after="200" w:lineRule="auto" w:line="276"/>
      </w:pPr>
      <w:r>
        <w:rPr>
          <w:b/>
        </w:rPr>
        <w:t xml:space="preserve">Abstract (EN): </w:t>
      </w:r>
      <w:r>
        <w:t>MicroRNAs (miRNAs) associate with Argonaute (AGO) proteins to form complexes that down-regulate target RNAs, including messenger RNAs from most human genes1,2,3. Within each complex, the miRNA pairs to target RNAs, and AGO provides effector function while also protecting the miRNA from cellular nucleases2,3,4,5. Although much is known about miRNA-directed gene regulation, less is known about how miRNAs themselves are regulated. One pathway that regulates miRNAs involves unusual targets called ‘trigger’ RNAs, which reverse the canonical regulatory logic and instead down-regulate miRNAs6,7,8,9. This target-directed miRNA degradation (TDMD) is thought to require a cullin–RING E3 ligase because it depends on the cullin protein CUL3 and other ubiquitylation components, including the BC-box protein ZSWIM8 (refs. 10,11). ZSWIM8 is required for murine perinatal viability and for destabilization of most short-lived miRNAs, which suggests biological importance of TDMD11,12,13. Here, biochemical and cellular assays establish AGO binding and polyubiquitylation by the ZSWIM8–CUL3 E3 ligase as the key regulatory steps of TDMD, and thereby define a unique cullin–RING E3 ligase class. Cryogenic electron microscopy analyses show ZSWIM8 recognizing distinct AGO and RNA conformations shaped by pairing of the miRNA to the trigger. Specificity of AGO ubiquitylation is established through generalizable RNA–RNA, RNA–protein and protein–protein interactions. The substrate features recognized by the E3 ligase do not conform to a conventional degron14,15 but instead establish a two-RNA-factor authentication mechanism for specifying a protein ubiquitylation substrate.</w:t>
      </w:r>
    </w:p>
    <w:p>
      <w:pPr>
        <w:spacing w:before="120" w:after="120"/>
      </w:pPr>
      <w:r>
        <w:rPr>
          <w:sz w:val="18"/>
        </w:rPr>
        <w:t>——————————————————————————————————————————————————————————————————————</w:t>
      </w:r>
    </w:p>
    <w:p>
      <w:pPr>
        <w:spacing w:before="160" w:after="40" w:line="240" w:lineRule="auto"/>
      </w:pPr>
      <w:r>
        <w:rPr>
          <w:b/>
        </w:rPr>
        <w:t xml:space="preserve">[287] </w:t>
      </w:r>
      <w:hyperlink r:id="rId771">
        <w:r>
          <w:rPr>
            <w:color w:val="1155CC"/>
            <w:u w:val="single"/>
          </w:rPr>
          <w:t>重新定义哺乳动物的遗传密码以添加五种不同的合成氨基酸</w:t>
        </w:r>
      </w:hyperlink>
    </w:p>
    <w:p>
      <w:pPr>
        <w:spacing w:before="0" w:after="80"/>
      </w:pPr>
      <w:r>
        <w:rPr>
          <w:i/>
          <w:sz w:val="20"/>
        </w:rPr>
        <w:t>EN: Redefining the mammalian genetic code to add five distinct synthetic amino acids</w:t>
      </w:r>
    </w:p>
    <w:p>
      <w:pPr>
        <w:spacing w:before="0" w:after="120"/>
      </w:pPr>
      <w:r>
        <w:rPr>
          <w:b/>
        </w:rPr>
        <w:t xml:space="preserve">Source: </w:t>
      </w:r>
      <w:r>
        <w:t>Nature Chemistry</w:t>
      </w:r>
      <w:r>
        <w:t xml:space="preserve">    </w:t>
      </w:r>
      <w:r>
        <w:rPr>
          <w:b/>
        </w:rPr>
        <w:t xml:space="preserve">Pub date: </w:t>
      </w:r>
      <w:r>
        <w:t>2026-03-18 00:00:00+00:00</w:t>
      </w:r>
      <w:r>
        <w:t xml:space="preserve">    </w:t>
      </w:r>
      <w:r>
        <w:rPr>
          <w:b/>
        </w:rPr>
        <w:t xml:space="preserve">DOI: </w:t>
      </w:r>
      <w:hyperlink r:id="rId772">
        <w:r>
          <w:rPr>
            <w:color w:val="1155CC"/>
            <w:u w:val="single"/>
          </w:rPr>
          <w:t>10.1038/s41557-026-02085-x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773">
        <w:r>
          <w:rPr>
            <w:color w:val="1155CC"/>
            <w:u w:val="single"/>
          </w:rPr>
          <w:t>攀爬纤维招募去抑制以增强浦肯野细胞钙信号</w:t>
        </w:r>
      </w:hyperlink>
    </w:p>
    <w:p>
      <w:pPr>
        <w:spacing w:before="0" w:after="80"/>
      </w:pPr>
      <w:r>
        <w:rPr>
          <w:i/>
          <w:sz w:val="20"/>
        </w:rPr>
        <w:t>EN: Climbing fibres recruit disinhibition to enhance Purkinje cell calcium signals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74">
        <w:r>
          <w:rPr>
            <w:color w:val="1155CC"/>
            <w:u w:val="single"/>
          </w:rPr>
          <w:t>10.1038/s41586-026-10220-4</w:t>
        </w:r>
      </w:hyperlink>
    </w:p>
    <w:p>
      <w:pPr>
        <w:spacing w:before="0" w:after="120"/>
      </w:pPr>
      <w:r>
        <w:rPr>
          <w:b/>
        </w:rPr>
        <w:t xml:space="preserve">Notes: </w:t>
      </w:r>
      <w:r>
        <w:t>abstract_source=nature_html</w:t>
      </w:r>
    </w:p>
    <w:p>
      <w:pPr>
        <w:spacing w:before="0" w:after="80" w:lineRule="auto" w:line="276"/>
      </w:pPr>
      <w:r>
        <w:rPr>
          <w:b/>
        </w:rPr>
        <w:t xml:space="preserve">摘要（ZH）: </w:t>
      </w:r>
      <w:r>
        <w:t>攀缘纤维 (CF) 对浦肯野细胞 (PCs) 的输入在小脑中指导可塑性和学习1,2,3。矛盾的是，CFs 也激活分子层中间神经元 (MLIs)4,5，这是一种抑制 PCs 并可能限制可塑性和学习的细胞类型6,7。然而，最近已识别出两种具有相反影响的 MLI 类型：MLI1 抑制 PCs，减少树突钙信号并抑制颗粒细胞到 PC 突触的可塑性2,6,7,8,9，而 MLI2 抑制 MLI1 并解除对 PCs 的抑制8。为了确定 CFs 如何在不抑制 PC 钙信号的情况下激活 MLIs，我们研究了 CF 输入到 MLIs 的特异性。串行电子显微镜重建表明，CFs 接触两种 MLI 亚型而不进行传统的 s</w:t>
      </w:r>
    </w:p>
    <w:p>
      <w:pPr>
        <w:spacing w:before="0" w:after="200" w:lineRule="auto" w:line="276"/>
      </w:pPr>
      <w:r>
        <w:rPr>
          <w:b/>
        </w:rPr>
        <w:t xml:space="preserve">Abstract (EN): </w:t>
      </w:r>
      <w:r>
        <w:t>Climbing fibre (CF) inputs to Purkinje cells (PCs) instruct plasticity and learning in the cerebellum1,2,3. Paradoxically, CFs also excite molecular layer interneurons (MLIs)4,5, a cell type that inhibits PCs and can restrict plasticity and learning6,7. However, two types of MLI with opposing influences have recently been identified: MLI1s inhibit PCs, reduce dendritic calcium signals and suppress plasticity of granule cell to PC synapses2,6,7,8,9, whereas MLI2s inhibit MLI1s and disinhibit PCs8. To determine how CFs can activate MLIs without also suppressing the PC calcium signals necessary for plasticity and learning, we investigated the specificity of CF inputs onto MLIs. Serial electron microscopy reconstructions indicate that CFs contact both MLI subtypes without making conventional synapses, but more CFs contact each MLI2 through more sites with larger contact areas. Slice experiments indicate that CFs preferentially excite MLI2s through glutamate spillover4,5. In agreement with these anatomical and slice experiments, in vivo Neuropixels recordings show that spontaneous CF activity excites MLI2s, inhibits MLI1s and disinhibits PCs. By contrast, learning-related sensory stimulation produces more complex responses, driving convergent CF and granule cell inputs that could either activate or suppress MLI1s. This balance was robustly shifted towards MLI1 suppression when CFs were synchronously active, in turn elevating the PC dendritic calcium signals necessary for long-term depression. These data provide mechanistic insight into why CF synchrony can be highly effective at inducing cerebellar learning2,3 by revealing a critical disinhibitory circuit that allows CFs to act through MLIs to enhance PC dendritic calcium signals necessary for plasticity.</w:t>
      </w:r>
    </w:p>
    <w:p>
      <w:pPr>
        <w:spacing w:before="120" w:after="120"/>
      </w:pPr>
      <w:r>
        <w:rPr>
          <w:sz w:val="18"/>
        </w:rPr>
        <w:t>——————————————————————————————————————————————————————————————————————</w:t>
      </w:r>
    </w:p>
    <w:p>
      <w:pPr>
        <w:spacing w:before="160" w:after="40" w:line="240" w:lineRule="auto"/>
      </w:pPr>
      <w:r>
        <w:rPr>
          <w:b/>
        </w:rPr>
        <w:t xml:space="preserve">[289] </w:t>
      </w:r>
      <w:hyperlink r:id="rId775">
        <w:r>
          <w:rPr>
            <w:color w:val="1155CC"/>
            <w:u w:val="single"/>
          </w:rPr>
          <w:t>偶然的碳在氧化物接触电气化中打破对称性</w:t>
        </w:r>
      </w:hyperlink>
    </w:p>
    <w:p>
      <w:pPr>
        <w:spacing w:before="0" w:after="80"/>
      </w:pPr>
      <w:r>
        <w:rPr>
          <w:i/>
          <w:sz w:val="20"/>
        </w:rPr>
        <w:t>EN: Adventitious carbon breaks symmetry in oxide contact electrification</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76">
        <w:r>
          <w:rPr>
            <w:color w:val="1155CC"/>
            <w:u w:val="single"/>
          </w:rPr>
          <w:t>10.1038/s41586-025-10088-w</w:t>
        </w:r>
      </w:hyperlink>
    </w:p>
    <w:p>
      <w:pPr>
        <w:spacing w:before="0" w:after="120"/>
      </w:pPr>
      <w:r>
        <w:rPr>
          <w:b/>
        </w:rPr>
        <w:t xml:space="preserve">Notes: </w:t>
      </w:r>
      <w:r>
        <w:t>abstract_source=nature_html</w:t>
      </w:r>
    </w:p>
    <w:p>
      <w:pPr>
        <w:spacing w:before="0" w:after="80" w:lineRule="auto" w:line="276"/>
      </w:pPr>
      <w:r>
        <w:rPr>
          <w:b/>
        </w:rPr>
        <w:t xml:space="preserve">摘要（ZH）: </w:t>
      </w:r>
      <w:r>
        <w:t>绝缘氧化物是宇宙中最丰富的固体材料之一1,2,3。在它们影响自然现象的众多方式中，或许最重要的是它们在接触过程中转移电荷的能力4,5,6,7,8,9,10——即使在相同氧化物样品之间也会发生——然而导致这一现象的对称破坏参数仍未被识别11,12。我们在此展示，从环境中吸附的偶然碳质分子是相同材料氧化物接触电气化 (CE) 中的对称破坏因素。我们使用声悬浮测量由相同无定形二氧化硅 (SiO2) 组成的球体和板之间的电荷交换。尽管对于共同制备的样品，充电极性是随机的，但我们可以通过烘烤或等离子体处理来控制它</w:t>
      </w:r>
    </w:p>
    <w:p>
      <w:pPr>
        <w:spacing w:before="0" w:after="200" w:lineRule="auto" w:line="276"/>
      </w:pPr>
      <w:r>
        <w:rPr>
          <w:b/>
        </w:rPr>
        <w:t xml:space="preserve">Abstract (EN): </w:t>
      </w:r>
      <w:r>
        <w:t>Insulating oxides are among the most abundant solid materials in the universe1,2,3. Of the many ways in which they influence natural phenomena, perhaps the most consequential is their capacity to transfer electrical charge during contact4,5,6,7,8,9,10—which occurs even between samples of the same oxide—yet the symmetry-breaking parameter that causes this remains unidentified11,12. Here we show that adventitious carbonaceous molecules adsorbed from the environment are the symmetry-breaking factor in same-material oxide contact electrification (CE). We use acoustic levitation to measure charge exchange between a sphere and a plate composed of identical amorphous silicon dioxide (SiO2). Although charging polarity is random for co-prepared samples, we control it with baking or plasma treatment. Observing the charge-exchange relaxation afterwards, we see dynamics over a timescale of hours and connect this directly to the presence of adventitious carbon with time-of-flight mass spectrometry, low-energy ion scattering and infrared spectroscopy. Going further, we confirm that adventitious carbon can even determine charge exchange among different oxides. Our results identify the symmetry-breaking parameter that causes insulating oxides to exchange charge in settings ranging from desert sands4 to volcanic plumes5,6, while simultaneously highlighting an overlooked factor in CE more broadly.</w:t>
      </w:r>
    </w:p>
    <w:p>
      <w:pPr>
        <w:spacing w:before="120" w:after="120"/>
      </w:pPr>
      <w:r>
        <w:rPr>
          <w:sz w:val="18"/>
        </w:rPr>
        <w:t>——————————————————————————————————————————————————————————————————————</w:t>
      </w:r>
    </w:p>
    <w:p>
      <w:pPr>
        <w:spacing w:before="160" w:after="40" w:line="240" w:lineRule="auto"/>
      </w:pPr>
      <w:r>
        <w:rPr>
          <w:b/>
        </w:rPr>
        <w:t xml:space="preserve">[290] </w:t>
      </w:r>
      <w:hyperlink r:id="rId777">
        <w:r>
          <w:rPr>
            <w:color w:val="1155CC"/>
            <w:u w:val="single"/>
          </w:rPr>
          <w:t>氯化物掺杂蒸发宽带隙钙钛矿实现稳定的钙钛矿-有机串联太阳能电池</w:t>
        </w:r>
      </w:hyperlink>
    </w:p>
    <w:p>
      <w:pPr>
        <w:spacing w:before="0" w:after="80"/>
      </w:pPr>
      <w:r>
        <w:rPr>
          <w:i/>
          <w:sz w:val="20"/>
        </w:rPr>
        <w:t>EN: Stable Perovskite-Organic Tandem Solar Cells Enabled by Chloride-Doped Evaporated Wide-Bandgap Perovskites</w:t>
      </w:r>
    </w:p>
    <w:p>
      <w:pPr>
        <w:spacing w:before="0" w:after="120"/>
      </w:pPr>
      <w:r>
        <w:rPr>
          <w:b/>
        </w:rPr>
        <w:t xml:space="preserve">Source: </w:t>
      </w:r>
      <w:r>
        <w:t>RSC - Energy Environ. Sci. latest articles</w:t>
      </w:r>
      <w:r>
        <w:t xml:space="preserve">    </w:t>
      </w:r>
      <w:r>
        <w:rPr>
          <w:b/>
        </w:rPr>
        <w:t xml:space="preserve">Pub date: </w:t>
      </w:r>
      <w:r>
        <w:t>2026-03-18 00:00:00+00:00</w:t>
      </w:r>
    </w:p>
    <w:p>
      <w:pPr>
        <w:spacing w:before="0" w:after="120"/>
      </w:pPr>
      <w:r>
        <w:rPr>
          <w:b/>
        </w:rPr>
        <w:t xml:space="preserve">Notes: </w:t>
      </w:r>
      <w:r>
        <w:t>abstract_source=rsc_html</w:t>
      </w:r>
    </w:p>
    <w:p>
      <w:pPr>
        <w:spacing w:before="0" w:after="80" w:lineRule="auto" w:line="276"/>
      </w:pPr>
      <w:r>
        <w:rPr>
          <w:b/>
        </w:rPr>
        <w:t xml:space="preserve">摘要（ZH）: </w:t>
      </w:r>
      <w:r>
        <w:t>宽带隙钙钛矿对于实现高效钙钛矿基叠层太阳能电池至关重要，但其实际应用仍受限于稳定性挑战，如离子迁移和卤化物相分离。在此，我们展示了在热蒸发过程中引入约1% PbCl2作为气相添加剂可以有效稳定宽带隙钙钛矿器件。详细表征揭示了氯离子与甲脒阳离子之间的强化学相互作用，导致结晶度提高和光致发光量子产率增强。掺氯宽带隙钙钛矿薄膜表现出抑制的卤化物相分离和减轻的离子损失。因此，1.75 eV单结钙钛矿电池在持续光照下实现了1,639小时的T80寿命。</w:t>
      </w:r>
    </w:p>
    <w:p>
      <w:pPr>
        <w:spacing w:before="0" w:after="200" w:lineRule="auto" w:line="276"/>
      </w:pPr>
      <w:r>
        <w:rPr>
          <w:b/>
        </w:rPr>
        <w:t xml:space="preserve">Abstract (EN): </w:t>
      </w:r>
      <w:r>
        <w:t>Wide-bandgap perovskites are critical for achieving high-efficiency perovskite-based tandem solar cells, yet their practical deployment remains limited by stability challenges such as ion migration and halide phase segregation. Here, we demonstrate that introducing ~1% PbCl2 as a vapor-phase additive during thermal evaporation effectively stabilizes wide-bandgap perovskite devices. Detailed characterizations reveal strong chemical interactions between chloride anions and formamidinium cations, resulting in improved crystallinity and enhanced photoluminescence quantum yield. The Cl-doped wide-bandgap perovskite films exhibit suppressed halide phase segregation and mitigated ionic losses. As a result, a 1.75 eV single-junction perovskite cell achieves a T80 lifetime of 1,639 hours under continuous maximum power point tracking, along with improved efficiency and open-circuit voltage. When integrated with an organic subcell (PCE-10:P2EH-2V), the resulting perovskite-organic tandem solar cell achieves a power conversion efficiency of 24.86% and a maximum T80 of 1,979 hours, surpassing the stability of all the previously reported perovskite-organic and perovskite-perovskite tandem devices.</w:t>
      </w:r>
    </w:p>
    <w:p>
      <w:pPr>
        <w:spacing w:before="120" w:after="120"/>
      </w:pPr>
      <w:r>
        <w:rPr>
          <w:sz w:val="18"/>
        </w:rPr>
        <w:t>——————————————————————————————————————————————————————————————————————</w:t>
      </w:r>
    </w:p>
    <w:p>
      <w:pPr>
        <w:spacing w:before="160" w:after="40" w:line="240" w:lineRule="auto"/>
      </w:pPr>
      <w:r>
        <w:rPr>
          <w:b/>
        </w:rPr>
        <w:t xml:space="preserve">[291] </w:t>
      </w:r>
      <w:hyperlink r:id="rId778">
        <w:r>
          <w:rPr>
            <w:color w:val="1155CC"/>
            <w:u w:val="single"/>
          </w:rPr>
          <w:t>前药缀合脂质纳米颗粒用于协同信使RNA癌症免疫治疗</w:t>
        </w:r>
      </w:hyperlink>
    </w:p>
    <w:p>
      <w:pPr>
        <w:spacing w:before="0" w:after="80"/>
      </w:pPr>
      <w:r>
        <w:rPr>
          <w:i/>
          <w:sz w:val="20"/>
        </w:rPr>
        <w:t>EN: Prodrug-tethered lipid nanoparticles for synergistic messenger RNA cancer immunotherapy</w:t>
      </w:r>
    </w:p>
    <w:p>
      <w:pPr>
        <w:spacing w:before="0" w:after="120"/>
      </w:pPr>
      <w:r>
        <w:rPr>
          <w:b/>
        </w:rPr>
        <w:t xml:space="preserve">Source: </w:t>
      </w:r>
      <w:r>
        <w:t>Nature Nanotechnology</w:t>
      </w:r>
      <w:r>
        <w:t xml:space="preserve">    </w:t>
      </w:r>
      <w:r>
        <w:rPr>
          <w:b/>
        </w:rPr>
        <w:t xml:space="preserve">Pub date: </w:t>
      </w:r>
      <w:r>
        <w:t>2026-03-18 00:00:00+00:00</w:t>
      </w:r>
      <w:r>
        <w:t xml:space="preserve">    </w:t>
      </w:r>
      <w:r>
        <w:rPr>
          <w:b/>
        </w:rPr>
        <w:t xml:space="preserve">DOI: </w:t>
      </w:r>
      <w:hyperlink r:id="rId779">
        <w:r>
          <w:rPr>
            <w:color w:val="1155CC"/>
            <w:u w:val="single"/>
          </w:rPr>
          <w:t>10.1038/s41565-025-02102-z</w:t>
        </w:r>
      </w:hyperlink>
    </w:p>
    <w:p>
      <w:pPr>
        <w:spacing w:before="0" w:after="120"/>
      </w:pPr>
      <w:r>
        <w:rPr>
          <w:b/>
        </w:rPr>
        <w:t xml:space="preserve">Notes: </w:t>
      </w:r>
      <w:r>
        <w:t>abstract_source=nature_html</w:t>
      </w:r>
    </w:p>
    <w:p>
      <w:pPr>
        <w:spacing w:before="0" w:after="80" w:lineRule="auto" w:line="276"/>
      </w:pPr>
      <w:r>
        <w:rPr>
          <w:b/>
        </w:rPr>
        <w:t xml:space="preserve">摘要（ZH）: </w:t>
      </w:r>
      <w:r>
        <w:t>在mRNA癌症免疫治疗中，调节T细胞在活化和耗竭之间的表型仍然是一个重大挑战。提高抗癌T细胞活性的一种潜在方法是共同递送白细胞介素-12（IL-12）以刺激效应T细胞，以及吲哚胺2,3-双加氧酶（IDO）抑制剂以抑制T细胞耗竭。在此，我们通过一个前药可离子化脂质（pILs）库设计了前药可离子化脂质纳米颗粒（pLNPs），在pIL结构中结合了细胞内可裂解的IDO抑制剂，并封装了IL-12信使RNA。领先的pIL显示出比临床使用的可离子化脂质更高的mRNA转染效率，以及通过释放IDO抑制剂的强免疫调节效果。在皮下结肠癌小鼠模型中，pLN</w:t>
      </w:r>
    </w:p>
    <w:p>
      <w:pPr>
        <w:spacing w:before="0" w:after="200" w:lineRule="auto" w:line="276"/>
      </w:pPr>
      <w:r>
        <w:rPr>
          <w:b/>
        </w:rPr>
        <w:t xml:space="preserve">Abstract (EN): </w:t>
      </w:r>
      <w:r>
        <w:t>Regulating T cell phenotypes between activation and exhaustion remains a significant challenge for messenger RNA-based cancer immunotherapy. A potential approach to improve anti-cancer T cell activity is to co-deliver interleukin-12 (IL-12), to stimulate effector T cells, and indoleamine 2,3-dioxygenase (IDO) inhibitor, to suppress T cell exhaustion. Here we design prodrug ionizable lipid nanoparticles (pLNPs), via a library of prodrug ionizable lipids (pILs), incorporating an intracellularly cleavable IDO inhibitor within the pIL structure and encapsulating IL-12 messenger RNA. The lead pIL shows enhanced mRNA transfection over a clinically utilized ionizable lipid, as well as strong immunomodulatory effects via release of the IDO inhibitor. In a subcutaneous colon cancer mouse model, pLNP drives complete regression of primary tumours by eliciting effector T cell infiltration while reducing exhaustion, induces a memory T cell response and stimulates a systemic immune response that allows for regression of distal tumours in this study. These results highlight the promise of pLNPs for small-molecule drug and mRNA combination cancer immunotherapy.</w:t>
      </w:r>
    </w:p>
    <w:p>
      <w:pPr>
        <w:spacing w:before="120" w:after="120"/>
      </w:pPr>
      <w:r>
        <w:rPr>
          <w:sz w:val="18"/>
        </w:rPr>
        <w:t>——————————————————————————————————————————————————————————————————————</w:t>
      </w:r>
    </w:p>
    <w:p>
      <w:pPr>
        <w:spacing w:before="160" w:after="40" w:line="240" w:lineRule="auto"/>
      </w:pPr>
      <w:r>
        <w:rPr>
          <w:b/>
        </w:rPr>
        <w:t xml:space="preserve">[292] </w:t>
      </w:r>
      <w:hyperlink r:id="rId780">
        <w:r>
          <w:rPr>
            <w:color w:val="1155CC"/>
            <w:u w:val="single"/>
          </w:rPr>
          <w:t>考虑区域Dunkelflaute事件的欧洲电力系统规划的自适应鲁棒优化</w:t>
        </w:r>
      </w:hyperlink>
    </w:p>
    <w:p>
      <w:pPr>
        <w:spacing w:before="0" w:after="80"/>
      </w:pPr>
      <w:r>
        <w:rPr>
          <w:i/>
          <w:sz w:val="20"/>
        </w:rPr>
        <w:t>EN: Adaptive robust optimization for European electricity system planning considering regional Dunkelflaute events</w:t>
      </w:r>
    </w:p>
    <w:p>
      <w:pPr>
        <w:spacing w:before="0" w:after="120"/>
      </w:pPr>
      <w:r>
        <w:rPr>
          <w:b/>
        </w:rPr>
        <w:t xml:space="preserve">Source: </w:t>
      </w:r>
      <w:r>
        <w:t>ScienceDirect Publication: Applied Energy</w:t>
      </w:r>
      <w:r>
        <w:t xml:space="preserve">    </w:t>
      </w:r>
      <w:r>
        <w:rPr>
          <w:b/>
        </w:rPr>
        <w:t xml:space="preserve">Pub date: </w:t>
      </w:r>
      <w:r>
        <w:t>2026-03-18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[293] </w:t>
      </w:r>
      <w:hyperlink r:id="rId781">
        <w:r>
          <w:rPr>
            <w:color w:val="1155CC"/>
            <w:u w:val="single"/>
          </w:rPr>
          <w:t>基于情景分离的可再生电力系统极端天气事件风险的最优规划方法</w:t>
        </w:r>
      </w:hyperlink>
    </w:p>
    <w:p>
      <w:pPr>
        <w:spacing w:before="0" w:after="80"/>
      </w:pPr>
      <w:r>
        <w:rPr>
          <w:i/>
          <w:sz w:val="20"/>
        </w:rPr>
        <w:t>EN: Scenario separation-based optimal planning method for renewable electric energy system considering extreme weather event risks</w:t>
      </w:r>
    </w:p>
    <w:p>
      <w:pPr>
        <w:spacing w:before="0" w:after="120"/>
      </w:pPr>
      <w:r>
        <w:rPr>
          <w:b/>
        </w:rPr>
        <w:t xml:space="preserve">Source: </w:t>
      </w:r>
      <w:r>
        <w:t>ScienceDirect Publication: Applied Energy</w:t>
      </w:r>
      <w:r>
        <w:t xml:space="preserve">    </w:t>
      </w:r>
      <w:r>
        <w:rPr>
          <w:b/>
        </w:rPr>
        <w:t xml:space="preserve">Pub date: </w:t>
      </w:r>
      <w:r>
        <w:t>2026-03-18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782">
        <w:r>
          <w:rPr>
            <w:color w:val="1155CC"/>
            <w:u w:val="single"/>
          </w:rPr>
          <w:t>为社会服务的同行评审</w:t>
        </w:r>
      </w:hyperlink>
    </w:p>
    <w:p>
      <w:pPr>
        <w:spacing w:before="0" w:after="80"/>
      </w:pPr>
      <w:r>
        <w:rPr>
          <w:i/>
          <w:sz w:val="20"/>
        </w:rPr>
        <w:t>EN: Peer review at the service of society</w:t>
      </w:r>
    </w:p>
    <w:p>
      <w:pPr>
        <w:spacing w:before="0" w:after="120"/>
      </w:pPr>
      <w:r>
        <w:rPr>
          <w:b/>
        </w:rPr>
        <w:t xml:space="preserve">Source: </w:t>
      </w:r>
      <w:r>
        <w:t>Nature Nanotechnology</w:t>
      </w:r>
      <w:r>
        <w:t xml:space="preserve">    </w:t>
      </w:r>
      <w:r>
        <w:rPr>
          <w:b/>
        </w:rPr>
        <w:t xml:space="preserve">Pub date: </w:t>
      </w:r>
      <w:r>
        <w:t>2026-03-18 00:00:00+00:00</w:t>
      </w:r>
      <w:r>
        <w:t xml:space="preserve">    </w:t>
      </w:r>
      <w:r>
        <w:rPr>
          <w:b/>
        </w:rPr>
        <w:t xml:space="preserve">DOI: </w:t>
      </w:r>
      <w:hyperlink r:id="rId783">
        <w:r>
          <w:rPr>
            <w:color w:val="1155CC"/>
            <w:u w:val="single"/>
          </w:rPr>
          <w:t>10.1038/s41565-026-02146-9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[295] </w:t>
      </w:r>
      <w:hyperlink r:id="rId784">
        <w:r>
          <w:rPr>
            <w:color w:val="1155CC"/>
            <w:u w:val="single"/>
          </w:rPr>
          <w:t>对混合良好的温室气体辐射强迫的强约束</w:t>
        </w:r>
      </w:hyperlink>
    </w:p>
    <w:p>
      <w:pPr>
        <w:spacing w:before="0" w:after="80"/>
      </w:pPr>
      <w:r>
        <w:rPr>
          <w:i/>
          <w:sz w:val="20"/>
        </w:rPr>
        <w:t>EN: A strong constraint on radiative forcing of well-mixed greenhouse gases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85">
        <w:r>
          <w:rPr>
            <w:color w:val="1155CC"/>
            <w:u w:val="single"/>
          </w:rPr>
          <w:t>10.1038/s41586-026-10289-x</w:t>
        </w:r>
      </w:hyperlink>
    </w:p>
    <w:p>
      <w:pPr>
        <w:spacing w:before="0" w:after="120"/>
      </w:pPr>
      <w:r>
        <w:rPr>
          <w:b/>
        </w:rPr>
        <w:t xml:space="preserve">Notes: </w:t>
      </w:r>
      <w:r>
        <w:t>abstract_source=nature_html</w:t>
      </w:r>
    </w:p>
    <w:p>
      <w:pPr>
        <w:spacing w:before="0" w:after="80" w:lineRule="auto" w:line="276"/>
      </w:pPr>
      <w:r>
        <w:rPr>
          <w:b/>
        </w:rPr>
        <w:t xml:space="preserve">摘要（ZH）: </w:t>
      </w:r>
      <w:r>
        <w:t>混合良好的温室气体（WMGHGs）的辐射强迫是地球能量失衡和全球表面气候变化的主要驱动因素1,2。由于其长波（LW）瞬时辐射强迫（IRF）组件依赖于大气状态，并受到辐射参数化误差的影响，因此仍然难以约束3,4,5,6,7。IRF测量的是由于WMGHG浓度扰动引起的对流层顶辐射通量的即时变化8,9,10。我们在此表明，自1850年以来，WMGHG浓度的增加使LW IRF增强了3.69 ± 0.07 W m−2（95%置信区间）。我们首先使用全球逐线辐射传输模拟为主要WMGHG在现实的全天空条件下提供LW IRF的全球基准。然后我们确定了一个稳健的li</w:t>
      </w:r>
    </w:p>
    <w:p>
      <w:pPr>
        <w:spacing w:before="0" w:after="200" w:lineRule="auto" w:line="276"/>
      </w:pPr>
      <w:r>
        <w:rPr>
          <w:b/>
        </w:rPr>
        <w:t xml:space="preserve">Abstract (EN): </w:t>
      </w:r>
      <w:r>
        <w:t>Radiative forcing from well-mixed greenhouse gases (WMGHGs) is a main driver of Earth’s energy imbalance and global surface climate change1,2. It remains difficult to constrain, largely because its longwave (LW) instantaneous radiative forcing (IRF) component depends on atmospheric state and is subject to radiative parameterization error3,4,5,6,7. The IRF measures the immediate change in radiative fluxes at the tropopause8,9,10 caused by perturbations in WMGHG concentrations. Here we show that increasing WMGHG concentrations have enhanced LW IRF by 3.69 ± 0.07 W m−2 (95% confidence interval) since 1850. We first use global line-by-line radiative transfer simulations to provide a global benchmark of LW IRF for the main WMGHGs under realistic, all-sky conditions. We then identify a robust linear relationship between LW IRF and outgoing longwave radiation (OLR), enabling state-dependent LW IRF to be directly inferred from regressions against satellite-observed OLR. Furthermore, LW IRF explains 91% of the inter-model spread in effective radiative forcing (ERF, which includes rapid atmospheric adjustments beyond the IRF) for CO2 (ref. 11) across Earth system models. Benchmarking model-simulated IRF using the regression technique reveals that most discrepancies originate from radiation parameterizations and correcting LW IRF biases would reduce uncertainty in CO2 ERF by 50%. Our results establish a simple and robust framework for quantifying state-dependent radiative forcing of WMGHGs, providing an observation-informed pathway for future climate assessments.</w:t>
      </w:r>
    </w:p>
    <w:p>
      <w:pPr>
        <w:spacing w:before="120" w:after="120"/>
      </w:pPr>
      <w:r>
        <w:rPr>
          <w:sz w:val="18"/>
        </w:rPr>
        <w:t>——————————————————————————————————————————————————————————————————————</w:t>
      </w:r>
    </w:p>
    <w:p>
      <w:pPr>
        <w:spacing w:before="160" w:after="40" w:line="240" w:lineRule="auto"/>
      </w:pPr>
      <w:r>
        <w:rPr>
          <w:b/>
        </w:rPr>
        <w:t xml:space="preserve">[296] </w:t>
      </w:r>
      <w:hyperlink r:id="rId786">
        <w:r>
          <w:rPr>
            <w:color w:val="1155CC"/>
            <w:u w:val="single"/>
          </w:rPr>
          <w:t>避免免疫检测以整合大DNA序列的基因组编辑</w:t>
        </w:r>
      </w:hyperlink>
    </w:p>
    <w:p>
      <w:pPr>
        <w:spacing w:before="0" w:after="80"/>
      </w:pPr>
      <w:r>
        <w:rPr>
          <w:i/>
          <w:sz w:val="20"/>
        </w:rPr>
        <w:t>EN: Genome editing that avoids immune detection to integrate large DNA sequences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87">
        <w:r>
          <w:rPr>
            <w:color w:val="1155CC"/>
            <w:u w:val="single"/>
          </w:rPr>
          <w:t>10.1038/d41586-026-00730-6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[297] </w:t>
      </w:r>
      <w:hyperlink r:id="rId788">
        <w:r>
          <w:rPr>
            <w:color w:val="1155CC"/>
            <w:u w:val="single"/>
          </w:rPr>
          <w:t>振动诱导发光的多色发光现象</w:t>
        </w:r>
      </w:hyperlink>
    </w:p>
    <w:p>
      <w:pPr>
        <w:spacing w:before="0" w:after="80"/>
      </w:pPr>
      <w:r>
        <w:rPr>
          <w:i/>
          <w:sz w:val="20"/>
        </w:rPr>
        <w:t>EN: Multicolour luminescence phenomena of vibration-induced emission</w:t>
      </w:r>
    </w:p>
    <w:p>
      <w:pPr>
        <w:spacing w:before="0" w:after="120"/>
      </w:pPr>
      <w:r>
        <w:rPr>
          <w:b/>
        </w:rPr>
        <w:t xml:space="preserve">Source: </w:t>
      </w:r>
      <w:r>
        <w:t>RSC - Chem. Soc. Rev. latest articles</w:t>
      </w:r>
      <w:r>
        <w:t xml:space="preserve">    </w:t>
      </w:r>
      <w:r>
        <w:rPr>
          <w:b/>
        </w:rPr>
        <w:t xml:space="preserve">Pub date: </w:t>
      </w:r>
      <w:r>
        <w:t>2026-03-18 00:00:00+00:00</w:t>
      </w:r>
    </w:p>
    <w:p>
      <w:pPr>
        <w:spacing w:before="0" w:after="120"/>
      </w:pPr>
      <w:r>
        <w:rPr>
          <w:b/>
        </w:rPr>
        <w:t xml:space="preserve">Notes: </w:t>
      </w:r>
      <w:r>
        <w:t>abstract_source=rsc_html</w:t>
      </w:r>
    </w:p>
    <w:p>
      <w:pPr>
        <w:spacing w:before="0" w:after="80" w:lineRule="auto" w:line="276"/>
      </w:pPr>
      <w:r>
        <w:rPr>
          <w:b/>
        </w:rPr>
        <w:t xml:space="preserve">摘要（ZH）: </w:t>
      </w:r>
      <w:r>
        <w:t>这篇综述提供了振动诱导发射（VIE）的概述，这是一种新方法，通过构象变化使分子发出多种颜色。重点是空间位阻的二氢苯嗪（DHP）衍生物，特别是N,N′-二苯基-二氢二苯并[a,c]苯嗪（DPAC）核心，说明了在激发态中大幅度“蝴蝶”振动运动如何控制其发光行为。强调了VIE活性化合物的关键分子设计策略，揭示了空间位阻和电子性质的相互作用如何调节激发态能量并促进从蓝色到红色的颜色调节，包括实现内在的三重荧光。采用先进的光谱学和理论研究来探索li</w:t>
      </w:r>
    </w:p>
    <w:p>
      <w:pPr>
        <w:spacing w:before="0" w:after="200" w:lineRule="auto" w:line="276"/>
      </w:pPr>
      <w:r>
        <w:rPr>
          <w:b/>
        </w:rPr>
        <w:t xml:space="preserve">Abstract (EN): </w:t>
      </w:r>
      <w:r>
        <w:t>This review provides an overview of vibration-induced emission (VIE), a new approach that allows molecules to emit multiple colors by undergoing conformational changes. The focus is on sterically hindered dihydrophenazine (DHP) derivatives, especially the N,N′-diphenyl-dihydrodibenzo[a,c]phenazine (DPAC) core, illustrating how large-amplitude “butterfly” vibrational motions in the excited state govern their light emission behavior. Key molecular design strategies for VIE-active compounds are highlighted, revealing how the interplay of steric hindrance and electronic properties modulates excited-state energies and facilitates color tuning from blue to red, including the realization of intrinsic triple fluorescence. Advanced spectroscopy and theoretical studies are employed to explore the link between molecular conformation and emission properties. Additionally, innovative applications of VIE systems are discussed, especially in molecular cursor calipers for differential sensing, and microenvironment-responsive probes corresponding to different matrices. This review aims to stimulate broad interest across diverse fields, expanding both the scope of VIE research and the development of advanced functional materials.</w:t>
      </w:r>
    </w:p>
    <w:p>
      <w:pPr>
        <w:spacing w:before="120" w:after="120"/>
      </w:pPr>
      <w:r>
        <w:rPr>
          <w:sz w:val="18"/>
        </w:rPr>
        <w:t>——————————————————————————————————————————————————————————————————————</w:t>
      </w:r>
    </w:p>
    <w:p>
      <w:pPr>
        <w:spacing w:before="160" w:after="40" w:line="240" w:lineRule="auto"/>
      </w:pPr>
      <w:r>
        <w:rPr>
          <w:b/>
        </w:rPr>
        <w:t xml:space="preserve">[298] </w:t>
      </w:r>
      <w:hyperlink r:id="rId789">
        <w:r>
          <w:rPr>
            <w:color w:val="1155CC"/>
            <w:u w:val="single"/>
          </w:rPr>
          <w:t>古代冰层中捕获的气候快照讲述了一个令人惊讶的故事</w:t>
        </w:r>
      </w:hyperlink>
    </w:p>
    <w:p>
      <w:pPr>
        <w:spacing w:before="0" w:after="80"/>
      </w:pPr>
      <w:r>
        <w:rPr>
          <w:i/>
          <w:sz w:val="20"/>
        </w:rPr>
        <w:t>EN: Climate snapshots trapped in ancient ice tell a surprising story</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90">
        <w:r>
          <w:rPr>
            <w:color w:val="1155CC"/>
            <w:u w:val="single"/>
          </w:rPr>
          <w:t>10.1038/d41586-026-00636-3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[299] </w:t>
      </w:r>
      <w:hyperlink r:id="rId791">
        <w:r>
          <w:rPr>
            <w:color w:val="1155CC"/>
            <w:u w:val="single"/>
          </w:rPr>
          <w:t>超动力学：空腔配合物中的运动</w:t>
        </w:r>
      </w:hyperlink>
    </w:p>
    <w:p>
      <w:pPr>
        <w:spacing w:before="0" w:after="80"/>
      </w:pPr>
      <w:r>
        <w:rPr>
          <w:i/>
          <w:sz w:val="20"/>
        </w:rPr>
        <w:t>EN: Supradynamics: Motion in cavitand complexes</w:t>
      </w:r>
    </w:p>
    <w:p>
      <w:pPr>
        <w:spacing w:before="0" w:after="120"/>
      </w:pPr>
      <w:r>
        <w:rPr>
          <w:b/>
        </w:rPr>
        <w:t xml:space="preserve">Source: </w:t>
      </w:r>
      <w:r>
        <w:t>Chem</w:t>
      </w:r>
      <w:r>
        <w:t xml:space="preserve">    </w:t>
      </w:r>
      <w:r>
        <w:rPr>
          <w:b/>
        </w:rPr>
        <w:t xml:space="preserve">Pub date: </w:t>
      </w:r>
      <w:r>
        <w:t>2026-03-18 00:00:00+00:00</w:t>
      </w:r>
      <w:r>
        <w:t xml:space="preserve">    </w:t>
      </w:r>
      <w:r>
        <w:rPr>
          <w:b/>
        </w:rPr>
        <w:t xml:space="preserve">DOI: </w:t>
      </w:r>
      <w:hyperlink r:id="rId792">
        <w:r>
          <w:rPr>
            <w:color w:val="1155CC"/>
            <w:u w:val="single"/>
          </w:rPr>
          <w:t>10.1016/j.chempr.2026.102954</w:t>
        </w:r>
      </w:hyperlink>
    </w:p>
    <w:p>
      <w:pPr>
        <w:spacing w:before="0" w:after="120"/>
      </w:pPr>
      <w:r>
        <w:rPr>
          <w:b/>
        </w:rPr>
        <w:t xml:space="preserve">Notes: </w:t>
      </w:r>
      <w:r>
        <w:t>abstract_source=rss_cell</w:t>
      </w:r>
    </w:p>
    <w:p>
      <w:pPr>
        <w:spacing w:before="0" w:after="80" w:lineRule="auto" w:line="276"/>
      </w:pPr>
      <w:r>
        <w:rPr>
          <w:b/>
        </w:rPr>
        <w:t xml:space="preserve">摘要（ZH）: </w:t>
      </w:r>
      <w:r>
        <w:t>分子识别是耦合运动的动态舞蹈。在空腔体中，客体和主体通过旋转、呼吸和折叠相互适应——一种由浅能量景观上的弱力维持的流体互动。这一范式超越了静态契合，通过将重点从结构转向运动，连接合成和生物系统，并指导功能组装和响应材料的分子动力学编程。</w:t>
      </w:r>
    </w:p>
    <w:p>
      <w:pPr>
        <w:spacing w:before="0" w:after="200" w:lineRule="auto" w:line="276"/>
      </w:pPr>
      <w:r>
        <w:rPr>
          <w:b/>
        </w:rPr>
        <w:t xml:space="preserve">Abstract (EN): </w:t>
      </w:r>
      <w:r>
        <w:t>Molecular recognition is a dynamic dance of coupled motions. Within cavitands, guests and hosts adapt mutually through spinning, breathing, and folding—a fluid interplay sustained by weak forces on a shallow energy landscape. This paradigm moves beyond static fits to bridge synthetic and biological systems by shifting the focus from structure to motion and guides the programming of molecular dynamics for functional assemblies and responsive materials.</w:t>
      </w:r>
    </w:p>
    <w:p>
      <w:pPr>
        <w:spacing w:before="120" w:after="120"/>
      </w:pPr>
      <w:r>
        <w:rPr>
          <w:sz w:val="18"/>
        </w:rPr>
        <w:t>——————————————————————————————————————————————————————————————————————</w:t>
      </w:r>
    </w:p>
    <w:p>
      <w:pPr>
        <w:spacing w:before="160" w:after="40" w:line="240" w:lineRule="auto"/>
      </w:pPr>
      <w:r>
        <w:rPr>
          <w:b/>
        </w:rPr>
        <w:t xml:space="preserve">[300] </w:t>
      </w:r>
      <w:hyperlink r:id="rId793">
        <w:r>
          <w:rPr>
            <w:color w:val="1155CC"/>
            <w:u w:val="single"/>
          </w:rPr>
          <w:t>植物学之谜解决：植物如何制造一种关键的疟疾药物</w:t>
        </w:r>
      </w:hyperlink>
    </w:p>
    <w:p>
      <w:pPr>
        <w:spacing w:before="0" w:after="80"/>
      </w:pPr>
      <w:r>
        <w:rPr>
          <w:i/>
          <w:sz w:val="20"/>
        </w:rPr>
        <w:t>EN: Botanical mystery solved: how plants make a crucial malaria drug</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94">
        <w:r>
          <w:rPr>
            <w:color w:val="1155CC"/>
            <w:u w:val="single"/>
          </w:rPr>
          <w:t>10.1038/d41586-026-00891-4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[301] </w:t>
      </w:r>
      <w:hyperlink r:id="rId795">
        <w:r>
          <w:rPr>
            <w:color w:val="1155CC"/>
            <w:u w:val="single"/>
          </w:rPr>
          <w:t>细菌细胞膜内的酶在病毒DNA进入时将其切碎</w:t>
        </w:r>
      </w:hyperlink>
    </w:p>
    <w:p>
      <w:pPr>
        <w:spacing w:before="0" w:after="80"/>
      </w:pPr>
      <w:r>
        <w:rPr>
          <w:i/>
          <w:sz w:val="20"/>
        </w:rPr>
        <w:t>EN: An enzyme inside the bacterial-cell membrane chops up viral DNA on entry</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96">
        <w:r>
          <w:rPr>
            <w:color w:val="1155CC"/>
            <w:u w:val="single"/>
          </w:rPr>
          <w:t>10.1038/d41586-026-00732-4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[302] </w:t>
      </w:r>
      <w:hyperlink r:id="rId797">
        <w:r>
          <w:rPr>
            <w:color w:val="1155CC"/>
            <w:u w:val="single"/>
          </w:rPr>
          <w:t>体内自旋相关自由基对动力学的磁共振控制</w:t>
        </w:r>
      </w:hyperlink>
    </w:p>
    <w:p>
      <w:pPr>
        <w:spacing w:before="0" w:after="80"/>
      </w:pPr>
      <w:r>
        <w:rPr>
          <w:i/>
          <w:sz w:val="20"/>
        </w:rPr>
        <w:t>EN: Magnetic resonance control of spin-correlated radical pair dynamics in vivo</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798">
        <w:r>
          <w:rPr>
            <w:color w:val="1155CC"/>
            <w:u w:val="single"/>
          </w:rPr>
          <w:t>10.1038/s41586-026-10282-4</w:t>
        </w:r>
      </w:hyperlink>
    </w:p>
    <w:p>
      <w:pPr>
        <w:spacing w:before="0" w:after="120"/>
      </w:pPr>
      <w:r>
        <w:rPr>
          <w:b/>
        </w:rPr>
        <w:t xml:space="preserve">Notes: </w:t>
      </w:r>
      <w:r>
        <w:t>abstract_source=nature_html</w:t>
      </w:r>
    </w:p>
    <w:p>
      <w:pPr>
        <w:spacing w:before="0" w:after="80" w:lineRule="auto" w:line="276"/>
      </w:pPr>
      <w:r>
        <w:rPr>
          <w:b/>
        </w:rPr>
        <w:t xml:space="preserve">摘要（ZH）: </w:t>
      </w:r>
      <w:r>
        <w:t>磁场可以影响涉及自旋相关自由基对（SCRPs）的反应1,2。这提供了一种机制，使得静态和时变磁场可以在生物分子水平上影响生物系统3。然而，尚未证明一种工程化的SCRP系统能够赋予多细胞生物体中的非本地生化过程磁敏感性。在此，我们展示了使用磁共振在活体转基因动物中控制SCRP动力学。我们表明，在黄素辅因子的存在下，各种红色荧光蛋白（RFPs）的发射可以通过在电子自旋共振频率附近施加的静态和射频磁场的组合来修改。该效应在室温下在体外和线虫中测量。</w:t>
      </w:r>
    </w:p>
    <w:p>
      <w:pPr>
        <w:spacing w:before="0" w:after="200" w:lineRule="auto" w:line="276"/>
      </w:pPr>
      <w:r>
        <w:rPr>
          <w:b/>
        </w:rPr>
        <w:t xml:space="preserve">Abstract (EN): </w:t>
      </w:r>
      <w:r>
        <w:t>Magnetic fields can influence reactions involving spin-correlated radical pairs (SCRPs)1,2. This provides a mechanism by which both static and time-varying magnetic fields can affect living systems at the biomolecular level3. However, an engineered SCRP system conferring magnetic sensitivity to a non-native biochemical process in a multicellular organism has not yet been demonstrated. Here we demonstrate control of SCRP dynamics using magnetic resonance in a live transgenic animal. We show that the emission of various red fluorescent proteins (RFPs), in the presence of a flavin cofactor, can be modified by a combination of static and radiofrequency magnetic fields applied near the electron spin resonance frequency. This effect was measured at room temperature both in vitro and in the nematode Caenorhabditis elegans, genetically modified to express the RFP mScarlet4. These observations suggest that the magnetic field effects measured in RFP-flavin systems5 are due to quantum-correlated radical pairs with a coherence time larger than 4 ns. Our experiments demonstrate that radiofrequency magnetic fields can influence dynamics of reactions involving SCRPs in vivo, potentially enabling new methods for remotely controlling biomolecular processes, such as gene expression, and suggest broader potential for quantum tools in biology.</w:t>
      </w:r>
    </w:p>
    <w:p>
      <w:pPr>
        <w:spacing w:before="120" w:after="120"/>
      </w:pPr>
      <w:r>
        <w:rPr>
          <w:sz w:val="18"/>
        </w:rPr>
        <w:t>——————————————————————————————————————————————————————————————————————</w:t>
      </w:r>
    </w:p>
    <w:p>
      <w:pPr>
        <w:spacing w:before="160" w:after="40" w:line="240" w:lineRule="auto"/>
      </w:pPr>
      <w:r>
        <w:rPr>
          <w:b/>
        </w:rPr>
        <w:t xml:space="preserve">[303] </w:t>
      </w:r>
      <w:hyperlink r:id="rId799">
        <w:r>
          <w:rPr>
            <w:color w:val="1155CC"/>
            <w:u w:val="single"/>
          </w:rPr>
          <w:t>敲敲，没人回应。研究发现科学家的笑话大多不受欢迎</w:t>
        </w:r>
      </w:hyperlink>
    </w:p>
    <w:p>
      <w:pPr>
        <w:spacing w:before="0" w:after="80"/>
      </w:pPr>
      <w:r>
        <w:rPr>
          <w:i/>
          <w:sz w:val="20"/>
        </w:rPr>
        <w:t>EN: Knock knock, no one’s there. Study finds scientists’ jokes mostly fall flat</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800">
        <w:r>
          <w:rPr>
            <w:color w:val="1155CC"/>
            <w:u w:val="single"/>
          </w:rPr>
          <w:t>10.1038/d41586-026-00854-9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[304] </w:t>
      </w:r>
      <w:hyperlink r:id="rId801">
        <w:r>
          <w:rPr>
            <w:color w:val="1155CC"/>
            <w:u w:val="single"/>
          </w:rPr>
          <w:t>我们的微生物祖先可能是耐氧的</w:t>
        </w:r>
      </w:hyperlink>
    </w:p>
    <w:p>
      <w:pPr>
        <w:spacing w:before="0" w:after="80"/>
      </w:pPr>
      <w:r>
        <w:rPr>
          <w:i/>
          <w:sz w:val="20"/>
        </w:rPr>
        <w:t>EN: Our microbial ancestors were probably oxygen-tolerant</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802">
        <w:r>
          <w:rPr>
            <w:color w:val="1155CC"/>
            <w:u w:val="single"/>
          </w:rPr>
          <w:t>10.1038/d41586-026-00718-2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[305] </w:t>
      </w:r>
      <w:hyperlink r:id="rId803">
        <w:r>
          <w:rPr>
            <w:color w:val="1155CC"/>
            <w:u w:val="single"/>
          </w:rPr>
          <w:t>CRISPR在小鼠体内制造增强的抗癌免疫细胞</w:t>
        </w:r>
      </w:hyperlink>
    </w:p>
    <w:p>
      <w:pPr>
        <w:spacing w:before="0" w:after="80"/>
      </w:pPr>
      <w:r>
        <w:rPr>
          <w:i/>
          <w:sz w:val="20"/>
        </w:rPr>
        <w:t>EN: CRISPR makes enhanced cancer-fighting immune cells inside mice</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804">
        <w:r>
          <w:rPr>
            <w:color w:val="1155CC"/>
            <w:u w:val="single"/>
          </w:rPr>
          <w:t>10.1038/d41586-026-00857-6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[306] </w:t>
      </w:r>
      <w:hyperlink r:id="rId805">
        <w:r>
          <w:rPr>
            <w:color w:val="1155CC"/>
            <w:u w:val="single"/>
          </w:rPr>
          <w:t>引领解释静电的潮流</w:t>
        </w:r>
      </w:hyperlink>
    </w:p>
    <w:p>
      <w:pPr>
        <w:spacing w:before="0" w:after="80"/>
      </w:pPr>
      <w:r>
        <w:rPr>
          <w:i/>
          <w:sz w:val="20"/>
        </w:rPr>
        <w:t>EN: Leading the charge to explain static electricity</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806">
        <w:r>
          <w:rPr>
            <w:color w:val="1155CC"/>
            <w:u w:val="single"/>
          </w:rPr>
          <w:t>10.1038/d41586-026-00839-8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[307] </w:t>
      </w:r>
      <w:hyperlink r:id="rId807">
        <w:r>
          <w:rPr>
            <w:color w:val="1155CC"/>
            <w:u w:val="single"/>
          </w:rPr>
          <w:t>具有片上反向传播训练的集成光子神经网络</w:t>
        </w:r>
      </w:hyperlink>
    </w:p>
    <w:p>
      <w:pPr>
        <w:spacing w:before="0" w:after="80"/>
      </w:pPr>
      <w:r>
        <w:rPr>
          <w:i/>
          <w:sz w:val="20"/>
        </w:rPr>
        <w:t>EN: Integrated photonic neural network with on-chip backpropagation training</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808">
        <w:r>
          <w:rPr>
            <w:color w:val="1155CC"/>
            <w:u w:val="single"/>
          </w:rPr>
          <w:t>10.1038/s41586-026-10262-8</w:t>
        </w:r>
      </w:hyperlink>
    </w:p>
    <w:p>
      <w:pPr>
        <w:spacing w:before="0" w:after="120"/>
      </w:pPr>
      <w:r>
        <w:rPr>
          <w:b/>
        </w:rPr>
        <w:t xml:space="preserve">Notes: </w:t>
      </w:r>
      <w:r>
        <w:t>abstract_source=nature_html</w:t>
      </w:r>
    </w:p>
    <w:p>
      <w:pPr>
        <w:spacing w:before="0" w:after="80" w:lineRule="auto" w:line="276"/>
      </w:pPr>
      <w:r>
        <w:rPr>
          <w:b/>
        </w:rPr>
        <w:t xml:space="preserve">摘要（ZH）: </w:t>
      </w:r>
      <w:r>
        <w:t>可扩展集成光子神经网络（PNNs）的稳健和可重复性能1,2,3在很大程度上取决于其训练的质量。基于梯度的反向传播是训练数字神经网络的主流算法，因其可扩展性、多功能性和实现效率4。因此，人们对在光子平台上以全光学方式实现它产生了兴趣。目前，由于缺乏可扩展的片上激活梯度5，PNNs的训练依赖于数字计算机运行反向传播，其性能在不可避免的设备间和环境变化的存在下降低，或者依赖于不完全利用反向传播训练多功能性的无梯度算法。在此，我们报告了</w:t>
      </w:r>
    </w:p>
    <w:p>
      <w:pPr>
        <w:spacing w:before="0" w:after="200" w:lineRule="auto" w:line="276"/>
      </w:pPr>
      <w:r>
        <w:rPr>
          <w:b/>
        </w:rPr>
        <w:t xml:space="preserve">Abstract (EN): </w:t>
      </w:r>
      <w:r>
        <w:t>The robust and repeatable performance of scalable integrated photonic neural networks (PNNs)1,2,3 strongly depends on the quality of their training. Gradient-based backpropagation is the mainstream algorithm for training digital neural networks thanks to its scalability, versatility and implementation efficiency4. Consequently, there is an interest in implementing it within a photonic platform in an all-optical manner. At present, owing to the lack of a scalable on-chip activation gradient5, training PNNs has relied on digital computers to run backpropagation, whose performance is reduced in the presence of inevitable device-to-device and environmental variations, or on gradient-free algorithms that do not fully benefit from the versatility of backpropagation training. Here we report the demonstration of an integrated photonic deep neural network, trained end-to-end with on-chip gradient-descent backpropagation. All linear and nonlinear computations are performed on a single photonic chip, leading to scalable and robust training, despite the considerable yet typical fabrication-induced device variations. In two nonlinear data classification tasks, chip performance matches that of the reference digital model in accuracy (over 90%) and robustness without using a digital computer. Integrating the advantages of backpropagation training with PNNs allows for generalization to various PNN architectures for future scalable and reliable photonic computing systems.</w:t>
      </w:r>
    </w:p>
    <w:p>
      <w:pPr>
        <w:spacing w:before="120" w:after="120"/>
      </w:pPr>
      <w:r>
        <w:rPr>
          <w:sz w:val="18"/>
        </w:rPr>
        <w:t>——————————————————————————————————————————————————————————————————————</w:t>
      </w:r>
    </w:p>
    <w:p>
      <w:pPr>
        <w:spacing w:before="160" w:after="40" w:line="240" w:lineRule="auto"/>
      </w:pPr>
      <w:r>
        <w:rPr>
          <w:b/>
        </w:rPr>
        <w:t xml:space="preserve">[308] </w:t>
      </w:r>
      <w:hyperlink r:id="rId809">
        <w:r>
          <w:rPr>
            <w:color w:val="1155CC"/>
            <w:u w:val="single"/>
          </w:rPr>
          <w:t>大脑的保护屏障在进行接触性运动后多年仍然保持渗漏</w:t>
        </w:r>
      </w:hyperlink>
    </w:p>
    <w:p>
      <w:pPr>
        <w:spacing w:before="0" w:after="80"/>
      </w:pPr>
      <w:r>
        <w:rPr>
          <w:i/>
          <w:sz w:val="20"/>
        </w:rPr>
        <w:t>EN: Brain’s protective barrier stays leaky for years after playing contact sports</w:t>
      </w:r>
    </w:p>
    <w:p>
      <w:pPr>
        <w:spacing w:before="0" w:after="120"/>
      </w:pPr>
      <w:r>
        <w:rPr>
          <w:b/>
        </w:rPr>
        <w:t xml:space="preserve">Source: </w:t>
      </w:r>
      <w:r>
        <w:t>Nature</w:t>
      </w:r>
      <w:r>
        <w:t xml:space="preserve">    </w:t>
      </w:r>
      <w:r>
        <w:rPr>
          <w:b/>
        </w:rPr>
        <w:t xml:space="preserve">Pub date: </w:t>
      </w:r>
      <w:r>
        <w:t>2026-03-18 00:00:00+00:00</w:t>
      </w:r>
      <w:r>
        <w:t xml:space="preserve">    </w:t>
      </w:r>
      <w:r>
        <w:rPr>
          <w:b/>
        </w:rPr>
        <w:t xml:space="preserve">DOI: </w:t>
      </w:r>
      <w:hyperlink r:id="rId810">
        <w:r>
          <w:rPr>
            <w:color w:val="1155CC"/>
            <w:u w:val="single"/>
          </w:rPr>
          <w:t>10.1038/d41586-026-00885-2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[309] </w:t>
      </w:r>
      <w:hyperlink r:id="rId811">
        <w:r>
          <w:rPr>
            <w:color w:val="1155CC"/>
            <w:u w:val="single"/>
          </w:rPr>
          <w:t>保守的成纤维细胞生长因子受体基础信号传导对于树突再生是必需的</w:t>
        </w:r>
      </w:hyperlink>
    </w:p>
    <w:p>
      <w:pPr>
        <w:spacing w:before="0" w:after="80"/>
      </w:pPr>
      <w:r>
        <w:rPr>
          <w:i/>
          <w:sz w:val="20"/>
        </w:rPr>
        <w:t>EN: The conserved fibroblast growth factor receptor–based signaling is required for dendrite regeneration</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12">
        <w:r>
          <w:rPr>
            <w:color w:val="1155CC"/>
            <w:u w:val="single"/>
          </w:rPr>
          <w:t>10.1073/pnas.2506886123</w:t>
        </w:r>
      </w:hyperlink>
    </w:p>
    <w:p>
      <w:pPr>
        <w:spacing w:before="0" w:after="120"/>
      </w:pPr>
      <w:r>
        <w:rPr>
          <w:b/>
        </w:rPr>
        <w:t xml:space="preserve">Notes: </w:t>
      </w:r>
      <w:r>
        <w:t>abstract_source=crossref</w:t>
      </w:r>
    </w:p>
    <w:p>
      <w:pPr>
        <w:spacing w:before="0" w:after="80" w:lineRule="auto" w:line="276"/>
      </w:pPr>
      <w:r>
        <w:rPr>
          <w:b/>
        </w:rPr>
        <w:t xml:space="preserve">摘要（ZH）: </w:t>
      </w:r>
      <w:r>
        <w:t>神经元的轴突和树突在中风和创伤期间都容易受到物理损伤。与轴突再生不同，树突再生的机制仍然很难捉摸。在这项研究中，我们开发了一种高通量方法来诱导</w:t>
      </w:r>
      <w:r>
        <w:t xml:space="preserve"> </w:t>
      </w:r>
      <w:r>
        <w:t>秀丽隐杆线虫</w:t>
      </w:r>
      <w:r>
        <w:t xml:space="preserve"> </w:t>
      </w:r>
      <w:r>
        <w:t>的PVD神经元中的树突损伤，从而能够系统地分析再生机制。我们将这种高效的损伤方法与RNAi结合，筛选了825个在PVD神经元中高表达的基因。我们确定了树突再生的关键调节因子，包括成纤维细胞生长因子受体（FGFR）EGL-15及其下游信号成分、F-肌动蛋白动力学的调节因子和转录因子。</w:t>
      </w:r>
    </w:p>
    <w:p>
      <w:pPr>
        <w:spacing w:before="0" w:after="200" w:lineRule="auto" w:line="276"/>
      </w:pPr>
      <w:r>
        <w:rPr>
          <w:b/>
        </w:rPr>
        <w:t xml:space="preserve">Abstract (EN): </w:t>
      </w:r>
      <w:r>
        <w:t>Both axons and dendrites of a neuron are susceptible to physical insults during stroke and trauma. Unlike axon regeneration, the mechanisms of dendrite regeneration remain largely elusive. In this study, we developed a high-throughput method to induce dendrite injury in the PVD neuron of</w:t>
      </w:r>
      <w:r>
        <w:t xml:space="preserve"> </w:t>
      </w:r>
      <w:r>
        <w:t>Caenorhabditis</w:t>
      </w:r>
      <w:r>
        <w:t xml:space="preserve"> </w:t>
      </w:r>
      <w:r>
        <w:t>elegans</w:t>
      </w:r>
      <w:r>
        <w:t xml:space="preserve"> </w:t>
      </w:r>
      <w:r>
        <w:t>, enabling systematic analysis of regenerative mechanisms. We combined this efficient injury method with RNAi to screen through 825 genes that are highly expressed in PVD neurons. We identified key regulators of dendrite regeneration, including the fibroblast growth factor receptor (FGFR) EGL-15 and its downstream signaling components, regulators of F-actin dynamics, and transcription factors. Moreover, our findings indicate that FGFR/EGL-15 is both necessary and sufficient within the neuron at an early point after injury to initiate branching from the broken dendrite tip, and it is also required in the epidermal tissue to prevent the distal dendrite degeneration. Further analysis revealed that the FGF ligand, EGL-17, functions within the surrounding epithelia for the neuron-specific role of EGL-15. Downstream of EGL-15, the GRB2/SEM-5 adaptor-dependent signaling arm involving GEF/SOS-1, RAS/LET-60, and MAPK-1/MPK-1 is required for dendrite regeneration. In summary, our study identified the conserved FGFR signaling that responds to dendrite injury to initiate dendrite regeneration. Our screening also identified pathways involving F-actin dynamics and transcription factors, which will help the dissection of the dendrite regeneration mechanism in the future.</w:t>
      </w:r>
    </w:p>
    <w:p>
      <w:pPr>
        <w:spacing w:before="120" w:after="120"/>
      </w:pPr>
      <w:r>
        <w:rPr>
          <w:sz w:val="18"/>
        </w:rPr>
        <w:t>——————————————————————————————————————————————————————————————————————</w:t>
      </w:r>
    </w:p>
    <w:p>
      <w:pPr>
        <w:spacing w:before="160" w:after="40" w:line="240" w:lineRule="auto"/>
      </w:pPr>
      <w:r>
        <w:rPr>
          <w:b/>
        </w:rPr>
        <w:t xml:space="preserve">[310] </w:t>
      </w:r>
      <w:hyperlink r:id="rId813">
        <w:r>
          <w:rPr>
            <w:color w:val="1155CC"/>
            <w:u w:val="single"/>
          </w:rPr>
          <w:t>小鼠中轻度SARS-CoV-2母体感染会引发短暂的后代神经发育异常</w:t>
        </w:r>
      </w:hyperlink>
    </w:p>
    <w:p>
      <w:pPr>
        <w:spacing w:before="0" w:after="80"/>
      </w:pPr>
      <w:r>
        <w:rPr>
          <w:i/>
          <w:sz w:val="20"/>
        </w:rPr>
        <w:t>EN: Mild SARS-CoV-2 maternal infection in mice induces transient offspring neurodevelopmental aberrance</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14">
        <w:r>
          <w:rPr>
            <w:color w:val="1155CC"/>
            <w:u w:val="single"/>
          </w:rPr>
          <w:t>10.1073/pnas.2518294123</w:t>
        </w:r>
      </w:hyperlink>
    </w:p>
    <w:p>
      <w:pPr>
        <w:spacing w:before="0" w:after="120"/>
      </w:pPr>
      <w:r>
        <w:rPr>
          <w:b/>
        </w:rPr>
        <w:t xml:space="preserve">Notes: </w:t>
      </w:r>
      <w:r>
        <w:t>abstract_source=crossref</w:t>
      </w:r>
    </w:p>
    <w:p>
      <w:pPr>
        <w:spacing w:before="0" w:after="80" w:lineRule="auto" w:line="276"/>
      </w:pPr>
      <w:r>
        <w:rPr>
          <w:b/>
        </w:rPr>
        <w:t xml:space="preserve">摘要（ZH）: </w:t>
      </w:r>
      <w:r>
        <w:t>怀孕期间的母体病毒感染已被确定为后代精神疾病和神经发育异常的风险因素。随着全球SARS-CoV-2感染累计已达数亿例，有必要评估母体SARS-CoV-2感染对后代大脑发育和行为的影响。我们开发了一种怀孕期间轻度COVID-19的小鼠模型，其中SARS-CoV-2感染仅限于呼吸道。感染的母鼠没有表现出体重减轻或窝大小的变化，但确实表现出可检测的局部和全身免疫反应，包括胎盘炎症。对后代大脑皮层的表征显示，在E15和出生后第5天（P5）胎儿中存在转录组变化，但没有</w:t>
      </w:r>
    </w:p>
    <w:p>
      <w:pPr>
        <w:spacing w:before="0" w:after="200" w:lineRule="auto" w:line="276"/>
      </w:pPr>
      <w:r>
        <w:rPr>
          <w:b/>
        </w:rPr>
        <w:t xml:space="preserve">Abstract (EN): </w:t>
      </w:r>
      <w:r>
        <w:t>Maternal viral infection during pregnancy has been identified as a risk factor for psychiatric disorders and neurodevelopmental abnormalities in offspring. With cumulative SARS-CoV-2 infections now numbering in the hundreds of millions globally, there is a need to evaluate the effects of maternal SARS-CoV-2 infection on offspring brain development and behavior. We developed a mouse model of mild COVID-19 during pregnancy in which SARS-CoV-2 infection is restricted to the respiratory tract. Infected mothers did not show weight loss or changes in litter size, but did exhibit detectable local and systemic immune responses, including placental inflammation. Characterization of the offspring’s cerebral cortex revealed transcriptomic changes in the fetus at E15 and on postnatal day 5 (P5), but no gross alterations in cytoarchitecture, synaptic density, or microglial abundance. We did not detect any significant changes in open-field or novel object recognition tests in P50 offspring born to SARS-CoV-2-infected dams. These findings suggest that mild maternal respiratory SARS-CoV-2 infection induces soluble factors that mediate placental inflammation and transient cerebral cortex alterations in offspring that resolve by later childhood.</w:t>
      </w:r>
    </w:p>
    <w:p>
      <w:pPr>
        <w:spacing w:before="120" w:after="120"/>
      </w:pPr>
      <w:r>
        <w:rPr>
          <w:sz w:val="18"/>
        </w:rPr>
        <w:t>——————————————————————————————————————————————————————————————————————</w:t>
      </w:r>
    </w:p>
    <w:p>
      <w:pPr>
        <w:spacing w:before="160" w:after="40" w:line="240" w:lineRule="auto"/>
      </w:pPr>
      <w:r>
        <w:rPr>
          <w:b/>
        </w:rPr>
        <w:t xml:space="preserve">[311] </w:t>
      </w:r>
      <w:hyperlink r:id="rId815">
        <w:r>
          <w:rPr>
            <w:color w:val="1155CC"/>
            <w:u w:val="single"/>
          </w:rPr>
          <w:t>睡眠改变了人脑中的神经血管和流体动力耦合</w:t>
        </w:r>
      </w:hyperlink>
    </w:p>
    <w:p>
      <w:pPr>
        <w:spacing w:before="0" w:after="80"/>
      </w:pPr>
      <w:r>
        <w:rPr>
          <w:i/>
          <w:sz w:val="20"/>
        </w:rPr>
        <w:t>EN: Sleep alters neurovascular and hydrodynamic coupling in the human brain</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16">
        <w:r>
          <w:rPr>
            <w:color w:val="1155CC"/>
            <w:u w:val="single"/>
          </w:rPr>
          <w:t>10.1073/pnas.2510731123</w:t>
        </w:r>
      </w:hyperlink>
    </w:p>
    <w:p>
      <w:pPr>
        <w:spacing w:before="0" w:after="120"/>
      </w:pPr>
      <w:r>
        <w:rPr>
          <w:b/>
        </w:rPr>
        <w:t xml:space="preserve">Notes: </w:t>
      </w:r>
      <w:r>
        <w:t>abstract_source=crossref</w:t>
      </w:r>
    </w:p>
    <w:p>
      <w:pPr>
        <w:spacing w:before="0" w:after="80" w:lineRule="auto" w:line="276"/>
      </w:pPr>
      <w:r>
        <w:rPr>
          <w:b/>
        </w:rPr>
        <w:t xml:space="preserve">摘要（ZH）: </w:t>
      </w:r>
      <w:r>
        <w:t>睡眠对于维持脑组织稳态至关重要，这通过增强的脑脊液（CSF）溶质运输得以实现。超慢（&lt;0.1 Hz）血管运动、CSF流动和电生理电位在睡眠期间均增加，但它们作为人脑中CSF流动潜在驱动因素的贡献仍然未知。为此，我们使用功能性MRI血氧水平依赖（BOLD）、脑电图和功能性近红外光谱测量了健康志愿者在睡眠-觉醒状态下的这些信号。然后，我们使用相位传递熵研究了这三种信号之间的定向耦合模式。在清醒状态下，电生理电位和水浓度变化均预测了全脑的血流动力学BOLD变化，</w:t>
      </w:r>
    </w:p>
    <w:p>
      <w:pPr>
        <w:spacing w:before="0" w:after="200" w:lineRule="auto" w:line="276"/>
      </w:pPr>
      <w:r>
        <w:rPr>
          <w:b/>
        </w:rPr>
        <w:t xml:space="preserve">Abstract (EN): </w:t>
      </w:r>
      <w:r>
        <w:t>Sleep is essential for maintaining brain tissue homeostasis, which is facilitated by enhanced cerebrospinal fluid (CSF) solute transport. Infraslow (&amp;lt;0.1 Hz) vasomotion, CSF flow, and electrophysiological potential all increase during sleep, but their contributions as potential drivers of CSF flow in human brain remain unknown. To investigate this, we measured these signals in healthy volunteers across sleep–wake states using functional MRI blood oxygen level-dependent (BOLD), electroencephalography, and functional near-infrared spectroscopy. We then studied the directed coupling patterns between the three signals, using phase transfer entropy. In the awake state, electrophysiological potential and water concentration changes both predicted hemodynamic BOLD changes across whole brain, reflecting classical functional hyperemia. During sleep, these interactions changed such that the net directionality was lost and the interactions became more bidirectional. Our results show that in addition to neural changes during sleep, nonneural processes such as vasomotor-driven hydrodynamic waves start to gain more impact on human brain activity.</w:t>
      </w:r>
    </w:p>
    <w:p>
      <w:pPr>
        <w:spacing w:before="120" w:after="120"/>
      </w:pPr>
      <w:r>
        <w:rPr>
          <w:sz w:val="18"/>
        </w:rPr>
        <w:t>——————————————————————————————————————————————————————————————————————</w:t>
      </w:r>
    </w:p>
    <w:p>
      <w:pPr>
        <w:spacing w:before="160" w:after="40" w:line="240" w:lineRule="auto"/>
      </w:pPr>
      <w:r>
        <w:rPr>
          <w:b/>
        </w:rPr>
        <w:t xml:space="preserve">[312] </w:t>
      </w:r>
      <w:hyperlink r:id="rId817">
        <w:r>
          <w:rPr>
            <w:color w:val="1155CC"/>
            <w:u w:val="single"/>
          </w:rPr>
          <w:t>病毒RNA的m6A表观遗传修饰对于蚊媒黄病毒的传播周期至关重要</w:t>
        </w:r>
      </w:hyperlink>
    </w:p>
    <w:p>
      <w:pPr>
        <w:spacing w:before="0" w:after="80"/>
      </w:pPr>
      <w:r>
        <w:rPr>
          <w:i/>
          <w:sz w:val="20"/>
        </w:rPr>
        <w:t>EN: m6A epigenetic modification of viral RNA is critical for the transmission cycle of mosquito-borne flaviviruses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18">
        <w:r>
          <w:rPr>
            <w:color w:val="1155CC"/>
            <w:u w:val="single"/>
          </w:rPr>
          <w:t>10.1073/pnas.2511164123</w:t>
        </w:r>
      </w:hyperlink>
    </w:p>
    <w:p>
      <w:pPr>
        <w:spacing w:before="0" w:after="120"/>
      </w:pPr>
      <w:r>
        <w:rPr>
          <w:b/>
        </w:rPr>
        <w:t xml:space="preserve">Notes: </w:t>
      </w:r>
      <w:r>
        <w:t>abstract_source=crossref</w:t>
      </w:r>
    </w:p>
    <w:p>
      <w:pPr>
        <w:spacing w:before="0" w:after="80" w:lineRule="auto" w:line="276"/>
      </w:pPr>
      <w:r>
        <w:rPr>
          <w:b/>
        </w:rPr>
        <w:t xml:space="preserve">摘要（ZH）: </w:t>
      </w:r>
      <w:r>
        <w:t>虫媒病毒通过其病毒基因组的精确双宿主适应，在节肢动物和脊椎动物之间维持替代传播途径。然而，表观遗传修饰如何影响黄病毒传播周期仍不清楚。消耗m6A修饰复合物显示，m6A修饰优先促进蚊媒黄病毒（MBFs）在脊椎动物中的传播，但在蚊子中则不然。MBF 3' UTR中的茎环I（SLI）缺失降低了脊椎动物中的m6A表达和病毒传播，但在蚊子中没有影响，表明病毒基因组成分与表观遗传修饰之间的相互作用。在机制上，发现应激颗粒中的m6A修饰是由动态的SLI–细胞G3BP1相互作用驱动的。G3BP1排出m6A甲基化的病毒基因组和未</w:t>
      </w:r>
    </w:p>
    <w:p>
      <w:pPr>
        <w:spacing w:before="0" w:after="200" w:lineRule="auto" w:line="276"/>
      </w:pPr>
      <w:r>
        <w:rPr>
          <w:b/>
        </w:rPr>
        <w:t xml:space="preserve">Abstract (EN): </w:t>
      </w:r>
      <w:r>
        <w:t>Arboviruses maintain alternative transmission routes between arthropods and vertebrates through precise dual-host adaptation of their viral genome. However, how epigenetic modifications impact flavivirus transmission cycle remains obscure. Depleting the m6A modification complex revealed that m6A modifications preferentially facilitate mosquito-borne flaviviruses (MBFs) propagation in vertebrates but not in mosquitoes. Stem loop I (SLI) deletion in the MBF 3’ UTR decreased m6A expression and viral propagation in vertebrates but not in mosquitoes, indicating viral genome component–epigenetic modification interplay. Mechanistically, m6A modification in stress granules was found to be driven by dynamic SLI–cellular G3BP1 interaction. The m6A-methylated viral genome is ejected by G3BP1 and undergoes viral assembly. Chemical perturbation of m6A modification via METTL3 inhibition potently blocked MBF proliferation in mice and abolished mouse–mosquito viral transmission. Overall, m6A modification is indispensable for efficient arthropod-to-vertebrate transmission of MBF, highlighting its potential as a target for antiviral and transmission-control strategies.</w:t>
      </w:r>
    </w:p>
    <w:p>
      <w:pPr>
        <w:spacing w:before="120" w:after="120"/>
      </w:pPr>
      <w:r>
        <w:rPr>
          <w:sz w:val="18"/>
        </w:rPr>
        <w:t>——————————————————————————————————————————————————————————————————————</w:t>
      </w:r>
    </w:p>
    <w:p>
      <w:pPr>
        <w:spacing w:before="160" w:after="40" w:line="240" w:lineRule="auto"/>
      </w:pPr>
      <w:r>
        <w:rPr>
          <w:b/>
        </w:rPr>
        <w:t xml:space="preserve">[313] </w:t>
      </w:r>
      <w:hyperlink r:id="rId819">
        <w:r>
          <w:rPr>
            <w:color w:val="1155CC"/>
            <w:u w:val="single"/>
          </w:rPr>
          <w:t>单细胞多组学的正交解缠揭示了组织发育和病理发生的私有和共享驱动因素</w:t>
        </w:r>
      </w:hyperlink>
    </w:p>
    <w:p>
      <w:pPr>
        <w:spacing w:before="0" w:after="80"/>
      </w:pPr>
      <w:r>
        <w:rPr>
          <w:i/>
          <w:sz w:val="20"/>
        </w:rPr>
        <w:t>EN: Orthogonal disentanglement of single-cell multi-omics reveals private and shared drivers of tissue development and pathogenesis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20">
        <w:r>
          <w:rPr>
            <w:color w:val="1155CC"/>
            <w:u w:val="single"/>
          </w:rPr>
          <w:t>10.1073/pnas.2519870123</w:t>
        </w:r>
      </w:hyperlink>
    </w:p>
    <w:p>
      <w:pPr>
        <w:spacing w:before="0" w:after="120"/>
      </w:pPr>
      <w:r>
        <w:rPr>
          <w:b/>
        </w:rPr>
        <w:t xml:space="preserve">Notes: </w:t>
      </w:r>
      <w:r>
        <w:t>abstract_source=crossref</w:t>
      </w:r>
    </w:p>
    <w:p>
      <w:pPr>
        <w:spacing w:before="0" w:after="80" w:lineRule="auto" w:line="276"/>
      </w:pPr>
      <w:r>
        <w:rPr>
          <w:b/>
        </w:rPr>
        <w:t xml:space="preserve">摘要（ZH）: </w:t>
      </w:r>
      <w:r>
        <w:t>表征基因表达和调控动态以揭示正常组织功能和疾病进展需要对单细胞多组学数据进行综合分析。然而，基因调控的不同步性和单细胞多组学数据的快照产生了每个组学层特有的私有信号和反映跨模态协调的共享信号。在此，我们提出了使用领域适应的组学分离建模（OmiDos），这是一种灵活的无注释深度学习框架，可以在多组学数据中通过私有-共享成分分析解开组学特异性和跨组学共享的潜在变量。其模块化架构能够无缝扩展以结合对未配对数据错位的对抗学习，并重构其成分</w:t>
      </w:r>
    </w:p>
    <w:p>
      <w:pPr>
        <w:spacing w:before="0" w:after="200" w:lineRule="auto" w:line="276"/>
      </w:pPr>
      <w:r>
        <w:rPr>
          <w:b/>
        </w:rPr>
        <w:t xml:space="preserve">Abstract (EN): </w:t>
      </w:r>
      <w:r>
        <w:t>Characterizing gene expression and regulatory dynamics underlying both normal tissue function and disease progression requires an integrative analysis of single-cell multi-omics data. However, the asynchrony of gene regulation and the snapshot of single-cell multi-omics data give rise to private signals unique to each omics layer and shared signals reflecting cross-modality coordination. Here, we present Omics Separation Modeling using Domain Adaptation (OmiDos), a flexible annotation-free deep learning framework that disentangles omic-specific and interomic shared latent variables in multi-omics data with private-shared component analysis. Its modular architecture enables seamless extension to incorporate adversarial learning for unpaired data misalignment and to restructure its components to leverage the maximum mean discrepancy regularization, thereby minimizing interference with biological variability. Through this disentanglement, OmiDos enables the estimation of gene expression and regulatory dynamics at finer biological granularity and empowers various downstream analyses. We demonstrated the superior performance of OmiDos in terms of clustering accuracy, batch-effect correction, and misalignment resolution across datasets spanning diverse platforms and tissue types. In mouse secondary palate development, OmiDos precisely identified a cell type–specific unlinked distal enhancer, elucidating its essential role in the regulation of epithelial cell differentiation and migration. The application of OmiDos to medulloblastoma revealed a potential role deficiency in driving partial closure of the distal enhancer region of</w:t>
      </w:r>
      <w:r>
        <w:t xml:space="preserve"> </w:t>
      </w:r>
      <w:r>
        <w:t>Neurod1</w:t>
      </w:r>
      <w:r>
        <w:t xml:space="preserve"> </w:t>
      </w:r>
      <w:r>
        <w:t>may contribute to the progression of medulloblastoma from normal to tumor states.</w:t>
      </w:r>
    </w:p>
    <w:p>
      <w:pPr>
        <w:spacing w:before="120" w:after="120"/>
      </w:pPr>
      <w:r>
        <w:rPr>
          <w:sz w:val="18"/>
        </w:rPr>
        <w:t>——————————————————————————————————————————————————————————————————————</w:t>
      </w:r>
    </w:p>
    <w:p>
      <w:pPr>
        <w:spacing w:before="160" w:after="40" w:line="240" w:lineRule="auto"/>
      </w:pPr>
      <w:r>
        <w:rPr>
          <w:b/>
        </w:rPr>
        <w:t xml:space="preserve">[314] </w:t>
      </w:r>
      <w:hyperlink r:id="rId821">
        <w:r>
          <w:rPr>
            <w:color w:val="1155CC"/>
            <w:u w:val="single"/>
          </w:rPr>
          <w:t>SMARCA4–TMEM47轴在基孔肯雅病毒RNA复制中起着关键作用</w:t>
        </w:r>
      </w:hyperlink>
    </w:p>
    <w:p>
      <w:pPr>
        <w:spacing w:before="0" w:after="80"/>
      </w:pPr>
      <w:r>
        <w:rPr>
          <w:i/>
          <w:sz w:val="20"/>
        </w:rPr>
        <w:t>EN: The SMARCA4–TMEM47 axis plays an essential role in chikungunya virus RNA replication</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22">
        <w:r>
          <w:rPr>
            <w:color w:val="1155CC"/>
            <w:u w:val="single"/>
          </w:rPr>
          <w:t>10.1073/pnas.2529607123</w:t>
        </w:r>
      </w:hyperlink>
    </w:p>
    <w:p>
      <w:pPr>
        <w:spacing w:before="0" w:after="120"/>
      </w:pPr>
      <w:r>
        <w:rPr>
          <w:b/>
        </w:rPr>
        <w:t xml:space="preserve">Notes: </w:t>
      </w:r>
      <w:r>
        <w:t>abstract_source=crossref</w:t>
      </w:r>
    </w:p>
    <w:p>
      <w:pPr>
        <w:spacing w:before="0" w:after="80" w:lineRule="auto" w:line="276"/>
      </w:pPr>
      <w:r>
        <w:rPr>
          <w:b/>
        </w:rPr>
        <w:t xml:space="preserve">摘要（ZH）: </w:t>
      </w:r>
      <w:r>
        <w:t>基孔肯雅病毒（CHIKV）对全球公共健康构成持续威胁。在此，我们确定了cBAF复合物核心ATP酶亚基SMARCA4作为CHIKV的宿主因子。SMARCA4作为染色质重塑因子，许可四跨膜蛋白TMEM47的表达。TMEM47缺乏会损害CHIKV在不同细胞类型中的复制，并在小鼠感染CHIKV后降低病毒载量和病理效应。TMEM47与CHIKV RNA和非结构蛋白nsP1相互作用。nsP1的异位表达导致TMEM47显著重新分布到质膜，在那里它对于病毒复制小球的成功组装是必需的。我们还显示SMARCA4抑制剂抑制细胞中的CHIKV复制。这些发现表明SMARCA4–TMEM47</w:t>
      </w:r>
    </w:p>
    <w:p>
      <w:pPr>
        <w:spacing w:before="0" w:after="200" w:lineRule="auto" w:line="276"/>
      </w:pPr>
      <w:r>
        <w:rPr>
          <w:b/>
        </w:rPr>
        <w:t xml:space="preserve">Abstract (EN): </w:t>
      </w:r>
      <w:r>
        <w:t>Chikungunya virus (CHIKV) poses an ongoing threat to global public health. Here, we identified the cBAF complex core ATPase subunit SMARCA4 as a host factor for CHIKV. SMARCA4 acts as a chromatin remodeling factor to license expression of the four-pass transmembrane protein TMEM47. TMEM47 deficiency impairs CHIKV replication in divergent cell types and reduces viral loads and pathological effects following CHIKV infection in mice. TMEM47 interacts with both CHIKV RNA and the nonstructural protein nsP1. Ectopic expression of nsP1 causes a marked redistribution of TMEM47 to the plasma membrane, where it is required for successful assembly of viral replication spherules. We also show that the SMARCA4 inhibitors inhibit CHIKV replication in cells. These findings suggest that the SMARCA4–TMEM47 axis plays an essential role for the completion of the CHIKV life cycle and can be a potential target for anti-CHIKV therapeutics.</w:t>
      </w:r>
    </w:p>
    <w:p>
      <w:pPr>
        <w:spacing w:before="120" w:after="120"/>
      </w:pPr>
      <w:r>
        <w:rPr>
          <w:sz w:val="18"/>
        </w:rPr>
        <w:t>——————————————————————————————————————————————————————————————————————</w:t>
      </w:r>
    </w:p>
    <w:p>
      <w:pPr>
        <w:spacing w:before="160" w:after="40" w:line="240" w:lineRule="auto"/>
      </w:pPr>
      <w:r>
        <w:rPr>
          <w:b/>
        </w:rPr>
        <w:t xml:space="preserve">[315] </w:t>
      </w:r>
      <w:hyperlink r:id="rId823">
        <w:r>
          <w:rPr>
            <w:color w:val="1155CC"/>
            <w:u w:val="single"/>
          </w:rPr>
          <w:t>通过细胞周期蛋白D-CDK4/6调节免疫CD155–CD226–TIGIT轴</w:t>
        </w:r>
      </w:hyperlink>
    </w:p>
    <w:p>
      <w:pPr>
        <w:spacing w:before="0" w:after="80"/>
      </w:pPr>
      <w:r>
        <w:rPr>
          <w:i/>
          <w:sz w:val="20"/>
        </w:rPr>
        <w:t>EN: Regulation of the immune CD155–CD226–TIGIT axis by cyclin D-CDK4/6</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24">
        <w:r>
          <w:rPr>
            <w:color w:val="1155CC"/>
            <w:u w:val="single"/>
          </w:rPr>
          <w:t>10.1073/pnas.2522872123</w:t>
        </w:r>
      </w:hyperlink>
    </w:p>
    <w:p>
      <w:pPr>
        <w:spacing w:before="0" w:after="120"/>
      </w:pPr>
      <w:r>
        <w:rPr>
          <w:b/>
        </w:rPr>
        <w:t xml:space="preserve">Notes: </w:t>
      </w:r>
      <w:r>
        <w:t>abstract_source=crossref</w:t>
      </w:r>
    </w:p>
    <w:p>
      <w:pPr>
        <w:spacing w:before="0" w:after="80" w:lineRule="auto" w:line="276"/>
      </w:pPr>
      <w:r>
        <w:rPr>
          <w:b/>
        </w:rPr>
        <w:t xml:space="preserve">摘要（ZH）: </w:t>
      </w:r>
      <w:r>
        <w:t>Cyclin D-CDK4/6 是哺乳动物细胞周期机制的组成部分，推动细胞增殖。CDK4/6 的小分子抑制剂已被批准用于治疗乳腺癌患者。除了阻止细胞周期进程外，CDK4/6 的抑制还可以影响其他肿瘤细胞内在和外在功能。在此，我们研究了 CDK4/6 抑制对 CD155–CD226–TIGIT 通路的影响，该通路在肿瘤细胞与免疫环境的界面上运行。我们证明，CDK4/6 的抑制上调了癌细胞中表面 CD155 蛋白的表达，并下调了肿瘤浸润淋巴细胞中的免疫抑制受体 TIGIT。我们在人体乳腺癌细胞系、小鼠乳腺癌同种移植模型中观察到了这些效应。</w:t>
      </w:r>
    </w:p>
    <w:p>
      <w:pPr>
        <w:spacing w:before="0" w:after="200" w:lineRule="auto" w:line="276"/>
      </w:pPr>
      <w:r>
        <w:rPr>
          <w:b/>
        </w:rPr>
        <w:t xml:space="preserve">Abstract (EN): </w:t>
      </w:r>
      <w:r>
        <w:t>Cyclin D-CDK4/6 is a component of mammalian cell-cycle machinery that drives cell proliferation. Small-molecule inhibitors of CDK4/6 have been approved for treatment of breast cancer patients. In addition to halting cell-cycle progression, inhibition of CDK4/6 can affect other tumor cell-intrinsic and -extrinsic functions. Here, we examined the impact of CDK4/6 inhibition on the CD155–CD226–TIGIT pathway that operates at the interface of tumor cells and the immune environment. We demonstrate that inhibition of CDK4/6 upregulates the expression of surface CD155 protein in cancer cells and downregulates an immuno-inhibitory receptor TIGIT in tumor-infiltrating lymphocytes. We observed these effects in human breast cancer cell lines, in mouse mammary carcinoma allograft models, in freshly resected human breast tumors and in paired pre-/on-treatment biopsies of breast cancers from patients undergoing monotherapy with a CDK4/6 inhibitor. We propose that inhibition of CDK4/6, through its tumor cell-intrinsic and -extrinsic effects, may shift the balance from the immunoinhibitory CD155–TIGIT to the immunostimulatory CD155–CD226 interaction, and through this mechanism may augment the antitumor immunity. Our results suggest that coadministration of CDK4/6 inhibitors and anti-TIGIT antibodies may further promote CD155–CD226-signaling and may have a strong synergistic antitumor effect.</w:t>
      </w:r>
    </w:p>
    <w:p>
      <w:pPr>
        <w:spacing w:before="120" w:after="120"/>
      </w:pPr>
      <w:r>
        <w:rPr>
          <w:sz w:val="18"/>
        </w:rPr>
        <w:t>——————————————————————————————————————————————————————————————————————</w:t>
      </w:r>
    </w:p>
    <w:p>
      <w:pPr>
        <w:spacing w:before="160" w:after="40" w:line="240" w:lineRule="auto"/>
      </w:pPr>
      <w:r>
        <w:rPr>
          <w:b/>
        </w:rPr>
        <w:t xml:space="preserve">[316] </w:t>
      </w:r>
      <w:hyperlink r:id="rId825">
        <w:r>
          <w:rPr>
            <w:color w:val="1155CC"/>
            <w:u w:val="single"/>
          </w:rPr>
          <w:t>猴痘病毒蛋白OPG188对抗cGAS–STING抗病毒信号通路以介导免疫逃逸</w:t>
        </w:r>
      </w:hyperlink>
    </w:p>
    <w:p>
      <w:pPr>
        <w:spacing w:before="0" w:after="80"/>
      </w:pPr>
      <w:r>
        <w:rPr>
          <w:i/>
          <w:sz w:val="20"/>
        </w:rPr>
        <w:t>EN: Monkeypox virus protein OPG188 antagonizes cGAS–STING antiviral signaling pathway to mediate immune evasion</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26">
        <w:r>
          <w:rPr>
            <w:color w:val="1155CC"/>
            <w:u w:val="single"/>
          </w:rPr>
          <w:t>10.1073/pnas.2523334123</w:t>
        </w:r>
      </w:hyperlink>
    </w:p>
    <w:p>
      <w:pPr>
        <w:spacing w:before="0" w:after="120"/>
      </w:pPr>
      <w:r>
        <w:rPr>
          <w:b/>
        </w:rPr>
        <w:t xml:space="preserve">Notes: </w:t>
      </w:r>
      <w:r>
        <w:t>abstract_source=crossref</w:t>
      </w:r>
    </w:p>
    <w:p>
      <w:pPr>
        <w:spacing w:before="0" w:after="80" w:lineRule="auto" w:line="276"/>
      </w:pPr>
      <w:r>
        <w:rPr>
          <w:b/>
        </w:rPr>
        <w:t xml:space="preserve">摘要（ZH）: </w:t>
      </w:r>
      <w:r>
        <w:t>先天免疫逃逸对于有效的病毒复制至关重要。cGAS–STING 抗病毒信号通路及其下游效应基因的激活在限制早期 DNA 病毒感染期间的病毒复制中起关键作用。通过对猴痘病毒（MPXV）的全面基因组筛选，我们鉴定出三个病毒基因，OPG147、OPG188 和 OPG200，其表达强烈抑制 cGAS–STING 通路的激活。值得注意的是，OPG188 编码的 Poxin 蛋白的 N 端结构域表现出核酸酶活性，并切割环状二核苷酸第二信使 2′3′-cGAMP。通过定点突变，我们进一步划分了 Poxin 中九个保守区域和四个关键氨基酸残基——H15、K140、R182 和 I79——这些对于 cGAS–STING 的拮抗作用至关重要。</w:t>
      </w:r>
    </w:p>
    <w:p>
      <w:pPr>
        <w:spacing w:before="0" w:after="200" w:lineRule="auto" w:line="276"/>
      </w:pPr>
      <w:r>
        <w:rPr>
          <w:b/>
        </w:rPr>
        <w:t xml:space="preserve">Abstract (EN): </w:t>
      </w:r>
      <w:r>
        <w:t>Innate immune evasion is critical for productive viral replication. Activation of the cGAS–STING antiviral signaling pathway and its downstream effector genes plays a pivotal role in restricting viral replication during early DNA virus infection. Through a comprehensive genomic screen of monkeypox virus (MPXV), we identified three viral genes, OPG147, OPG188, and OPG200, whose expression potently suppresses cGAS–STING pathway activation. Notably, the N-terminal domain of the Poxin protein encoded by OPG188 exhibits nuclease activity and cleaves the cyclic dinucleotide second messenger 2′3′-cGAMP. Using site-directed mutagenesis, we further delineated nine conserved regions and four key amino acid residues—H15, K140, R182, and I79—within Poxin that are essential for antagonism of cGAS–STING signaling. Moreover, via molecular docking and high-throughput screening of 7,155 small molecules targeting the catalytic pocket of Poxin, we identified two compounds that competitively bind to Poxin, inhibiting its cGAMP—degrading activity and consequently restoring cGAS–STING-mediated antiviral signaling upon MPXV infection. Collectively, these findings underscore the pivotal role of OPG188 in modulating antiviral immune responses and highlight NAD</w:t>
      </w:r>
      <w:r>
        <w:t xml:space="preserve"> </w:t>
      </w:r>
      <w:r>
        <w:t>+</w:t>
      </w:r>
      <w:r>
        <w:t xml:space="preserve"> </w:t>
      </w:r>
      <w:r>
        <w:t>and Theaflavin-3’-gallate as promising candidates for the development of anti-MPXV therapeutics.</w:t>
      </w:r>
    </w:p>
    <w:p>
      <w:pPr>
        <w:spacing w:before="120" w:after="120"/>
      </w:pPr>
      <w:r>
        <w:rPr>
          <w:sz w:val="18"/>
        </w:rPr>
        <w:t>——————————————————————————————————————————————————————————————————————</w:t>
      </w:r>
    </w:p>
    <w:p>
      <w:pPr>
        <w:spacing w:before="160" w:after="40" w:line="240" w:lineRule="auto"/>
      </w:pPr>
      <w:r>
        <w:rPr>
          <w:b/>
        </w:rPr>
        <w:t xml:space="preserve">[317] </w:t>
      </w:r>
      <w:hyperlink r:id="rId827">
        <w:r>
          <w:rPr>
            <w:color w:val="1155CC"/>
            <w:u w:val="single"/>
          </w:rPr>
          <w:t>在大肠杆菌ORFans中，进口基因而非发明基因占主导地位</w:t>
        </w:r>
      </w:hyperlink>
    </w:p>
    <w:p>
      <w:pPr>
        <w:spacing w:before="0" w:after="80"/>
      </w:pPr>
      <w:r>
        <w:rPr>
          <w:i/>
          <w:sz w:val="20"/>
        </w:rPr>
        <w:t>EN: Imported, not invented, genes prevail among Escherichia coli ORFans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28">
        <w:r>
          <w:rPr>
            <w:color w:val="1155CC"/>
            <w:u w:val="single"/>
          </w:rPr>
          <w:t>10.1073/pnas.2523357123</w:t>
        </w:r>
      </w:hyperlink>
    </w:p>
    <w:p>
      <w:pPr>
        <w:spacing w:before="0" w:after="120"/>
      </w:pPr>
      <w:r>
        <w:rPr>
          <w:b/>
        </w:rPr>
        <w:t xml:space="preserve">Notes: </w:t>
      </w:r>
      <w:r>
        <w:t>abstract_source=crossref</w:t>
      </w:r>
    </w:p>
    <w:p>
      <w:pPr>
        <w:spacing w:before="0" w:after="80" w:lineRule="auto" w:line="276"/>
      </w:pPr>
      <w:r>
        <w:rPr>
          <w:b/>
        </w:rPr>
        <w:t xml:space="preserve">摘要（ZH）: </w:t>
      </w:r>
      <w:r>
        <w:t>细菌基因组包含大量 ORFans——在发现它们的物种之外缺乏同源物的基因。这些基因的来源仍然是个谜，因为新基因起源的主要机制——通过复制和分化——在细菌中很少见。关于 ORFan 基因诞生的解释包括来自数据库中未表示来源的水平转移和从现有序列的快速分化；然而，缺乏直接的基于同源性的证据使得这个问题仍未解决。我们整理了一组高置信度的</w:t>
      </w:r>
      <w:r>
        <w:t xml:space="preserve"> </w:t>
      </w:r>
      <w:r>
        <w:t>Escherichia coli</w:t>
      </w:r>
      <w:r>
        <w:t xml:space="preserve"> </w:t>
      </w:r>
      <w:r>
        <w:t>特异性 ORFans，其分布随后在该物种的泛基因组中被绘制。根据它们的出现模式，ORFan 基因可以</w:t>
      </w:r>
    </w:p>
    <w:p>
      <w:pPr>
        <w:spacing w:before="0" w:after="200" w:lineRule="auto" w:line="276"/>
      </w:pPr>
      <w:r>
        <w:rPr>
          <w:b/>
        </w:rPr>
        <w:t xml:space="preserve">Abstract (EN): </w:t>
      </w:r>
      <w:r>
        <w:t>Bacterial genomes contain numerous ORFans—genes lacking homologs outside the species in which they are found. The source of these genes remains enigmatic because the major mechanism by which new genes originate—by duplication and divergence—is rare in bacteria. The proposed explanations for the birth of ORFan genes include horizontal transfer from sources unrepresented in the databases and rapid divergence from preexisting sequences; however, the lack of direct homology-based evidence has left this issue unresolved. We curated a high-confident set of</w:t>
      </w:r>
      <w:r>
        <w:t xml:space="preserve"> </w:t>
      </w:r>
      <w:r>
        <w:t>Escherichia coli</w:t>
      </w:r>
      <w:r>
        <w:t xml:space="preserve"> </w:t>
      </w:r>
      <w:r>
        <w:t>-specific ORFans whose distributions were then charted across the species’ pangenome. Based on their patterns of occurrence, ORFan genes could be assigned to one of two modes of origin. The majority were recently acquired via horizontal transfer, with phage transduction making a significant contribution. A smaller fraction of genes emerged via sequence divergence from resident coding genes or de novo from noncoding sequences. Those acquired horizontally are chiefly of unknown function, whereas those arising from resident sequences are primarily involved in defense and membrane-associated activities. This phylogeny-informed approach demystifies the origins of ORFan genes and offers a route toward establishing their source across bacterial taxa.</w:t>
      </w:r>
    </w:p>
    <w:p>
      <w:pPr>
        <w:spacing w:before="120" w:after="120"/>
      </w:pPr>
      <w:r>
        <w:rPr>
          <w:sz w:val="18"/>
        </w:rPr>
        <w:t>——————————————————————————————————————————————————————————————————————</w:t>
      </w:r>
    </w:p>
    <w:p>
      <w:pPr>
        <w:spacing w:before="160" w:after="40" w:line="240" w:lineRule="auto"/>
      </w:pPr>
      <w:r>
        <w:rPr>
          <w:b/>
        </w:rPr>
        <w:t xml:space="preserve">[318] </w:t>
      </w:r>
      <w:hyperlink r:id="rId829">
        <w:r>
          <w:rPr>
            <w:color w:val="1155CC"/>
            <w:u w:val="single"/>
          </w:rPr>
          <w:t>亚细胞钙动态和细胞死亡中抵抗体介导的细胞器扰动</w:t>
        </w:r>
      </w:hyperlink>
    </w:p>
    <w:p>
      <w:pPr>
        <w:spacing w:before="0" w:after="80"/>
      </w:pPr>
      <w:r>
        <w:rPr>
          <w:i/>
          <w:sz w:val="20"/>
        </w:rPr>
        <w:t>EN: Subcellular calcium dynamics and organelle perturbations in resistosome-mediated cell death</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30">
        <w:r>
          <w:rPr>
            <w:color w:val="1155CC"/>
            <w:u w:val="single"/>
          </w:rPr>
          <w:t>10.1073/pnas.2523470123</w:t>
        </w:r>
      </w:hyperlink>
    </w:p>
    <w:p>
      <w:pPr>
        <w:spacing w:before="0" w:after="120"/>
      </w:pPr>
      <w:r>
        <w:rPr>
          <w:b/>
        </w:rPr>
        <w:t xml:space="preserve">Notes: </w:t>
      </w:r>
      <w:r>
        <w:t>abstract_source=crossref</w:t>
      </w:r>
    </w:p>
    <w:p>
      <w:pPr>
        <w:spacing w:before="0" w:after="80" w:lineRule="auto" w:line="276"/>
      </w:pPr>
      <w:r>
        <w:rPr>
          <w:b/>
        </w:rPr>
        <w:t xml:space="preserve">摘要（ZH）: </w:t>
      </w:r>
      <w:r>
        <w:t>植物核苷酸结合结构域富含亮氨酸重复序列（NLR）蛋白作为细胞内免疫受体，组装成抵抗体以执行免疫反应。然而，抵抗体激活后细胞死亡过程中的亚细胞过程仍不清楚。在此，我们可视化了NRC4（细胞死亡所需的NLR 4）抵抗体激活后钙信号和细胞器行为的变化。我们发现NRC4膜富集与钙内流同时发生。随后是线粒体和质体的顺序破坏，内质网碎片化和细胞骨架去聚合。随后质膜完整性丧失、细胞核收缩和液泡崩溃标志着细胞死亡的终末阶段。我们的研究揭示了一个时空</w:t>
      </w:r>
    </w:p>
    <w:p>
      <w:pPr>
        <w:spacing w:before="0" w:after="200" w:lineRule="auto" w:line="276"/>
      </w:pPr>
      <w:r>
        <w:rPr>
          <w:b/>
        </w:rPr>
        <w:t xml:space="preserve">Abstract (EN): </w:t>
      </w:r>
      <w:r>
        <w:t>Plant nucleotide-binding domain leucine-rich repeat-containing (NLR) proteins act as intracellular immune receptors that assemble into resistosomes to execute immune responses. However, the subcellular processes during cell death following resistosome activation remain unclear. Here, we visualized the changes in calcium signaling and organelle behavior after activation of the NRC4 (NLR required for cell death 4) resistosome. We found that NRC4 membrane enrichment coincided with calcium influx. This is followed by sequential mitochondria and plastid disruption, endoplasmic reticulum fragmentation, and cytoskeleton depolymerization. Subsequent loss of plasma membrane integrity, nuclear shrinkage, and vacuolar collapse mark the terminal stage of cell death. Our findings reveal a spatiotemporally resolved cascade of subcellular events downstream of resistosome activation, providing mechanistic insight into the execution phase of plant immune cell death.</w:t>
      </w:r>
    </w:p>
    <w:p>
      <w:pPr>
        <w:spacing w:before="120" w:after="120"/>
      </w:pPr>
      <w:r>
        <w:rPr>
          <w:sz w:val="18"/>
        </w:rPr>
        <w:t>——————————————————————————————————————————————————————————————————————</w:t>
      </w:r>
    </w:p>
    <w:p>
      <w:pPr>
        <w:spacing w:before="160" w:after="40" w:line="240" w:lineRule="auto"/>
      </w:pPr>
      <w:r>
        <w:rPr>
          <w:b/>
        </w:rPr>
        <w:t xml:space="preserve">[319] </w:t>
      </w:r>
      <w:hyperlink r:id="rId831">
        <w:r>
          <w:rPr>
            <w:color w:val="1155CC"/>
            <w:u w:val="single"/>
          </w:rPr>
          <w:t>SP1在牛和人类胚胎基因组激活和早期胚胎发育中的物种特异性作用</w:t>
        </w:r>
      </w:hyperlink>
    </w:p>
    <w:p>
      <w:pPr>
        <w:spacing w:before="0" w:after="80"/>
      </w:pPr>
      <w:r>
        <w:rPr>
          <w:i/>
          <w:sz w:val="20"/>
        </w:rPr>
        <w:t>EN: Species-specific roles of SP1 in bovine and human embryonic genome activation and early embryonic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32">
        <w:r>
          <w:rPr>
            <w:color w:val="1155CC"/>
            <w:u w:val="single"/>
          </w:rPr>
          <w:t>10.1073/pnas.2526998123</w:t>
        </w:r>
      </w:hyperlink>
    </w:p>
    <w:p>
      <w:pPr>
        <w:spacing w:before="0" w:after="120"/>
      </w:pPr>
      <w:r>
        <w:rPr>
          <w:b/>
        </w:rPr>
        <w:t xml:space="preserve">Notes: </w:t>
      </w:r>
      <w:r>
        <w:t>abstract_source=crossref</w:t>
      </w:r>
    </w:p>
    <w:p>
      <w:pPr>
        <w:spacing w:before="0" w:after="80" w:lineRule="auto" w:line="276"/>
      </w:pPr>
      <w:r>
        <w:rPr>
          <w:b/>
        </w:rPr>
        <w:t xml:space="preserve">摘要（ZH）: </w:t>
      </w:r>
      <w:r>
        <w:t>胚胎基因组激活（EGA）标志着胚胎程序的开始，并使向第一个谱系特化的过渡成为可能。然而，EGA的分子特征和协调这一过程的转录因子（TFs）仍不清楚。在此，通过对牛胚胎进行单细胞RNA测序，我们揭示了主要EGA在8细胞阶段的胚胎细胞中异步启动。综合分析显示，与转录和翻译激活相比，牛EGA期间蛋白质积累存在显著差异。此外，我们研究了在牛和人类胚胎中，SP1这一在次要EGA阶段激活的TF，其基序在主要EGA阶段的可及染色质中富集。SP1缺乏导致牛胚胎停滞在桑椹期，并损害EGA</w:t>
      </w:r>
    </w:p>
    <w:p>
      <w:pPr>
        <w:spacing w:before="0" w:after="200" w:lineRule="auto" w:line="276"/>
      </w:pPr>
      <w:r>
        <w:rPr>
          <w:b/>
        </w:rPr>
        <w:t xml:space="preserve">Abstract (EN): </w:t>
      </w:r>
      <w:r>
        <w:t>Embryonic genome activation (EGA) marks the onset of the embryonic program and enables the transition toward the first lineage specification. However, the molecular features of EGA and the transcription factors (TFs) orchestrating this process remain unclear. Here, by performing single-cell RNA-seq on bovine embryos, we reveal that major EGA is asynchronously initiated among blastomeres at the 8-cell stage. Integrative analyses reveal distinct protein accumulation compared with transcriptional and translational activation during bovine EGA. Furthermore, we investigate the role of SP1, a TF activated at the minor EGA stage, with motifs enriched in accessible chromatin during the major EGA stage in bovine and human embryos. SP1 deficiency leads to morula arrest in bovine and impairs EGA in human embryos. Multiomics analysis demonstrates that SP1 promotes early lineage gene expression by modulating nearby chromatin states in bovine and directly targets key EGA genes in human embryos. Together, our study delineates the dynamics of bovine EGA and uncovers the conserved and species-specific roles of SP1 in regulating EGA and early development in mammals.</w:t>
      </w:r>
    </w:p>
    <w:p>
      <w:pPr>
        <w:spacing w:before="120" w:after="120"/>
      </w:pPr>
      <w:r>
        <w:rPr>
          <w:sz w:val="18"/>
        </w:rPr>
        <w:t>——————————————————————————————————————————————————————————————————————</w:t>
      </w:r>
    </w:p>
    <w:p>
      <w:pPr>
        <w:spacing w:before="160" w:after="40" w:line="240" w:lineRule="auto"/>
      </w:pPr>
      <w:r>
        <w:rPr>
          <w:b/>
        </w:rPr>
        <w:t xml:space="preserve">[320] </w:t>
      </w:r>
      <w:hyperlink r:id="rId833">
        <w:r>
          <w:rPr>
            <w:color w:val="1155CC"/>
            <w:u w:val="single"/>
          </w:rPr>
          <w:t>蓝藻昼夜节律振荡器在体外和体内条件下的内在周期稳定性</w:t>
        </w:r>
      </w:hyperlink>
    </w:p>
    <w:p>
      <w:pPr>
        <w:spacing w:before="0" w:after="80"/>
      </w:pPr>
      <w:r>
        <w:rPr>
          <w:i/>
          <w:sz w:val="20"/>
        </w:rPr>
        <w:t>EN: Intrinsic period stability of the cyanobacterial circadian oscillator across in vitro and in vivo conditions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34">
        <w:r>
          <w:rPr>
            <w:color w:val="1155CC"/>
            <w:u w:val="single"/>
          </w:rPr>
          <w:t>10.1073/pnas.2526714123</w:t>
        </w:r>
      </w:hyperlink>
    </w:p>
    <w:p>
      <w:pPr>
        <w:spacing w:before="0" w:after="120"/>
      </w:pPr>
      <w:r>
        <w:rPr>
          <w:b/>
        </w:rPr>
        <w:t xml:space="preserve">Notes: </w:t>
      </w:r>
      <w:r>
        <w:t>abstract_source=crossref</w:t>
      </w:r>
    </w:p>
    <w:p>
      <w:pPr>
        <w:spacing w:before="0" w:after="80" w:lineRule="auto" w:line="276"/>
      </w:pPr>
      <w:r>
        <w:rPr>
          <w:b/>
        </w:rPr>
        <w:t xml:space="preserve">摘要（ZH）: </w:t>
      </w:r>
      <w:r>
        <w:t>昼夜节律钟的一个决定性特征是其能够在不受环境因素（如温度）影响的情况下，精确维持大约24小时的周期。这种昼夜节律时间的显著可靠性可以通过仅使用三种蓝藻钟蛋白：KaiA、KaiB和KaiC在体外重建。然而，体内昼夜节律不仅由这种基于Kai蛋白的振荡器控制，还由转录-翻译反馈回路和其他钟成分控制。基于Kai蛋白的昼夜节律振荡器对体内昼夜节律整体可靠性的贡献仍不清楚。在本研究中，我们比较了20多种KaiC周期突变体，其周期在体外和体内范围从15到60小时不等</w:t>
      </w:r>
    </w:p>
    <w:p>
      <w:pPr>
        <w:spacing w:before="0" w:after="200" w:lineRule="auto" w:line="276"/>
      </w:pPr>
      <w:r>
        <w:rPr>
          <w:b/>
        </w:rPr>
        <w:t xml:space="preserve">Abstract (EN): </w:t>
      </w:r>
      <w:r>
        <w:t>A defining feature of circadian clocks that enables adaptation to Earth’s rotation is their ability to sustain an approximately 24 h period with precision, regardless of environmental factors such as temperature. This remarkable reliability of circadian timing can be reconstituted in vitro using only three cyanobacterial clock proteins: KaiA, KaiB, and KaiC. In vivo circadian rhythms, however, are governed not only by this Kai protein–based oscillator but also by transcription–translation feedback loops and additional clock components. The contribution of the Kai protein–based circadian oscillator to the overall reliability of the in vivo circadian rhythm remains unclear. In this study, we compared over 20 KaiC period mutants with periods ranging from 15 to 60 h under in vitro and in vivo conditions. In both cases, the period was insensitive to environmental conditions, suggesting a compensatory mechanism independent of metabolic state or rhythm amplitude. The ATPase activity of KaiC, the pacemaker of the cyanobacterial circadian clock, exhibited a stronger correlation with in vitro circadian frequency than in vivo circadian frequency. These results indicate that the KaiC ATPase-driven protein-based circadian oscillator inherently encodes a reliable circadian period independent of rhythm amplitude or environmental conditions. This intrinsic property likely plays a critical role in preserving the precision and stability of circadian timing in vivo while being influenced by the intracellular environment.</w:t>
      </w:r>
    </w:p>
    <w:p>
      <w:pPr>
        <w:spacing w:before="120" w:after="120"/>
      </w:pPr>
      <w:r>
        <w:rPr>
          <w:sz w:val="18"/>
        </w:rPr>
        <w:t>——————————————————————————————————————————————————————————————————————</w:t>
      </w:r>
    </w:p>
    <w:p>
      <w:pPr>
        <w:spacing w:before="160" w:after="40" w:line="240" w:lineRule="auto"/>
      </w:pPr>
      <w:r>
        <w:rPr>
          <w:b/>
        </w:rPr>
        <w:t xml:space="preserve">[321] </w:t>
      </w:r>
      <w:hyperlink r:id="rId835">
        <w:r>
          <w:rPr>
            <w:color w:val="1155CC"/>
            <w:u w:val="single"/>
          </w:rPr>
          <w:t>PTPN22的自身免疫相关等位基因增强了先天抗病毒免疫以保护免受急性冠状病毒感染</w:t>
        </w:r>
      </w:hyperlink>
    </w:p>
    <w:p>
      <w:pPr>
        <w:spacing w:before="0" w:after="80"/>
      </w:pPr>
      <w:r>
        <w:rPr>
          <w:i/>
          <w:sz w:val="20"/>
        </w:rPr>
        <w:t>EN: An autoimmunity-associated allele of PTPN22 enhances innate antiviral immunity to protect against acute coronavirus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36">
        <w:r>
          <w:rPr>
            <w:color w:val="1155CC"/>
            <w:u w:val="single"/>
          </w:rPr>
          <w:t>10.1073/pnas.2519903123</w:t>
        </w:r>
      </w:hyperlink>
    </w:p>
    <w:p>
      <w:pPr>
        <w:spacing w:before="0" w:after="120"/>
      </w:pPr>
      <w:r>
        <w:rPr>
          <w:b/>
        </w:rPr>
        <w:t xml:space="preserve">Notes: </w:t>
      </w:r>
      <w:r>
        <w:t>abstract_source=crossref</w:t>
      </w:r>
    </w:p>
    <w:p>
      <w:pPr>
        <w:spacing w:before="0" w:after="80" w:lineRule="auto" w:line="276"/>
      </w:pPr>
      <w:r>
        <w:rPr>
          <w:b/>
        </w:rPr>
        <w:t xml:space="preserve">摘要（ZH）: </w:t>
      </w:r>
      <w:r>
        <w:t>等位基因变异可以影响病毒清除和疾病严重程度。然而，我们对与自身免疫相关的等位基因变异</w:t>
      </w:r>
      <w:r>
        <w:t xml:space="preserve"> </w:t>
      </w:r>
      <w:r>
        <w:t>Ptpn22</w:t>
      </w:r>
      <w:r>
        <w:t xml:space="preserve"> </w:t>
      </w:r>
      <w:r>
        <w:t>(PEP-R619W)对抗病毒免疫的影响的理解仍不完整，因为之前的报告仅关注于慢性淋巴细胞性脑膜炎病毒感染。本研究定义了在急性冠状病毒感染期间，</w:t>
      </w:r>
      <w:r>
        <w:t xml:space="preserve"> </w:t>
      </w:r>
      <w:r>
        <w:t>Ptpn22</w:t>
      </w:r>
      <w:r>
        <w:t xml:space="preserve"> </w:t>
      </w:r>
      <w:r>
        <w:t>(PEP-null)和PEP-R619W的丧失如何改变抗病毒免疫。我们提出假设，CRISPR/Cas9生成的PEP-null和PEP-R619W小鼠在冠状病毒感染期间比PEP野生型(WT)小鼠具有增强的抗病毒免疫。在小鼠肝炎病毒A59感染后，我们调查了病理学、细胞因子产生和</w:t>
      </w:r>
    </w:p>
    <w:p>
      <w:pPr>
        <w:spacing w:before="0" w:after="200" w:lineRule="auto" w:line="276"/>
      </w:pPr>
      <w:r>
        <w:rPr>
          <w:b/>
        </w:rPr>
        <w:t xml:space="preserve">Abstract (EN): </w:t>
      </w:r>
      <w:r>
        <w:t>Allelic variation can impact viral clearance and disease severity. Still, our understanding of the effect of the autoimmunity-associated allelic variant of</w:t>
      </w:r>
      <w:r>
        <w:t xml:space="preserve"> </w:t>
      </w:r>
      <w:r>
        <w:t>Ptpn22</w:t>
      </w:r>
      <w:r>
        <w:t xml:space="preserve"> </w:t>
      </w:r>
      <w:r>
        <w:t>(PEP-R619W) on antiviral immunity remains incomplete, as previous reports have only focused on chronic lymphocytic choriomeningitis virus infection. This research defines how the loss of</w:t>
      </w:r>
      <w:r>
        <w:t xml:space="preserve"> </w:t>
      </w:r>
      <w:r>
        <w:t>Ptpn22</w:t>
      </w:r>
      <w:r>
        <w:t xml:space="preserve"> </w:t>
      </w:r>
      <w:r>
        <w:t>(PEP-null) and PEP-R619W changes antiviral immunity during an acute coronavirus infection. We address the hypothesis that CRISPR/Cas9-generated PEP-null and PEP-R619W mice have enhanced antiviral immunity over PEP-wild-type (WT) mice during coronavirus infection. Following mouse hepatitis virus A59 infection, we interrogated pathology, cytokine production, and cellular responses in the blood, spleen, and liver of PEP-WT, PEP-null, and PEP-R619W mice. Key findings show that PEP-R619W mice have reduced viral titer and weight loss, increased survival, and more mature natural killer (NK) cells in the liver and spleen compared to PEP-WT mice. Interestingly, protection against disease in PEP-null mice was inoculation dose dependent, whereas PEP-R619W conferred immunity regardless of infection dose. Further, Rag1</w:t>
      </w:r>
      <w:r>
        <w:t xml:space="preserve"> </w:t>
      </w:r>
      <w:r>
        <w:t>−/−</w:t>
      </w:r>
      <w:r>
        <w:t>PEP-R619W mice had increased survival and reduced viral titer over Rag1</w:t>
      </w:r>
      <w:r>
        <w:t xml:space="preserve"> </w:t>
      </w:r>
      <w:r>
        <w:t>−/−</w:t>
      </w:r>
      <w:r>
        <w:t>PEP-WT mice. PEP-R619W mice also had higher concentrations of interferon-gamma (IFNγ) and enhanced IFNγ production by mature NK cells in the liver at 3 d postinfection. Finally, NK cell depletion elevated PEP-R619W viral titer to similar levels as PEP-WT mice. This study investigates the role of</w:t>
      </w:r>
      <w:r>
        <w:t xml:space="preserve"> </w:t>
      </w:r>
      <w:r>
        <w:t>Ptpn22</w:t>
      </w:r>
      <w:r>
        <w:t xml:space="preserve"> </w:t>
      </w:r>
      <w:r>
        <w:t>within NK cells and demonstrates that the</w:t>
      </w:r>
      <w:r>
        <w:t xml:space="preserve"> </w:t>
      </w:r>
      <w:r>
        <w:t>Ptpn22</w:t>
      </w:r>
      <w:r>
        <w:t xml:space="preserve"> </w:t>
      </w:r>
      <w:r>
        <w:t>allelic variant augments NK cell function and is beneficial during coronavirus infection.</w:t>
      </w:r>
    </w:p>
    <w:p>
      <w:pPr>
        <w:spacing w:before="120" w:after="120"/>
      </w:pPr>
      <w:r>
        <w:rPr>
          <w:sz w:val="18"/>
        </w:rPr>
        <w:t>——————————————————————————————————————————————————————————————————————</w:t>
      </w:r>
    </w:p>
    <w:p>
      <w:pPr>
        <w:spacing w:before="160" w:after="40" w:line="240" w:lineRule="auto"/>
      </w:pPr>
      <w:r>
        <w:rPr>
          <w:b/>
        </w:rPr>
        <w:t xml:space="preserve">[322] </w:t>
      </w:r>
      <w:hyperlink r:id="rId837">
        <w:r>
          <w:rPr>
            <w:color w:val="1155CC"/>
            <w:u w:val="single"/>
          </w:rPr>
          <w:t>转录调节因子图谱识别TOX3作为小脑发育和肿瘤发生中的Atoh1共激活因子</w:t>
        </w:r>
      </w:hyperlink>
    </w:p>
    <w:p>
      <w:pPr>
        <w:spacing w:before="0" w:after="80"/>
      </w:pPr>
      <w:r>
        <w:rPr>
          <w:i/>
          <w:sz w:val="20"/>
        </w:rPr>
        <w:t>EN: A transcription regulator atlas identifies TOX3 as an Atoh1 coactivator in cerebellar development and tumorigenesis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38">
        <w:r>
          <w:rPr>
            <w:color w:val="1155CC"/>
            <w:u w:val="single"/>
          </w:rPr>
          <w:t>10.1073/pnas.2527163123</w:t>
        </w:r>
      </w:hyperlink>
    </w:p>
    <w:p>
      <w:pPr>
        <w:spacing w:before="0" w:after="120"/>
      </w:pPr>
      <w:r>
        <w:rPr>
          <w:b/>
        </w:rPr>
        <w:t xml:space="preserve">Notes: </w:t>
      </w:r>
      <w:r>
        <w:t>abstract_source=crossref</w:t>
      </w:r>
    </w:p>
    <w:p>
      <w:pPr>
        <w:spacing w:before="0" w:after="80" w:lineRule="auto" w:line="276"/>
      </w:pPr>
      <w:r>
        <w:rPr>
          <w:b/>
        </w:rPr>
        <w:t xml:space="preserve">摘要（ZH）: </w:t>
      </w:r>
      <w:r>
        <w:t>器官的发育和功能由复杂的转录回路协调。在此，我们展示了一份全面的图谱，分析了胎儿、新生儿和成年小鼠的大脑、小脑、心脏、肾脏、肝脏、卵巢和睾丸中的1,904个转录调节因子。利用该数据集，我们发现胸腺细胞选择相关高迁移率族蛋白3 (TOX3)是小脑颗粒神经元祖细胞(GNPs)中Atoh1的潜在共激活因子。</w:t>
      </w:r>
      <w:r>
        <w:t xml:space="preserve"> </w:t>
      </w:r>
      <w:r>
        <w:t>Tox3</w:t>
      </w:r>
      <w:r>
        <w:t xml:space="preserve"> </w:t>
      </w:r>
      <w:r>
        <w:t>缺失小鼠表现出严重的共济失调和小脑发育不全，由于GNPs的耗竭、</w:t>
      </w:r>
      <w:r>
        <w:t xml:space="preserve"> </w:t>
      </w:r>
      <w:r>
        <w:t>Atoh1</w:t>
      </w:r>
      <w:r>
        <w:t xml:space="preserve"> </w:t>
      </w:r>
      <w:r>
        <w:t>表达减少和初级纤毛受损所驱动。单核RNA测序分析揭示了祖细胞库的维持受损。</w:t>
      </w:r>
    </w:p>
    <w:p>
      <w:pPr>
        <w:spacing w:before="0" w:after="200" w:lineRule="auto" w:line="276"/>
      </w:pPr>
      <w:r>
        <w:rPr>
          <w:b/>
        </w:rPr>
        <w:t xml:space="preserve">Abstract (EN): </w:t>
      </w:r>
      <w:r>
        <w:t>Organ development and function are orchestrated by intricate transcriptional circuits. Here, we present a comprehensive atlas profiling 1,904 transcription regulators in the brain, cerebellum, heart, kidney, liver, ovary, and testis of fetal, neonatal, and adult mice. Using this dataset, we uncover Thymocyte Selection-Associated High Mobility Group Box Family Member 3 (TOX3) as a potential coactivator of Atoh1 in cerebellar granule neuron progenitors (GNPs).</w:t>
      </w:r>
      <w:r>
        <w:t xml:space="preserve"> </w:t>
      </w:r>
      <w:r>
        <w:t>Tox3</w:t>
      </w:r>
      <w:r>
        <w:t xml:space="preserve"> </w:t>
      </w:r>
      <w:r>
        <w:t>-deficient mice display severe ataxia and cerebellar hypoplasia, driven by depletion of GNPs, diminished</w:t>
      </w:r>
      <w:r>
        <w:t xml:space="preserve"> </w:t>
      </w:r>
      <w:r>
        <w:t>Atoh1</w:t>
      </w:r>
      <w:r>
        <w:t xml:space="preserve"> </w:t>
      </w:r>
      <w:r>
        <w:t>expression, and impaired primary cilia. Single-nucleus RNA-sequencing analyses reveals compromised maintenance of the progenitor pool.</w:t>
      </w:r>
      <w:r>
        <w:t xml:space="preserve"> </w:t>
      </w:r>
      <w:r>
        <w:t>TOX3</w:t>
      </w:r>
      <w:r>
        <w:t xml:space="preserve"> </w:t>
      </w:r>
      <w:r>
        <w:t>is also highly expressed in subsets of medulloblastoma, and its deletion reduces cerebellar neoplasia and prolongs survival in a mouse model. Mechanistically, how lineage-defining factors such as Atoh1 drive robust gene expression despite weak intrinsic transactivation activity remains unclear. We show that Tox3 physically associates with Atoh1 and co-occupies shared regulatory elements, converting an otherwise weak single-copy Atoh1-responsive E-box into a highly active enhancer that drives transcriptional activation by up to 120-fold, including at an ultraconserved E-box downstream of</w:t>
      </w:r>
      <w:r>
        <w:t xml:space="preserve"> </w:t>
      </w:r>
      <w:r>
        <w:t>Atoh1</w:t>
      </w:r>
      <w:r>
        <w:t xml:space="preserve"> </w:t>
      </w:r>
      <w:r>
        <w:t>itself. Cross-species single-cell comparisons further show an association between</w:t>
      </w:r>
      <w:r>
        <w:t xml:space="preserve"> </w:t>
      </w:r>
      <w:r>
        <w:t>Tox3</w:t>
      </w:r>
      <w:r>
        <w:t xml:space="preserve"> </w:t>
      </w:r>
      <w:r>
        <w:t>expression and cerebellum expansion during vertebrate evolution. Together, this work supports Tox3 as a critical Atoh1 coactivator in cerebellar development, tumorigenesis, and evolution, while providing an atlas and screening strategy as a valuable resource for exploring novel transcriptional regulators in organogenesis and tissue physiology.</w:t>
      </w:r>
    </w:p>
    <w:p>
      <w:pPr>
        <w:spacing w:before="120" w:after="120"/>
      </w:pPr>
      <w:r>
        <w:rPr>
          <w:sz w:val="18"/>
        </w:rPr>
        <w:t>——————————————————————————————————————————————————————————————————————</w:t>
      </w:r>
    </w:p>
    <w:p>
      <w:pPr>
        <w:spacing w:before="160" w:after="40" w:line="240" w:lineRule="auto"/>
      </w:pPr>
      <w:r>
        <w:rPr>
          <w:b/>
        </w:rPr>
        <w:t xml:space="preserve">[323] </w:t>
      </w:r>
      <w:hyperlink r:id="rId839">
        <w:r>
          <w:rPr>
            <w:color w:val="1155CC"/>
            <w:u w:val="single"/>
          </w:rPr>
          <w:t>瞬时放大的波动组装耗散材料</w:t>
        </w:r>
      </w:hyperlink>
    </w:p>
    <w:p>
      <w:pPr>
        <w:spacing w:before="0" w:after="80"/>
      </w:pPr>
      <w:r>
        <w:rPr>
          <w:i/>
          <w:sz w:val="20"/>
        </w:rPr>
        <w:t>EN: Transiently amplified fluctuations assemble dissipative materials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40">
        <w:r>
          <w:rPr>
            <w:color w:val="1155CC"/>
            <w:u w:val="single"/>
          </w:rPr>
          <w:t>10.1073/pnas.2531136123</w:t>
        </w:r>
      </w:hyperlink>
    </w:p>
    <w:p>
      <w:pPr>
        <w:spacing w:before="0" w:after="120"/>
      </w:pPr>
      <w:r>
        <w:rPr>
          <w:b/>
        </w:rPr>
        <w:t xml:space="preserve">Notes: </w:t>
      </w:r>
      <w:r>
        <w:t>abstract_source=crossref</w:t>
      </w:r>
    </w:p>
    <w:p>
      <w:pPr>
        <w:spacing w:before="0" w:after="80" w:lineRule="auto" w:line="276"/>
      </w:pPr>
      <w:r>
        <w:rPr>
          <w:b/>
        </w:rPr>
        <w:t xml:space="preserve">摘要（ZH）: </w:t>
      </w:r>
      <w:r>
        <w:t>化学反应组装具有有限寿命、对刺激有响应能力和在扰动后自愈能力的超分子材料。这些动态行为源于一个反应循环，该循环通过两条独立的途径将分子在结合和非结合状态之间切换，每条途径由不同的化学试剂驱动。在此，我们展示了相同的网络架构可以暂时放大小浓度波动，导致组装材料产量显著、自发增加。在试剂供应发生小扰动后，化学动力学不会立即趋向稳态；相反，它们最初会进一步远离平衡并促进热力学不稳定产物的组装。对于一个模型超分子</w:t>
      </w:r>
    </w:p>
    <w:p>
      <w:pPr>
        <w:spacing w:before="0" w:after="200" w:lineRule="auto" w:line="276"/>
      </w:pPr>
      <w:r>
        <w:rPr>
          <w:b/>
        </w:rPr>
        <w:t xml:space="preserve">Abstract (EN): </w:t>
      </w:r>
      <w:r>
        <w:t>Chemical reactions assemble supramolecular materials with finite lifetimes, responsiveness to stimuli, and the capacity to self-heal after perturbation. These dynamic behaviors arise from a reaction cycle that switches a molecule between associating and nonassociating states via two independent pathways, each driven by a distinct chemical reagent. Here, we show that this same network architecture can transiently amplify small concentration fluctuations, leading to a pronounced, spontaneous increase in the yield of assembled material. Following a small perturbation in reagent supply, the chemical kinetics do not immediately relax toward a steady state; instead, they initially evolve farther from equilibrium and promote the assembly of thermodynamically unstable products. For a model supramolecular system, this dynamical effect produces a strong transient amplification of assembled material above its steady-state level. By analyzing the conditions for transient growth and its maximum, we find that steady states farther from detailed balance can exhibit stronger amplification and higher transient yields. Although these excursions are short-lived, accumulating experimental evidence suggests that analogous dynamics already occur in chemically active supramolecular materials. The mathematically precise conditions identified here suggest opportunities to amplify fluctuations in the design of responsive materials.</w:t>
      </w:r>
    </w:p>
    <w:p>
      <w:pPr>
        <w:spacing w:before="120" w:after="120"/>
      </w:pPr>
      <w:r>
        <w:rPr>
          <w:sz w:val="18"/>
        </w:rPr>
        <w:t>——————————————————————————————————————————————————————————————————————</w:t>
      </w:r>
    </w:p>
    <w:p>
      <w:pPr>
        <w:spacing w:before="160" w:after="40" w:line="240" w:lineRule="auto"/>
      </w:pPr>
      <w:r>
        <w:rPr>
          <w:b/>
        </w:rPr>
        <w:t xml:space="preserve">[324] </w:t>
      </w:r>
      <w:hyperlink r:id="rId841">
        <w:r>
          <w:rPr>
            <w:color w:val="1155CC"/>
            <w:u w:val="single"/>
          </w:rPr>
          <w:t>吲哚-3-乙酰氨基酸的N-葡糖基化调节水稻中的生长素代谢和生长特性</w:t>
        </w:r>
      </w:hyperlink>
    </w:p>
    <w:p>
      <w:pPr>
        <w:spacing w:before="0" w:after="80"/>
      </w:pPr>
      <w:r>
        <w:rPr>
          <w:i/>
          <w:sz w:val="20"/>
        </w:rPr>
        <w:t>EN: N-glucosylation of indole-3-acetyl amino acids modulates auxin metabolism and growth traits in Oryza sativa</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42">
        <w:r>
          <w:rPr>
            <w:color w:val="1155CC"/>
            <w:u w:val="single"/>
          </w:rPr>
          <w:t>10.1073/pnas.2527570123</w:t>
        </w:r>
      </w:hyperlink>
    </w:p>
    <w:p>
      <w:pPr>
        <w:spacing w:before="0" w:after="120"/>
      </w:pPr>
      <w:r>
        <w:rPr>
          <w:b/>
        </w:rPr>
        <w:t xml:space="preserve">Notes: </w:t>
      </w:r>
      <w:r>
        <w:t>abstract_source=crossref</w:t>
      </w:r>
    </w:p>
    <w:p>
      <w:pPr>
        <w:spacing w:before="0" w:after="80" w:lineRule="auto" w:line="276"/>
      </w:pPr>
      <w:r>
        <w:rPr>
          <w:b/>
        </w:rPr>
        <w:t xml:space="preserve">摘要（ZH）: </w:t>
      </w:r>
      <w:r>
        <w:t>生长素（吲哚-3-乙酸；IAA）水平的动态调节对于植物的正常生长和发育至关重要，并通过生物合成、运输、代谢失活和信号转导进行精细调控。虽然IAA的O-葡萄糖基化已被广泛研究，但IAA-氨基酸结合物的N-葡萄糖基化途径的生理意义仍然大多未被探索。在此，我们鉴定了一种水稻（Oryza sativa）中的UDP-葡萄糖基转移酶，命名为IAAspGT，它催化吲哚-3-乙酰（IA）氨基酸结合物的N-葡萄糖基化。功能分析显示IAAspGT的自然等位基因变体</w:t>
      </w:r>
    </w:p>
    <w:p>
      <w:pPr>
        <w:spacing w:before="0" w:after="200" w:lineRule="auto" w:line="276"/>
      </w:pPr>
      <w:r>
        <w:rPr>
          <w:b/>
        </w:rPr>
        <w:t xml:space="preserve">Abstract (EN): </w:t>
      </w:r>
      <w:r>
        <w:t>Dynamic regulation of auxin (indole-3-acetic acid; IAA) levels is crucial for proper plant growth and development and is finely regulated through biosynthesis, transport, metabolic inactivation, and signal transduction. While</w:t>
      </w:r>
      <w:r>
        <w:t xml:space="preserve"> </w:t>
      </w:r>
      <w:r>
        <w:t>O</w:t>
      </w:r>
      <w:r>
        <w:t xml:space="preserve"> </w:t>
      </w:r>
      <w:r>
        <w:t>-glucosylation of IAA is well established, the physiological significance of</w:t>
      </w:r>
      <w:r>
        <w:t xml:space="preserve"> </w:t>
      </w:r>
      <w:r>
        <w:t>N</w:t>
      </w:r>
      <w:r>
        <w:t xml:space="preserve"> </w:t>
      </w:r>
      <w:r>
        <w:t>-glucosylation pathways acting on IAA-amino acid conjugates remains largely unexplored. Here, we identify a UDP-glucosyltransferase in rice (</w:t>
      </w:r>
      <w:r>
        <w:t xml:space="preserve"> </w:t>
      </w:r>
      <w:r>
        <w:t>Oryza sativa</w:t>
      </w:r>
      <w:r>
        <w:t xml:space="preserve"> </w:t>
      </w:r>
      <w:r>
        <w:t>), designated IAAspGT, that catalyzes the</w:t>
      </w:r>
      <w:r>
        <w:t xml:space="preserve"> </w:t>
      </w:r>
      <w:r>
        <w:t>N</w:t>
      </w:r>
      <w:r>
        <w:t xml:space="preserve"> </w:t>
      </w:r>
      <w:r>
        <w:t>-glucosylation of indole-3-acetyl (IA) amino acid conjugates. Functional analysis revealed that natural allelic variants of IAAspGT differ markedly in enzymatic activity, with the high-activity allele prevalent in</w:t>
      </w:r>
      <w:r>
        <w:t xml:space="preserve"> </w:t>
      </w:r>
      <w:r>
        <w:t>indica</w:t>
      </w:r>
      <w:r>
        <w:t xml:space="preserve"> </w:t>
      </w:r>
      <w:r>
        <w:t>and the low-activity allele in</w:t>
      </w:r>
      <w:r>
        <w:t xml:space="preserve"> </w:t>
      </w:r>
      <w:r>
        <w:t>japonica</w:t>
      </w:r>
      <w:r>
        <w:t xml:space="preserve"> </w:t>
      </w:r>
      <w:r>
        <w:t>cultivars. Mutational analysis identified key residues within the glucose-accepting substrate-binding domain that account for this variation. A metabolic perturbation experiment demonstrated that IAAspGT competes with the DAO-mediated oxidation, thereby affecting active auxin levels. Plants harboring the high-activity allele exhibited enhanced root elongation under nutrient-deficient conditions and altered growth allocation between the panicle and other above-ground organs. Haplotype analysis indicated that the high-activity allele is ancestral and widely retained in the wild relatives. These findings establish IA-amino acid</w:t>
      </w:r>
      <w:r>
        <w:t xml:space="preserve"> </w:t>
      </w:r>
      <w:r>
        <w:t>N</w:t>
      </w:r>
      <w:r>
        <w:t xml:space="preserve"> </w:t>
      </w:r>
      <w:r>
        <w:t>-glucosylation as a previously overlooked metabolic branch that modulates auxin availability and contributes to environmental responses and growth plasticity in rice.</w:t>
      </w:r>
    </w:p>
    <w:p>
      <w:pPr>
        <w:spacing w:before="120" w:after="120"/>
      </w:pPr>
      <w:r>
        <w:rPr>
          <w:sz w:val="18"/>
        </w:rPr>
        <w:t>——————————————————————————————————————————————————————————————————————</w:t>
      </w:r>
    </w:p>
    <w:p>
      <w:pPr>
        <w:spacing w:before="160" w:after="40" w:line="240" w:lineRule="auto"/>
      </w:pPr>
      <w:r>
        <w:rPr>
          <w:b/>
        </w:rPr>
        <w:t xml:space="preserve">[325] </w:t>
      </w:r>
      <w:hyperlink r:id="rId843">
        <w:r>
          <w:rPr>
            <w:color w:val="1155CC"/>
            <w:u w:val="single"/>
          </w:rPr>
          <w:t>Allcott等人关于Facebook和Instagram对2020年选举影响的更正：一个停用实验</w:t>
        </w:r>
      </w:hyperlink>
    </w:p>
    <w:p>
      <w:pPr>
        <w:spacing w:before="0" w:after="80"/>
      </w:pPr>
      <w:r>
        <w:rPr>
          <w:i/>
          <w:sz w:val="20"/>
        </w:rPr>
        <w:t>EN: Correction for Allcott et al., The effects of Facebook and Instagram on the 2020 election: A deactivation experiment</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44">
        <w:r>
          <w:rPr>
            <w:color w:val="1155CC"/>
            <w:u w:val="single"/>
          </w:rPr>
          <w:t>10.1073/pnas.2607249123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[326] </w:t>
      </w:r>
      <w:hyperlink r:id="rId845">
        <w:r>
          <w:rPr>
            <w:color w:val="1155CC"/>
            <w:u w:val="single"/>
          </w:rPr>
          <w:t>增强作物的自然能力可能有助于养活一个变暖的世界</w:t>
        </w:r>
      </w:hyperlink>
    </w:p>
    <w:p>
      <w:pPr>
        <w:spacing w:before="0" w:after="80"/>
      </w:pPr>
      <w:r>
        <w:rPr>
          <w:i/>
          <w:sz w:val="20"/>
        </w:rPr>
        <w:t>EN: Boosting crops’ natural capabilities could help feed a warming world</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46">
        <w:r>
          <w:rPr>
            <w:color w:val="1155CC"/>
            <w:u w:val="single"/>
          </w:rPr>
          <w:t>10.1073/pnas.2607080123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[327] </w:t>
      </w:r>
      <w:hyperlink r:id="rId847">
        <w:r>
          <w:rPr>
            <w:color w:val="1155CC"/>
            <w:u w:val="single"/>
          </w:rPr>
          <w:t>深部关键带对浅层滑坡的控制</w:t>
        </w:r>
      </w:hyperlink>
    </w:p>
    <w:p>
      <w:pPr>
        <w:spacing w:before="0" w:after="80"/>
      </w:pPr>
      <w:r>
        <w:rPr>
          <w:i/>
          <w:sz w:val="20"/>
        </w:rPr>
        <w:t>EN: Deep critical zone controls on shallow landslides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48">
        <w:r>
          <w:rPr>
            <w:color w:val="1155CC"/>
            <w:u w:val="single"/>
          </w:rPr>
          <w:t>10.1073/pnas.2524542123</w:t>
        </w:r>
      </w:hyperlink>
    </w:p>
    <w:p>
      <w:pPr>
        <w:spacing w:before="0" w:after="120"/>
      </w:pPr>
      <w:r>
        <w:rPr>
          <w:b/>
        </w:rPr>
        <w:t xml:space="preserve">Notes: </w:t>
      </w:r>
      <w:r>
        <w:t>abstract_source=crossref</w:t>
      </w:r>
    </w:p>
    <w:p>
      <w:pPr>
        <w:spacing w:before="0" w:after="80" w:lineRule="auto" w:line="276"/>
      </w:pPr>
      <w:r>
        <w:rPr>
          <w:b/>
        </w:rPr>
        <w:t xml:space="preserve">摘要（ZH）: </w:t>
      </w:r>
      <w:r>
        <w:t>深部关键带（CZ）长期以来因其对浅层滑坡的影响而受到重视，但在流域尺度的边坡稳定性模型中被认为不可行。在此，我们证明了在完全耦合的水文和土壤边坡稳定性模型中对CZ的简单近似可以有效捕捉浅层滑坡的位置、时间和可能的规模。为此，我们使用耦合的、基于过程的模型，这些模型结合了1）深部CZ结构的影响，2）三维瞬态水文，以及3）多维边坡稳定性，并通过一个密集监测的现场数据进行校准。我们的结果表明，水文活跃的深部CZ引导地下水流动，影响其从土壤中排出或渗出的地方</w:t>
      </w:r>
    </w:p>
    <w:p>
      <w:pPr>
        <w:spacing w:before="0" w:after="200" w:lineRule="auto" w:line="276"/>
      </w:pPr>
      <w:r>
        <w:rPr>
          <w:b/>
        </w:rPr>
        <w:t xml:space="preserve">Abstract (EN): </w:t>
      </w:r>
      <w:r>
        <w:t>The deep critical zone (CZ) has long been recognized for its importance in influencing shallow landslides but was not considered feasible to include in slope stability models at the watershed scale. Here, we demonstrate that simple approximations of the CZ in a fully coupled hydrologic and soil slope stability model can effectively capture the location, timing, and likely size of shallow landslides. To achieve this, we use coupled, process-based models that incorporate the effects of 1) deep CZ structures, 2) three-dimensional transient hydrology, and 3) multidimensional slope stability, calibrated with data from an intensively monitored field site. Our results show that the hydrologically active deep CZ guides groundwater flow, influencing where it drains from or exfiltrates to the soil mantle and producing distinct patterns of soil saturation and seepage forces at the soil–bedrock boundary. A deep conductive, weathered bedrock drains the soil mantle, reducing the likelihood of destabilizing pore pressures, while the downslope thinning of the CZ forces groundwater to the surface. This pattern creates localized instability and a tendency for similar-sized landslides across the landscape. In contrast, the absence of conductive weathered bedrock results in more widespread destabilizing pore pressures, leading to larger landslides and the likelihood of landslides earlier in a storm than in landscapes underlain by a deep CZ. Our findings suggest that first-order variations of deep CZs can provide physical explanations for variations observed in the susceptibility, magnitude, and timing of shallow landslides, and that CZ structure may be inferred from patterns and timing of landsliding.</w:t>
      </w:r>
    </w:p>
    <w:p>
      <w:pPr>
        <w:spacing w:before="120" w:after="120"/>
      </w:pPr>
      <w:r>
        <w:rPr>
          <w:sz w:val="18"/>
        </w:rPr>
        <w:t>——————————————————————————————————————————————————————————————————————</w:t>
      </w:r>
    </w:p>
    <w:p>
      <w:pPr>
        <w:spacing w:before="160" w:after="40" w:line="240" w:lineRule="auto"/>
      </w:pPr>
      <w:r>
        <w:rPr>
          <w:b/>
        </w:rPr>
        <w:t xml:space="preserve">[328] </w:t>
      </w:r>
      <w:hyperlink r:id="rId849">
        <w:r>
          <w:rPr>
            <w:color w:val="1155CC"/>
            <w:u w:val="single"/>
          </w:rPr>
          <w:t>水凝胶的非单调速率依赖性粘附</w:t>
        </w:r>
      </w:hyperlink>
    </w:p>
    <w:p>
      <w:pPr>
        <w:spacing w:before="0" w:after="80"/>
      </w:pPr>
      <w:r>
        <w:rPr>
          <w:i/>
          <w:sz w:val="20"/>
        </w:rPr>
        <w:t>EN: Nonmonotonic rate-dependent adhesion of hydrogels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50">
        <w:r>
          <w:rPr>
            <w:color w:val="1155CC"/>
            <w:u w:val="single"/>
          </w:rPr>
          <w:t>10.1073/pnas.2536311123</w:t>
        </w:r>
      </w:hyperlink>
    </w:p>
    <w:p>
      <w:pPr>
        <w:spacing w:before="0" w:after="120"/>
      </w:pPr>
      <w:r>
        <w:rPr>
          <w:b/>
        </w:rPr>
        <w:t xml:space="preserve">Notes: </w:t>
      </w:r>
      <w:r>
        <w:t>abstract_source=crossref</w:t>
      </w:r>
    </w:p>
    <w:p>
      <w:pPr>
        <w:spacing w:before="0" w:after="80" w:lineRule="auto" w:line="276"/>
      </w:pPr>
      <w:r>
        <w:rPr>
          <w:b/>
        </w:rPr>
        <w:t xml:space="preserve">摘要（ZH）: </w:t>
      </w:r>
      <w:r>
        <w:t>水凝胶粘附性支撑着广泛的生物和工程功能，但其速率依赖性仍然知之甚少。经典的粘附系统表现出粘附强度随分离速率单调增加的行为，这种行为归因于键应力松弛。在此，我们展示了水凝胶从根本上偏离了这一范式。使用基于原子力显微镜的压痕技术，在六个数量级的回缩速率范围内，我们发现拉脱力先减小后增大，揭示了水凝胶中明显的非单调速率依赖性。为了解释这种行为，我们开发了一个定量模型，将水凝胶的变形与由界面键承载的速率依赖性牵引力结合起来，这些键具有不同的结合和解离动力学。</w:t>
      </w:r>
    </w:p>
    <w:p>
      <w:pPr>
        <w:spacing w:before="0" w:after="200" w:lineRule="auto" w:line="276"/>
      </w:pPr>
      <w:r>
        <w:rPr>
          <w:b/>
        </w:rPr>
        <w:t xml:space="preserve">Abstract (EN): </w:t>
      </w:r>
      <w:r>
        <w:t>Hydrogel adhesion underlies a wide range of biological and engineering functions, yet its rate dependence remains poorly understood. Classical adhesive systems exhibit a monotonic increase in adhesion strength with separation rate, a behavior attributed to bond stress relaxation. Here, we show that hydrogels fundamentally deviate from this paradigm. Using atomic force microscopy-based indentation over six orders of magnitude in retraction rate, we find that the pull-off force first decreases and then increases, revealing a distinctly nonmonotonic rate dependence in hydrogels. To explain this behavior, we develop a quantitative model that couples the deformation of the hydrogel with a rate-dependent traction carried by interfacial bonds with distinct association and dissociation kinetics. The model reproduces the full pull-off force spectrum exhibiting the nonmonotonic behavior and predicts the evolution of the contact radius during detachment. In situ confocal microscopy measurements of contact-area dynamics confirm these predictions, providing independent validation of the kinetic mechanism. Together, the experiments and theory reveal that hydrogel adhesion is governed by a competition between time-dependent bond formation, which strengthens adhesion at slow rates, and limited bond relaxation, which enhances traction at fast rates. This interplay produces a broad intermediate regime in which reduced contact time suppresses bond buildup and weakens adhesion. Our findings identify a previously unrecognized adhesion regime in polymeric materials and provide a unified framework for understanding and designing hydrogel interfaces whose performance depends sensitively on rate, contact history, and interfacial bonding kinetics.</w:t>
      </w:r>
    </w:p>
    <w:p>
      <w:pPr>
        <w:spacing w:before="120" w:after="120"/>
      </w:pPr>
      <w:r>
        <w:rPr>
          <w:sz w:val="18"/>
        </w:rPr>
        <w:t>——————————————————————————————————————————————————————————————————————</w:t>
      </w:r>
    </w:p>
    <w:p>
      <w:pPr>
        <w:spacing w:before="160" w:after="40" w:line="240" w:lineRule="auto"/>
      </w:pPr>
      <w:r>
        <w:rPr>
          <w:b/>
        </w:rPr>
        <w:t xml:space="preserve">[329] </w:t>
      </w:r>
      <w:hyperlink r:id="rId851">
        <w:r>
          <w:rPr>
            <w:color w:val="1155CC"/>
            <w:u w:val="single"/>
          </w:rPr>
          <w:t>揭示碱性氢氧化电催化中镍氧化态的敏感性和重要性</w:t>
        </w:r>
      </w:hyperlink>
    </w:p>
    <w:p>
      <w:pPr>
        <w:spacing w:before="0" w:after="80"/>
      </w:pPr>
      <w:r>
        <w:rPr>
          <w:i/>
          <w:sz w:val="20"/>
        </w:rPr>
        <w:t>EN: Unveiling the sensitivity and significance of the Ni oxidation state for alkaline hydrogen oxidation electrocatalysis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52">
        <w:r>
          <w:rPr>
            <w:color w:val="1155CC"/>
            <w:u w:val="single"/>
          </w:rPr>
          <w:t>10.1073/pnas.2534305123</w:t>
        </w:r>
      </w:hyperlink>
    </w:p>
    <w:p>
      <w:pPr>
        <w:spacing w:before="0" w:after="120"/>
      </w:pPr>
      <w:r>
        <w:rPr>
          <w:b/>
        </w:rPr>
        <w:t xml:space="preserve">Notes: </w:t>
      </w:r>
      <w:r>
        <w:t>abstract_source=crossref</w:t>
      </w:r>
    </w:p>
    <w:p>
      <w:pPr>
        <w:spacing w:before="0" w:after="80" w:lineRule="auto" w:line="276"/>
      </w:pPr>
      <w:r>
        <w:rPr>
          <w:b/>
        </w:rPr>
        <w:t xml:space="preserve">摘要（ZH）: </w:t>
      </w:r>
      <w:r>
        <w:t>非贵金属基氢氧化反应（HOR）电催化剂的发展仍然是实现高性能、无铂族金属（PGM-free）碱性/阴离子交换膜燃料电池的瓶颈。由于缺乏替代选择，许多努力致力于提高镍催化剂的HOR活性。然而，与电催化活性和降解相关的机制见解仍然存在争议，提出的模型往往缺乏确凿的实验证据。在此，我们使用扫描透射电子显微镜和电子能量损失光谱，以及原位高能量分辨率荧光检测X射线吸收光谱研究了镍催化剂的状态。结果显示金属</w:t>
      </w:r>
    </w:p>
    <w:p>
      <w:pPr>
        <w:spacing w:before="0" w:after="200" w:lineRule="auto" w:line="276"/>
      </w:pPr>
      <w:r>
        <w:rPr>
          <w:b/>
        </w:rPr>
        <w:t xml:space="preserve">Abstract (EN): </w:t>
      </w:r>
      <w:r>
        <w:t>The development of nonprecious-metal-based hydrogen oxidation reaction (HOR) electrocatalysts remains as the bottleneck for achieving high-performance, platinum group metal-free (PGM-free) alkaline/anion exchange membrane fuel cells. Numerous efforts have been dedicated toward enhancing the HOR activity of Ni catalysts due to the lack of alternative choices. However, mechanistic insights relating to electrocatalytic activity and degradation remain a matter of debate, and proposed models tend to lack conclusive experimental evidence. Here, we studied the state of Ni catalysts using scanning transmission electron microscopy and electron energy loss spectroscopy, together with in situ high energy resolution fluorescence detected X-ray absorption spectroscopy. The results revealed that a metallic Ni surface is crucial for effectively catalyzing the HOR, and that the formation of α-Ni(OH)</w:t>
      </w:r>
      <w:r>
        <w:rPr>
          <w:vertAlign w:val="subscript"/>
        </w:rPr>
        <w:t>2</w:t>
      </w:r>
      <w:r>
        <w:t>at potentials positive of +0.3 V vs. RHE leads to deactivation of the catalyst. Further analysis with theoretical calculations revealed a strong interaction between the Ni surface and graphene, resulting in a tightly sealed carbon shell that protects the Ni surface. The analysis further indicates that HOR occurs on graphene-protected Ni@C catalysts through the transport of hydrogen and protons across the carbon shell, particularly at self-healing larger holes. Using the Ni@C catalyst, together with evidence-informed experimental protocols to avoid oxidation before, during, and after membrane electrode assembly fabrication and testing, we achieved a milestone PGM-free AEMFC peak power density performance of 1.0 W/cm</w:t>
      </w:r>
      <w:r>
        <w:rPr>
          <w:vertAlign w:val="subscript"/>
        </w:rPr>
        <w:t>2</w:t>
      </w:r>
      <w:r>
        <w:t>. This is a demonstration of a Watt-scale performance for a PGM-free AEMFC.</w:t>
      </w:r>
    </w:p>
    <w:p>
      <w:pPr>
        <w:spacing w:before="120" w:after="120"/>
      </w:pPr>
      <w:r>
        <w:rPr>
          <w:sz w:val="18"/>
        </w:rPr>
        <w:t>——————————————————————————————————————————————————————————————————————</w:t>
      </w:r>
    </w:p>
    <w:p>
      <w:pPr>
        <w:spacing w:before="160" w:after="40" w:line="240" w:lineRule="auto"/>
      </w:pPr>
      <w:r>
        <w:rPr>
          <w:b/>
        </w:rPr>
        <w:t xml:space="preserve">[330] </w:t>
      </w:r>
      <w:hyperlink r:id="rId853">
        <w:r>
          <w:rPr>
            <w:color w:val="1155CC"/>
            <w:u w:val="single"/>
          </w:rPr>
          <w:t>加拉戈猴中代表牙齿和舌头的3b区的髓鞘结构、半球内和半球间及丘脑皮质连接</w:t>
        </w:r>
      </w:hyperlink>
    </w:p>
    <w:p>
      <w:pPr>
        <w:spacing w:before="0" w:after="80"/>
      </w:pPr>
      <w:r>
        <w:rPr>
          <w:i/>
          <w:sz w:val="20"/>
        </w:rPr>
        <w:t>EN: Myeloarchitecture, intra- and interhemispheric and thalamocortical connections of area 3b representing the teeth and tongue in galagos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54">
        <w:r>
          <w:rPr>
            <w:color w:val="1155CC"/>
            <w:u w:val="single"/>
          </w:rPr>
          <w:t>10.1073/pnas.2533912123</w:t>
        </w:r>
      </w:hyperlink>
    </w:p>
    <w:p>
      <w:pPr>
        <w:spacing w:before="0" w:after="120"/>
      </w:pPr>
      <w:r>
        <w:rPr>
          <w:b/>
        </w:rPr>
        <w:t xml:space="preserve">Notes: </w:t>
      </w:r>
      <w:r>
        <w:t>abstract_source=crossref</w:t>
      </w:r>
    </w:p>
    <w:p>
      <w:pPr>
        <w:spacing w:before="0" w:after="80" w:lineRule="auto" w:line="276"/>
      </w:pPr>
      <w:r>
        <w:rPr>
          <w:b/>
        </w:rPr>
        <w:t xml:space="preserve">摘要（ZH）: </w:t>
      </w:r>
      <w:r>
        <w:t>面部和口腔的表征占据了灵长类动物初级躯体感觉皮层（S1或3b区）中一个大但未充分研究的部分。这些研究在食物、味觉和发声的处理中显然很重要。关于牙齿和舌头的神经元表征、它们与髓鞘结构的关系以及它们在3b区的皮层和丘脑连接知之甚少。在猫头鹰猴和松鼠猴中，可能在猕猴中，S1的最外侧部分以一系列髓鞘密集的椭圆体代表面部、牙齿和舌头，包括对侧牙齿和舌头以及同侧牙齿和舌头的椭圆体。由于这种复杂的牙齿和舌头表征可能在哺乳动物甚至灵长类动物中有所不同，我们试图评估</w:t>
      </w:r>
    </w:p>
    <w:p>
      <w:pPr>
        <w:spacing w:before="0" w:after="200" w:lineRule="auto" w:line="276"/>
      </w:pPr>
      <w:r>
        <w:rPr>
          <w:b/>
        </w:rPr>
        <w:t xml:space="preserve">Abstract (EN): </w:t>
      </w:r>
      <w:r>
        <w:t>The representations of the face and oral cavity occupy a large but understudied portion of primary somatosensory cortex (S1 or area 3b) in primates. These studies are clearly important in processing food, taste, and vocalizations. Little is known about the neuronal representations of the teeth and tongue, their relationship with myeloarchitecture, and their cortical and thalamic connections in area 3b of strepsirrhine galagos. In owl and squirrel monkeys, and likely in macaque monkeys, the most lateral portion of S1 represents the face, teeth, and tongue in a series of myelin-dense ovals, including ovals for the contralateral teeth and tongue and ipsilateral teeth and tongue. As this complex representation of the teeth and tongue may differ among mammals and even primates, we sought to evaluate these representations in the galagos, representing an early branch of primates. Using a combination of neuronal responses to touch, neuroanatomical tracer injections, and tissue processing to reveal anatomical area borders, we found that lateral S1 in galagos resembles those of studied monkeys by having a series of ovals that double the representation of the tongue and teeth, along with similar intracortical, callosal, and thalamic connections, suggesting that these features of S1 emerged in the first primates.</w:t>
      </w:r>
    </w:p>
    <w:p>
      <w:pPr>
        <w:spacing w:before="120" w:after="120"/>
      </w:pPr>
      <w:r>
        <w:rPr>
          <w:sz w:val="18"/>
        </w:rPr>
        <w:t>——————————————————————————————————————————————————————————————————————</w:t>
      </w:r>
    </w:p>
    <w:p>
      <w:pPr>
        <w:spacing w:before="160" w:after="40" w:line="240" w:lineRule="auto"/>
      </w:pPr>
      <w:r>
        <w:rPr>
          <w:b/>
        </w:rPr>
        <w:t xml:space="preserve">[331] </w:t>
      </w:r>
      <w:hyperlink r:id="rId855">
        <w:r>
          <w:rPr>
            <w:color w:val="1155CC"/>
            <w:u w:val="single"/>
          </w:rPr>
          <w:t>C4b结合蛋白作为抗磷脂酰乙醇胺自身抗体发病机制中的抗原靶点</w:t>
        </w:r>
      </w:hyperlink>
    </w:p>
    <w:p>
      <w:pPr>
        <w:spacing w:before="0" w:after="80"/>
      </w:pPr>
      <w:r>
        <w:rPr>
          <w:i/>
          <w:sz w:val="20"/>
        </w:rPr>
        <w:t>EN: C4b-binding protein as an antigenic target in the pathogenesis of antiphosphatidylethanolamine autoantibodies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56">
        <w:r>
          <w:rPr>
            <w:color w:val="1155CC"/>
            <w:u w:val="single"/>
          </w:rPr>
          <w:t>10.1073/pnas.2528183123</w:t>
        </w:r>
      </w:hyperlink>
    </w:p>
    <w:p>
      <w:pPr>
        <w:spacing w:before="0" w:after="120"/>
      </w:pPr>
      <w:r>
        <w:rPr>
          <w:b/>
        </w:rPr>
        <w:t xml:space="preserve">Notes: </w:t>
      </w:r>
      <w:r>
        <w:t>abstract_source=crossref</w:t>
      </w:r>
    </w:p>
    <w:p>
      <w:pPr>
        <w:spacing w:before="0" w:after="80" w:lineRule="auto" w:line="276"/>
      </w:pPr>
      <w:r>
        <w:rPr>
          <w:b/>
        </w:rPr>
        <w:t xml:space="preserve">摘要（ZH）: </w:t>
      </w:r>
      <w:r>
        <w:t>针对磷脂酰乙醇胺（PE）的自身抗体是细胞膜中一种主要磷脂，与血栓和产科并发症的症状相关。越来越多的证据表明，抗PE（aPE）抗体的反应性涉及一个辅因子。本研究的目标是识别假定的辅因子并调查aPE抗体的致病作用。现有的基于ELISA的检测aPE抗体的检测显示，牛血浆是aPE抗体反应性表现的已知辅因子来源。我们使用亲和力下拉和连续分级从牛血浆中纯化辅因子，并将其鉴定为C4b结合蛋白（C4BP），这是一种补体级联中的保守抑制剂。人类C4BP被替代</w:t>
      </w:r>
    </w:p>
    <w:p>
      <w:pPr>
        <w:spacing w:before="0" w:after="200" w:lineRule="auto" w:line="276"/>
      </w:pPr>
      <w:r>
        <w:rPr>
          <w:b/>
        </w:rPr>
        <w:t xml:space="preserve">Abstract (EN): </w:t>
      </w:r>
      <w:r>
        <w:t>Autoantibodies against phosphatidylethanolamine (PE), a major phospholipid in cell membranes, are associated with symptoms of thrombosis and obstetric complications. A growing body of evidence indicates the involvement of a cofactor for the reactivity of anti-PE (aPE) antibodies. The goals of this study were to identify the putative cofactor and investigate the pathogenic roles of aPE antibodies. Existing ELISA-based assays for detecting aPE antibodies showed that the bovine plasma is a known source of cofactor for the manifestation of reactivity by aPE antibodies. We used affinity pull-down and serial fractionation to purify the cofactor from bovine plasma and identified it as the C4b-binding protein (C4BP), which is a conserved inhibitor in the complement cascade. The human C4BP was subsequently shown to bind PE membrane with specificity and is targeted by aPE antibodies which led to elevated complement activation. Similarly, murine aPE antibodies bind C4BP, hindering its inhibitory function, causing heightened complement activation in vitro and in vivo in a mouse model of renal ischemia and reperfusion, which was antagonized by the coadministration of an anti-C5 antibody. Collectively, the present data identified C4BP with PE-binding specificity and as an antigenic target for aPE antibodies, which cause complement activation. These findings shed light on the pathogenic mechanism of aPE antibodies with implications in diagnosis and therapeutic treatment.</w:t>
      </w:r>
    </w:p>
    <w:p>
      <w:pPr>
        <w:spacing w:before="120" w:after="120"/>
      </w:pPr>
      <w:r>
        <w:rPr>
          <w:sz w:val="18"/>
        </w:rPr>
        <w:t>——————————————————————————————————————————————————————————————————————</w:t>
      </w:r>
    </w:p>
    <w:p>
      <w:pPr>
        <w:spacing w:before="160" w:after="40" w:line="240" w:lineRule="auto"/>
      </w:pPr>
      <w:r>
        <w:rPr>
          <w:b/>
        </w:rPr>
        <w:t xml:space="preserve">[332] </w:t>
      </w:r>
      <w:hyperlink r:id="rId857">
        <w:r>
          <w:rPr>
            <w:color w:val="1155CC"/>
            <w:u w:val="single"/>
          </w:rPr>
          <w:t>丝氨酸对映体的分解代谢通过调节氮应激反应抑制肠出血性大肠杆菌的毒力因子</w:t>
        </w:r>
      </w:hyperlink>
    </w:p>
    <w:p>
      <w:pPr>
        <w:spacing w:before="0" w:after="80"/>
      </w:pPr>
      <w:r>
        <w:rPr>
          <w:i/>
          <w:sz w:val="20"/>
        </w:rPr>
        <w:t>EN: Catabolism of serine enantiomers represses enterohemorrhagic Escherichia coli virulence factors via modulation of the nitrogen stress response</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58">
        <w:r>
          <w:rPr>
            <w:color w:val="1155CC"/>
            <w:u w:val="single"/>
          </w:rPr>
          <w:t>10.1073/pnas.2532916123</w:t>
        </w:r>
      </w:hyperlink>
    </w:p>
    <w:p>
      <w:pPr>
        <w:spacing w:before="0" w:after="120"/>
      </w:pPr>
      <w:r>
        <w:rPr>
          <w:b/>
        </w:rPr>
        <w:t xml:space="preserve">Notes: </w:t>
      </w:r>
      <w:r>
        <w:t>abstract_source=crossref</w:t>
      </w:r>
    </w:p>
    <w:p>
      <w:pPr>
        <w:spacing w:before="0" w:after="80" w:lineRule="auto" w:line="276"/>
      </w:pPr>
      <w:r>
        <w:rPr>
          <w:b/>
        </w:rPr>
        <w:t xml:space="preserve">摘要（ZH）: </w:t>
      </w:r>
      <w:r>
        <w:t>附着和侵蚀性病原体，包括肠出血性大肠杆菌（EHEC），通过感知多种宿主、饮食和微生物群衍生的信号并协调毒力因子的表达来定殖其首选的肠道生态位。D-丝氨酸是一种在尿液中丰富但在肠道中稀缺的宿主代谢物，通过转录抑制III型分泌系统（T3SS）同时激活SOS应激反应来限制EHEC的定殖。然而，D-丝氨酸调节毒力的机制尚未确定。在此，我们展示了包括L-丝氨酸在内的多种氨基酸汇聚于这一途径，抑制T3SS而不诱导SOS反应。转录组分析显示对D-和L-丝氨酸的共同响应</w:t>
      </w:r>
    </w:p>
    <w:p>
      <w:pPr>
        <w:spacing w:before="0" w:after="200" w:lineRule="auto" w:line="276"/>
      </w:pPr>
      <w:r>
        <w:rPr>
          <w:b/>
        </w:rPr>
        <w:t xml:space="preserve">Abstract (EN): </w:t>
      </w:r>
      <w:r>
        <w:t>Attaching and effacing pathogens, including enterohemorrhagic</w:t>
      </w:r>
      <w:r>
        <w:t xml:space="preserve"> </w:t>
      </w:r>
      <w:r>
        <w:t>Escherichia coli</w:t>
      </w:r>
      <w:r>
        <w:t xml:space="preserve"> </w:t>
      </w:r>
      <w:r>
        <w:t>(EHEC), colonize their preferred intestinal niche by sensing diverse host-, diet-, and microbiota-derived signals and coordinating the expression of virulence factors. D-serine, a host metabolite abundant in urine but scarce in the intestine, restricts EHEC colonization by transcriptionally repressing the type 3 secretion system (T3SS) while activating the SOS stress response. However, the mechanism underlying virulence regulation by D-serine remains unestablished. Here, we show that multiple amino acids, including L-serine converge on this pathway, repressing the T3SS without inducing the SOS response. Transcriptomic analyses showed a common response to D- and L-serine dominated by repression of nitrogen stress response genes. Mutational analysis identified the response regulators NtrC and Nac as essential mediators of T3SS repression by both serine enantiomers. Disruption of L-serine deaminase enzymes crucially revealed that T3SS repression depends on cytoplasmic ammonia/ammonium release rather than sensing of intact serine. While EHEC lacks canonical D-serine catabolic capacity, through metabolomics we provide evidence of oxidative deamination activity, capable of producing this regulatory signal. Together, these findings establish a mechanistic link between amino acid catabolism, nitrogen stress signaling, and virulence regulation in EHEC, highlighting how metabolic flux fine-tunes pathogen adaptation to intestinal niches.</w:t>
      </w:r>
    </w:p>
    <w:p>
      <w:pPr>
        <w:spacing w:before="120" w:after="120"/>
      </w:pPr>
      <w:r>
        <w:rPr>
          <w:sz w:val="18"/>
        </w:rPr>
        <w:t>——————————————————————————————————————————————————————————————————————</w:t>
      </w:r>
    </w:p>
    <w:p>
      <w:pPr>
        <w:spacing w:before="160" w:after="40" w:line="240" w:lineRule="auto"/>
      </w:pPr>
      <w:r>
        <w:rPr>
          <w:b/>
        </w:rPr>
        <w:t xml:space="preserve">[333] </w:t>
      </w:r>
      <w:hyperlink r:id="rId859">
        <w:r>
          <w:rPr>
            <w:color w:val="1155CC"/>
            <w:u w:val="single"/>
          </w:rPr>
          <w:t>内分泌腺的生长作为昆虫滞育的发育开关</w:t>
        </w:r>
      </w:hyperlink>
    </w:p>
    <w:p>
      <w:pPr>
        <w:spacing w:before="0" w:after="80"/>
      </w:pPr>
      <w:r>
        <w:rPr>
          <w:i/>
          <w:sz w:val="20"/>
        </w:rPr>
        <w:t>EN: Endocrine gland growth as the developmental switch for insect diapause</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60">
        <w:r>
          <w:rPr>
            <w:color w:val="1155CC"/>
            <w:u w:val="single"/>
          </w:rPr>
          <w:t>10.1073/pnas.2531351123</w:t>
        </w:r>
      </w:hyperlink>
    </w:p>
    <w:p>
      <w:pPr>
        <w:spacing w:before="0" w:after="120"/>
      </w:pPr>
      <w:r>
        <w:rPr>
          <w:b/>
        </w:rPr>
        <w:t xml:space="preserve">Notes: </w:t>
      </w:r>
      <w:r>
        <w:t>abstract_source=crossref</w:t>
      </w:r>
    </w:p>
    <w:p>
      <w:pPr>
        <w:spacing w:before="0" w:after="80" w:lineRule="auto" w:line="276"/>
      </w:pPr>
      <w:r>
        <w:rPr>
          <w:b/>
        </w:rPr>
        <w:t xml:space="preserve">摘要（ZH）: </w:t>
      </w:r>
      <w:r>
        <w:t>许多动物依赖滞育来度过不利的季节，但环境线索如何转化为内分泌变化仍然知之甚少。在昆虫中，当来自咽侧体（CA）的幼虫激素（JH）产生受到抑制时，生殖滞育被触发，但这种抑制的调控基础尚不清楚。在此，我们展示了在白菜甲虫（Colaphellus bowringi）中，季节性光周期控制CA的生长，从而决定腺体的JH生物合成能力和生殖命运。在长日（LD）诱导滞育的条件下，CA及其细胞核比短日（SD）生殖条件下的小。为了揭示机制，我们生成了光周期分辨的CA转录组并比较</w:t>
      </w:r>
    </w:p>
    <w:p>
      <w:pPr>
        <w:spacing w:before="0" w:after="200" w:lineRule="auto" w:line="276"/>
      </w:pPr>
      <w:r>
        <w:rPr>
          <w:b/>
        </w:rPr>
        <w:t xml:space="preserve">Abstract (EN): </w:t>
      </w:r>
      <w:r>
        <w:t>Many animals rely on diapause to survive unfavorable seasons, but how environmental cues are transduced into endocrine changes remains poorly understood. In insects, reproductive diapause is triggered when juvenile hormone (JH) production from the corpora allata (CA) is suppressed, yet the regulatory basis of this suppression is unclear. Here, we show in the cabbage beetle (</w:t>
      </w:r>
      <w:r>
        <w:t xml:space="preserve"> </w:t>
      </w:r>
      <w:r>
        <w:t>Colaphellus bowringi</w:t>
      </w:r>
      <w:r>
        <w:t xml:space="preserve"> </w:t>
      </w:r>
      <w:r>
        <w:t>) that seasonal photoperiod controls CA growth, which in turn sets the gland’s capacity for JH biosynthesis and reproductive fate. Under long-day (LD), diapause-inducing conditions, the CA and its nuclei are smaller than those under short-day (SD), reproductive conditions. To uncover the mechanism, we generated photoperiod-resolved CA transcriptomes and compared them with whole-body profiles, identifying hundreds of CA-enriched and photoperiod-responsive transcripts, including many associated with DNA replication. From these datasets, we selected 54 candidate transcriptional regulators for RNAi screening. This screen uncovered two key factors,</w:t>
      </w:r>
      <w:r>
        <w:t xml:space="preserve"> </w:t>
      </w:r>
      <w:r>
        <w:t>retained</w:t>
      </w:r>
      <w:r>
        <w:t xml:space="preserve"> </w:t>
      </w:r>
      <w:r>
        <w:t>(</w:t>
      </w:r>
      <w:r>
        <w:t xml:space="preserve"> </w:t>
      </w:r>
      <w:r>
        <w:t>retn</w:t>
      </w:r>
      <w:r>
        <w:t xml:space="preserve"> </w:t>
      </w:r>
      <w:r>
        <w:t>) and</w:t>
      </w:r>
      <w:r>
        <w:t xml:space="preserve"> </w:t>
      </w:r>
      <w:r>
        <w:t>ventral veins lacking</w:t>
      </w:r>
      <w:r>
        <w:t xml:space="preserve"> </w:t>
      </w:r>
      <w:r>
        <w:t>(</w:t>
      </w:r>
      <w:r>
        <w:t xml:space="preserve"> </w:t>
      </w:r>
      <w:r>
        <w:t>vvl</w:t>
      </w:r>
      <w:r>
        <w:t xml:space="preserve"> </w:t>
      </w:r>
      <w:r>
        <w:t>), which act in the CA to promote DNA replication, gland growth, and JH production. Mechanistically,</w:t>
      </w:r>
      <w:r>
        <w:t xml:space="preserve"> </w:t>
      </w:r>
      <w:r>
        <w:t>retn</w:t>
      </w:r>
      <w:r>
        <w:t xml:space="preserve"> </w:t>
      </w:r>
      <w:r>
        <w:t>functions upstream of</w:t>
      </w:r>
      <w:r>
        <w:t xml:space="preserve"> </w:t>
      </w:r>
      <w:r>
        <w:t>vvl</w:t>
      </w:r>
      <w:r>
        <w:t xml:space="preserve"> </w:t>
      </w:r>
      <w:r>
        <w:t>, and together, they activate</w:t>
      </w:r>
      <w:r>
        <w:t xml:space="preserve"> </w:t>
      </w:r>
      <w:r>
        <w:t>extra macrochaetae</w:t>
      </w:r>
      <w:r>
        <w:t xml:space="preserve"> </w:t>
      </w:r>
      <w:r>
        <w:t>(</w:t>
      </w:r>
      <w:r>
        <w:t xml:space="preserve"> </w:t>
      </w:r>
      <w:r>
        <w:t>emc</w:t>
      </w:r>
      <w:r>
        <w:t xml:space="preserve"> </w:t>
      </w:r>
      <w:r>
        <w:t>), which encodes a downstream transcription factor that further promotes CA growth. Silencing</w:t>
      </w:r>
      <w:r>
        <w:t xml:space="preserve"> </w:t>
      </w:r>
      <w:r>
        <w:t>retn</w:t>
      </w:r>
      <w:r>
        <w:t xml:space="preserve"> </w:t>
      </w:r>
      <w:r>
        <w:t>,</w:t>
      </w:r>
      <w:r>
        <w:t xml:space="preserve"> </w:t>
      </w:r>
      <w:r>
        <w:t>vvl</w:t>
      </w:r>
      <w:r>
        <w:t xml:space="preserve"> </w:t>
      </w:r>
      <w:r>
        <w:t>, or</w:t>
      </w:r>
      <w:r>
        <w:t xml:space="preserve"> </w:t>
      </w:r>
      <w:r>
        <w:t>emc</w:t>
      </w:r>
      <w:r>
        <w:t xml:space="preserve"> </w:t>
      </w:r>
      <w:r>
        <w:t>reduced CA and nuclear size, lowered hemolymph JH titers, and induced diapause-like ovarian arrest and lipid accumulation. Application of the JH analog methoprene reversed these effects. Our findings provide genetic evidence that endocrine organ growth itself is a causal switch for seasonal diapause, revealing how photoperiod-responsive transcriptional cascades can shape endocrine plasticity to mediate seasonal adaptation.</w:t>
      </w:r>
    </w:p>
    <w:p>
      <w:pPr>
        <w:spacing w:before="120" w:after="120"/>
      </w:pPr>
      <w:r>
        <w:rPr>
          <w:sz w:val="18"/>
        </w:rPr>
        <w:t>——————————————————————————————————————————————————————————————————————</w:t>
      </w:r>
    </w:p>
    <w:p>
      <w:pPr>
        <w:spacing w:before="160" w:after="40" w:line="240" w:lineRule="auto"/>
      </w:pPr>
      <w:r>
        <w:rPr>
          <w:b/>
        </w:rPr>
        <w:t xml:space="preserve">[334] </w:t>
      </w:r>
      <w:hyperlink r:id="rId861">
        <w:r>
          <w:rPr>
            <w:color w:val="1155CC"/>
            <w:u w:val="single"/>
          </w:rPr>
          <w:t>仿生周期性介孔氧化锡实现稳态非平衡化学传感以增强气体区分能力</w:t>
        </w:r>
      </w:hyperlink>
    </w:p>
    <w:p>
      <w:pPr>
        <w:spacing w:before="0" w:after="80"/>
      </w:pPr>
      <w:r>
        <w:rPr>
          <w:i/>
          <w:sz w:val="20"/>
        </w:rPr>
        <w:t>EN: Bioinspired periodic mesoporous tin oxides enable steady nonequilibrium chemical sensing for enhanced gas discrimination</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62">
        <w:r>
          <w:rPr>
            <w:color w:val="1155CC"/>
            <w:u w:val="single"/>
          </w:rPr>
          <w:t>10.1073/pnas.2531153123</w:t>
        </w:r>
      </w:hyperlink>
    </w:p>
    <w:p>
      <w:pPr>
        <w:spacing w:before="0" w:after="120"/>
      </w:pPr>
      <w:r>
        <w:rPr>
          <w:b/>
        </w:rPr>
        <w:t xml:space="preserve">Notes: </w:t>
      </w:r>
      <w:r>
        <w:t>abstract_source=crossref</w:t>
      </w:r>
    </w:p>
    <w:p>
      <w:pPr>
        <w:spacing w:before="0" w:after="80" w:lineRule="auto" w:line="276"/>
      </w:pPr>
      <w:r>
        <w:rPr>
          <w:b/>
        </w:rPr>
        <w:t xml:space="preserve">摘要（ZH）: </w:t>
      </w:r>
      <w:r>
        <w:t>具有互连孔道和高比表面积的周期性多孔结构在自然界中广泛存在。这些结构保证了生物体内快速的质量运输和高效的生化反应，从而满足复杂生命活动的要求。受哺乳动物呼吸系统的周期性多孔膜和呼吸过程的启发，建立了一种稳定的非平衡化学传感过程，以实现基于人工周期性多孔结构的高精度气体识别，该结构由金属氧化物半导体和脉冲加热（PH）技术组成。由于其高度可达的介孔和巨大的固-气界面，周期性介孔氧化锡（P-mSnO2）促进了气体</w:t>
      </w:r>
    </w:p>
    <w:p>
      <w:pPr>
        <w:spacing w:before="0" w:after="200" w:lineRule="auto" w:line="276"/>
      </w:pPr>
      <w:r>
        <w:rPr>
          <w:b/>
        </w:rPr>
        <w:t xml:space="preserve">Abstract (EN): </w:t>
      </w:r>
      <w:r>
        <w:t>Periodic porous structures with interconnected pore channels and high specific surface area are widely spread in natural world. These structures guarantee rapid mass transportation and efficient biochemical reactions within organisms, thereby satisfying the requirements of complex life activities. Inspired by the periodic porous membrane and breathing process of the mammalian respiratory system, a steady nonequilibrium chemical sensing process is established to achieve high-accuracy gas discrimination based on artificial periodic porous structures consisting of metal oxide semiconductors and pulse heating (PH) technique. Owing to its highly accessible mesopores and enormous solid–gas interfaces, periodic mesoporous tin oxide (P-mSnO</w:t>
      </w:r>
      <w:r>
        <w:rPr>
          <w:vertAlign w:val="subscript"/>
        </w:rPr>
        <w:t>2</w:t>
      </w:r>
      <w:r>
        <w:t>) facilitates gas diffusion during PH cycles and enhances the catalytic reaction between gas molecules and P-mSnO</w:t>
      </w:r>
      <w:r>
        <w:rPr>
          <w:vertAlign w:val="subscript"/>
        </w:rPr>
        <w:t>2</w:t>
      </w:r>
      <w:r>
        <w:t>. As a result, the P-mSnO</w:t>
      </w:r>
      <w:r>
        <w:rPr>
          <w:vertAlign w:val="subscript"/>
        </w:rPr>
        <w:t>2</w:t>
      </w:r>
      <w:r>
        <w:t>based sensor exhibits stable and enhanced overshoot peaks in gas sensing response curves, thus achieving superior discrimination accuracy (99.8%) for six gases under the assistance of convolutional neural network (CNN). Furthermore, the mechanism underlying the distinct shapes of the gas response curves is uncovered, revealing that gas adsorption capacity, gas diffusion coefficient, catalytic reaction barrier, and transferred electron numbers are crucial factors. This work lays the foundation for the development of single-sensor artificial olfactory intelligence and the exploration of periodic porous structures in diverse frontier fields.</w:t>
      </w:r>
    </w:p>
    <w:p>
      <w:pPr>
        <w:spacing w:before="120" w:after="120"/>
      </w:pPr>
      <w:r>
        <w:rPr>
          <w:sz w:val="18"/>
        </w:rPr>
        <w:t>——————————————————————————————————————————————————————————————————————</w:t>
      </w:r>
    </w:p>
    <w:p>
      <w:pPr>
        <w:spacing w:before="160" w:after="40" w:line="240" w:lineRule="auto"/>
      </w:pPr>
      <w:r>
        <w:rPr>
          <w:b/>
        </w:rPr>
        <w:t xml:space="preserve">[335] </w:t>
      </w:r>
      <w:hyperlink r:id="rId863">
        <w:r>
          <w:rPr>
            <w:color w:val="1155CC"/>
            <w:u w:val="single"/>
          </w:rPr>
          <w:t>通过位点定向双氮氧自由基标记实现RNA的靶向NMR信号增强</w:t>
        </w:r>
      </w:hyperlink>
    </w:p>
    <w:p>
      <w:pPr>
        <w:spacing w:before="0" w:after="80"/>
      </w:pPr>
      <w:r>
        <w:rPr>
          <w:i/>
          <w:sz w:val="20"/>
        </w:rPr>
        <w:t>EN: Targeted NMR signal enhancement of RNA by site-directed bis-nitroxide labeling</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64">
        <w:r>
          <w:rPr>
            <w:color w:val="1155CC"/>
            <w:u w:val="single"/>
          </w:rPr>
          <w:t>10.1073/pnas.2531087123</w:t>
        </w:r>
      </w:hyperlink>
    </w:p>
    <w:p>
      <w:pPr>
        <w:spacing w:before="0" w:after="120"/>
      </w:pPr>
      <w:r>
        <w:rPr>
          <w:b/>
        </w:rPr>
        <w:t xml:space="preserve">Notes: </w:t>
      </w:r>
      <w:r>
        <w:t>abstract_source=crossref</w:t>
      </w:r>
    </w:p>
    <w:p>
      <w:pPr>
        <w:spacing w:before="0" w:after="80" w:lineRule="auto" w:line="276"/>
      </w:pPr>
      <w:r>
        <w:rPr>
          <w:b/>
        </w:rPr>
        <w:t xml:space="preserve">摘要（ZH）: </w:t>
      </w:r>
      <w:r>
        <w:t>MicroRNAs通过与靶标信使RNA (mRNAs) 的序列特异性相互作用来调节基因表达，其失调是癌症的标志。MicroRNA-34a (miR-34a) 是肿瘤抑制因子p53的关键调节因子，它结合编码sirtuin 1 (mSirt1) 的mRNA，并采用多种构象状态来影响抑制效率。虽然这种动态在体外已被表征，但将这些研究扩展到细胞环境中受到核酸NMR固有的弱信号和大量背景的阻碍。为了克服这一限制，我们开发了一种RNA的位点定向自旋标记策略，使得靶向动态核极化 (DNP) 信号增强成为可能。使用双硝基氧化物极化剂AsymPol-NCS-SDSL，我们将自旋标记结合到特定</w:t>
      </w:r>
    </w:p>
    <w:p>
      <w:pPr>
        <w:spacing w:before="0" w:after="200" w:lineRule="auto" w:line="276"/>
      </w:pPr>
      <w:r>
        <w:rPr>
          <w:b/>
        </w:rPr>
        <w:t xml:space="preserve">Abstract (EN): </w:t>
      </w:r>
      <w:r>
        <w:t>MicroRNAs regulate gene expression through sequence-specific interactions with target messenger RNAs (mRNAs), and their misregulation is a hallmark of cancer. MicroRNA-34a (miR-34a), a key modulator of the tumor suppressor p53, binds the mRNA encoding sirtuin 1 (mSirt1) and adopts multiple conformational states that influence repression efficiency. While such dynamics have been characterized in vitro, extending these studies to cellular environments is hampered by weak signals and substantial background inherent to nucleic acid NMR. To overcome this limitation, we developed a site-directed spin labeling strategy for RNA that enables targeted dynamic nuclear polarization (DNP) signal enhancement. Using the bisnitroxide polarizing agent AsymPol-NCS-SDSL, we conjugated spin labels to specific positions of mSirt1 RNA and annealed them to</w:t>
      </w:r>
      <w:r>
        <w:rPr>
          <w:vertAlign w:val="subscript"/>
        </w:rPr>
        <w:t>13</w:t>
      </w:r>
      <w:r>
        <w:t>C,</w:t>
      </w:r>
      <w:r>
        <w:rPr>
          <w:vertAlign w:val="subscript"/>
        </w:rPr>
        <w:t>15</w:t>
      </w:r>
      <w:r>
        <w:t>N-cytidine-labeled miR-34a. At 9.4 T, we observed up to 27-fold signal enhancements. The selectivity of polarization transfer within the RNA duplex relative to the surrounding environment could be tuned by matrix deuteration, while doping with paramagnetic metal ions accelerated polarization build-up times, with Cu</w:t>
      </w:r>
      <w:r>
        <w:t xml:space="preserve"> </w:t>
      </w:r>
      <w:r>
        <w:t>II</w:t>
      </w:r>
      <w:r>
        <w:t xml:space="preserve"> </w:t>
      </w:r>
      <w:r>
        <w:t>proving more efficient than Gd</w:t>
      </w:r>
      <w:r>
        <w:t xml:space="preserve"> </w:t>
      </w:r>
      <w:r>
        <w:t>III</w:t>
      </w:r>
      <w:r>
        <w:t xml:space="preserve"> </w:t>
      </w:r>
      <w:r>
        <w:t>. This work establishes bisnitroxide-based SDSL as a powerful approach for targeted DNP of nucleic acids, enabling high-sensitivity studies of nucleic acids at concentrations ≤40 µ</w:t>
      </w:r>
      <w:r>
        <w:t xml:space="preserve"> </w:t>
      </w:r>
      <w:r>
        <w:t>m</w:t>
      </w:r>
      <w:r>
        <w:t xml:space="preserve"> </w:t>
      </w:r>
      <w:r>
        <w:t>and paves the way for structural investigations of microRNA–mRNA interactions in cells.</w:t>
      </w:r>
    </w:p>
    <w:p>
      <w:pPr>
        <w:spacing w:before="120" w:after="120"/>
      </w:pPr>
      <w:r>
        <w:rPr>
          <w:sz w:val="18"/>
        </w:rPr>
        <w:t>——————————————————————————————————————————————————————————————————————</w:t>
      </w:r>
    </w:p>
    <w:p>
      <w:pPr>
        <w:spacing w:before="160" w:after="40" w:line="240" w:lineRule="auto"/>
      </w:pPr>
      <w:r>
        <w:rPr>
          <w:b/>
        </w:rPr>
        <w:t xml:space="preserve">[336] </w:t>
      </w:r>
      <w:hyperlink r:id="rId865">
        <w:r>
          <w:rPr>
            <w:color w:val="1155CC"/>
            <w:u w:val="single"/>
          </w:rPr>
          <w:t>Fc糖基选择性氟化增强抗体介导的效应功能</w:t>
        </w:r>
      </w:hyperlink>
    </w:p>
    <w:p>
      <w:pPr>
        <w:spacing w:before="0" w:after="80"/>
      </w:pPr>
      <w:r>
        <w:rPr>
          <w:i/>
          <w:sz w:val="20"/>
        </w:rPr>
        <w:t>EN: Selective fluorination of Fc glycans enhances antibody-mediated effector functions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66">
        <w:r>
          <w:rPr>
            <w:color w:val="1155CC"/>
            <w:u w:val="single"/>
          </w:rPr>
          <w:t>10.1073/pnas.2530653123</w:t>
        </w:r>
      </w:hyperlink>
    </w:p>
    <w:p>
      <w:pPr>
        <w:spacing w:before="0" w:after="120"/>
      </w:pPr>
      <w:r>
        <w:rPr>
          <w:b/>
        </w:rPr>
        <w:t xml:space="preserve">Notes: </w:t>
      </w:r>
      <w:r>
        <w:t>abstract_source=crossref</w:t>
      </w:r>
    </w:p>
    <w:p>
      <w:pPr>
        <w:spacing w:before="0" w:after="80" w:lineRule="auto" w:line="276"/>
      </w:pPr>
      <w:r>
        <w:rPr>
          <w:b/>
        </w:rPr>
        <w:t xml:space="preserve">摘要（ZH）: </w:t>
      </w:r>
      <w:r>
        <w:t>抗体效应功能如抗体依赖性细胞毒性 (ADCC) 和各种补体依赖性活动受到Fc N-聚糖结构和组成的关键影响。末端半乳糖化通常与增强的FcγRIIIA结合和C1q招募相关，从而改善抗体活性。最近的结构研究表明，末端半乳糖可以通过与CH2结构域残基相互作用来限制聚糖的灵活性并稳定Fc构象，从而减少FcγRIIIA结合的熵惩罚。受这一结构见解的启发，我们假设通过位点选择性氟化微调半乳糖介导的Fc聚糖-Fc结构域相互作用可以进一步调节Fc-受体和Fc-补体相互作用。为了测试这一点，</w:t>
      </w:r>
    </w:p>
    <w:p>
      <w:pPr>
        <w:spacing w:before="0" w:after="200" w:lineRule="auto" w:line="276"/>
      </w:pPr>
      <w:r>
        <w:rPr>
          <w:b/>
        </w:rPr>
        <w:t xml:space="preserve">Abstract (EN): </w:t>
      </w:r>
      <w:r>
        <w:t>Antibody effector functions such as antibody-dependent cellular cytotoxicity (ADCC) and various complement-dependent activities are critically influenced by the structure and composition of Fc N-glycans. Terminal galactosylation is generally associated with enhanced FcγRIIIA binding and C1q recruitment, thereby improving antibody activities. Recent structural studies suggest that terminal galactose can restrict glycan flexibility and stabilize Fc conformation by interacting with CH2 domain residues, thereby reducing the entropic penalty for FcγRIIIA binding. Motivated by this structural insight, we hypothesized that fine-tuning galactose-mediated Fc glycan-Fc domain interactions via site-selective fluorination could further modulate Fc-receptor and Fc–complement interactions. To test this, we developed a chemoenzymatic glycoengineering approach to generate homogeneous antibodies bearing precisely fluorinated Fc N-glycans. Key to this strategy was the chemical synthesis of position-specific fluorinated full-length Fc glycans, which were subsequently installed onto the antibody via enzymatic Fc glycan remodeling catalyzed by a glycosynthase mutant. Using this platform, we constructed a panel of homogeneous fluorinated antibodies and evaluated their functional consequences. ELISA-based binding assays revealed that fluorination at the C2 or C6 position of terminal galactose significantly increased FcγRIIIA affinity. Corresponding enhancements in ADCC were confirmed using a cell-based reporter bioassay. Furthermore, fluorination at these positions also promoted C1q binding and elevated the antibody-dependent cellular phagocytosis potency in whole blood assays. These results collectively demonstrate that selective Fc glycan fluorination represents a unique strategy to enhance antibody effector functions, providing a paradigm for precision glycoengineering in antibody therapeutics.</w:t>
      </w:r>
    </w:p>
    <w:p>
      <w:pPr>
        <w:spacing w:before="120" w:after="120"/>
      </w:pPr>
      <w:r>
        <w:rPr>
          <w:sz w:val="18"/>
        </w:rPr>
        <w:t>——————————————————————————————————————————————————————————————————————</w:t>
      </w:r>
    </w:p>
    <w:p>
      <w:pPr>
        <w:spacing w:before="160" w:after="40" w:line="240" w:lineRule="auto"/>
      </w:pPr>
      <w:r>
        <w:rPr>
          <w:b/>
        </w:rPr>
        <w:t xml:space="preserve">[337] </w:t>
      </w:r>
      <w:hyperlink r:id="rId867">
        <w:r>
          <w:rPr>
            <w:color w:val="1155CC"/>
            <w:u w:val="single"/>
          </w:rPr>
          <w:t>自由基SAM酶EpeE在RiPP天然产物环肽的生物合成中表现出独特的位点反应性</w:t>
        </w:r>
      </w:hyperlink>
    </w:p>
    <w:p>
      <w:pPr>
        <w:spacing w:before="0" w:after="80"/>
      </w:pPr>
      <w:r>
        <w:rPr>
          <w:i/>
          <w:sz w:val="20"/>
        </w:rPr>
        <w:t>EN: The radical SAM enzyme EpeE exhibits distinct site reactivity during the biosynthesis of the RiPP natural product epipeptide</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68">
        <w:r>
          <w:rPr>
            <w:color w:val="1155CC"/>
            <w:u w:val="single"/>
          </w:rPr>
          <w:t>10.1073/pnas.2529780123</w:t>
        </w:r>
      </w:hyperlink>
    </w:p>
    <w:p>
      <w:pPr>
        <w:spacing w:before="0" w:after="120"/>
      </w:pPr>
      <w:r>
        <w:rPr>
          <w:b/>
        </w:rPr>
        <w:t xml:space="preserve">Notes: </w:t>
      </w:r>
      <w:r>
        <w:t>abstract_source=crossref</w:t>
      </w:r>
    </w:p>
    <w:p>
      <w:pPr>
        <w:spacing w:before="0" w:after="80" w:lineRule="auto" w:line="276"/>
      </w:pPr>
      <w:r>
        <w:rPr>
          <w:b/>
        </w:rPr>
        <w:t xml:space="preserve">摘要（ZH）: </w:t>
      </w:r>
      <w:r>
        <w:t>自由基S-腺苷-l-甲硫氨酸 (SAM) 酶在核糖体合成和翻译后修饰的肽 (RiPPs) 的形成中占据重要地位，它们催化肽修饰，包括外消旋化、硫醚交联形成和肽骨架拼接。在此，我们使用快速冷冻淬火捕获结合电子顺磁共振和电子-核双共振技术来探测由自由基SAM酶EpeE催化的两个外消旋化反应的机制步骤，在其肽底物转化为环肽天然产物的过程中。使用EpeE C223S变体促进了Cα自由基中间体的捕获和表征，支持</w:t>
      </w:r>
    </w:p>
    <w:p>
      <w:pPr>
        <w:spacing w:before="0" w:after="200" w:lineRule="auto" w:line="276"/>
      </w:pPr>
      <w:r>
        <w:rPr>
          <w:b/>
        </w:rPr>
        <w:t xml:space="preserve">Abstract (EN): </w:t>
      </w:r>
      <w:r>
        <w:t>Radical</w:t>
      </w:r>
      <w:r>
        <w:t xml:space="preserve"> </w:t>
      </w:r>
      <w:r>
        <w:t>S</w:t>
      </w:r>
      <w:r>
        <w:t xml:space="preserve"> </w:t>
      </w:r>
      <w:r>
        <w:t>-adenosyl-</w:t>
      </w:r>
      <w:r>
        <w:t>l</w:t>
      </w:r>
      <w:r>
        <w:t xml:space="preserve"> </w:t>
      </w:r>
      <w:r>
        <w:t>-methionine (SAM) enzymes figure prominently in the formation of ribosomally synthesized and posttranslationally modified peptides (RiPPs), where they catalyze peptide modifications including epimerization, thioether crosslink formation, and peptide backbone splicing. Here, we use rapid freeze-quench trapping together with electron paramagnetic resonance and electron-nuclear double resonance techniques to probe the mechanistic steps of the two epimerization reactions catalyzed by the radical SAM enzyme EpeE during conversion of its peptide substrate to the epipeptide natural product. Use of the EpeE C223S variant facilitated trapping and characterization of Cα radical intermediates, supporting a central role for C223 in the proposed epimerization mechanism. We showed that both wild-type and C223S EpeE with bound SAM and peptide substrate form the organometallic intermediate Ω upon reaction, and that thermal annealing of Ω results in conversion to an organic radical intermediate. Freeze-quenching at longer times allowed us to directly trap the organic radical intermediate, and isotopic labeling together with use of substrate variants allowed for detailed characterization of the substrate radical intermediates. The results revealed that while LC–MS enzymatic assays point to Ile12 as the initial site of epimerization, freeze-quench EPR reveals that Val4 is the preferred site for initial Cα radical formation. These apparently conflicting results were resolved by the observation that the Ile12 Cα radical is more efficiently quenched to form the</w:t>
      </w:r>
      <w:r>
        <w:t xml:space="preserve"> </w:t>
      </w:r>
      <w:r>
        <w:t>d</w:t>
      </w:r>
      <w:r>
        <w:t xml:space="preserve"> </w:t>
      </w:r>
      <w:r>
        <w:t>-Ile, thus providing insights into the determinants for substrate binding and epimerization by EpeE.</w:t>
      </w:r>
    </w:p>
    <w:p>
      <w:pPr>
        <w:spacing w:before="120" w:after="120"/>
      </w:pPr>
      <w:r>
        <w:rPr>
          <w:sz w:val="18"/>
        </w:rPr>
        <w:t>——————————————————————————————————————————————————————————————————————</w:t>
      </w:r>
    </w:p>
    <w:p>
      <w:pPr>
        <w:spacing w:before="160" w:after="40" w:line="240" w:lineRule="auto"/>
      </w:pPr>
      <w:r>
        <w:rPr>
          <w:b/>
        </w:rPr>
        <w:t xml:space="preserve">[338] </w:t>
      </w:r>
      <w:hyperlink r:id="rId869">
        <w:r>
          <w:rPr>
            <w:color w:val="1155CC"/>
            <w:u w:val="single"/>
          </w:rPr>
          <w:t>Calsyntenin-3通过抑制TLR的N-糖基化和膜定位来抑制炎症</w:t>
        </w:r>
      </w:hyperlink>
    </w:p>
    <w:p>
      <w:pPr>
        <w:spacing w:before="0" w:after="80"/>
      </w:pPr>
      <w:r>
        <w:rPr>
          <w:i/>
          <w:sz w:val="20"/>
        </w:rPr>
        <w:t>EN: Calsyntenin-3 suppresses inflammation via inhibition of TLR N-glycosylation and membrane localization</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70">
        <w:r>
          <w:rPr>
            <w:color w:val="1155CC"/>
            <w:u w:val="single"/>
          </w:rPr>
          <w:t>10.1073/pnas.2528269123</w:t>
        </w:r>
      </w:hyperlink>
    </w:p>
    <w:p>
      <w:pPr>
        <w:spacing w:before="0" w:after="120"/>
      </w:pPr>
      <w:r>
        <w:rPr>
          <w:b/>
        </w:rPr>
        <w:t xml:space="preserve">Notes: </w:t>
      </w:r>
      <w:r>
        <w:t>abstract_source=crossref</w:t>
      </w:r>
    </w:p>
    <w:p>
      <w:pPr>
        <w:spacing w:before="0" w:after="80" w:lineRule="auto" w:line="276"/>
      </w:pPr>
      <w:r>
        <w:rPr>
          <w:b/>
        </w:rPr>
        <w:t xml:space="preserve">摘要（ZH）: </w:t>
      </w:r>
      <w:r>
        <w:t>过度的先天免疫激活导致失控的炎症和多种炎症性疾病。膜相关的Toll样受体4（TLR4）的正确N-糖基化对于其运输到细胞膜和随后的先天激活至关重要，但调节这一过程的机制仍然知之甚少。通过全基因组CRISPR筛选，我们确定了钙结合蛋白3（CLSTN3）作为巨噬细胞中TLR4触发炎症的强效抑制剂。在机制上，CLSTN3与寡糖转移酶（OST）亚基DDOST结合，抑制其与催化亚基STT3A的相互作用，损害OST复合物的组装，从而减少TLR4的N-糖基化和膜转运。此外，CLSTN3还抑制膜转运和激活</w:t>
      </w:r>
    </w:p>
    <w:p>
      <w:pPr>
        <w:spacing w:before="0" w:after="200" w:lineRule="auto" w:line="276"/>
      </w:pPr>
      <w:r>
        <w:rPr>
          <w:b/>
        </w:rPr>
        <w:t xml:space="preserve">Abstract (EN): </w:t>
      </w:r>
      <w:r>
        <w:t>Excessive innate immune activation drives uncontrolled inflammation and multiple inflammatory diseases. Proper N-glycosylation of membrane-associated Toll-like receptor 4 (TLR4) is essential for its trafficking to the cell membrane and subsequent innate activation, yet the mechanisms regulating this process remain poorly understood. Through a genome-wide CRISPR screening, we identify calsyntenin-3 (CLSTN3) as a potent suppressor of TLR4-triggered inflammation in macrophages. Mechanistically, CLSTN3 binds to the oligosaccharyltransferase (OST) subunit DDOST, inhibiting its interaction with the catalytic subunit STT3A and impairing OST complex assembly, which reduces N-glycosylation and membrane translocation of TLR4. Furthermore, CLSTN3 also suppresses membrane translocation and activation of other TLRs, including TLR3, TLR7 and TLR9. In addition,</w:t>
      </w:r>
      <w:r>
        <w:t xml:space="preserve"> </w:t>
      </w:r>
      <w:r>
        <w:t>CLSTN3</w:t>
      </w:r>
      <w:r>
        <w:t xml:space="preserve"> </w:t>
      </w:r>
      <w:r>
        <w:t>expression is reduced in multiple inflammatory diseases and correlates negatively with the cytokine expression in sepsis. Our findings reveal CLSTN3 as a potent suppressor of inflammation by controlling membrane-associated TLR translocation via glycosylation inhibition, presenting a target for intervening inflammatory diseases.</w:t>
      </w:r>
    </w:p>
    <w:p>
      <w:pPr>
        <w:spacing w:before="120" w:after="120"/>
      </w:pPr>
      <w:r>
        <w:rPr>
          <w:sz w:val="18"/>
        </w:rPr>
        <w:t>——————————————————————————————————————————————————————————————————————</w:t>
      </w:r>
    </w:p>
    <w:p>
      <w:pPr>
        <w:spacing w:before="160" w:after="40" w:line="240" w:lineRule="auto"/>
      </w:pPr>
      <w:r>
        <w:rPr>
          <w:b/>
        </w:rPr>
        <w:t xml:space="preserve">[339] </w:t>
      </w:r>
      <w:hyperlink r:id="rId871">
        <w:r>
          <w:rPr>
            <w:color w:val="1155CC"/>
            <w:u w:val="single"/>
          </w:rPr>
          <w:t>母体免疫激活后胎儿发育轨迹受性染色体-性腺相互作用的影响</w:t>
        </w:r>
      </w:hyperlink>
    </w:p>
    <w:p>
      <w:pPr>
        <w:spacing w:before="0" w:after="80"/>
      </w:pPr>
      <w:r>
        <w:rPr>
          <w:i/>
          <w:sz w:val="20"/>
        </w:rPr>
        <w:t>EN: Fetal developmental trajectories following maternal immune activation are shaped by sex chromosome–gonadal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72">
        <w:r>
          <w:rPr>
            <w:color w:val="1155CC"/>
            <w:u w:val="single"/>
          </w:rPr>
          <w:t>10.1073/pnas.2531595123</w:t>
        </w:r>
      </w:hyperlink>
    </w:p>
    <w:p>
      <w:pPr>
        <w:spacing w:before="0" w:after="120"/>
      </w:pPr>
      <w:r>
        <w:rPr>
          <w:b/>
        </w:rPr>
        <w:t xml:space="preserve">Notes: </w:t>
      </w:r>
      <w:r>
        <w:t>abstract_source=crossref</w:t>
      </w:r>
    </w:p>
    <w:p>
      <w:pPr>
        <w:spacing w:before="0" w:after="80" w:lineRule="auto" w:line="276"/>
      </w:pPr>
      <w:r>
        <w:rPr>
          <w:b/>
        </w:rPr>
        <w:t xml:space="preserve">摘要（ZH）: </w:t>
      </w:r>
      <w:r>
        <w:t>母体免疫激活（MIA）导致神经发育障碍，且男性患病率较高。为了理清性染色体（XX与XY）和性腺（卵巢与睾丸）在塑造胎儿对MIA反应中的贡献，我们使用了四核基因型（FCG）小鼠模型。生成了代表所有性染色体和性腺状态组合的后代，并在胚胎第12.5天（E12.5）暴露于poly(I:C)或生理盐水中。我们在E13.5评估了母体血清、胎盘和胎儿脑细胞因子；在E17.5，通过微超声和CT成像评估胎儿发育。MIA引发了强烈的母体炎症反应，提高了IL-6、MCP-1（CCL2）和TNF-α水平，破坏了胎盘功能和胎儿发育。与所有其他基因型相比，XX性腺女性</w:t>
      </w:r>
    </w:p>
    <w:p>
      <w:pPr>
        <w:spacing w:before="0" w:after="200" w:lineRule="auto" w:line="276"/>
      </w:pPr>
      <w:r>
        <w:rPr>
          <w:b/>
        </w:rPr>
        <w:t xml:space="preserve">Abstract (EN): </w:t>
      </w:r>
      <w:r>
        <w:t>Maternal immune activation (MIA) contributes to neurodevelopmental disorders with male-biased prevalence. To disentangle the contributions of sex chromosomes (XX vs. XY) and gonads (ovaries vs. testes) in shaping fetal responses to MIA, we used the four-core genotypes (FCG) mouse model. Offspring representing all combinations of sex chromosome and gonadal status were generated and exposed to poly(I:C) or saline at embryonic day (E)12.5. We assessed maternal serum, fetal placentas, and fetal brain cytokines at E13.5; at E17.5, fetal development was evaluated via microultrasound and CT imaging. MIA induced a robust maternal inflammatory response, elevating IL-6, MCP-1 (CCL2), and TNF-α, which disrupted placental function and fetal development. Compared to all other genotypes, XX gonadal females exhibited a distinct placental proinflammatory signature that appeared largely independent of MIA exposure, along with greater umbilical artery blood flow and relatively little fetal brain inflammation, suggesting a placental buffering effect. In contrast, gonadal males demonstrated greater susceptibility to MIA-related impairments than gonadal females in umbilical artery diameter and blood flow, while XY gonadal females displayed the greatest neural inflammation following MIA. A pilot study using CT imaging suggests concurrent underdevelopment of the fetal thymus, trachea, heart ventricles, and clavicle in MIA-exposed XX gonadal males relative to gonadal females, indicating that the presence of testes/Sry in an XX chromosomal context may exacerbate MIA effects for these structures. These findings reveal that sex chromosomes and gonadal hormones both contribute to fetal resilience to MIA, offering insight into sex-specific developmental trajectories and informing strategies to protect fetal neurodevelopment.</w:t>
      </w:r>
    </w:p>
    <w:p>
      <w:pPr>
        <w:spacing w:before="120" w:after="120"/>
      </w:pPr>
      <w:r>
        <w:rPr>
          <w:sz w:val="18"/>
        </w:rPr>
        <w:t>——————————————————————————————————————————————————————————————————————</w:t>
      </w:r>
    </w:p>
    <w:p>
      <w:pPr>
        <w:spacing w:before="160" w:after="40" w:line="240" w:lineRule="auto"/>
      </w:pPr>
      <w:r>
        <w:rPr>
          <w:b/>
        </w:rPr>
        <w:t xml:space="preserve">[340] </w:t>
      </w:r>
      <w:hyperlink r:id="rId873">
        <w:r>
          <w:rPr>
            <w:color w:val="1155CC"/>
            <w:u w:val="single"/>
          </w:rPr>
          <w:t>由线虫构建的跨界生物营养相互作用通道</w:t>
        </w:r>
      </w:hyperlink>
    </w:p>
    <w:p>
      <w:pPr>
        <w:spacing w:before="0" w:after="80"/>
      </w:pPr>
      <w:r>
        <w:rPr>
          <w:i/>
          <w:sz w:val="20"/>
        </w:rPr>
        <w:t>EN: A nematode-built conduit for cross kingdom biotrophic interaction</w:t>
      </w:r>
    </w:p>
    <w:p>
      <w:pPr>
        <w:spacing w:before="0" w:after="120"/>
      </w:pPr>
      <w:r>
        <w:rPr>
          <w:b/>
        </w:rPr>
        <w:t xml:space="preserve">Source: </w:t>
      </w:r>
      <w:r>
        <w:t>Proceedings of the National Academy of Sciences: Keyword search for query</w:t>
      </w:r>
      <w:r>
        <w:t xml:space="preserve">    </w:t>
      </w:r>
      <w:r>
        <w:rPr>
          <w:b/>
        </w:rPr>
        <w:t xml:space="preserve">Pub date: </w:t>
      </w:r>
      <w:r>
        <w:t>2026-03-18 07:00:00+00:00</w:t>
      </w:r>
      <w:r>
        <w:t xml:space="preserve">    </w:t>
      </w:r>
      <w:r>
        <w:rPr>
          <w:b/>
        </w:rPr>
        <w:t xml:space="preserve">DOI: </w:t>
      </w:r>
      <w:hyperlink r:id="rId874">
        <w:r>
          <w:rPr>
            <w:color w:val="1155CC"/>
            <w:u w:val="single"/>
          </w:rPr>
          <w:t>10.1073/pnas.2601427123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[341] </w:t>
      </w:r>
      <w:hyperlink r:id="rId875">
        <w:r>
          <w:rPr>
            <w:color w:val="1155CC"/>
            <w:u w:val="single"/>
          </w:rPr>
          <w:t>应用机器学习识别在美国被记录为其他死因的未被识别的COVID-19死亡</w:t>
        </w:r>
      </w:hyperlink>
    </w:p>
    <w:p>
      <w:pPr>
        <w:spacing w:before="0" w:after="80"/>
      </w:pPr>
      <w:r>
        <w:rPr>
          <w:i/>
          <w:sz w:val="20"/>
        </w:rPr>
        <w:t>EN: Applying machine learning to identify unrecognized COVID-19 deaths recorded as other causes of death in the United States</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76">
        <w:r>
          <w:rPr>
            <w:color w:val="1155CC"/>
            <w:u w:val="single"/>
          </w:rPr>
          <w:t>10.1126/sciadv.aef5697</w:t>
        </w:r>
      </w:hyperlink>
    </w:p>
    <w:p>
      <w:pPr>
        <w:spacing w:before="0" w:after="120"/>
      </w:pPr>
      <w:r>
        <w:rPr>
          <w:b/>
        </w:rPr>
        <w:t xml:space="preserve">Notes: </w:t>
      </w:r>
      <w:r>
        <w:t>abstract_source=crossref</w:t>
      </w:r>
    </w:p>
    <w:p>
      <w:pPr>
        <w:spacing w:before="0" w:after="80" w:lineRule="auto" w:line="276"/>
      </w:pPr>
      <w:r>
        <w:rPr>
          <w:b/>
        </w:rPr>
        <w:t xml:space="preserve">摘要（ZH）: </w:t>
      </w:r>
      <w:r>
        <w:t>自COVID-19大流行开始以来，由严重急性呼吸综合征冠状病毒2感染导致的美国实际死亡人数一直在调查和争论中。在此，我们使用从2020年3月至2021年12月的美国死亡证明上训练的机器学习来预测155,536例（95%不确定性区间：150,062至161,112）未被识别的COVID-19死亡。这表明美国的COVID-19死亡人数比官方报告的多19%。预测的未被识别的COVID-19死亡在教育水平低于高中、被识别为西班牙裔、美洲印第安人、阿拉斯加原住民、亚洲人和/或黑人、家庭收入较低和健康状况较差的县以及南部的县中不成比例地发生。这些发现表明美国死亡</w:t>
      </w:r>
    </w:p>
    <w:p>
      <w:pPr>
        <w:spacing w:before="0" w:after="200" w:lineRule="auto" w:line="276"/>
      </w:pPr>
      <w:r>
        <w:rPr>
          <w:b/>
        </w:rPr>
        <w:t xml:space="preserve">Abstract (EN): </w:t>
      </w:r>
      <w:r>
        <w:t>The actual number of US deaths caused by severe acute respiratory syndrome coronavirus 2 infection has been investigated and debated since the start of the COVID-19 pandemic. Here, we use machine learning trained on US death certificates from March 2020 to December 2021 to predict 155,536 (95% uncertainty interval: 150,062 to 161,112) unrecognized COVID-19 deaths. This indicates that 19% more COVID-19 deaths occurred in the US than officially reported. Predicted unrecognized COVID-19 deaths occurred disproportionately among decedents with less than a high school education; decedents identified as Hispanic, American Indian, Alaska Native, Asian, and/or Black; counties with lower household incomes and worse preexisting health; and counties in the South. These findings suggest that the US death investigation system undercounted COVID-19 deaths unevenly, hiding the true extent of inequities.</w:t>
      </w:r>
    </w:p>
    <w:p>
      <w:pPr>
        <w:spacing w:before="120" w:after="120"/>
      </w:pPr>
      <w:r>
        <w:rPr>
          <w:sz w:val="18"/>
        </w:rPr>
        <w:t>——————————————————————————————————————————————————————————————————————</w:t>
      </w:r>
    </w:p>
    <w:p>
      <w:pPr>
        <w:spacing w:before="160" w:after="40" w:line="240" w:lineRule="auto"/>
      </w:pPr>
      <w:r>
        <w:rPr>
          <w:b/>
        </w:rPr>
        <w:t xml:space="preserve">[342] </w:t>
      </w:r>
      <w:hyperlink r:id="rId877">
        <w:r>
          <w:rPr>
            <w:color w:val="1155CC"/>
            <w:u w:val="single"/>
          </w:rPr>
          <w:t>深时权力和包容性的分布</w:t>
        </w:r>
      </w:hyperlink>
    </w:p>
    <w:p>
      <w:pPr>
        <w:spacing w:before="0" w:after="80"/>
      </w:pPr>
      <w:r>
        <w:rPr>
          <w:i/>
          <w:sz w:val="20"/>
        </w:rPr>
        <w:t>EN: The distribution of power and inclusiveness across deep time</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78">
        <w:r>
          <w:rPr>
            <w:color w:val="1155CC"/>
            <w:u w:val="single"/>
          </w:rPr>
          <w:t>10.1126/sciadv.aec1426</w:t>
        </w:r>
      </w:hyperlink>
    </w:p>
    <w:p>
      <w:pPr>
        <w:spacing w:before="0" w:after="120"/>
      </w:pPr>
      <w:r>
        <w:rPr>
          <w:b/>
        </w:rPr>
        <w:t xml:space="preserve">Notes: </w:t>
      </w:r>
      <w:r>
        <w:t>abstract_source=crossref</w:t>
      </w:r>
    </w:p>
    <w:p>
      <w:pPr>
        <w:spacing w:before="0" w:after="80" w:lineRule="auto" w:line="276"/>
      </w:pPr>
      <w:r>
        <w:rPr>
          <w:b/>
        </w:rPr>
        <w:t xml:space="preserve">摘要（ZH）: </w:t>
      </w:r>
      <w:r>
        <w:t>本研究提出了一个全球深时的治理比较分析，质疑关于民主制度起源和演变的根深蒂固的观点。通过对31个政体的40个案例观察的考古和文本数据，我们开发了一个定量框架，以评估沿着集体-专制轴线的治理，该轴线由两个关键维度定义：权力集中和公民包容性。使用桥接论点和稳健的代理指标，我们构建了一个专制指数，以评估案例在此轴线上的位置，并将其与人口规模、层级复杂性、地理区域、财政融资模式、官僚结构、仪式实践和社会经济不平等进行比较。无论是政体人口还是地理区域都没有紧密地</w:t>
      </w:r>
    </w:p>
    <w:p>
      <w:pPr>
        <w:spacing w:before="0" w:after="200" w:lineRule="auto" w:line="276"/>
      </w:pPr>
      <w:r>
        <w:rPr>
          <w:b/>
        </w:rPr>
        <w:t xml:space="preserve">Abstract (EN): </w:t>
      </w:r>
      <w:r>
        <w:t>This study presents a global, deep-time comparative analysis of governance, questioning entrenched viewpoints about the origins and evolution of democratic institutions. Drawing on archaeological and textual data from 40 case observations across 31 polities, we develop a quantitative framework to assess governance along a collective-autocratic axis, defined by two key dimensions: concentration of power and citizen inclusiveness. Using bridging arguments and robust proxies, we construct an autocracy index to assess where cases fall on this axis and examine them in relation to population size, hierarchical complexity, geographic region, modes of fiscal financing, bureaucratic structure, ritual practices, and socioeconomic inequality. Neither polity population nor geographic region tightly correlates with the collective-autocratic axis of governance, challenging extant neoevolutionary models. Instead, the strongest associations for autocratic governance are with external financing, patrimonial bureaucracy, spectacular ritual, and high inequality. The study underscores the diversity and persistence of collective governance, offering a scalable methodology for future comparative research and reframing historical narratives.</w:t>
      </w:r>
    </w:p>
    <w:p>
      <w:pPr>
        <w:spacing w:before="120" w:after="120"/>
      </w:pPr>
      <w:r>
        <w:rPr>
          <w:sz w:val="18"/>
        </w:rPr>
        <w:t>——————————————————————————————————————————————————————————————————————</w:t>
      </w:r>
    </w:p>
    <w:p>
      <w:pPr>
        <w:spacing w:before="160" w:after="40" w:line="240" w:lineRule="auto"/>
      </w:pPr>
      <w:r>
        <w:rPr>
          <w:b/>
        </w:rPr>
        <w:t xml:space="preserve">[343] </w:t>
      </w:r>
      <w:hyperlink r:id="rId879">
        <w:r>
          <w:rPr>
            <w:color w:val="1155CC"/>
            <w:u w:val="single"/>
          </w:rPr>
          <w:t>通过共享的转录因子序列证据显示脊髓神经元亚型的时间顺序多样化</w:t>
        </w:r>
      </w:hyperlink>
    </w:p>
    <w:p>
      <w:pPr>
        <w:spacing w:before="0" w:after="80"/>
      </w:pPr>
      <w:r>
        <w:rPr>
          <w:i/>
          <w:sz w:val="20"/>
        </w:rPr>
        <w:t>EN: Evidence for chronological diversification of spinal neuron subtypes by a shared sequence of transcription factors</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80">
        <w:r>
          <w:rPr>
            <w:color w:val="1155CC"/>
            <w:u w:val="single"/>
          </w:rPr>
          <w:t>10.1126/sciadv.adz3075</w:t>
        </w:r>
      </w:hyperlink>
    </w:p>
    <w:p>
      <w:pPr>
        <w:spacing w:before="0" w:after="120"/>
      </w:pPr>
      <w:r>
        <w:rPr>
          <w:b/>
        </w:rPr>
        <w:t xml:space="preserve">Notes: </w:t>
      </w:r>
      <w:r>
        <w:t>abstract_source=crossref</w:t>
      </w:r>
    </w:p>
    <w:p>
      <w:pPr>
        <w:spacing w:before="0" w:after="80" w:lineRule="auto" w:line="276"/>
      </w:pPr>
      <w:r>
        <w:rPr>
          <w:b/>
        </w:rPr>
        <w:t xml:space="preserve">摘要（ZH）: </w:t>
      </w:r>
      <w:r>
        <w:t>揭示产生神经元细胞类型巨大多样性的机制仍然是发育生物学的基本目标。共享共同分子身份的不同“基本类别”脊髓神经元是从空间隔离的祖细胞域产生的。在许多类别中，随着时间的推移，产生了一系列功能相关的神经元亚型，这引发了对控制这一过程的机制的质疑。在此，我们展示了小鼠转录因子Onecut2、Pou2f2和Pou3f1的连续表达与几个基本类别中顺序生成的亚群的出现相关。我们证明，Pou2f2的缺失会损害两个早期生成的运动神经元柱的发育，并重新指定前外侧系统</w:t>
      </w:r>
    </w:p>
    <w:p>
      <w:pPr>
        <w:spacing w:before="0" w:after="200" w:lineRule="auto" w:line="276"/>
      </w:pPr>
      <w:r>
        <w:rPr>
          <w:b/>
        </w:rPr>
        <w:t xml:space="preserve">Abstract (EN): </w:t>
      </w:r>
      <w:r>
        <w:t>Uncovering the mechanisms that generate the immense diversity of neuronal cell types remains a fundamental goal of developmental biology. Different “cardinal classes” of spinal neurons that share a common molecular identity are produced from spatially segregated progenitor domains. Within many classes, a stereotyped sequence of neuronal subtypes of related function is generated over time, raising the question of the mechanisms that control this process. Here, we show that the successive expression of mouse transcription factors Onecut2, Pou2f2, and Pou3f1 correlates with the emergence of sequentially generated subpopulations within several cardinal classes. We demonstrate that loss of Pou2f2 impairs the development of two early-born motor neuron columns and respecifies anterolateral system projection neurons into a later-born subset. Similarly, we show that Pou3f1 expression is required for the normal development of later-born subsets of motor neurons and anterolateral system projection neurons. Together, our observations provide functional evidence that horologic diversification of spinal circuits is driven by a conserved sequence of transcription factors.</w:t>
      </w:r>
    </w:p>
    <w:p>
      <w:pPr>
        <w:spacing w:before="120" w:after="120"/>
      </w:pPr>
      <w:r>
        <w:rPr>
          <w:sz w:val="18"/>
        </w:rPr>
        <w:t>——————————————————————————————————————————————————————————————————————</w:t>
      </w:r>
    </w:p>
    <w:p>
      <w:pPr>
        <w:spacing w:before="160" w:after="40" w:line="240" w:lineRule="auto"/>
      </w:pPr>
      <w:r>
        <w:rPr>
          <w:b/>
        </w:rPr>
        <w:t xml:space="preserve">[344] </w:t>
      </w:r>
      <w:hyperlink r:id="rId881">
        <w:r>
          <w:rPr>
            <w:color w:val="1155CC"/>
            <w:u w:val="single"/>
          </w:rPr>
          <w:t>泥炭火灾对西伯利亚火灾碳排放的贡献不成比例</w:t>
        </w:r>
      </w:hyperlink>
    </w:p>
    <w:p>
      <w:pPr>
        <w:spacing w:before="0" w:after="80"/>
      </w:pPr>
      <w:r>
        <w:rPr>
          <w:i/>
          <w:sz w:val="20"/>
        </w:rPr>
        <w:t>EN: Peat fires contribute disproportionately to Siberian fire carbon emissions</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82">
        <w:r>
          <w:rPr>
            <w:color w:val="1155CC"/>
            <w:u w:val="single"/>
          </w:rPr>
          <w:t>10.1126/sciadv.adl2368</w:t>
        </w:r>
      </w:hyperlink>
    </w:p>
    <w:p>
      <w:pPr>
        <w:spacing w:before="0" w:after="120"/>
      </w:pPr>
      <w:r>
        <w:rPr>
          <w:b/>
        </w:rPr>
        <w:t xml:space="preserve">Notes: </w:t>
      </w:r>
      <w:r>
        <w:t>abstract_source=crossref</w:t>
      </w:r>
    </w:p>
    <w:p>
      <w:pPr>
        <w:spacing w:before="0" w:after="80" w:lineRule="auto" w:line="276"/>
      </w:pPr>
      <w:r>
        <w:rPr>
          <w:b/>
        </w:rPr>
        <w:t xml:space="preserve">摘要（ZH）: </w:t>
      </w:r>
      <w:r>
        <w:t>北极和北方森林火灾是对陆地碳储库的重大威胁，特别是泥炭火灾会引发长期不可恢复的碳损失和永久冻土融化。然而，泥炭火灾的发生及其相关的碳排放仍然高度不确定。30米卫星衍生的燃烧面积和泥炭地覆盖图显示，2001年至2023年期间，西伯利亚火灾烧毁了超过1.07亿公顷，其中泥炭火灾占到这一面积的三分之一。这些泥炭火灾排放了1.24 ± 0.06拍克的碳，远远超过传统数据集的估计。我们发现异常干燥和温暖的气候条件是极端泥炭火灾季节的主要驱动因素，而2020年晚季泥炭火灾的过冬对其贡献显著</w:t>
      </w:r>
    </w:p>
    <w:p>
      <w:pPr>
        <w:spacing w:before="0" w:after="200" w:lineRule="auto" w:line="276"/>
      </w:pPr>
      <w:r>
        <w:rPr>
          <w:b/>
        </w:rPr>
        <w:t xml:space="preserve">Abstract (EN): </w:t>
      </w:r>
      <w:r>
        <w:t>Arctic and boreal fires are critical threats to terrestrial carbon reservoirs, particularly peat fires that trigger long-term irrecoverable carbon losses and permafrost thaw. However, the occurrence of peat fires and their associated carbon emissions remain highly uncertain. 30-meter satellite-derived maps of burned area and peatland coverage reveal that Siberian fires burned over 107 million hectares during the 2001 to 2023 period, with peat fires accounting for up to one-third of this area. These peat fires emitted 1.24 ± 0.06 petagram of carbon, largely exceeding conventional datasets’ estimates. We found that anomalous dry and warm climatic conditions represent the primary driver of extreme peat fire seasons and that overwintering of 2020’s late-season peat fires substantially contributed to extensive fires of 2021. Peat fires, especially those in Arctic regions, exhibit a pronounced sensitivity to extreme weather, posing a critical threat to the stability of permafrost peatlands and their large carbon stocks.</w:t>
      </w:r>
    </w:p>
    <w:p>
      <w:pPr>
        <w:spacing w:before="120" w:after="120"/>
      </w:pPr>
      <w:r>
        <w:rPr>
          <w:sz w:val="18"/>
        </w:rPr>
        <w:t>——————————————————————————————————————————————————————————————————————</w:t>
      </w:r>
    </w:p>
    <w:p>
      <w:pPr>
        <w:spacing w:before="160" w:after="40" w:line="240" w:lineRule="auto"/>
      </w:pPr>
      <w:r>
        <w:rPr>
          <w:b/>
        </w:rPr>
        <w:t xml:space="preserve">[345] </w:t>
      </w:r>
      <w:hyperlink r:id="rId883">
        <w:r>
          <w:rPr>
            <w:color w:val="1155CC"/>
            <w:u w:val="single"/>
          </w:rPr>
          <w:t>[math] 对称性强制双交换作为手性诱导自旋选择性的起源</w:t>
        </w:r>
      </w:hyperlink>
    </w:p>
    <w:p>
      <w:pPr>
        <w:spacing w:before="0" w:after="80"/>
      </w:pPr>
      <w:r>
        <w:rPr>
          <w:i/>
          <w:sz w:val="20"/>
        </w:rPr>
        <w:t>EN: [math] symmetry enforced twin exchange as the origin of chirality-induced spin selectivity</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84">
        <w:r>
          <w:rPr>
            <w:color w:val="1155CC"/>
            <w:u w:val="single"/>
          </w:rPr>
          <w:t>10.1126/sciadv.aec7069</w:t>
        </w:r>
      </w:hyperlink>
    </w:p>
    <w:p>
      <w:pPr>
        <w:spacing w:before="0" w:after="120"/>
      </w:pPr>
      <w:r>
        <w:rPr>
          <w:b/>
        </w:rPr>
        <w:t xml:space="preserve">Notes: </w:t>
      </w:r>
      <w:r>
        <w:t>abstract_source=crossref</w:t>
      </w:r>
    </w:p>
    <w:p>
      <w:pPr>
        <w:spacing w:before="0" w:after="80" w:lineRule="auto" w:line="276"/>
      </w:pPr>
      <w:r>
        <w:rPr>
          <w:b/>
        </w:rPr>
        <w:t xml:space="preserve">摘要（ZH）: </w:t>
      </w:r>
      <w:r>
        <w:t>手性分子在化学和生物学中无处不在，它们可以通过自旋来区分电子，这种现象被称为手性诱导自旋选择性（CISS）。尽管其稳健性和技术相关性，CISS一直难以用传统方法解释：自旋轨道耦合（SOC）模型无法完全解释观察到的幅度、室温持久性或平衡特征。在此，我们认为结构手性通过不可区分性原理强制执行双对交换机制，这本质上耦合了自旋和空间自由度，使得波函数不能分解为自旋和空间分量。我们推导出一个描述传输和平衡CISS现象的有效哈密顿量，并且是非厄米的。然而，固有</w:t>
      </w:r>
    </w:p>
    <w:p>
      <w:pPr>
        <w:spacing w:before="0" w:after="200" w:lineRule="auto" w:line="276"/>
      </w:pPr>
      <w:r>
        <w:rPr>
          <w:b/>
        </w:rPr>
        <w:t xml:space="preserve">Abstract (EN): </w:t>
      </w:r>
      <w:r>
        <w:t>Chiral molecules, ubiquitous in chemistry and biology, can differentiate electrons by their spin, a phenomenon known as chirality-induced spin selectivity (CISS). Despite its robustness and technological relevance, CISS has resisted conventional explanation: Spin-orbit coupling (SOC) models cannot fully account for the observed magnitude, room-temperature persistence, or equilibrium signatures. Here, we argue that structural chirality enforces a twin-pair exchange mechanism via the indistinguishability principle, which intrinsically couples spin and spatial degrees of freedom such that wave functions cannot be factorized into spin and spatial components. We derive an effective Hamiltonian that describes both transport and equilibrium CISS phenomena and is non-Hermitian. However, the inherent pseudo-Hermiticity, with</w:t>
      </w:r>
      <w:r>
        <w:t xml:space="preserve"> </w:t>
      </w:r>
      <w:r>
        <w:t>P</w:t>
      </w:r>
      <w:r>
        <w:t xml:space="preserve"> </w:t>
      </w:r>
      <w:r>
        <w:t>T</w:t>
      </w:r>
      <w:r>
        <w:t xml:space="preserve"> </w:t>
      </w:r>
      <w:r>
        <w:t>symmetry as a special case, ensures real eigenvalues and thermodynamic consistency. We demonstrate that our framework is a step toward resolving long-standing anomalies of CISS. It situates CISS alongside equilibrium symmetry-breaking phenomena such as ferromagnetism and superconductivity, with implications for spintronics, catalysis, and the origins of biological homochirality.</w:t>
      </w:r>
    </w:p>
    <w:p>
      <w:pPr>
        <w:spacing w:before="120" w:after="120"/>
      </w:pPr>
      <w:r>
        <w:rPr>
          <w:sz w:val="18"/>
        </w:rPr>
        <w:t>——————————————————————————————————————————————————————————————————————</w:t>
      </w:r>
    </w:p>
    <w:p>
      <w:pPr>
        <w:spacing w:before="160" w:after="40" w:line="240" w:lineRule="auto"/>
      </w:pPr>
      <w:r>
        <w:rPr>
          <w:b/>
        </w:rPr>
        <w:t xml:space="preserve">[346] </w:t>
      </w:r>
      <w:hyperlink r:id="rId885">
        <w:r>
          <w:rPr>
            <w:color w:val="1155CC"/>
            <w:u w:val="single"/>
          </w:rPr>
          <w:t>使用贝叶斯动态系统学习预测蚊子飞行行为</w:t>
        </w:r>
      </w:hyperlink>
    </w:p>
    <w:p>
      <w:pPr>
        <w:spacing w:before="0" w:after="80"/>
      </w:pPr>
      <w:r>
        <w:rPr>
          <w:i/>
          <w:sz w:val="20"/>
        </w:rPr>
        <w:t>EN: Predicting mosquito flight behavior using Bayesian dynamical systems learning</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86">
        <w:r>
          <w:rPr>
            <w:color w:val="1155CC"/>
            <w:u w:val="single"/>
          </w:rPr>
          <w:t>10.1126/sciadv.adz7063</w:t>
        </w:r>
      </w:hyperlink>
    </w:p>
    <w:p>
      <w:pPr>
        <w:spacing w:before="0" w:after="120"/>
      </w:pPr>
      <w:r>
        <w:rPr>
          <w:b/>
        </w:rPr>
        <w:t xml:space="preserve">Notes: </w:t>
      </w:r>
      <w:r>
        <w:t>abstract_source=crossref</w:t>
      </w:r>
    </w:p>
    <w:p>
      <w:pPr>
        <w:spacing w:before="0" w:after="80" w:lineRule="auto" w:line="276"/>
      </w:pPr>
      <w:r>
        <w:rPr>
          <w:b/>
        </w:rPr>
        <w:t xml:space="preserve">摘要（ZH）: </w:t>
      </w:r>
      <w:r>
        <w:t>蚊媒疾病每年在全球造成数十万人的死亡。解码蚊子的宿主寻找行为对于通过捕捉和监测蚊子来防止疾病传播至关重要。尽管最近取得了实质性进展，我们仍然缺乏对视觉和其他感官线索如何引导蚊子到达目标的全面定量理解。在此，我们结合了三维红外跟踪</w:t>
      </w:r>
      <w:r>
        <w:t xml:space="preserve"> </w:t>
      </w:r>
      <w:r>
        <w:t>Aedes aegypti</w:t>
      </w:r>
      <w:r>
        <w:t xml:space="preserve"> </w:t>
      </w:r>
      <w:r>
        <w:t>蚊子与贝叶斯动态系统推断，学习蚊子宿主寻找行为的定量生物物理模型。训练数据超过2000万个数据点，每个数据点对应于在视觉存在下记录的蚊子自由飞行轨迹中的瞬时位置和速度。</w:t>
      </w:r>
    </w:p>
    <w:p>
      <w:pPr>
        <w:spacing w:before="0" w:after="200" w:lineRule="auto" w:line="276"/>
      </w:pPr>
      <w:r>
        <w:rPr>
          <w:b/>
        </w:rPr>
        <w:t xml:space="preserve">Abstract (EN): </w:t>
      </w:r>
      <w:r>
        <w:t>Mosquito-borne diseases cause several hundred thousand deaths worldwide every year. Deciphering mosquito host-seeking behavior is essential to prevent disease transmission through mosquito capture and surveillance. Despite recent substantial progress, we still lack a comprehensive quantitative understanding of how visual and other sensory cues guide mosquitoes to their targets. Here, we combined three-dimensional infrared tracking of</w:t>
      </w:r>
      <w:r>
        <w:t xml:space="preserve"> </w:t>
      </w:r>
      <w:r>
        <w:t>Aedes aegypti</w:t>
      </w:r>
      <w:r>
        <w:t xml:space="preserve"> </w:t>
      </w:r>
      <w:r>
        <w:t>mosquitoes with Bayesian dynamical systems inference to learn a quantitative biophysical model of mosquito host-seeking behavior. Trained on more than 20 million data points, each corresponding to an instantaneous position and velocity in mosquito free-flight trajectories recorded in the presence of visual and carbon dioxide cues, the model accurately predicts how mosquitoes respond to human targets. Our results provide a quantitative foundation for optimizing mosquito capture and control strategies, a key step toward mitigating the impact of mosquito-borne diseases.</w:t>
      </w:r>
    </w:p>
    <w:p>
      <w:pPr>
        <w:spacing w:before="120" w:after="120"/>
      </w:pPr>
      <w:r>
        <w:rPr>
          <w:sz w:val="18"/>
        </w:rPr>
        <w:t>——————————————————————————————————————————————————————————————————————</w:t>
      </w:r>
    </w:p>
    <w:p>
      <w:pPr>
        <w:spacing w:before="160" w:after="40" w:line="240" w:lineRule="auto"/>
      </w:pPr>
      <w:r>
        <w:rPr>
          <w:b/>
        </w:rPr>
        <w:t xml:space="preserve">[347] </w:t>
      </w:r>
      <w:hyperlink r:id="rId887">
        <w:r>
          <w:rPr>
            <w:color w:val="1155CC"/>
            <w:u w:val="single"/>
          </w:rPr>
          <w:t>生物电子合成硫化氢实现蛋白质修饰和细胞氧化还原的时空调控</w:t>
        </w:r>
      </w:hyperlink>
    </w:p>
    <w:p>
      <w:pPr>
        <w:spacing w:before="0" w:after="80"/>
      </w:pPr>
      <w:r>
        <w:rPr>
          <w:i/>
          <w:sz w:val="20"/>
        </w:rPr>
        <w:t>EN: Bioelectronic synthesis of hydrogen sulfide enables spatiotemporal regulation of protein modification and cellular redox</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88">
        <w:r>
          <w:rPr>
            <w:color w:val="1155CC"/>
            <w:u w:val="single"/>
          </w:rPr>
          <w:t>10.1126/sciadv.aeb3401</w:t>
        </w:r>
      </w:hyperlink>
    </w:p>
    <w:p>
      <w:pPr>
        <w:spacing w:before="0" w:after="120"/>
      </w:pPr>
      <w:r>
        <w:rPr>
          <w:b/>
        </w:rPr>
        <w:t xml:space="preserve">Notes: </w:t>
      </w:r>
      <w:r>
        <w:t>abstract_source=crossref</w:t>
      </w:r>
    </w:p>
    <w:p>
      <w:pPr>
        <w:spacing w:before="0" w:after="80" w:lineRule="auto" w:line="276"/>
      </w:pPr>
      <w:r>
        <w:rPr>
          <w:b/>
        </w:rPr>
        <w:t xml:space="preserve">摘要（ZH）: </w:t>
      </w:r>
      <w:r>
        <w:t>反应性信号分子如硫化氢（H</w:t>
      </w:r>
      <w:r>
        <w:rPr>
          <w:vertAlign w:val="subscript"/>
        </w:rPr>
        <w:t>2</w:t>
      </w:r>
      <w:r>
        <w:t>S）调节蛋白功能和细胞氧化还原平衡，但其不稳定性使得在生物系统中精确递送具有挑战性。现有的生物电子平台主要针对稳定分子，通常缺乏以时空精度控制瞬态分子的能力。我们开发了一种生物电子平台，利用电化学反应直接从生物相容性硫代硫酸盐前体在活细胞附近生成和递送H</w:t>
      </w:r>
      <w:r>
        <w:rPr>
          <w:vertAlign w:val="subscript"/>
        </w:rPr>
        <w:t>2</w:t>
      </w:r>
      <w:r>
        <w:t>S。通过电催化剂筛选、理论建模和产物分析，我们证明了具有低金属-氢结合能的生物相容性金属阴极催化H</w:t>
      </w:r>
    </w:p>
    <w:p>
      <w:pPr>
        <w:spacing w:before="0" w:after="200" w:lineRule="auto" w:line="276"/>
      </w:pPr>
      <w:r>
        <w:rPr>
          <w:b/>
        </w:rPr>
        <w:t xml:space="preserve">Abstract (EN): </w:t>
      </w:r>
      <w:r>
        <w:t>Reactive signaling molecules such as hydrogen sulfide (H</w:t>
      </w:r>
      <w:r>
        <w:rPr>
          <w:vertAlign w:val="subscript"/>
        </w:rPr>
        <w:t>2</w:t>
      </w:r>
      <w:r>
        <w:t>S) regulate protein function and cellular redox balance, yet their instability makes precise delivery in biological systems challenging. Existing bioelectronic platforms primarily target stable molecules and often lack the ability to control transient molecules with spatiotemporal precision. We develop a bioelectronic platform that uses electrochemical reactions to directly generate and deliver H</w:t>
      </w:r>
      <w:r>
        <w:rPr>
          <w:vertAlign w:val="subscript"/>
        </w:rPr>
        <w:t>2</w:t>
      </w:r>
      <w:r>
        <w:t>S from biocompatible thiosulfate precursors near living cells. Through electrocatalyst screening, theoretical modeling, and product analysis, we demonstrate that biocompatible metal cathodes with low metal-hydrogen binding energy catalyze H</w:t>
      </w:r>
      <w:r>
        <w:rPr>
          <w:vertAlign w:val="subscript"/>
        </w:rPr>
        <w:t>2</w:t>
      </w:r>
      <w:r>
        <w:t>S production while suppressing side reactions. Programmable electronic inputs, including electrolysis time and applied voltage, quantitatively control distance- and time-dependent H</w:t>
      </w:r>
      <w:r>
        <w:rPr>
          <w:vertAlign w:val="subscript"/>
        </w:rPr>
        <w:t>2</w:t>
      </w:r>
      <w:r>
        <w:t>S release at the bioelectronic interface while maintaining physiological compatibility. This spatiotemporally modulated H</w:t>
      </w:r>
      <w:r>
        <w:rPr>
          <w:vertAlign w:val="subscript"/>
        </w:rPr>
        <w:t>2</w:t>
      </w:r>
      <w:r>
        <w:t>S synthesis enables on-demand activation of ion channels through protein sulfhydration and restoration of intracellular redox balance under oxidative stress. Our platform broadens the functional scope of bioelectronics and establishes electrosynthesis as a modality for dynamic communication between electronics and biology.</w:t>
      </w:r>
    </w:p>
    <w:p>
      <w:pPr>
        <w:spacing w:before="120" w:after="120"/>
      </w:pPr>
      <w:r>
        <w:rPr>
          <w:sz w:val="18"/>
        </w:rPr>
        <w:t>——————————————————————————————————————————————————————————————————————</w:t>
      </w:r>
    </w:p>
    <w:p>
      <w:pPr>
        <w:spacing w:before="160" w:after="40" w:line="240" w:lineRule="auto"/>
      </w:pPr>
      <w:r>
        <w:rPr>
          <w:b/>
        </w:rPr>
        <w:t xml:space="preserve">[348] </w:t>
      </w:r>
      <w:hyperlink r:id="rId889">
        <w:r>
          <w:rPr>
            <w:color w:val="1155CC"/>
            <w:u w:val="single"/>
          </w:rPr>
          <w:t>协同电子-拓扑策略实现共价可调网络的时空控制</w:t>
        </w:r>
      </w:hyperlink>
    </w:p>
    <w:p>
      <w:pPr>
        <w:spacing w:before="0" w:after="80"/>
      </w:pPr>
      <w:r>
        <w:rPr>
          <w:i/>
          <w:sz w:val="20"/>
        </w:rPr>
        <w:t>EN: Synergistic electronic-topological strategy enables spatiotemporal control of covalent adaptable networks</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90">
        <w:r>
          <w:rPr>
            <w:color w:val="1155CC"/>
            <w:u w:val="single"/>
          </w:rPr>
          <w:t>10.1126/sciadv.aea6321</w:t>
        </w:r>
      </w:hyperlink>
    </w:p>
    <w:p>
      <w:pPr>
        <w:spacing w:before="0" w:after="120"/>
      </w:pPr>
      <w:r>
        <w:rPr>
          <w:b/>
        </w:rPr>
        <w:t xml:space="preserve">Notes: </w:t>
      </w:r>
      <w:r>
        <w:t>abstract_source=crossref</w:t>
      </w:r>
    </w:p>
    <w:p>
      <w:pPr>
        <w:spacing w:before="0" w:after="80" w:lineRule="auto" w:line="276"/>
      </w:pPr>
      <w:r>
        <w:rPr>
          <w:b/>
        </w:rPr>
        <w:t xml:space="preserve">摘要（ZH）: </w:t>
      </w:r>
      <w:r>
        <w:t>共价可调网络（CANs）在结合热固性塑料和热塑性塑料的优点方面具有相当大的潜力。然而，由于在加工温度下动态键反应性不足以及网络重排动力学与工业要求不匹配，它们在高速熔融纺丝中的应用受到限制。在此，我们建立了一个基于内部催化肟-氨基甲酸酯化学的时空调控平台，采用四臂交联拓扑结构。邻近的脲基团提供内部催化，大大加速了110°C下肟-氨基甲酸酯的解离，提高了熔体流动性。在挤出过程中，轻微的温度下降迅速驱动四臂拓扑结构内的键重组，而氢键则提供即时的增强作用。</w:t>
      </w:r>
    </w:p>
    <w:p>
      <w:pPr>
        <w:spacing w:before="0" w:after="200" w:lineRule="auto" w:line="276"/>
      </w:pPr>
      <w:r>
        <w:rPr>
          <w:b/>
        </w:rPr>
        <w:t xml:space="preserve">Abstract (EN): </w:t>
      </w:r>
      <w:r>
        <w:t>Covalent adaptable networks (CANs) hold considerable promise for combining the advantages of thermosets and thermoplastics. However, their use in high-speed melt spinning is restricted by insufficient dynamic bond reactivity at processing temperatures and the mismatch between network rearrangement kinetics and industrial requirements. Here, we establish a spatiotemporally regulated platform based on internally catalyzed oxime-urethane chemistry within a four-arm cross-linking topology. Neighboring urea groups provide internal catalysis that greatly accelerates oxime-urethane dissociation at 110°C, improving melt fluidity. During extrusion, the slight temperature drop rapidly drives bond recombination within the four-arm topology, while hydrogen bonds deliver immediate reinforcement to retain melt strength. This synergistic design enables continuous melt spinning at 100 meters per minute over a short 10-centimeter distance. The resulting fibers combine high mechanical performance (tensile strength: 261.7 megapascals; toughness: 630.1 megajoules per cubic meter) with excellent stretchability, self-healing, and recyclability. This molecular engineering approach overcomes the processing-performance tradeoff in CANs, offering a scalable pathway toward high-performance, sustainable polymers for industrial manufacturing.</w:t>
      </w:r>
    </w:p>
    <w:p>
      <w:pPr>
        <w:spacing w:before="120" w:after="120"/>
      </w:pPr>
      <w:r>
        <w:rPr>
          <w:sz w:val="18"/>
        </w:rPr>
        <w:t>——————————————————————————————————————————————————————————————————————</w:t>
      </w:r>
    </w:p>
    <w:p>
      <w:pPr>
        <w:spacing w:before="160" w:after="40" w:line="240" w:lineRule="auto"/>
      </w:pPr>
      <w:r>
        <w:rPr>
          <w:b/>
        </w:rPr>
        <w:t xml:space="preserve">[349] </w:t>
      </w:r>
      <w:hyperlink r:id="rId891">
        <w:r>
          <w:rPr>
            <w:color w:val="1155CC"/>
            <w:u w:val="single"/>
          </w:rPr>
          <w:t>社会驱动运动中的对齐相变</w:t>
        </w:r>
      </w:hyperlink>
    </w:p>
    <w:p>
      <w:pPr>
        <w:spacing w:before="0" w:after="80"/>
      </w:pPr>
      <w:r>
        <w:rPr>
          <w:i/>
          <w:sz w:val="20"/>
        </w:rPr>
        <w:t>EN: Alignment phase transition in socially driven motion</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92">
        <w:r>
          <w:rPr>
            <w:color w:val="1155CC"/>
            <w:u w:val="single"/>
          </w:rPr>
          <w:t>10.1126/sciadv.adz6890</w:t>
        </w:r>
      </w:hyperlink>
    </w:p>
    <w:p>
      <w:pPr>
        <w:spacing w:before="0" w:after="120"/>
      </w:pPr>
      <w:r>
        <w:rPr>
          <w:b/>
        </w:rPr>
        <w:t xml:space="preserve">Notes: </w:t>
      </w:r>
      <w:r>
        <w:t>abstract_source=crossref</w:t>
      </w:r>
    </w:p>
    <w:p>
      <w:pPr>
        <w:spacing w:before="0" w:after="80" w:lineRule="auto" w:line="276"/>
      </w:pPr>
      <w:r>
        <w:rPr>
          <w:b/>
        </w:rPr>
        <w:t xml:space="preserve">摘要（ZH）: </w:t>
      </w:r>
      <w:r>
        <w:t>集体飞秒运动是复杂系统的标志，展示了从行人流动到生物集体的各种背景中的涌现秩序。在高速、定向环境中，对齐确保了高效的导航，而在低速、无方向、社交参与的环境中，对齐源于人际互动而非运动目标。利用来自学前班教室的高分辨率空间和方向数据，我们发现了一种反映行为阶段自发对称破缺的成对对齐的尖锐距离依赖性转变：在约0.65米的阈值以下，侧对侧方向占主导地位，而在更大距离上，面对面方向占优势。这种转变源于三种对齐之间的距离依赖性竞争。</w:t>
      </w:r>
    </w:p>
    <w:p>
      <w:pPr>
        <w:spacing w:before="0" w:after="200" w:lineRule="auto" w:line="276"/>
      </w:pPr>
      <w:r>
        <w:rPr>
          <w:b/>
        </w:rPr>
        <w:t xml:space="preserve">Abstract (EN): </w:t>
      </w:r>
      <w:r>
        <w:t>Collective fs movement is a hallmark of complex systems, exhibiting emergent order across contexts from pedestrian flows to biological collectives. In high-speed, directional settings, alignment ensures efficient navigation, whereas in low-speed, undirectional, socially engaged contexts, alignment arises from interpersonal interaction rather than locomotion goals. Using high-resolution spatial and orientation data from preschool classrooms, we uncover a sharp distance-dependent transition in pairwise alignment that reflects a spontaneous symmetry breaking between behavioral phases: Below a threshold of ~0.65 meters, side-by-side orientations dominate, while face-to-face orientations prevail at larger distances. This transition stems from a distance-dependent competition among three alignment mechanisms: parallelization, opposition, and reciprocation, whose interplay generates a bifurcation structure in the effective interaction potential. Fourier decomposition of orientation distributions reveals these mechanisms, enabling a minimal pseudopotential model that captures the transition as a nonequilibrium phase change. Monte Carlo simulations using inferred interaction terms reproduce empirical patterns, establishing a quantitative framework for social alignment with implications for biological collectives and artificial swarms.</w:t>
      </w:r>
    </w:p>
    <w:p>
      <w:pPr>
        <w:spacing w:before="120" w:after="120"/>
      </w:pPr>
      <w:r>
        <w:rPr>
          <w:sz w:val="18"/>
        </w:rPr>
        <w:t>——————————————————————————————————————————————————————————————————————</w:t>
      </w:r>
    </w:p>
    <w:p>
      <w:pPr>
        <w:spacing w:before="160" w:after="40" w:line="240" w:lineRule="auto"/>
      </w:pPr>
      <w:r>
        <w:rPr>
          <w:b/>
        </w:rPr>
        <w:t xml:space="preserve">[350] </w:t>
      </w:r>
      <w:hyperlink r:id="rId893">
        <w:r>
          <w:rPr>
            <w:color w:val="1155CC"/>
            <w:u w:val="single"/>
          </w:rPr>
          <w:t>一种自然启发的离子阱用于大规模平行操控离子</w:t>
        </w:r>
      </w:hyperlink>
    </w:p>
    <w:p>
      <w:pPr>
        <w:spacing w:before="0" w:after="80"/>
      </w:pPr>
      <w:r>
        <w:rPr>
          <w:i/>
          <w:sz w:val="20"/>
        </w:rPr>
        <w:t>EN: A nature-inspired ion trap for parallel manipulation of ions on a massive scale</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94">
        <w:r>
          <w:rPr>
            <w:color w:val="1155CC"/>
            <w:u w:val="single"/>
          </w:rPr>
          <w:t>10.1126/sciadv.aec7048</w:t>
        </w:r>
      </w:hyperlink>
    </w:p>
    <w:p>
      <w:pPr>
        <w:spacing w:before="0" w:after="120"/>
      </w:pPr>
      <w:r>
        <w:rPr>
          <w:b/>
        </w:rPr>
        <w:t xml:space="preserve">Notes: </w:t>
      </w:r>
      <w:r>
        <w:t>abstract_source=crossref</w:t>
      </w:r>
    </w:p>
    <w:p>
      <w:pPr>
        <w:spacing w:before="0" w:after="80" w:lineRule="auto" w:line="276"/>
      </w:pPr>
      <w:r>
        <w:rPr>
          <w:b/>
        </w:rPr>
        <w:t xml:space="preserve">摘要（ZH）: </w:t>
      </w:r>
      <w:r>
        <w:t>并行化已经彻底改变了计算和DNA测序，但在质谱（MS）中仍然未被充分利用，质谱通常顺序分析离子。受核细胞质运输的启发，其中扩散控制着到多个门控通道（核孔复合体）的运输，我们引入了一种离子阱（MultiQ-IT），实现了大规模并行MS。该装置由一个小型四极杆的立方阵列组成，形成多个离子入口和出口端口，允许&gt;10^9个离子同时被冷却、限制和操控。该架构实现了单电荷离子的选择性消耗，从而提高了信噪比并扩大了有效动态范围。该阱还作为并行离子分离器，传输。</w:t>
      </w:r>
    </w:p>
    <w:p>
      <w:pPr>
        <w:spacing w:before="0" w:after="200" w:lineRule="auto" w:line="276"/>
      </w:pPr>
      <w:r>
        <w:rPr>
          <w:b/>
        </w:rPr>
        <w:t xml:space="preserve">Abstract (EN): </w:t>
      </w:r>
      <w:r>
        <w:t>Parallelization has revolutionized computing and DNA sequencing but remains largely unexploited in mass spectrometry (MS), which typically analyzes ions sequentially. Inspired by nuclear cytoplasmic transport, where diffusion governs transport to multiple gated channels (nuclear pore complexes), we introduce an ion trap (MultiQ-IT) that enables massively parallel MS. The device comprises a cubic array of small quadrupoles forming multiple ion entry and exit ports, allowing &amp;gt;10</w:t>
      </w:r>
      <w:r>
        <w:rPr>
          <w:vertAlign w:val="subscript"/>
        </w:rPr>
        <w:t>9</w:t>
      </w:r>
      <w:r>
        <w:t>ions to be cooled, confined, and manipulated simultaneously. This architecture enables selective depletion of singly charged ions, thereby enhancing signal-to-noise ratios and expanding the effective dynamic range. The trap also functions as a parallel ion splitter, transmitting ions into multiple mass/charge ratio–specific beams. We demonstrate scalable ion throughput, real-time charge discrimination, and parallel beam separation, suggesting a path toward truly parallel MS. Our results establish a conceptual framework for next-generation, high-throughput proteomic and metabolomic analyses.</w:t>
      </w:r>
    </w:p>
    <w:p>
      <w:pPr>
        <w:spacing w:before="120" w:after="120"/>
      </w:pPr>
      <w:r>
        <w:rPr>
          <w:sz w:val="18"/>
        </w:rPr>
        <w:t>——————————————————————————————————————————————————————————————————————</w:t>
      </w:r>
    </w:p>
    <w:p>
      <w:pPr>
        <w:spacing w:before="160" w:after="40" w:line="240" w:lineRule="auto"/>
      </w:pPr>
      <w:r>
        <w:rPr>
          <w:b/>
        </w:rPr>
        <w:t xml:space="preserve">[351] </w:t>
      </w:r>
      <w:hyperlink r:id="rId895">
        <w:r>
          <w:rPr>
            <w:color w:val="1155CC"/>
            <w:u w:val="single"/>
          </w:rPr>
          <w:t>通过亲和配体纯化深入了解人类SAGA复合体的结构和演化</w:t>
        </w:r>
      </w:hyperlink>
    </w:p>
    <w:p>
      <w:pPr>
        <w:spacing w:before="0" w:after="80"/>
      </w:pPr>
      <w:r>
        <w:rPr>
          <w:i/>
          <w:sz w:val="20"/>
        </w:rPr>
        <w:t>EN: Insights into the structure and evolution of the human SAGA complex by affinity-ligand purification</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96">
        <w:r>
          <w:rPr>
            <w:color w:val="1155CC"/>
            <w:u w:val="single"/>
          </w:rPr>
          <w:t>10.1126/sciadv.aec8104</w:t>
        </w:r>
      </w:hyperlink>
    </w:p>
    <w:p>
      <w:pPr>
        <w:spacing w:before="0" w:after="120"/>
      </w:pPr>
      <w:r>
        <w:rPr>
          <w:b/>
        </w:rPr>
        <w:t xml:space="preserve">Notes: </w:t>
      </w:r>
      <w:r>
        <w:t>abstract_source=crossref</w:t>
      </w:r>
    </w:p>
    <w:p>
      <w:pPr>
        <w:spacing w:before="0" w:after="80" w:lineRule="auto" w:line="276"/>
      </w:pPr>
      <w:r>
        <w:rPr>
          <w:b/>
        </w:rPr>
        <w:t xml:space="preserve">摘要（ZH）: </w:t>
      </w:r>
      <w:r>
        <w:t>人类SAGA是一个由20个亚基组成的转录共激活因子。与酵母相比，多细胞生物的SAGA独特地结合了一个150-kDa的剪接因子模块（SPL），该模块也存在于U2小核核糖核蛋白（U2snRNP）中。多细胞生物的基因重复进一步将共享的TFIID/SAGA亚基专门化为SAGA特异的旁系同源物（TAF5L和TAF6L），但这种分化的功能后果尚不清楚。我们报告了通过亲和配体从未被任何基因组工程工具干扰的细胞中纯化的内源性人类SAGA的结构。我们的工作揭示了SPL的高分辨率结构以及为SPL提供对接表面的TAF6L HEAT重复域。我们阐明了SPL和HEAT重复是如何整合到SAGA中的。我们识别出主要的结构差异</w:t>
      </w:r>
    </w:p>
    <w:p>
      <w:pPr>
        <w:spacing w:before="0" w:after="200" w:lineRule="auto" w:line="276"/>
      </w:pPr>
      <w:r>
        <w:rPr>
          <w:b/>
        </w:rPr>
        <w:t xml:space="preserve">Abstract (EN): </w:t>
      </w:r>
      <w:r>
        <w:t>Human SAGA is a 20-subunit transcriptional coactivator. Compared with yeast, metazoan SAGA uniquely incorporates a 150-kDa splicing-factor module (SPL), also present in U2 small nuclear ribonucleoprotein (U2snRNP). Metazoan gene duplication further specialized shared TFIID/SAGA subunits into SAGA-specific paralogs (TAF5L and TAF6L), but the functional consequences of this divergence are unknown. We report the structure of endogenous human SAGA purified via an affinity ligand from cells that were not disturbed by any genomic engineering tools. Our work reveals the high-resolution structure of SPL and the TAF6L HEAT repeat domain that provides the SPL with a docking surface. We elucidate how SPL and the HEAT repeats are incorporated into SAGA. We identify major structural differences between TAF6L/TAF5L and their canonical paralogs that enable SPL accommodation. SPL engages SAGA through a substantially smaller interface than in U2snRNP, despite sharing a deeply inserted helical motif. The seemingly weaker interaction of SPL with SAGA raises the possibility that SAGA relays this module to the splicing machinery.</w:t>
      </w:r>
    </w:p>
    <w:p>
      <w:pPr>
        <w:spacing w:before="120" w:after="120"/>
      </w:pPr>
      <w:r>
        <w:rPr>
          <w:sz w:val="18"/>
        </w:rPr>
        <w:t>——————————————————————————————————————————————————————————————————————</w:t>
      </w:r>
    </w:p>
    <w:p>
      <w:pPr>
        <w:spacing w:before="160" w:after="40" w:line="240" w:lineRule="auto"/>
      </w:pPr>
      <w:r>
        <w:rPr>
          <w:b/>
        </w:rPr>
        <w:t xml:space="preserve">[352] </w:t>
      </w:r>
      <w:hyperlink r:id="rId897">
        <w:r>
          <w:rPr>
            <w:color w:val="1155CC"/>
            <w:u w:val="single"/>
          </w:rPr>
          <w:t>能带黎曼曲面的实验观察</w:t>
        </w:r>
      </w:hyperlink>
    </w:p>
    <w:p>
      <w:pPr>
        <w:spacing w:before="0" w:after="80"/>
      </w:pPr>
      <w:r>
        <w:rPr>
          <w:i/>
          <w:sz w:val="20"/>
        </w:rPr>
        <w:t>EN: Experimental observation of energy-band Riemann surface</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898">
        <w:r>
          <w:rPr>
            <w:color w:val="1155CC"/>
            <w:u w:val="single"/>
          </w:rPr>
          <w:t>10.1126/sciadv.aec8239</w:t>
        </w:r>
      </w:hyperlink>
    </w:p>
    <w:p>
      <w:pPr>
        <w:spacing w:before="0" w:after="120"/>
      </w:pPr>
      <w:r>
        <w:rPr>
          <w:b/>
        </w:rPr>
        <w:t xml:space="preserve">Notes: </w:t>
      </w:r>
      <w:r>
        <w:t>abstract_source=crossref</w:t>
      </w:r>
    </w:p>
    <w:p>
      <w:pPr>
        <w:spacing w:before="0" w:after="80" w:lineRule="auto" w:line="276"/>
      </w:pPr>
      <w:r>
        <w:rPr>
          <w:b/>
        </w:rPr>
        <w:t xml:space="preserve">摘要（ZH）: </w:t>
      </w:r>
      <w:r>
        <w:t>非厄米性自然出现在与环境交换能量的物理系统中。非厄米性的存在导致了许多拓扑物理现象和设备应用。在非厄米能带理论中，这些物理和应用的基础，能量和波矢都取复数值。因此，能带成为一个黎曼曲面，而这种能带黎曼曲面是非厄米拓扑所有重要特征的基础。尽管有着悠久的历史和近期的理论兴趣，能带黎曼曲面尚未被实验研究。在此，我们提供了对非厄米系统能带黎曼曲面的光子观测。这是通过在光子合成中进行可调的虚数规范变换实现的</w:t>
      </w:r>
    </w:p>
    <w:p>
      <w:pPr>
        <w:spacing w:before="0" w:after="200" w:lineRule="auto" w:line="276"/>
      </w:pPr>
      <w:r>
        <w:rPr>
          <w:b/>
        </w:rPr>
        <w:t xml:space="preserve">Abstract (EN): </w:t>
      </w:r>
      <w:r>
        <w:t>Non-Hermiticity naturally arises in physical systems that exchange energy with their environment. The presence of non-Hermiticity leads to many topological physics phenomena and device applications. In the non-Hermitian energy band theory, the foundation of these physics and applications, both energies and wave vectors take complex values. The energy bands thus become a Riemann surface, and such an energy-band Riemann surface underlies all important signatures of non-Hermitian topology. Despite a long history and recent theoretical interests, the energy-band Riemann surface has not been experimentally studied. Here, we provide a photonic observation of the energy-band Riemann surface of a non-Hermitian system. This is achieved by a tunable imaginary gauge transformation in photonic synthetic frequency dimensions. From measured topologies of the Riemann surface, we reveal the complex-energy winding, the open-boundary-condition spectrum, the generalized Brillouin zone, and the branch points. Our findings demonstrate a unified framework in the studies of diverse effects in non-Hermitian topological physics through an experimental observation of energy-band Riemann surfaces.</w:t>
      </w:r>
    </w:p>
    <w:p>
      <w:pPr>
        <w:spacing w:before="120" w:after="120"/>
      </w:pPr>
      <w:r>
        <w:rPr>
          <w:sz w:val="18"/>
        </w:rPr>
        <w:t>——————————————————————————————————————————————————————————————————————</w:t>
      </w:r>
    </w:p>
    <w:p>
      <w:pPr>
        <w:spacing w:before="160" w:after="40" w:line="240" w:lineRule="auto"/>
      </w:pPr>
      <w:r>
        <w:rPr>
          <w:b/>
        </w:rPr>
        <w:t xml:space="preserve">[353] </w:t>
      </w:r>
      <w:hyperlink r:id="rId899">
        <w:r>
          <w:rPr>
            <w:color w:val="1155CC"/>
            <w:u w:val="single"/>
          </w:rPr>
          <w:t>固体中的原子尺度物理不可克隆函数</w:t>
        </w:r>
      </w:hyperlink>
    </w:p>
    <w:p>
      <w:pPr>
        <w:spacing w:before="0" w:after="80"/>
      </w:pPr>
      <w:r>
        <w:rPr>
          <w:i/>
          <w:sz w:val="20"/>
        </w:rPr>
        <w:t>EN: Atomic-scale physical unclonable functions in solids</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00">
        <w:r>
          <w:rPr>
            <w:color w:val="1155CC"/>
            <w:u w:val="single"/>
          </w:rPr>
          <w:t>10.1126/sciadv.aed3987</w:t>
        </w:r>
      </w:hyperlink>
    </w:p>
    <w:p>
      <w:pPr>
        <w:spacing w:before="0" w:after="120"/>
      </w:pPr>
      <w:r>
        <w:rPr>
          <w:b/>
        </w:rPr>
        <w:t xml:space="preserve">Notes: </w:t>
      </w:r>
      <w:r>
        <w:t>abstract_source=crossref</w:t>
      </w:r>
    </w:p>
    <w:p>
      <w:pPr>
        <w:spacing w:before="0" w:after="80" w:lineRule="auto" w:line="276"/>
      </w:pPr>
      <w:r>
        <w:rPr>
          <w:b/>
        </w:rPr>
        <w:t xml:space="preserve">摘要（ZH）: </w:t>
      </w:r>
      <w:r>
        <w:t>物联网和数字信息时代的快速发展加剧了对安全硬件和信息系统的需求。物理不可克隆函数（PUFs）通过利用制造引起的随机性来生成独特的、不可克隆的标签，提供了一种基于硬件的方法。同时，确定性纳米制造的进步越来越挑战传统微观和纳米尺度PUFs的不可克隆性，促使探索更基本的物理随机性来源。在此，我们展示了一种利用通过晶格和缺陷工程的固体内在随机性的原子尺度PUF架构。由此产生的PUFs表现出三维空间变异性和原子尺度的构型复杂性，产生了非凡的</w:t>
      </w:r>
    </w:p>
    <w:p>
      <w:pPr>
        <w:spacing w:before="0" w:after="200" w:lineRule="auto" w:line="276"/>
      </w:pPr>
      <w:r>
        <w:rPr>
          <w:b/>
        </w:rPr>
        <w:t xml:space="preserve">Abstract (EN): </w:t>
      </w:r>
      <w:r>
        <w:t>The rapid development of the Internet of Things and the digital information era has intensified the demand for secure hardware and information systems. Physical unclonable functions (PUFs) provide a hardware-based approach by exploiting fabrication-induced randomness to generate unique, unclonable labels. Concurrently, advances in deterministic nanofabrication increasingly challenge the unclonability of conventional micro- and nanoscale PUFs, motivating the exploration of more fundamental sources of physical randomness. Here, we demonstrate an atomic-scale PUF architecture that leverages intrinsic randomness in solids through lattice and defect engineering. The resulting PUFs exhibit both three-dimensional spatial variability and atomic-scale configurational complexity, yielding extraordinary encoding space and uniqueness. For a characteristic feature size of 1 nanometer, the Shannon entropy is estimated at 17.49, underscoring the encoding capacity. Moreover, the embedded structure ensures intrinsic unclonability and robustness against environmental perturbations. These results establish atomic-scale PUFs as a fundamentally secure and scalable platform for next-generation hardware and information security.</w:t>
      </w:r>
    </w:p>
    <w:p>
      <w:pPr>
        <w:spacing w:before="120" w:after="120"/>
      </w:pPr>
      <w:r>
        <w:rPr>
          <w:sz w:val="18"/>
        </w:rPr>
        <w:t>——————————————————————————————————————————————————————————————————————</w:t>
      </w:r>
    </w:p>
    <w:p>
      <w:pPr>
        <w:spacing w:before="160" w:after="40" w:line="240" w:lineRule="auto"/>
      </w:pPr>
      <w:r>
        <w:rPr>
          <w:b/>
        </w:rPr>
        <w:t xml:space="preserve">[354] </w:t>
      </w:r>
      <w:hyperlink r:id="rId901">
        <w:r>
          <w:rPr>
            <w:color w:val="1155CC"/>
            <w:u w:val="single"/>
          </w:rPr>
          <w:t>原始生殖细胞在小鼠胚胎迁移过程中经历越来越多的物理限制和DNA损伤</w:t>
        </w:r>
      </w:hyperlink>
    </w:p>
    <w:p>
      <w:pPr>
        <w:spacing w:before="0" w:after="80"/>
      </w:pPr>
      <w:r>
        <w:rPr>
          <w:i/>
          <w:sz w:val="20"/>
        </w:rPr>
        <w:t>EN: Primordial germ cells experience increasing physical confinement and DNA damage during migration in the mouse embryo</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02">
        <w:r>
          <w:rPr>
            <w:color w:val="1155CC"/>
            <w:u w:val="single"/>
          </w:rPr>
          <w:t>10.1126/sciadv.aec7919</w:t>
        </w:r>
      </w:hyperlink>
    </w:p>
    <w:p>
      <w:pPr>
        <w:spacing w:before="0" w:after="120"/>
      </w:pPr>
      <w:r>
        <w:rPr>
          <w:b/>
        </w:rPr>
        <w:t xml:space="preserve">Notes: </w:t>
      </w:r>
      <w:r>
        <w:t>abstract_source=crossref</w:t>
      </w:r>
    </w:p>
    <w:p>
      <w:pPr>
        <w:spacing w:before="0" w:after="80" w:lineRule="auto" w:line="276"/>
      </w:pPr>
      <w:r>
        <w:rPr>
          <w:b/>
        </w:rPr>
        <w:t xml:space="preserve">摘要（ZH）: </w:t>
      </w:r>
      <w:r>
        <w:t>为了产生健康的后代，生物体必须高保真地传递其遗传物质。在许多物种中，这一过程是通过原始生殖细胞（PGCs）实现的，PGCs产生精子或卵子。PGCs通常在未来的性腺远处被指定，必须穿过发育中的组织迁移到达那里。如果未能做到这一点，可能导致不育或生殖细胞肿瘤。虽然在某些物种中PGC迁移已被很好地表征，但对哺乳动物胚胎中的迁移知之甚少。在此，我们对小鼠胚胎中从E7.5到E9.5的PGC迁移进行了动态和定量分析，提供了从起源点到性腺的PGC迁移特征的首次全面研究。我们证明，迁移中的PGCs受到周围环境的影响。</w:t>
      </w:r>
    </w:p>
    <w:p>
      <w:pPr>
        <w:spacing w:before="0" w:after="200" w:lineRule="auto" w:line="276"/>
      </w:pPr>
      <w:r>
        <w:rPr>
          <w:b/>
        </w:rPr>
        <w:t xml:space="preserve">Abstract (EN): </w:t>
      </w:r>
      <w:r>
        <w:t>To produce healthy offspring, an organism must pass on its genetic material with high fidelity. In many species, this is accomplished by primordial germ cells (PGCs), which give rise to sperm or eggs. PGCs are often specified far from the future gonads and must migrate through developing tissues to reach them. Failure to do so can result in infertility or germ cell tumors. While PGC migration is well characterized in some species, very little is known about their migration in mammalian embryos. Here, we performed dynamic and quantitative analyses of PGC migration from E7.5 to E9.5 in the mouse embryo, providing the first comprehensive study of the migratory characteristics of PGCs from their point of origin to the gonads. We demonstrate that migrating PGCs are influenced by the surrounding environment and, in contrast to other organisms, extend highly dynamic, actin-rich protrusions to navigate through extracellular matrix (ECM) barriers, and tight intercellular spaces. As PGCs migrate through increasingly confined spaces, they undergo significant nuclear deformation and become prone to nuclear rupture and DNA damage. Their migration under confinement may be aided in part by a depleted nuclear lamina that leads to wrinkled nuclear morphology. Our high-resolution and dynamic imaging approaches have uncovered an unexpected risk to genome integrity in migrating PGCs, with implications for DNA repair and adaptations in nuclear mechanics in PGCs.</w:t>
      </w:r>
    </w:p>
    <w:p>
      <w:pPr>
        <w:spacing w:before="120" w:after="120"/>
      </w:pPr>
      <w:r>
        <w:rPr>
          <w:sz w:val="18"/>
        </w:rPr>
        <w:t>——————————————————————————————————————————————————————————————————————</w:t>
      </w:r>
    </w:p>
    <w:p>
      <w:pPr>
        <w:spacing w:before="160" w:after="40" w:line="240" w:lineRule="auto"/>
      </w:pPr>
      <w:r>
        <w:rPr>
          <w:b/>
        </w:rPr>
        <w:t xml:space="preserve">[355] </w:t>
      </w:r>
      <w:hyperlink r:id="rId903">
        <w:r>
          <w:rPr>
            <w:color w:val="1155CC"/>
            <w:u w:val="single"/>
          </w:rPr>
          <w:t>模拟首批定居社区中的身份：西南亚旧石器时代晚期粘土个人饰品的出现</w:t>
        </w:r>
      </w:hyperlink>
    </w:p>
    <w:p>
      <w:pPr>
        <w:spacing w:before="0" w:after="80"/>
      </w:pPr>
      <w:r>
        <w:rPr>
          <w:i/>
          <w:sz w:val="20"/>
        </w:rPr>
        <w:t>EN: Modeling identities among the first-sedentary communities: Emergence of clay personal ornaments in Epipaleolithic Southwest Asia</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04">
        <w:r>
          <w:rPr>
            <w:color w:val="1155CC"/>
            <w:u w:val="single"/>
          </w:rPr>
          <w:t>10.1126/sciadv.aea2158</w:t>
        </w:r>
      </w:hyperlink>
    </w:p>
    <w:p>
      <w:pPr>
        <w:spacing w:before="0" w:after="120"/>
      </w:pPr>
      <w:r>
        <w:rPr>
          <w:b/>
        </w:rPr>
        <w:t xml:space="preserve">Notes: </w:t>
      </w:r>
      <w:r>
        <w:t>abstract_source=crossref</w:t>
      </w:r>
    </w:p>
    <w:p>
      <w:pPr>
        <w:spacing w:before="0" w:after="80" w:lineRule="auto" w:line="276"/>
      </w:pPr>
      <w:r>
        <w:rPr>
          <w:b/>
        </w:rPr>
        <w:t xml:space="preserve">摘要（ZH）: </w:t>
      </w:r>
      <w:r>
        <w:t>装饰性实践对于理解史前社会的社会经济结构和技术符号动态至关重要。然而，由于保存问题，例如易腐材料，这些实践的认知仍然有限且存在偏见，仅通过间接证据或罕见的保存环境得知。未烧制粘土用于装饰的做法就是如此，这一做法在新石器时代广泛传播于欧亚大陆，早在旧石器时代晚期的欧洲就有零星记录。聚焦于黎凡特的“符号革命”，我们报告了欧洲以外已知最早的粘土装饰传统：来自以色列五个纳图夫文化（晚期旧石器时代，距今15,000至11,650校准年）遗址的142件个人装饰品。通过多学科方法</w:t>
      </w:r>
    </w:p>
    <w:p>
      <w:pPr>
        <w:spacing w:before="0" w:after="200" w:lineRule="auto" w:line="276"/>
      </w:pPr>
      <w:r>
        <w:rPr>
          <w:b/>
        </w:rPr>
        <w:t xml:space="preserve">Abstract (EN): </w:t>
      </w:r>
      <w:r>
        <w:t>Ornamental practices are essential for understanding socioeconomic structures and technosymbolic dynamics of prehistoric societies. However, our perception of these practices remains limited and biased, due to preservation issues, e.g., perishable materials, which are known only through indirect evidence or rare conservation contexts. Such is the use of unbaked clay for ornamentation, a practice that became widespread across Eurasia in the Neolithic, sporadically documented earlier in Upper Paleolithic Europe. Focusing on the Levantine “revolution of symbols,” we report the earliest known clay ornamental tradition outside of Europe: 142 personal ornaments from five Natufian (Late Epipaleolithic, 15,000 to 11,650 calibrated years before the present) sites in Israel. Using a multidisciplinary approach, we show that both children and adults participated in crafting these items, which reflect newly emerging symbolic expressions, some inspired by plant forms. These findings offer original insights into the social organization of craft production and the rise of symbolic practices at the dawn of sedentism, which ultimately shaped the Neolithic transition in Southwest Asia.</w:t>
      </w:r>
    </w:p>
    <w:p>
      <w:pPr>
        <w:spacing w:before="120" w:after="120"/>
      </w:pPr>
      <w:r>
        <w:rPr>
          <w:sz w:val="18"/>
        </w:rPr>
        <w:t>——————————————————————————————————————————————————————————————————————</w:t>
      </w:r>
    </w:p>
    <w:p>
      <w:pPr>
        <w:spacing w:before="160" w:after="40" w:line="240" w:lineRule="auto"/>
      </w:pPr>
      <w:r>
        <w:rPr>
          <w:b/>
        </w:rPr>
        <w:t xml:space="preserve">[356] </w:t>
      </w:r>
      <w:hyperlink r:id="rId905">
        <w:r>
          <w:rPr>
            <w:color w:val="1155CC"/>
            <w:u w:val="single"/>
          </w:rPr>
          <w:t>使用ShadowCam在月球永久阴影区（PSRs）中寻找表面水冰</w:t>
        </w:r>
      </w:hyperlink>
    </w:p>
    <w:p>
      <w:pPr>
        <w:spacing w:before="0" w:after="80"/>
      </w:pPr>
      <w:r>
        <w:rPr>
          <w:i/>
          <w:sz w:val="20"/>
        </w:rPr>
        <w:t>EN: Searching for surficial water ice in lunar permanently shaded regions (PSRs) with ShadowCam</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06">
        <w:r>
          <w:rPr>
            <w:color w:val="1155CC"/>
            <w:u w:val="single"/>
          </w:rPr>
          <w:t>10.1126/sciadv.aec8211</w:t>
        </w:r>
      </w:hyperlink>
    </w:p>
    <w:p>
      <w:pPr>
        <w:spacing w:before="0" w:after="120"/>
      </w:pPr>
      <w:r>
        <w:rPr>
          <w:b/>
        </w:rPr>
        <w:t xml:space="preserve">Notes: </w:t>
      </w:r>
      <w:r>
        <w:t>abstract_source=crossref</w:t>
      </w:r>
    </w:p>
    <w:p>
      <w:pPr>
        <w:spacing w:before="0" w:after="80" w:lineRule="auto" w:line="276"/>
      </w:pPr>
      <w:r>
        <w:rPr>
          <w:b/>
        </w:rPr>
        <w:t xml:space="preserve">摘要（ZH）: </w:t>
      </w:r>
      <w:r>
        <w:t>无空气天体如月球、水星和谷神星有永久阴影区（PSRs），可以冷冻捕获水冰。水星和谷神星的PSRs中有大量冰沉积，但月球水冰分布仍不确定，因为探测稀少且数据有限。在此，我们使用韩国探路者月球轨道器上的ShadowCam的高分辨率观测评估了月球PSRs的表面水冰。我们利用高反射率和前向散射光学特性在月球PSRs中寻找水冰。我们没有发现PSRs中广泛存在超过20到30 wt %检测限的水冰证据，但不能排除广泛存在低含量水冰的可能性。观察到一些具有高反射率和前向散射行为的小区域，</w:t>
      </w:r>
    </w:p>
    <w:p>
      <w:pPr>
        <w:spacing w:before="0" w:after="200" w:lineRule="auto" w:line="276"/>
      </w:pPr>
      <w:r>
        <w:rPr>
          <w:b/>
        </w:rPr>
        <w:t xml:space="preserve">Abstract (EN): </w:t>
      </w:r>
      <w:r>
        <w:t>Airless bodies such as the Moon, Mercury, and Ceres have permanently shaded regions (PSRs) that can cold trap water ice. Mercury and Ceres have substantial ice deposits in their PSRs, but lunar water ice distribution remains uncertain because of sparse detections and limited data. Here, we assessed surficial water ice in lunar PSRs using high-resolution observations from ShadowCam onboard the Korea Pathfinder Lunar Orbiter. We used the high-reflectance and forward-scattering optical properties to search for water ice in lunar PSRs. We found no evidence of widespread water ice in PSRs at abundances above the detection limit of 20 to 30 wt % but could not rule out widespread low-content water ice. A few small locations with both high reflectance and forward-scattering behavior were observed, which could be consistent with &amp;gt;10 wt % ice. Future missions with low detection limits (&amp;lt;1 wt %) of water ice can test our findings.</w:t>
      </w:r>
    </w:p>
    <w:p>
      <w:pPr>
        <w:spacing w:before="120" w:after="120"/>
      </w:pPr>
      <w:r>
        <w:rPr>
          <w:sz w:val="18"/>
        </w:rPr>
        <w:t>——————————————————————————————————————————————————————————————————————</w:t>
      </w:r>
    </w:p>
    <w:p>
      <w:pPr>
        <w:spacing w:before="160" w:after="40" w:line="240" w:lineRule="auto"/>
      </w:pPr>
      <w:r>
        <w:rPr>
          <w:b/>
        </w:rPr>
        <w:t xml:space="preserve">[357] </w:t>
      </w:r>
      <w:hyperlink r:id="rId907">
        <w:r>
          <w:rPr>
            <w:color w:val="1155CC"/>
            <w:u w:val="single"/>
          </w:rPr>
          <w:t>简单的质量传递调节实现无化学添加剂的海水淡化浓盐水无结垢零液体排放</w:t>
        </w:r>
      </w:hyperlink>
    </w:p>
    <w:p>
      <w:pPr>
        <w:spacing w:before="0" w:after="80"/>
      </w:pPr>
      <w:r>
        <w:rPr>
          <w:i/>
          <w:sz w:val="20"/>
        </w:rPr>
        <w:t>EN: Simple mass transfer regulation achieves scaling-free zero liquid discharge of seawater desalination brine without chemical additive</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08">
        <w:r>
          <w:rPr>
            <w:color w:val="1155CC"/>
            <w:u w:val="single"/>
          </w:rPr>
          <w:t>10.1126/sciadv.aeb2604</w:t>
        </w:r>
      </w:hyperlink>
    </w:p>
    <w:p>
      <w:pPr>
        <w:spacing w:before="0" w:after="120"/>
      </w:pPr>
      <w:r>
        <w:rPr>
          <w:b/>
        </w:rPr>
        <w:t xml:space="preserve">Notes: </w:t>
      </w:r>
      <w:r>
        <w:t>abstract_source=crossref</w:t>
      </w:r>
    </w:p>
    <w:p>
      <w:pPr>
        <w:spacing w:before="0" w:after="80" w:lineRule="auto" w:line="276"/>
      </w:pPr>
      <w:r>
        <w:rPr>
          <w:b/>
        </w:rPr>
        <w:t xml:space="preserve">摘要（ZH）: </w:t>
      </w:r>
      <w:r>
        <w:t>热驱动界面蒸发结晶为高盐度盐水的零液体排放（ZLD）提供了一条有前途的途径。然而，特定次要盐类与主要盐类的共结晶形成结垢，导致操作失败。尽管化学添加剂通常用于减轻结垢，但它们可能带来潜在的环境风险。本研究提出了一种无化学添加剂的防结垢策略，通过合理增强结垢成因物质从蒸发界面的离开来抑制不必要的共结晶。作为概念验证，设计了一种太阳能蒸发器，通过精确调节其质量流量来增强海水淡化盐水中主要结垢成因物质MgSO</w:t>
      </w:r>
      <w:r>
        <w:rPr>
          <w:vertAlign w:val="subscript"/>
        </w:rPr>
        <w:t>4</w:t>
      </w:r>
      <w:r>
        <w:t>的回流，</w:t>
      </w:r>
    </w:p>
    <w:p>
      <w:pPr>
        <w:spacing w:before="0" w:after="200" w:lineRule="auto" w:line="276"/>
      </w:pPr>
      <w:r>
        <w:rPr>
          <w:b/>
        </w:rPr>
        <w:t xml:space="preserve">Abstract (EN): </w:t>
      </w:r>
      <w:r>
        <w:t>Thermal-driven interfacial evaporation crystallization offers a promising path to zero liquid discharge (ZLD) for high-salinity brine. However, cocrystallization of specific minor salt species with major salts forms scaling that causes operational failure. Although chemical additives are commonly used to mitigate scaling, they pose potential environmental risks. This study presents a chemical-additive-free antiscaling strategy that suppresses unwanted cocrystallization by rationally enhancing the departure of scaling-causing species from the evaporation interface. As a proof of concept, a solar evaporator is designed to enhance the backflow of MgSO</w:t>
      </w:r>
      <w:r>
        <w:rPr>
          <w:vertAlign w:val="subscript"/>
        </w:rPr>
        <w:t>4</w:t>
      </w:r>
      <w:r>
        <w:t>, the primary scaling-causing species in seawater desalination brine, by precisely regulating its mass transfer distance. Under solar irradiation, the evaporator achieved a continuous evaporation of seawater desalination brine for over 408 hours with a stable evaporation rate of 4.29 kilograms per square meter per hour without any visible scaling, enabling uninterrupted ZLD operation. Outdoor field tests further validated the strategy’s practical applicability. This work offers transformative potential for achieving sustainable ZLD in brine management.</w:t>
      </w:r>
    </w:p>
    <w:p>
      <w:pPr>
        <w:spacing w:before="120" w:after="120"/>
      </w:pPr>
      <w:r>
        <w:rPr>
          <w:sz w:val="18"/>
        </w:rPr>
        <w:t>——————————————————————————————————————————————————————————————————————</w:t>
      </w:r>
    </w:p>
    <w:p>
      <w:pPr>
        <w:spacing w:before="160" w:after="40" w:line="240" w:lineRule="auto"/>
      </w:pPr>
      <w:r>
        <w:rPr>
          <w:b/>
        </w:rPr>
        <w:t xml:space="preserve">[358] </w:t>
      </w:r>
      <w:hyperlink r:id="rId909">
        <w:r>
          <w:rPr>
            <w:color w:val="1155CC"/>
            <w:u w:val="single"/>
          </w:rPr>
          <w:t>火星耶泽罗陨石坑中古代大规模三角洲结构的探地雷达观测</w:t>
        </w:r>
      </w:hyperlink>
    </w:p>
    <w:p>
      <w:pPr>
        <w:spacing w:before="0" w:after="80"/>
      </w:pPr>
      <w:r>
        <w:rPr>
          <w:i/>
          <w:sz w:val="20"/>
        </w:rPr>
        <w:t>EN: Ground penetrating radar observations of ancient large-scale deltaic structures in Jezero crater, Mars</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10">
        <w:r>
          <w:rPr>
            <w:color w:val="1155CC"/>
            <w:u w:val="single"/>
          </w:rPr>
          <w:t>10.1126/sciadv.adz6095</w:t>
        </w:r>
      </w:hyperlink>
    </w:p>
    <w:p>
      <w:pPr>
        <w:spacing w:before="0" w:after="120"/>
      </w:pPr>
      <w:r>
        <w:rPr>
          <w:b/>
        </w:rPr>
        <w:t xml:space="preserve">Notes: </w:t>
      </w:r>
      <w:r>
        <w:t>abstract_source=crossref</w:t>
      </w:r>
    </w:p>
    <w:p>
      <w:pPr>
        <w:spacing w:before="0" w:after="80" w:lineRule="auto" w:line="276"/>
      </w:pPr>
      <w:r>
        <w:rPr>
          <w:b/>
        </w:rPr>
        <w:t xml:space="preserve">摘要（ZH）: </w:t>
      </w:r>
      <w:r>
        <w:t>火星表面曾经有流动的液态水和比现在更温暖的气候，过去的水岩相互作用被记录在其表面的碳酸盐沉积中。在此，我们使用由Mars 2020 Perseverance探测器的火星地下实验雷达成像仪（RIMFAX）仪器收集的地面穿透雷达数据分析了Jezero陨石坑河流入口附近的主要镁碳酸盐沉积Margin单元的沉积环境。我们报告了来自地下超过35米的探测结果，比迄今为止探索的其他Jezero地质单元深约1.75倍。我们识别出许多地下特征和跨越约6.1公里探测器行程的亚米到百米尺度的层状结构。我们推断地下反射器与埋藏的河流特征和三角洲地貌一致。</w:t>
      </w:r>
    </w:p>
    <w:p>
      <w:pPr>
        <w:spacing w:before="0" w:after="200" w:lineRule="auto" w:line="276"/>
      </w:pPr>
      <w:r>
        <w:rPr>
          <w:b/>
        </w:rPr>
        <w:t xml:space="preserve">Abstract (EN): </w:t>
      </w:r>
      <w:r>
        <w:t>The surface of Mars once hosted flowing liquid water and a warmer climate than today, with past water-rock interactions recorded by the carbonate deposits found on its surface. Here, we analyze the depositional setting of the Margin unit, a major magnesium-carbonate deposit near the fluvial inlet to Jezero crater using ground penetrating radar data collected by the Mars 2020 Perseverance rover Radar Imager for Mars Subsurface Experiment (RIMFAX) instrument. We report soundings from more than 35 m belowground, ~1.75 times deeper than other Jezero geologic units explored to date. We identify numerous subsurface features and submeter to hundred-meter scale layering across an ~6.1-km rover traverse. We infer that subsurface reflectors are consistent with buried fluvial features and deltaic foresets, which have experienced multiple erosional-depositional episodes. This work illuminates a well-preserved paleolandscape wherein a deltaic environment developed prior to the formation of the Jezero Western Delta, as early as the Noachian (~4.2 to 3.7 billion years ago).</w:t>
      </w:r>
    </w:p>
    <w:p>
      <w:pPr>
        <w:spacing w:before="120" w:after="120"/>
      </w:pPr>
      <w:r>
        <w:rPr>
          <w:sz w:val="18"/>
        </w:rPr>
        <w:t>——————————————————————————————————————————————————————————————————————</w:t>
      </w:r>
    </w:p>
    <w:p>
      <w:pPr>
        <w:spacing w:before="160" w:after="40" w:line="240" w:lineRule="auto"/>
      </w:pPr>
      <w:r>
        <w:rPr>
          <w:b/>
        </w:rPr>
        <w:t xml:space="preserve">[359] </w:t>
      </w:r>
      <w:hyperlink r:id="rId911">
        <w:r>
          <w:rPr>
            <w:color w:val="1155CC"/>
            <w:u w:val="single"/>
          </w:rPr>
          <w:t>通过透明质酸纳米凝胶内的铂-磷酸盐配位将顺铂转化为靶向光热化疗药物</w:t>
        </w:r>
      </w:hyperlink>
    </w:p>
    <w:p>
      <w:pPr>
        <w:spacing w:before="0" w:after="80"/>
      </w:pPr>
      <w:r>
        <w:rPr>
          <w:i/>
          <w:sz w:val="20"/>
        </w:rPr>
        <w:t>EN: Transforming cisplatin into targeted photothermal chemotherapeutics through the platinum-phosphate coordination within a hyaluronan nanogel</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12">
        <w:r>
          <w:rPr>
            <w:color w:val="1155CC"/>
            <w:u w:val="single"/>
          </w:rPr>
          <w:t>10.1126/sciadv.adz7615</w:t>
        </w:r>
      </w:hyperlink>
    </w:p>
    <w:p>
      <w:pPr>
        <w:spacing w:before="0" w:after="120"/>
      </w:pPr>
      <w:r>
        <w:rPr>
          <w:b/>
        </w:rPr>
        <w:t xml:space="preserve">Notes: </w:t>
      </w:r>
      <w:r>
        <w:t>abstract_source=crossref</w:t>
      </w:r>
    </w:p>
    <w:p>
      <w:pPr>
        <w:spacing w:before="0" w:after="80" w:lineRule="auto" w:line="276"/>
      </w:pPr>
      <w:r>
        <w:rPr>
          <w:b/>
        </w:rPr>
        <w:t xml:space="preserve">摘要（ZH）: </w:t>
      </w:r>
      <w:r>
        <w:t>顺铂（Cis）的抗肿瘤疗效因剂量依赖性毒性和非特异性组织分布而受到限制。虽然靶向Cis递送和联合疗法可以提高治疗效果，但开发多功能且简化的配方仍然具有挑战性。受Cis与DNA相互作用的启发，我们通过透明质酸（HA）纳米凝胶中的铂-磷酸（Pt-phos）相互作用，将Cis转化为可逆的光热剂（命名为HA/PtP），以实现协同光热疗法（PTT）和化疗。HA/PtP纳米凝胶表现出近红外吸收和32.08%的光热转换效率，并在酸性条件下通过可逆的Pt-phos相互作用降解释放Cis。利用HA的内在CD44靶向性，HA/PtP纳米凝胶</w:t>
      </w:r>
    </w:p>
    <w:p>
      <w:pPr>
        <w:spacing w:before="0" w:after="200" w:lineRule="auto" w:line="276"/>
      </w:pPr>
      <w:r>
        <w:rPr>
          <w:b/>
        </w:rPr>
        <w:t xml:space="preserve">Abstract (EN): </w:t>
      </w:r>
      <w:r>
        <w:t>Cisplatin’s (Cis’s) antitumor efficacy is limited by dose-dependent toxicity due to nonspecific tissue distribution. While targeted Cis delivery and combination therapies boost therapeutic efficacy, developing multifunctional yet simplified formulations remains challenging. Inspired by the Cis’s interaction with DNA, here, we transformed Cis into a reversible photothermal agent through the platinum-phosphate (Pt-phos) interaction within a hyaluronan (HA) nanogel (named as HA/PtP) to afford synergistic photothermal therapy (PTT) and chemotherapy. The HA/PtP nanogel exhibits near infrared absorption and 32.08% photothermal conversion efficiency, and degrades to release Cis through the reversible Pt-phos interaction under acidic conditions. Leveraging HA’s intrinsic CD44 targeting, HA/PtP nanogel simultaneously enables highly efficient PTT and targeted chemotherapy in 4T1 breast tumor xenografts. Moreover, HA/PtP-based PTT successfully mimics hyperthermic intraperitoneal chemotherapy (HIPEC) but with alleviated Cis toxicity in MC38 metastatic mouse model. This HA/PtP nanogel represents a rationally designed Cis nanomedicine integrating the PTT with self-targeting and facile preparation.</w:t>
      </w:r>
    </w:p>
    <w:p>
      <w:pPr>
        <w:spacing w:before="120" w:after="120"/>
      </w:pPr>
      <w:r>
        <w:rPr>
          <w:sz w:val="18"/>
        </w:rPr>
        <w:t>——————————————————————————————————————————————————————————————————————</w:t>
      </w:r>
    </w:p>
    <w:p>
      <w:pPr>
        <w:spacing w:before="160" w:after="40" w:line="240" w:lineRule="auto"/>
      </w:pPr>
      <w:r>
        <w:rPr>
          <w:b/>
        </w:rPr>
        <w:t xml:space="preserve">[360] </w:t>
      </w:r>
      <w:hyperlink r:id="rId913">
        <w:r>
          <w:rPr>
            <w:color w:val="1155CC"/>
            <w:u w:val="single"/>
          </w:rPr>
          <w:t>KLF5在胰腺癌中控制亚型无关的高度互动增强子以调节细胞存活</w:t>
        </w:r>
      </w:hyperlink>
    </w:p>
    <w:p>
      <w:pPr>
        <w:spacing w:before="0" w:after="80"/>
      </w:pPr>
      <w:r>
        <w:rPr>
          <w:i/>
          <w:sz w:val="20"/>
        </w:rPr>
        <w:t>EN: KLF5 controls subtype-independent highly interactive enhancers in pancreatic cancer to regulate cell survival</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14">
        <w:r>
          <w:rPr>
            <w:color w:val="1155CC"/>
            <w:u w:val="single"/>
          </w:rPr>
          <w:t>10.1126/sciadv.aea2106</w:t>
        </w:r>
      </w:hyperlink>
    </w:p>
    <w:p>
      <w:pPr>
        <w:spacing w:before="0" w:after="120"/>
      </w:pPr>
      <w:r>
        <w:rPr>
          <w:b/>
        </w:rPr>
        <w:t xml:space="preserve">Notes: </w:t>
      </w:r>
      <w:r>
        <w:t>abstract_source=crossref</w:t>
      </w:r>
    </w:p>
    <w:p>
      <w:pPr>
        <w:spacing w:before="0" w:after="80" w:lineRule="auto" w:line="276"/>
      </w:pPr>
      <w:r>
        <w:rPr>
          <w:b/>
        </w:rPr>
        <w:t xml:space="preserve">摘要（ZH）: </w:t>
      </w:r>
      <w:r>
        <w:t>胰腺导管腺癌（PDAC）仍然是一种致命性很高的癌症，5年生存率为13%。尽管最近对肿瘤进行了分子分层，分为不同的经典和基底样细胞状态，但大多数肿瘤是异质的，包含两种亚型。因此，仅针对一种亚型的治疗方法不太可能作为PDAC的单独治疗有效。在此，我们整合了染色质可及性[转座酶可及染色质测序（ATAC-seq）]、表观遗传状态的全基因组占据[染色质免疫沉淀测序（ChIP-seq）]（H3K27ac）和H3K4me3锚定的染色质拓扑（HiChIP），以揭示亚型无关的高度互动增强子，这些增强子与PDAC中的关键基因相互作用。基序分析显示这些</w:t>
      </w:r>
    </w:p>
    <w:p>
      <w:pPr>
        <w:spacing w:before="0" w:after="200" w:lineRule="auto" w:line="276"/>
      </w:pPr>
      <w:r>
        <w:rPr>
          <w:b/>
        </w:rPr>
        <w:t xml:space="preserve">Abstract (EN): </w:t>
      </w:r>
      <w:r>
        <w:t>Pancreatic ductal adenocarcinoma (PDAC) remains a highly lethal cancer with a 5-year survival rate of 13%. Despite recent molecular stratification of tumors into distinct classical and basal-like cell states, most tumors are heterogeneous and contain both subtypes. Therefore, therapeutic approaches targeting only one subtype are unlikely to be effective as standalone PDAC treatments. Here, we integrated chromatin accessibility [assay for transposase-accessible chromatin with sequencing (ATAC-seq)], genome-wide occupancy [chromatin immunoprecipitation sequencing (ChIP-seq)] for epigenetic status (H3K27ac), and H3K4me3-anchored chromatin topology (HiChIP) to uncover subtype-independent highly interactive enhancers that interact with essential genes in PDAC. Motif analysis revealed that these common enhancers were bound by KLF5 with subsequent depletion leading to decreased cell viability via induction of apoptosis. To elucidate the transcriptional and epigenetic mechanisms by which KLF5 functions in PDAC, we used rapid depletion of KLF5 with dTAG technology and profiled the effects on the open and active chromatin landscape and transcription with nascent RNA and messenger RNA sequencing over time. Enhancer inactivation via KRAB domain Zim3-dCas9 fusion protein confirmed KLF5-bound enhancers regulate target genes, including the anti-apoptotic gene</w:t>
      </w:r>
      <w:r>
        <w:t xml:space="preserve"> </w:t>
      </w:r>
      <w:r>
        <w:t>BCL2L1</w:t>
      </w:r>
      <w:r>
        <w:t xml:space="preserve"> </w:t>
      </w:r>
      <w:r>
        <w:t>. Multiplex immunofluorescence confirmed costaining of KLF5 and Bcl-xL in patient samples and overexpression of Bcl-xL rescued the induction of apoptosis after KLF5 depletion. Together, this study provides insights into common mechanisms to target highly heterogeneous PDAC tumors.</w:t>
      </w:r>
    </w:p>
    <w:p>
      <w:pPr>
        <w:spacing w:before="120" w:after="120"/>
      </w:pPr>
      <w:r>
        <w:rPr>
          <w:sz w:val="18"/>
        </w:rPr>
        <w:t>——————————————————————————————————————————————————————————————————————</w:t>
      </w:r>
    </w:p>
    <w:p>
      <w:pPr>
        <w:spacing w:before="160" w:after="40" w:line="240" w:lineRule="auto"/>
      </w:pPr>
      <w:r>
        <w:rPr>
          <w:b/>
        </w:rPr>
        <w:t xml:space="preserve">[361] </w:t>
      </w:r>
      <w:hyperlink r:id="rId915">
        <w:r>
          <w:rPr>
            <w:color w:val="1155CC"/>
            <w:u w:val="single"/>
          </w:rPr>
          <w:t>针对细胞内和持久性沙门氏菌的DksA抑制剂在急性感染模型中有效</w:t>
        </w:r>
      </w:hyperlink>
    </w:p>
    <w:p>
      <w:pPr>
        <w:spacing w:before="0" w:after="80"/>
      </w:pPr>
      <w:r>
        <w:rPr>
          <w:i/>
          <w:sz w:val="20"/>
        </w:rPr>
        <w:t>EN: DksA inhibitors against intracellular and persistent Salmonella are effective in acute models of infection</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16">
        <w:r>
          <w:rPr>
            <w:color w:val="1155CC"/>
            <w:u w:val="single"/>
          </w:rPr>
          <w:t>10.1126/sciadv.aea6832</w:t>
        </w:r>
      </w:hyperlink>
    </w:p>
    <w:p>
      <w:pPr>
        <w:spacing w:before="0" w:after="120"/>
      </w:pPr>
      <w:r>
        <w:rPr>
          <w:b/>
        </w:rPr>
        <w:t xml:space="preserve">Notes: </w:t>
      </w:r>
      <w:r>
        <w:t>abstract_source=crossref</w:t>
      </w:r>
    </w:p>
    <w:p>
      <w:pPr>
        <w:spacing w:before="0" w:after="80" w:lineRule="auto" w:line="276"/>
      </w:pPr>
      <w:r>
        <w:rPr>
          <w:b/>
        </w:rPr>
        <w:t xml:space="preserve">摘要（ZH）: </w:t>
      </w:r>
      <w:r>
        <w:t>我们迫切需要具有新作用机制的抗生素。DksA蛋白调节革兰氏阴性细菌中参与代谢、翻译和毒力的基因转录。DksA在革兰氏阴性病原体中进化上是保守的，但在人类中不存在。在此，我们识别出DksA螺旋线圈域尖端的一个保守酸性口袋，适合药物开发。我们的生物信息学和实验方法识别出</w:t>
      </w:r>
      <w:r>
        <w:t xml:space="preserve"> </w:t>
      </w:r>
      <w:r>
        <w:t>N</w:t>
      </w:r>
      <w:r>
        <w:t xml:space="preserve"> </w:t>
      </w:r>
      <w:r>
        <w:t>-(3,4-二甲氧基苯基)-1H-1,2,4-三唑-3-羧酰胺作为DksA抑制剂，具有中等抗菌活性。对</w:t>
      </w:r>
      <w:r>
        <w:t xml:space="preserve"> </w:t>
      </w:r>
      <w:r>
        <w:t>N</w:t>
      </w:r>
      <w:r>
        <w:t xml:space="preserve"> </w:t>
      </w:r>
      <w:r>
        <w:t>-(3,4-二甲氧基苯基)-1H-1,2,4-三唑-3-羧酰胺的二甲氧基苯基功能和脂肪链的衍生化</w:t>
      </w:r>
    </w:p>
    <w:p>
      <w:pPr>
        <w:spacing w:before="0" w:after="200" w:lineRule="auto" w:line="276"/>
      </w:pPr>
      <w:r>
        <w:rPr>
          <w:b/>
        </w:rPr>
        <w:t xml:space="preserve">Abstract (EN): </w:t>
      </w:r>
      <w:r>
        <w:t>We are in dire need of antibiotics endowed with new mechanisms of action. The DksA protein regulates the transcription of genes involved in metabolism, translation, and virulence in Gram-negative bacteria. DksA is evolutionarily conserved among Gram-negative pathogens but is absent in humans. Here, we identified a conserved acidic pocket at the tip of the coiled-coil domain of DksA that is amenable for drug development. Our bioinformatics and experimental approaches identified</w:t>
      </w:r>
      <w:r>
        <w:t xml:space="preserve"> </w:t>
      </w:r>
      <w:r>
        <w:t>N</w:t>
      </w:r>
      <w:r>
        <w:t xml:space="preserve"> </w:t>
      </w:r>
      <w:r>
        <w:t>-(3,4-dimethoxyphenyl)-1H-1,2,4-triazole-3-carboxamide as a DksA inhibitor with moderate antimicrobial activity. Derivatization of the dimethoxyphenyl functionality and aliphatic linker of</w:t>
      </w:r>
      <w:r>
        <w:t xml:space="preserve"> </w:t>
      </w:r>
      <w:r>
        <w:t>N</w:t>
      </w:r>
      <w:r>
        <w:t xml:space="preserve"> </w:t>
      </w:r>
      <w:r>
        <w:t>-(3,4-dimethoxyphenyl)-1H-1,2,4-triazole-3-carboxamide generated several new chemical entities with excellent IC</w:t>
      </w:r>
      <w:r>
        <w:rPr>
          <w:vertAlign w:val="subscript"/>
        </w:rPr>
        <w:t>50</w:t>
      </w:r>
      <w:r>
        <w:t>values against DksA-regulated in vitro transcription and improved antimicrobial activity against</w:t>
      </w:r>
      <w:r>
        <w:t xml:space="preserve"> </w:t>
      </w:r>
      <w:r>
        <w:t>Salmonella</w:t>
      </w:r>
      <w:r>
        <w:t xml:space="preserve"> </w:t>
      </w:r>
      <w:r>
        <w:t>and several other Gram-negative bacteria. Our pharmacokinetic and pharmacodynamic evaluations indicate that the</w:t>
      </w:r>
      <w:r>
        <w:t xml:space="preserve"> </w:t>
      </w:r>
      <w:r>
        <w:t>N</w:t>
      </w:r>
      <w:r>
        <w:t xml:space="preserve"> </w:t>
      </w:r>
      <w:r>
        <w:t>-(4-phenylbutyl)-1H-1,2,4-triazole-3-carboxamide analog is absorbed in the gastrointestinal tract of rats and is distributed into viscera. The systemic administration of the</w:t>
      </w:r>
      <w:r>
        <w:t xml:space="preserve"> </w:t>
      </w:r>
      <w:r>
        <w:t>N</w:t>
      </w:r>
      <w:r>
        <w:t xml:space="preserve"> </w:t>
      </w:r>
      <w:r>
        <w:t>-(4-phenylbutyl)-1H-1,2,4-triazole-3-carboxamide analog protected mice against oral and systemic</w:t>
      </w:r>
      <w:r>
        <w:t xml:space="preserve"> </w:t>
      </w:r>
      <w:r>
        <w:t>Salmonella</w:t>
      </w:r>
      <w:r>
        <w:t xml:space="preserve"> </w:t>
      </w:r>
      <w:r>
        <w:t>infections while practically preventing the formation of microabscesses and necrotic foci in</w:t>
      </w:r>
      <w:r>
        <w:t xml:space="preserve"> </w:t>
      </w:r>
      <w:r>
        <w:t>Salmonella</w:t>
      </w:r>
      <w:r>
        <w:t xml:space="preserve"> </w:t>
      </w:r>
      <w:r>
        <w:t>-infected mice. Our investigations have identified a previously unknown class of antibiotics against the transcriptional regulator DksA that is endowed with antimicrobial activity against Gram-negative pathogens.</w:t>
      </w:r>
    </w:p>
    <w:p>
      <w:pPr>
        <w:spacing w:before="120" w:after="120"/>
      </w:pPr>
      <w:r>
        <w:rPr>
          <w:sz w:val="18"/>
        </w:rPr>
        <w:t>——————————————————————————————————————————————————————————————————————</w:t>
      </w:r>
    </w:p>
    <w:p>
      <w:pPr>
        <w:spacing w:before="160" w:after="40" w:line="240" w:lineRule="auto"/>
      </w:pPr>
      <w:r>
        <w:rPr>
          <w:b/>
        </w:rPr>
        <w:t xml:space="preserve">[362] </w:t>
      </w:r>
      <w:hyperlink r:id="rId917">
        <w:r>
          <w:rPr>
            <w:color w:val="1155CC"/>
            <w:u w:val="single"/>
          </w:rPr>
          <w:t>在不同年龄使用自灭活AAV-CRISPR可持续改善BAC226Q小鼠的亨廷顿病缺陷</w:t>
        </w:r>
      </w:hyperlink>
    </w:p>
    <w:p>
      <w:pPr>
        <w:spacing w:before="0" w:after="80"/>
      </w:pPr>
      <w:r>
        <w:rPr>
          <w:i/>
          <w:sz w:val="20"/>
        </w:rPr>
        <w:t>EN: Self-inactivating AAV-CRISPR at different ages enables sustained amelioration of Huntington’s disease deficits in BAC226Q mice</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18">
        <w:r>
          <w:rPr>
            <w:color w:val="1155CC"/>
            <w:u w:val="single"/>
          </w:rPr>
          <w:t>10.1126/sciadv.aea8052</w:t>
        </w:r>
      </w:hyperlink>
    </w:p>
    <w:p>
      <w:pPr>
        <w:spacing w:before="0" w:after="120"/>
      </w:pPr>
      <w:r>
        <w:rPr>
          <w:b/>
        </w:rPr>
        <w:t xml:space="preserve">Notes: </w:t>
      </w:r>
      <w:r>
        <w:t>abstract_source=crossref</w:t>
      </w:r>
    </w:p>
    <w:p>
      <w:pPr>
        <w:spacing w:before="0" w:after="80" w:lineRule="auto" w:line="276"/>
      </w:pPr>
      <w:r>
        <w:rPr>
          <w:b/>
        </w:rPr>
        <w:t xml:space="preserve">摘要（ZH）: </w:t>
      </w:r>
      <w:r>
        <w:t>亨廷顿病（HD）是一种单基因常染色体显性神经退行性疾病，由HTT基因外显子1中的CAG重复扩展引起，产生有毒功能增益的突变亨廷顿蛋白（mHTT）。CRISPR-Cas9是一种潜在的强大治疗策略，通过消除突变HTT（mHTT）基因来治疗HD。我们开发了一种特定的SaCas9引导RNA来靶向人类mHTT，并设计了一种自灭活基因编辑系统，在短暂表达后消除SaCas9，以实现高效基因编辑和最大安全性，防止脱靶效应。传统和自灭活基因编辑系统均成功</w:t>
      </w:r>
    </w:p>
    <w:p>
      <w:pPr>
        <w:spacing w:before="0" w:after="200" w:lineRule="auto" w:line="276"/>
      </w:pPr>
      <w:r>
        <w:rPr>
          <w:b/>
        </w:rPr>
        <w:t xml:space="preserve">Abstract (EN): </w:t>
      </w:r>
      <w:r>
        <w:t>Huntington’s disease (HD) is a monogenic autosomal dominant neurodegenerative disorder caused by a CAG repeat expansion in exon 1 of the</w:t>
      </w:r>
      <w:r>
        <w:t xml:space="preserve"> </w:t>
      </w:r>
      <w:r>
        <w:t>HTT</w:t>
      </w:r>
      <w:r>
        <w:t xml:space="preserve"> </w:t>
      </w:r>
      <w:r>
        <w:t>gene, yielding a gain-of-toxic-function mutant Huntingtin protein (mHTT). CRISPR-Cas9 is a potentially powerful therapeutic strategy for HD by eliminating mutant</w:t>
      </w:r>
      <w:r>
        <w:t xml:space="preserve"> </w:t>
      </w:r>
      <w:r>
        <w:t>HTT</w:t>
      </w:r>
      <w:r>
        <w:t xml:space="preserve"> </w:t>
      </w:r>
      <w:r>
        <w:t>(m</w:t>
      </w:r>
      <w:r>
        <w:t xml:space="preserve"> </w:t>
      </w:r>
      <w:r>
        <w:t>HTT</w:t>
      </w:r>
      <w:r>
        <w:t xml:space="preserve"> </w:t>
      </w:r>
      <w:r>
        <w:t>) gene. We developed a specific SaCas9 guide RNA to target human m</w:t>
      </w:r>
      <w:r>
        <w:t xml:space="preserve"> </w:t>
      </w:r>
      <w:r>
        <w:t>HTT</w:t>
      </w:r>
      <w:r>
        <w:t xml:space="preserve"> </w:t>
      </w:r>
      <w:r>
        <w:t>and a self-inactivating gene editing system that abolishes SaCas9 after a short transient expression for high gene editing efficiency and maximal safety to prevent off-target effects. Both conventional and the self-inactivating gene editing systems successfully eliminated m</w:t>
      </w:r>
      <w:r>
        <w:t xml:space="preserve"> </w:t>
      </w:r>
      <w:r>
        <w:t>HTT</w:t>
      </w:r>
      <w:r>
        <w:t xml:space="preserve"> </w:t>
      </w:r>
      <w:r>
        <w:t>gene, 60 to 90% mHTT protein and 90% of mHTT aggregation in BAC226Q mouse brains, which resulted in significant long-term rescue of neuropathology, motor deficits, weight loss, and shortened life span. These beneficial effects were observed when gene editing was applied before, at, and well after the onset of pathological and behavioral abnormalities. These proof-of-concept data demonstrate that gene editing can be a highly effective therapeutic approach for HD.</w:t>
      </w:r>
    </w:p>
    <w:p>
      <w:pPr>
        <w:spacing w:before="120" w:after="120"/>
      </w:pPr>
      <w:r>
        <w:rPr>
          <w:sz w:val="18"/>
        </w:rPr>
        <w:t>——————————————————————————————————————————————————————————————————————</w:t>
      </w:r>
    </w:p>
    <w:p>
      <w:pPr>
        <w:spacing w:before="160" w:after="40" w:line="240" w:lineRule="auto"/>
      </w:pPr>
      <w:r>
        <w:rPr>
          <w:b/>
        </w:rPr>
        <w:t xml:space="preserve">[363] </w:t>
      </w:r>
      <w:hyperlink r:id="rId919">
        <w:r>
          <w:rPr>
            <w:color w:val="1155CC"/>
            <w:u w:val="single"/>
          </w:rPr>
          <w:t>通过固态高次谐波生成光谱探测MoS2的同构电子跃迁</w:t>
        </w:r>
      </w:hyperlink>
    </w:p>
    <w:p>
      <w:pPr>
        <w:spacing w:before="0" w:after="80"/>
      </w:pPr>
      <w:r>
        <w:rPr>
          <w:i/>
          <w:sz w:val="20"/>
        </w:rPr>
        <w:t>EN: Isostructural electronic transition in MoS2 probed by solid-state high-harmonic generation spectroscopy</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20">
        <w:r>
          <w:rPr>
            <w:color w:val="1155CC"/>
            <w:u w:val="single"/>
          </w:rPr>
          <w:t>10.1126/sciadv.adz5621</w:t>
        </w:r>
      </w:hyperlink>
    </w:p>
    <w:p>
      <w:pPr>
        <w:spacing w:before="0" w:after="120"/>
      </w:pPr>
      <w:r>
        <w:rPr>
          <w:b/>
        </w:rPr>
        <w:t xml:space="preserve">Notes: </w:t>
      </w:r>
      <w:r>
        <w:t>abstract_source=crossref</w:t>
      </w:r>
    </w:p>
    <w:p>
      <w:pPr>
        <w:spacing w:before="0" w:after="80" w:lineRule="auto" w:line="276"/>
      </w:pPr>
      <w:r>
        <w:rPr>
          <w:b/>
        </w:rPr>
        <w:t xml:space="preserve">摘要（ZH）: </w:t>
      </w:r>
      <w:r>
        <w:t>在金刚石对顶砧（DACs）中研究材料在极端压力下的行为是发现新兴物质状态的关键，但目前没有方法可以直接测量这种环境中的电子结构。固态高次谐波产生（sHHG）提供了一个独特的全光学窗口来观察材料的电子结构。我们通过探测2H-MoS2，在高达30 GPa的压力下，展示了DAC内部的sHHG光谱，揭示了最低直接带隙从K点到Γ点的压力诱导交叉。</w:t>
      </w:r>
    </w:p>
    <w:p>
      <w:pPr>
        <w:spacing w:before="0" w:after="200" w:lineRule="auto" w:line="276"/>
      </w:pPr>
      <w:r>
        <w:rPr>
          <w:b/>
        </w:rPr>
        <w:t xml:space="preserve">Abstract (EN): </w:t>
      </w:r>
      <w:r>
        <w:t>Studying materials under extreme pressure in diamond anvil cells (DACs) is key to discovering emergent states of matter, yet no method currently allows the direct measurement of the electronic structure in this environment. Solid-state high-harmonic generation (sHHG) offers a unique all-optical window into the electronic structure of materials. We demonstrate sHHG spectroscopy inside a DAC by probing 2H-MoS</w:t>
      </w:r>
      <w:r>
        <w:rPr>
          <w:vertAlign w:val="subscript"/>
        </w:rPr>
        <w:t>2</w:t>
      </w:r>
      <w:r>
        <w:t>, up to 30 GPa, revealing a pressure-induced crossover of the lowest direct bandgap from the</w:t>
      </w:r>
      <w:r>
        <w:t xml:space="preserve"> </w:t>
      </w:r>
      <w:r>
        <w:t>K</w:t>
      </w:r>
      <w:r>
        <w:t xml:space="preserve"> </w:t>
      </w:r>
      <w:r>
        <w:t>-point to the</w:t>
      </w:r>
      <w:r>
        <w:t xml:space="preserve"> </w:t>
      </w:r>
      <w:r>
        <w:t>Γ</w:t>
      </w:r>
      <w:r>
        <w:t xml:space="preserve"> </w:t>
      </w:r>
      <w:r>
        <w:t>-point. This transition manifests as a sharp minimum in harmonic intensity and a 30° rotation of the sHHG polarization anisotropy, despite the absence of a structural phase change. First-principles simulations attribute these features to interference between competing excitation pathways at distinct points in the Brillouin zone. Our results establish sHHG as a sensitive probe of electronic transitions at high pressure, enabling access to quantum phenomena that evade detection by conventional techniques.</w:t>
      </w:r>
    </w:p>
    <w:p>
      <w:pPr>
        <w:spacing w:before="120" w:after="120"/>
      </w:pPr>
      <w:r>
        <w:rPr>
          <w:sz w:val="18"/>
        </w:rPr>
        <w:t>——————————————————————————————————————————————————————————————————————</w:t>
      </w:r>
    </w:p>
    <w:p>
      <w:pPr>
        <w:spacing w:before="160" w:after="40" w:line="240" w:lineRule="auto"/>
      </w:pPr>
      <w:r>
        <w:rPr>
          <w:b/>
        </w:rPr>
        <w:t xml:space="preserve">[364] </w:t>
      </w:r>
      <w:hyperlink r:id="rId921">
        <w:r>
          <w:rPr>
            <w:color w:val="1155CC"/>
            <w:u w:val="single"/>
          </w:rPr>
          <w:t>Jagged1调节三阴性乳腺癌中的细胞外基质沉积和重塑</w:t>
        </w:r>
      </w:hyperlink>
    </w:p>
    <w:p>
      <w:pPr>
        <w:spacing w:before="0" w:after="80"/>
      </w:pPr>
      <w:r>
        <w:rPr>
          <w:i/>
          <w:sz w:val="20"/>
        </w:rPr>
        <w:t>EN: Jagged1 regulates extracellular matrix deposition and remodeling in triple-negative breast cancer</w:t>
      </w:r>
    </w:p>
    <w:p>
      <w:pPr>
        <w:spacing w:before="0" w:after="120"/>
      </w:pPr>
      <w:r>
        <w:rPr>
          <w:b/>
        </w:rPr>
        <w:t xml:space="preserve">Source: </w:t>
      </w:r>
      <w:r>
        <w:t>AAAS: Science Advances: Table of Contents</w:t>
      </w:r>
      <w:r>
        <w:t xml:space="preserve">    </w:t>
      </w:r>
      <w:r>
        <w:rPr>
          <w:b/>
        </w:rPr>
        <w:t xml:space="preserve">Pub date: </w:t>
      </w:r>
      <w:r>
        <w:t>2026-03-18 07:00:00+00:00</w:t>
      </w:r>
      <w:r>
        <w:t xml:space="preserve">    </w:t>
      </w:r>
      <w:r>
        <w:rPr>
          <w:b/>
        </w:rPr>
        <w:t xml:space="preserve">DOI: </w:t>
      </w:r>
      <w:hyperlink r:id="rId922">
        <w:r>
          <w:rPr>
            <w:color w:val="1155CC"/>
            <w:u w:val="single"/>
          </w:rPr>
          <w:t>10.1126/sciadv.aea9562</w:t>
        </w:r>
      </w:hyperlink>
    </w:p>
    <w:p>
      <w:pPr>
        <w:spacing w:before="0" w:after="120"/>
      </w:pPr>
      <w:r>
        <w:rPr>
          <w:b/>
        </w:rPr>
        <w:t xml:space="preserve">Notes: </w:t>
      </w:r>
      <w:r>
        <w:t>abstract_source=crossref</w:t>
      </w:r>
    </w:p>
    <w:p>
      <w:pPr>
        <w:spacing w:before="0" w:after="80" w:lineRule="auto" w:line="276"/>
      </w:pPr>
      <w:r>
        <w:rPr>
          <w:b/>
        </w:rPr>
        <w:t xml:space="preserve">摘要（ZH）: </w:t>
      </w:r>
      <w:r>
        <w:t>细胞外基质（ECM）和肿瘤微环境的异质性推动了癌症的进展和治疗抵抗。高Jagged1表达与患者生存率低相关，并在三阴性乳腺癌（TNBC）中促进肿瘤生长和侵袭。通过转录组学、蛋白质组学和体外及体内癌细胞/成纤维细胞共培养的成像，我们证明了Jagged1介导的TNBC细胞与成纤维细胞之间的交叉对话增强了肌成纤维细胞的激活、胶原积累和ECM纤维的排列。在TNBC肿瘤的单细胞RNA测序数据中，高Jagged1表达产生了一个先前与增强侵袭相关的肌成纤维细胞亚群。Jagged1在成纤维细胞共培养中增加了转化生长因子-β（TGFβ）活性，和T</w:t>
      </w:r>
    </w:p>
    <w:p>
      <w:pPr>
        <w:spacing w:before="0" w:after="200" w:lineRule="auto" w:line="276"/>
      </w:pPr>
      <w:r>
        <w:rPr>
          <w:b/>
        </w:rPr>
        <w:t xml:space="preserve">Abstract (EN): </w:t>
      </w:r>
      <w:r>
        <w:t>The extracellular matrix (ECM) and tumor microenvironment heterogeneity drive cancer progression and treatment resistance. High Jagged1 expression correlates with poor patient survival and promotes tumor growth and invasion in triple-negative breast cancer (TNBC). Using transcriptomics, proteomics, and imaging of cancer cell/fibroblast cocultures in vitro and in vivo, we demonstrate that Jagged1-mediated cross-talk between TNBC cells and fibroblasts enhances myofibroblast activation, collagen accumulation, and alignment of ECM fibers. In single-cell RNA sequencing data of TNBC tumors, high Jagged1 expression gives rise to a myofibroblast subpopulation previously associated with enhanced invasion. Jagged1 increases transforming growth factor–β (TGFβ) activity in fibroblast cocultures, and TGFβ inhibition prevents the Jagged1-induced ECM alignment. Thus, Jagged1 regulates ECM remodeling upstream of TGFβ. Furthermore, higher substrate stiffness up-regulates Jagged1, suggesting a feed-forward loop between Jagged1, ECM stiffness, and TGFβ. With the emergence of safe therapeutics targeting specific Notch components, Jagged1 modulation may offer an approach for treating invasive breast cancer.</w:t>
      </w:r>
    </w:p>
    <w:p>
      <w:pPr>
        <w:spacing w:before="120" w:after="120"/>
      </w:pPr>
      <w:r>
        <w:rPr>
          <w:sz w:val="18"/>
        </w:rPr>
        <w:t>——————————————————————————————————————————————————————————————————————</w:t>
      </w:r>
    </w:p>
    <w:p>
      <w:pPr>
        <w:spacing w:before="160" w:after="40" w:line="240" w:lineRule="auto"/>
      </w:pPr>
      <w:r>
        <w:rPr>
          <w:b/>
        </w:rPr>
        <w:t xml:space="preserve">[365] </w:t>
      </w:r>
      <w:hyperlink r:id="rId923">
        <w:r>
          <w:rPr>
            <w:color w:val="1155CC"/>
            <w:u w:val="single"/>
          </w:rPr>
          <w:t>[ASAP] 散装LaO中的三维非常规超导性</w:t>
        </w:r>
      </w:hyperlink>
    </w:p>
    <w:p>
      <w:pPr>
        <w:spacing w:before="0" w:after="80"/>
      </w:pPr>
      <w:r>
        <w:rPr>
          <w:i/>
          <w:sz w:val="20"/>
        </w:rPr>
        <w:t>EN: [ASAP] 3D Unconventional Superconductivity in Bulk LaO</w:t>
      </w:r>
    </w:p>
    <w:p>
      <w:pPr>
        <w:spacing w:before="0" w:after="120"/>
      </w:pPr>
      <w:r>
        <w:rPr>
          <w:b/>
        </w:rPr>
        <w:t xml:space="preserve">Source: </w:t>
      </w:r>
      <w:r>
        <w:t>Journal of the American Chemical Society: Latest Articles (ACS Publications)</w:t>
      </w:r>
      <w:r>
        <w:t xml:space="preserve">    </w:t>
      </w:r>
      <w:r>
        <w:rPr>
          <w:b/>
        </w:rPr>
        <w:t xml:space="preserve">Pub date: </w:t>
      </w:r>
      <w:r>
        <w:t>2026-03-18 08:17:38+00:00</w:t>
      </w:r>
      <w:r>
        <w:t xml:space="preserve">    </w:t>
      </w:r>
      <w:r>
        <w:rPr>
          <w:b/>
        </w:rPr>
        <w:t xml:space="preserve">DOI: </w:t>
      </w:r>
      <w:hyperlink r:id="rId924">
        <w:r>
          <w:rPr>
            <w:color w:val="1155CC"/>
            <w:u w:val="single"/>
          </w:rPr>
          <w:t>10.1021/jacs.6c00519</w:t>
        </w:r>
      </w:hyperlink>
    </w:p>
    <w:p>
      <w:pPr>
        <w:spacing w:before="0" w:after="120"/>
      </w:pPr>
      <w:r>
        <w:rPr>
          <w:b/>
        </w:rPr>
        <w:t xml:space="preserve">Notes: </w:t>
      </w:r>
      <w:r>
        <w:t>abstract_source=pubmed</w:t>
      </w:r>
    </w:p>
    <w:p>
      <w:pPr>
        <w:spacing w:before="0" w:after="80" w:lineRule="auto" w:line="276"/>
      </w:pPr>
      <w:r>
        <w:rPr>
          <w:b/>
        </w:rPr>
        <w:t xml:space="preserve">摘要（ZH）: </w:t>
      </w:r>
      <w:r>
        <w:t>以镧为基础的化合物是超导研究的基石，但La 5d轨道通常保持为空的观察者状态，远高于费米能级（EF）。虽然在拉伸外延薄膜中已在LaO中诱导出高达5.37 K的超导性，但由于合成挑战，块体相的固有基态仍然存在争议，早期报告建议其具有金属性质。在此，我们报告了纯块状岩盐LaO的高压高温合成，并揭示了其固有的II型超导性，在常压下的转变温度（TC）为约6 K。在La1-xYxO中，块体TC进一步增强至6.9 K，x = 0.10，其中Y掺杂导致晶格收缩（化学压缩）和电子载流子浓度的显著增加</w:t>
      </w:r>
    </w:p>
    <w:p>
      <w:pPr>
        <w:spacing w:before="0" w:after="200" w:lineRule="auto" w:line="276"/>
      </w:pPr>
      <w:r>
        <w:rPr>
          <w:b/>
        </w:rPr>
        <w:t xml:space="preserve">Abstract (EN): </w:t>
      </w:r>
      <w:r>
        <w:t>Lanthanum-based compounds are cornerstones of superconductivity research, yet the La 5d orbitals typically remain empty spectator states far above the Fermi level (EF). While superconductivity has been induced in LaO up to 5.37 K in tensile epitaxy films, the intrinsic ground state of the bulk phase has remained controversial mostly due to synthetic challenges, with early reports suggesting a metallic nature. Here we report the high-pressure and high-temperature synthesis of pure bulk rock-salt LaO and unveil its intrinsic type-II superconductivity with a transition temperature (TC) of ∼6 K at ambient pressure. The bulk TC is further enhanced to 6.9 K in La1-xYxO at x = 0.10, where Y doping leads to lattice contraction (chemical pressing) and a remarkable increase in electron carrier concentration. Strikingly, applying physical pressure further enhances the TC to a maximum of 12.7 K at 20 GPa, the highest TC in lanthanum monochalcogenides LaX (X = S, Se, Te, and O) to date. This pressure dependence is diametrically opposed to the behavior observed in films, and occurs despite a pressure-induced reduction in the density of states at EF─a trend that sharply contradicts the conventional phonon-mediated BCS mechanism. Our first-principles calculations reveal that compressive strain modifies the crystal field splitting to enhance La 5d/O 2p hybridization, fostering a three-dimensional multipocket Fermi surface favorable for spin/orbital fluctuation-mediated pairing. This work clarifies the intrinsic superconductivity of bulk LaO and provides a foundation for designing new rare-earth-based superconductors with higher TC.</w:t>
      </w:r>
    </w:p>
    <w:p>
      <w:pPr>
        <w:spacing w:before="120" w:after="120"/>
      </w:pPr>
      <w:r>
        <w:rPr>
          <w:sz w:val="18"/>
        </w:rPr>
        <w:t>——————————————————————————————————————————————————————————————————————</w:t>
      </w:r>
    </w:p>
    <w:p>
      <w:pPr>
        <w:spacing w:before="160" w:after="40" w:line="240" w:lineRule="auto"/>
      </w:pPr>
      <w:r>
        <w:rPr>
          <w:b/>
        </w:rPr>
        <w:t xml:space="preserve">[366] </w:t>
      </w:r>
      <w:hyperlink r:id="rId925">
        <w:r>
          <w:rPr>
            <w:color w:val="1155CC"/>
            <w:u w:val="single"/>
          </w:rPr>
          <w:t>[ASAP] 硬-软酸碱原理驱动超密稀土基双原子位点的合理合成</w:t>
        </w:r>
      </w:hyperlink>
    </w:p>
    <w:p>
      <w:pPr>
        <w:spacing w:before="0" w:after="80"/>
      </w:pPr>
      <w:r>
        <w:rPr>
          <w:i/>
          <w:sz w:val="20"/>
        </w:rPr>
        <w:t>EN: [ASAP] Hard–Soft Acid–Base Principle Drives Rational Synthesis of Super-Dense Rare-Earth-Based Diatomic Sites</w:t>
      </w:r>
    </w:p>
    <w:p>
      <w:pPr>
        <w:spacing w:before="0" w:after="120"/>
      </w:pPr>
      <w:r>
        <w:rPr>
          <w:b/>
        </w:rPr>
        <w:t xml:space="preserve">Source: </w:t>
      </w:r>
      <w:r>
        <w:t>Journal of the American Chemical Society: Latest Articles (ACS Publications)</w:t>
      </w:r>
      <w:r>
        <w:t xml:space="preserve">    </w:t>
      </w:r>
      <w:r>
        <w:rPr>
          <w:b/>
        </w:rPr>
        <w:t xml:space="preserve">Pub date: </w:t>
      </w:r>
      <w:r>
        <w:t>2026-03-18 09:53:53+00:00</w:t>
      </w:r>
      <w:r>
        <w:t xml:space="preserve">    </w:t>
      </w:r>
      <w:r>
        <w:rPr>
          <w:b/>
        </w:rPr>
        <w:t xml:space="preserve">DOI: </w:t>
      </w:r>
      <w:hyperlink r:id="rId926">
        <w:r>
          <w:rPr>
            <w:color w:val="1155CC"/>
            <w:u w:val="single"/>
          </w:rPr>
          <w:t>10.1021/jacs.5c21164</w:t>
        </w:r>
      </w:hyperlink>
    </w:p>
    <w:p>
      <w:pPr>
        <w:spacing w:before="0" w:after="120"/>
      </w:pPr>
      <w:r>
        <w:rPr>
          <w:b/>
        </w:rPr>
        <w:t xml:space="preserve">Notes: </w:t>
      </w:r>
      <w:r>
        <w:t>abstract_source=pubmed</w:t>
      </w:r>
    </w:p>
    <w:p>
      <w:pPr>
        <w:spacing w:before="0" w:after="80" w:lineRule="auto" w:line="276"/>
      </w:pPr>
      <w:r>
        <w:rPr>
          <w:b/>
        </w:rPr>
        <w:t xml:space="preserve">摘要（ZH）: </w:t>
      </w:r>
      <w:r>
        <w:t>二原子催化剂（DACs）在原子经济性和复杂多中间体反应的协同催化方面具有固有的优势。然而，仍然存在一些基本挑战，包括通常较低的二原子负载量（&lt;2 wt %）、模糊的二原子位点识别，以及最关键的缺乏普遍的设计原则以实现合理合成。在此，我们提出了一种由硬软酸碱（HSAB）原理指导的一般合成策略，成功地获得了14种稀土（RE）基DACs，具有创纪录的高金属负载量（12.8-30.7 wt %，3.2-5.4 at. %）和相应的原子位点密度超过1.12 × 1021 sites g-1。通过先进的深度学习驱动的二原子识别方法，我们明确识别出具有一致性</w:t>
      </w:r>
    </w:p>
    <w:p>
      <w:pPr>
        <w:spacing w:before="0" w:after="200" w:lineRule="auto" w:line="276"/>
      </w:pPr>
      <w:r>
        <w:rPr>
          <w:b/>
        </w:rPr>
        <w:t xml:space="preserve">Abstract (EN): </w:t>
      </w:r>
      <w:r>
        <w:t>Diatomic catalysts (DACs) hold inherent superiority in atomic economy and synergistic catalysis for complex multi-intermediate reactions. However, several fundamental challenges persist, including typically low diatomic loading (&lt;2 wt %), ambiguous diatomic site identification, and most critically, the lack of universal design principles for rational synthesis. Herein, we present a general synthetic strategy guided by the hard-soft acid-base (HSAB) principle, successfully yielding 14 rare-earth (RE)-based DACs with record-high metal loadings (12.8-30.7 wt %, 3.2-5.4 at. %) and corresponding atomic site densities exceeding 1.12 × 1021 sites g-1. Through an advanced deep learning-powered diatomic recognition method, we unambiguously identify the heterodiatomic configurations with consistently high pairing ratios (60.5%-70.3%) across the DACs. Mechanistic studies combining experimental and theoretical analyses disclose that the strategic incorporation of soft-base phosphorus in the synthesis effectively diminishes coordination dynamics between hard-acid metals and hard-base nitrogen ligands via the HSAB principle-driven antibonding interactions, thus achieving the superdense diatomic sites. Significantly, the high-loading DACs demonstrate superior electrocatalytic nitrate reduction performance, exhibiting up to a 2.7-fold enhancement in ammonia yield rates over their low-loading counterparts. This work establishes a general coordination chemistry-based design principle for rational construction of advanced diatomic catalysts.</w:t>
      </w:r>
    </w:p>
    <w:p>
      <w:pPr>
        <w:spacing w:before="120" w:after="120"/>
      </w:pPr>
      <w:r>
        <w:rPr>
          <w:sz w:val="18"/>
        </w:rPr>
        <w:t>——————————————————————————————————————————————————————————————————————</w:t>
      </w:r>
    </w:p>
    <w:p>
      <w:pPr>
        <w:spacing w:before="160" w:after="40" w:line="240" w:lineRule="auto"/>
      </w:pPr>
      <w:r>
        <w:rPr>
          <w:b/>
        </w:rPr>
        <w:t xml:space="preserve">[367] </w:t>
      </w:r>
      <w:hyperlink r:id="rId927">
        <w:r>
          <w:rPr>
            <w:color w:val="1155CC"/>
            <w:u w:val="single"/>
          </w:rPr>
          <w:t>[ASAP] 通过Rieske双加氧酶的功能模拟实现醌的不对称顺式二羟基化</w:t>
        </w:r>
      </w:hyperlink>
    </w:p>
    <w:p>
      <w:pPr>
        <w:spacing w:before="0" w:after="80"/>
      </w:pPr>
      <w:r>
        <w:rPr>
          <w:i/>
          <w:sz w:val="20"/>
        </w:rPr>
        <w:t>EN: [ASAP] Catalytic Asymmetric cis-Dihydroxylation of Quinones Enabled by a Functional Mimic of Rieske Dioxygenases</w:t>
      </w:r>
    </w:p>
    <w:p>
      <w:pPr>
        <w:spacing w:before="0" w:after="120"/>
      </w:pPr>
      <w:r>
        <w:rPr>
          <w:b/>
        </w:rPr>
        <w:t xml:space="preserve">Source: </w:t>
      </w:r>
      <w:r>
        <w:t>Journal of the American Chemical Society: Latest Articles (ACS Publications)</w:t>
      </w:r>
      <w:r>
        <w:t xml:space="preserve">    </w:t>
      </w:r>
      <w:r>
        <w:rPr>
          <w:b/>
        </w:rPr>
        <w:t xml:space="preserve">Pub date: </w:t>
      </w:r>
      <w:r>
        <w:t>2026-03-18 12:12:24+00:00</w:t>
      </w:r>
      <w:r>
        <w:t xml:space="preserve">    </w:t>
      </w:r>
      <w:r>
        <w:rPr>
          <w:b/>
        </w:rPr>
        <w:t xml:space="preserve">DOI: </w:t>
      </w:r>
      <w:hyperlink r:id="rId928">
        <w:r>
          <w:rPr>
            <w:color w:val="1155CC"/>
            <w:u w:val="single"/>
          </w:rPr>
          <w:t>10.1021/jacs.5c20048</w:t>
        </w:r>
      </w:hyperlink>
    </w:p>
    <w:p>
      <w:pPr>
        <w:spacing w:before="0" w:after="120"/>
      </w:pPr>
      <w:r>
        <w:rPr>
          <w:b/>
        </w:rPr>
        <w:t xml:space="preserve">Notes: </w:t>
      </w:r>
      <w:r>
        <w:t>abstract_source=pubmed</w:t>
      </w:r>
    </w:p>
    <w:p>
      <w:pPr>
        <w:spacing w:before="0" w:after="80" w:lineRule="auto" w:line="276"/>
      </w:pPr>
      <w:r>
        <w:rPr>
          <w:b/>
        </w:rPr>
        <w:t xml:space="preserve">摘要（ZH）: </w:t>
      </w:r>
      <w:r>
        <w:t>使用地球丰富金属催化剂开发高效且实用的催化不对称顺式二羟基化反应仍然是一个重大挑战；1,4-醌的顺式二羟基化代表了通向富含对映异构体的顺式-1,2-二醇的重要途径，这些二醇是生物活性天然产物和药物的特权骨架。受Rieske双加氧酶催化的芳香和烯烃C═C键的不对称顺式二羟基化的启发，我们提出了一种仿生策略用于1,4-醌的不对称顺式二羟基化。在此，我们报告了一种廉价且易于获得的非血红素锰配合物，由具有刚性手性二胺骨架和空间庞大的三异丙基硅基团的四齿氨基吡啶配体支持，用于顺式二羟基化</w:t>
      </w:r>
    </w:p>
    <w:p>
      <w:pPr>
        <w:spacing w:before="0" w:after="200" w:lineRule="auto" w:line="276"/>
      </w:pPr>
      <w:r>
        <w:rPr>
          <w:b/>
        </w:rPr>
        <w:t xml:space="preserve">Abstract (EN): </w:t>
      </w:r>
      <w:r>
        <w:t>The development of efficient and practical catalytic asymmetric cis-dihydroxylation reactions using earth-abundant metal catalysts remains a major challenge; the cis-dihydroxylation of 1,4-quinones represents a vital gateway to enantioenriched cis-1,2-diols, which are privileged scaffolds for bioactive natural products and pharmaceuticals. Inspired by the asymmetric cis-dihydroxylation of aromatic and olefinic C═C bonds catalyzed by Rieske dioxygenases, we present a biomimetic strategy for the asymmetric cis-dihydroxylation of 1,4-quinones. Herein, we report an inexpensive and readily accessible nonheme manganese complex, supported by a tetradentate aminopyridine ligand featuring a rigid chiral diamine backbone and a sterically bulky triisopropylsilyl group, for the cis-dihydroxylation of 1,4-quinones by hydrogen peroxide and alkyl hydroperoxides; it is noted that this study reports the first example of using alkyl hydroperoxides as a terminal oxidant in cis-dihydroxylation reactions. Various 1,4-quinones were efficiently oxidized to cis-1,2-diols in synthetically useful yields with excellent chemo-, regio-, and enantioselectivity (up to 99% ee), along with complete diastereoselectivity. Mechanistic evidence from experimental and computational studies supports a highly electrophilic manganese(V)-oxo-hydroxo species as the active cis-dihydroxylating intermediate, although the formation mechanism of the high-valent manganese-oxo intermediate is different depending on the hydroperoxide oxidants. Moreover, a two-step mechanism is proposed for the manganese(V)-oxo-hydroxo-mediated asymmetric cis-dihydroxylation, such as the Re-face selective oxo attack on the less hindered C═C bond, followed by OH-rebound, with stereochemistry dictated by the initial oxo attack. Thus, this study delineates the first biomimetic oxidation strategy enabling asymmetric cis-dihydroxylation of 1,4-quinones mediated by a high-valent manganese-oxo species generated in the reactions of hydrogen peroxide and alkyl hydroperoxides.</w:t>
      </w:r>
    </w:p>
    <w:p>
      <w:pPr>
        <w:spacing w:before="120" w:after="120"/>
      </w:pPr>
      <w:r>
        <w:rPr>
          <w:sz w:val="18"/>
        </w:rPr>
        <w:t>——————————————————————————————————————————————————————————————————————</w:t>
      </w:r>
    </w:p>
    <w:p>
      <w:pPr>
        <w:spacing w:before="160" w:after="40" w:line="240" w:lineRule="auto"/>
      </w:pPr>
      <w:r>
        <w:rPr>
          <w:b/>
        </w:rPr>
        <w:t xml:space="preserve">[368] </w:t>
      </w:r>
      <w:hyperlink r:id="rId929">
        <w:r>
          <w:rPr>
            <w:color w:val="1155CC"/>
            <w:u w:val="single"/>
          </w:rPr>
          <w:t>[ASAP] 压力诱导(PbS)1.13TaS2中二维超导性的重新出现</w:t>
        </w:r>
      </w:hyperlink>
    </w:p>
    <w:p>
      <w:pPr>
        <w:spacing w:before="0" w:after="80"/>
      </w:pPr>
      <w:r>
        <w:rPr>
          <w:i/>
          <w:sz w:val="20"/>
        </w:rPr>
        <w:t>EN: [ASAP] Pressure-Induced Re-Emergence of Two-Dimensional Superconductivity in (PbS)1.13TaS2</w:t>
      </w:r>
    </w:p>
    <w:p>
      <w:pPr>
        <w:spacing w:before="0" w:after="120"/>
      </w:pPr>
      <w:r>
        <w:rPr>
          <w:b/>
        </w:rPr>
        <w:t xml:space="preserve">Source: </w:t>
      </w:r>
      <w:r>
        <w:t>Journal of the American Chemical Society: Latest Articles (ACS Publications)</w:t>
      </w:r>
      <w:r>
        <w:t xml:space="preserve">    </w:t>
      </w:r>
      <w:r>
        <w:rPr>
          <w:b/>
        </w:rPr>
        <w:t xml:space="preserve">Pub date: </w:t>
      </w:r>
      <w:r>
        <w:t>2026-03-18 12:54:57+00:00</w:t>
      </w:r>
      <w:r>
        <w:t xml:space="preserve">    </w:t>
      </w:r>
      <w:r>
        <w:rPr>
          <w:b/>
        </w:rPr>
        <w:t xml:space="preserve">DOI: </w:t>
      </w:r>
      <w:hyperlink r:id="rId930">
        <w:r>
          <w:rPr>
            <w:color w:val="1155CC"/>
            <w:u w:val="single"/>
          </w:rPr>
          <w:t>10.1021/jacs.5c23369</w:t>
        </w:r>
      </w:hyperlink>
    </w:p>
    <w:p>
      <w:pPr>
        <w:spacing w:before="0" w:after="120"/>
      </w:pPr>
      <w:r>
        <w:rPr>
          <w:b/>
        </w:rPr>
        <w:t xml:space="preserve">Notes: </w:t>
      </w:r>
      <w:r>
        <w:t>abstract_source=pubmed</w:t>
      </w:r>
    </w:p>
    <w:p>
      <w:pPr>
        <w:spacing w:before="0" w:after="80" w:lineRule="auto" w:line="276"/>
      </w:pPr>
      <w:r>
        <w:rPr>
          <w:b/>
        </w:rPr>
        <w:t xml:space="preserve">摘要（ZH）: </w:t>
      </w:r>
      <w:r>
        <w:t>二维（2D）超导性为研究超导配对和二维极限下的各种奇异量子态提供了广泛的平台。然而，尽管是调节和增强二维材料中超导性能的强大工具，施加的压力往往不可避免地破坏了脆弱的二维超导性，因为它对材料结构和电子态有强烈影响。在此，我们采用了一种可行的策略，通过引入非超导的PbS层来解耦(PbS)1.13TaS2中的超导TaS2层，并发现高压下二维超导性的重新出现。在低压下，PbS层作为有效的间隔物诱导(PbS)1.13TaS2中的内在二维超导态（SC-I），随着压力的增加逐渐被抑制</w:t>
      </w:r>
    </w:p>
    <w:p>
      <w:pPr>
        <w:spacing w:before="0" w:after="200" w:lineRule="auto" w:line="276"/>
      </w:pPr>
      <w:r>
        <w:rPr>
          <w:b/>
        </w:rPr>
        <w:t xml:space="preserve">Abstract (EN): </w:t>
      </w:r>
      <w:r>
        <w:t>Two-dimensional (2D) superconductivity provides a broad platform for investigating superconducting pairing and various exotic quantum states in the 2D limit. However, despite being a powerful tool to tune and enhance superconducting properties in 2D materials, applied pressure often inevitably disrupts the delicate 2D superconductivity due to its strong influence on material structure and electronic states. Here, we adopted a feasible strategy to decouple the superconducting TaS2 layers in (PbS)1.13TaS2 by introducing nonsuperconducting PbS layers and found a reemergence of 2D superconductivity under high pressure. At low pressure, the PbS layers act as efficient spacers to induce the intrinsic 2D superconducting state (SC-I) in (PbS)1.13TaS2, which is progressively suppressed upon pressure application due to the enhanced pair-breaking effect. When the pressure is further raised to ∼61 GPa, a new high-pressure superconducting state (SC-II) emerged, accompanied by a Lifshitz transition. More importantly, the analyses of the Berezinskii-Kosterlitz-Thouless (BKT) transition behavior and the angle-resolved critical field demonstrate that the SC-II phase retains a distinctly 2D character, with its Tc further enhanced under pressure to 7.1 K. Our findings offer a novel experimental strategy for engineering 2D superconductivity and serve as a platform to explore exotic quantum phenomena under extreme conditions.</w:t>
      </w:r>
    </w:p>
    <w:p>
      <w:pPr>
        <w:spacing w:before="120" w:after="120"/>
      </w:pPr>
      <w:r>
        <w:rPr>
          <w:sz w:val="18"/>
        </w:rPr>
        <w:t>——————————————————————————————————————————————————————————————————————</w:t>
      </w:r>
    </w:p>
    <w:p>
      <w:pPr>
        <w:spacing w:before="160" w:after="40" w:line="240" w:lineRule="auto"/>
      </w:pPr>
      <w:r>
        <w:rPr>
          <w:b/>
        </w:rPr>
        <w:t xml:space="preserve">[369] </w:t>
      </w:r>
      <w:hyperlink r:id="rId931">
        <w:r>
          <w:rPr>
            <w:color w:val="1155CC"/>
            <w:u w:val="single"/>
          </w:rPr>
          <w:t>[ASAP] 具有超大36环通道的稳定介孔沸石</w:t>
        </w:r>
      </w:hyperlink>
    </w:p>
    <w:p>
      <w:pPr>
        <w:spacing w:before="0" w:after="80"/>
      </w:pPr>
      <w:r>
        <w:rPr>
          <w:i/>
          <w:sz w:val="20"/>
        </w:rPr>
        <w:t>EN: [ASAP] A Stable Mesoporous Zeolite with Superlarge 36-Ring Channels</w:t>
      </w:r>
    </w:p>
    <w:p>
      <w:pPr>
        <w:spacing w:before="0" w:after="120"/>
      </w:pPr>
      <w:r>
        <w:rPr>
          <w:b/>
        </w:rPr>
        <w:t xml:space="preserve">Source: </w:t>
      </w:r>
      <w:r>
        <w:t>Journal of the American Chemical Society: Latest Articles (ACS Publications)</w:t>
      </w:r>
      <w:r>
        <w:t xml:space="preserve">    </w:t>
      </w:r>
      <w:r>
        <w:rPr>
          <w:b/>
        </w:rPr>
        <w:t xml:space="preserve">Pub date: </w:t>
      </w:r>
      <w:r>
        <w:t>2026-03-18 13:58:09+00:00</w:t>
      </w:r>
      <w:r>
        <w:t xml:space="preserve">    </w:t>
      </w:r>
      <w:r>
        <w:rPr>
          <w:b/>
        </w:rPr>
        <w:t xml:space="preserve">DOI: </w:t>
      </w:r>
      <w:hyperlink r:id="rId932">
        <w:r>
          <w:rPr>
            <w:color w:val="1155CC"/>
            <w:u w:val="single"/>
          </w:rPr>
          <w:t>10.1021/jacs.6c01322</w:t>
        </w:r>
      </w:hyperlink>
    </w:p>
    <w:p>
      <w:pPr>
        <w:spacing w:before="0" w:after="120"/>
      </w:pPr>
      <w:r>
        <w:rPr>
          <w:b/>
        </w:rPr>
        <w:t xml:space="preserve">Notes: </w:t>
      </w:r>
      <w:r>
        <w:t>abstract_source=pubmed</w:t>
      </w:r>
    </w:p>
    <w:p>
      <w:pPr>
        <w:spacing w:before="0" w:after="80" w:lineRule="auto" w:line="276"/>
      </w:pPr>
      <w:r>
        <w:rPr>
          <w:b/>
        </w:rPr>
        <w:t xml:space="preserve">摘要（ZH）: </w:t>
      </w:r>
      <w:r>
        <w:t>将沸石孔径扩展到微孔范围之外长期以来受到传统有机结构导向剂（OSDAs）的限制。在此，我们报告了JU-69，这是一种介孔纯硅沸石，具有一维36环通道，代表了任何已知TO4基沸石框架中观察到的最大孔径（19.5 Å × 25.2 Å）和超低框架密度9.53 T每1000 Å3（T：四面体框架原子）。一种类似表面活性剂的膦盐OSDA，具有庞大的头基和长烷基链，指导柱状组装，模板化长程有序的介孔墙。三维电子衍射揭示了由三个复合构建单元（CBUs）构建的三角框架，包括cas和两个先前未知的CBUs，生成手性三叶草排列</w:t>
      </w:r>
    </w:p>
    <w:p>
      <w:pPr>
        <w:spacing w:before="0" w:after="200" w:lineRule="auto" w:line="276"/>
      </w:pPr>
      <w:r>
        <w:rPr>
          <w:b/>
        </w:rPr>
        <w:t xml:space="preserve">Abstract (EN): </w:t>
      </w:r>
      <w:r>
        <w:t>Expanding zeolite pore sizes beyond the microporous regime has long been limited by conventional organic structure-directing agents (OSDAs). Here we report JU-69, a mesoporous pure-silica zeolite that features one-dimensional 36-ring channels, representing the largest apertures (19.5 Å × 25.2 Å) observed in any known TO4-based zeolite framework and an ultralow framework density of 9.53 T per 1000 Å3 (T: tetrahedral framework atom). A surfactant-like phosphonium OSDA with bulky head groups and a long alkyl chain directs columnar assemblies that template long-range-ordered mesoporous walls. Three-dimensional electron diffraction reveals a trigonal framework built from three composite building units (CBUs), including cas and two previously unknown CBUs that generate chiral clover arrangements and circular 36-ring pores. The structure is further validated by atomic-resolution real-space imaging using electron ptychography. JU-69 exhibits thermal stability up to 900 °C and periodically arranged silanol groups that enable efficient metal anchoring, demonstrated by active Pd/JU-69 catalysts for bulky molecule hydrogenation. This work establishes a pathway for designing crystalline mesoporous zeolites with unprecedented structural openness.</w:t>
      </w:r>
    </w:p>
    <w:p>
      <w:pPr>
        <w:spacing w:before="120" w:after="120"/>
      </w:pPr>
      <w:r>
        <w:rPr>
          <w:sz w:val="18"/>
        </w:rPr>
        <w:t>——————————————————————————————————————————————————————————————————————</w:t>
      </w:r>
    </w:p>
    <w:p>
      <w:pPr>
        <w:spacing w:before="160" w:after="40" w:line="240" w:lineRule="auto"/>
      </w:pPr>
      <w:r>
        <w:rPr>
          <w:b/>
        </w:rPr>
        <w:t xml:space="preserve">[370] </w:t>
      </w:r>
      <w:hyperlink r:id="rId933">
        <w:r>
          <w:rPr>
            <w:color w:val="1155CC"/>
            <w:u w:val="single"/>
          </w:rPr>
          <w:t>工程化的“分子结”用于传输光生电子以将CO2还原为乙烷</w:t>
        </w:r>
      </w:hyperlink>
    </w:p>
    <w:p>
      <w:pPr>
        <w:spacing w:before="0" w:after="80"/>
      </w:pPr>
      <w:r>
        <w:rPr>
          <w:i/>
          <w:sz w:val="20"/>
        </w:rPr>
        <w:t>EN: Engineered “Molecule‐Junction” to Transport Photo‐Generated Electrons for CO2 Reduction to Ethane</w:t>
      </w:r>
    </w:p>
    <w:p>
      <w:pPr>
        <w:spacing w:before="0" w:after="120"/>
      </w:pPr>
      <w:r>
        <w:rPr>
          <w:b/>
        </w:rPr>
        <w:t xml:space="preserve">Source: </w:t>
      </w:r>
      <w:r>
        <w:t>Wiley: Angewandte Chemie International Edition: Table of Contents</w:t>
      </w:r>
      <w:r>
        <w:t xml:space="preserve">    </w:t>
      </w:r>
      <w:r>
        <w:rPr>
          <w:b/>
        </w:rPr>
        <w:t xml:space="preserve">Pub date: </w:t>
      </w:r>
      <w:r>
        <w:t>2026-03-18 14:08:27+00:00</w:t>
      </w:r>
      <w:r>
        <w:t xml:space="preserve">    </w:t>
      </w:r>
      <w:r>
        <w:rPr>
          <w:b/>
        </w:rPr>
        <w:t xml:space="preserve">DOI: </w:t>
      </w:r>
      <w:hyperlink r:id="rId934">
        <w:r>
          <w:rPr>
            <w:color w:val="1155CC"/>
            <w:u w:val="single"/>
          </w:rPr>
          <w:t>10.1002/anie.2699441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的定向传输对于高效实现光还原过程至关重要，这在当前研究中仍然是一个重大挑战。构建光催化剂与金属活性位点之间的“分子连接”有望实现精确的定向电子转移。引入了具有巯基（─SH）和共轭吡啶环的2-巯基烟酸（H</w:t>
      </w:r>
      <w:r>
        <w:rPr>
          <w:vertAlign w:val="subscript"/>
        </w:rPr>
        <w:t>2</w:t>
      </w:r>
      <w:r>
        <w:t>L）作为中介，构建连接Ni掺杂BiOCl（Ni/BOC）和Au纳米颗粒（记作Ni/BOC-H</w:t>
      </w:r>
      <w:r>
        <w:rPr>
          <w:vertAlign w:val="subscript"/>
        </w:rPr>
        <w:t>2</w:t>
      </w:r>
      <w:r>
        <w:t>L-Au）的“分子连接”。XPS和XAFS结果证实了Bi─S和Au─S键的存在，验证了Bi─H的“分子连接”</w:t>
      </w:r>
    </w:p>
    <w:p>
      <w:pPr>
        <w:spacing w:before="0" w:after="200" w:lineRule="auto" w:line="276"/>
      </w:pPr>
      <w:r>
        <w:rPr>
          <w:b/>
        </w:rPr>
        <w:t xml:space="preserve">Abstract (EN): </w:t>
      </w:r>
      <w:r>
        <w:t>Targeted transport of electrons is essential to enable the photoreduction process efficiently, which remains a significant challenge in current research. Constructing “molecule‐junction” between photocatalyst and metal active sites is expected to achieve the precise directional electron transfer. 2‐Mercaptonicotinic acid (H</w:t>
      </w:r>
      <w:r>
        <w:rPr>
          <w:vertAlign w:val="subscript"/>
        </w:rPr>
        <w:t>2</w:t>
      </w:r>
      <w:r>
        <w:t>L), with both sulfhydryl groups (─SH) and a conjugated pyridine ring, was introduced as the intermediary to build “molecule‐junction” connecting Ni‐doped BiOCl (Ni/BOC) and Au NPs (denoted as Ni/BOC‐H</w:t>
      </w:r>
      <w:r>
        <w:rPr>
          <w:vertAlign w:val="subscript"/>
        </w:rPr>
        <w:t>2</w:t>
      </w:r>
      <w:r>
        <w:t>L‐Au). XPS and XAFS results confirm the existence of Bi─S and Au─S bonds, which verify that the “molecule‐junction” of Bi─H</w:t>
      </w:r>
      <w:r>
        <w:rPr>
          <w:vertAlign w:val="subscript"/>
        </w:rPr>
        <w:t>2</w:t>
      </w:r>
      <w:r>
        <w:t>L─Au have been successfully constructed in Ni/BOC. Due to the unique structure of Ni/BOC‐H</w:t>
      </w:r>
      <w:r>
        <w:rPr>
          <w:vertAlign w:val="subscript"/>
        </w:rPr>
        <w:t>2</w:t>
      </w:r>
      <w:r>
        <w:t>L‐Au, it showed excellent performance in CO</w:t>
      </w:r>
      <w:r>
        <w:rPr>
          <w:vertAlign w:val="subscript"/>
        </w:rPr>
        <w:t>2</w:t>
      </w:r>
      <w:r>
        <w:t>photoreduction. In the absence of sacrificial agents, the ethane (C</w:t>
      </w:r>
      <w:r>
        <w:rPr>
          <w:vertAlign w:val="subscript"/>
        </w:rPr>
        <w:t>2</w:t>
      </w:r>
      <w:r>
        <w:t>H</w:t>
      </w:r>
      <w:r>
        <w:rPr>
          <w:vertAlign w:val="subscript"/>
        </w:rPr>
        <w:t>6</w:t>
      </w:r>
      <w:r>
        <w:t>) yield (155.4 µmol g</w:t>
      </w:r>
      <w:r>
        <w:t xml:space="preserve"> </w:t>
      </w:r>
      <w:r>
        <w:t>−1</w:t>
      </w:r>
      <w:r>
        <w:t xml:space="preserve"> </w:t>
      </w:r>
      <w:r>
        <w:t>h</w:t>
      </w:r>
      <w:r>
        <w:t xml:space="preserve"> </w:t>
      </w:r>
      <w:r>
        <w:t>−1</w:t>
      </w:r>
      <w:r>
        <w:t xml:space="preserve"> </w:t>
      </w:r>
      <w:r>
        <w:t>) and selectivity (85.8%) exceeded most of the reported photocatalysts. The combined theoretical and experimental analysis demonstrates that the “molecule‐junction” establishes a directional electron transfer pathway (Ni/BOC→H</w:t>
      </w:r>
      <w:r>
        <w:rPr>
          <w:vertAlign w:val="subscript"/>
        </w:rPr>
        <w:t>2</w:t>
      </w:r>
      <w:r>
        <w:t>L→Au NPs), which significantly enhances charge separation efficiency and promotes targeted electron accumulation at Au NPs active sites, thereby boosting C</w:t>
      </w:r>
      <w:r>
        <w:rPr>
          <w:vertAlign w:val="subscript"/>
        </w:rPr>
        <w:t>2</w:t>
      </w:r>
      <w:r>
        <w:t>H</w:t>
      </w:r>
      <w:r>
        <w:rPr>
          <w:vertAlign w:val="subscript"/>
        </w:rPr>
        <w:t>6</w:t>
      </w:r>
      <w:r>
        <w:t>production via CO</w:t>
      </w:r>
      <w:r>
        <w:rPr>
          <w:vertAlign w:val="subscript"/>
        </w:rPr>
        <w:t>2</w:t>
      </w:r>
      <w:r>
        <w:t>photoreduction. This work proposes a viable strategy for designing efficient photocatalysts for high‐value C</w:t>
      </w:r>
      <w:r>
        <w:t xml:space="preserve"> </w:t>
      </w:r>
      <w:r>
        <w:t>2+</w:t>
      </w:r>
      <w:r>
        <w:t xml:space="preserve"> </w:t>
      </w:r>
      <w:r>
        <w:t>product synthesis.</w:t>
      </w:r>
    </w:p>
    <w:p>
      <w:pPr>
        <w:spacing w:before="120" w:after="120"/>
      </w:pPr>
      <w:r>
        <w:rPr>
          <w:sz w:val="18"/>
        </w:rPr>
        <w:t>——————————————————————————————————————————————————————————————————————</w:t>
      </w:r>
    </w:p>
    <w:p>
      <w:pPr>
        <w:spacing w:before="160" w:after="40" w:line="240" w:lineRule="auto"/>
      </w:pPr>
      <w:r>
        <w:rPr>
          <w:b/>
        </w:rPr>
        <w:t xml:space="preserve">[371] </w:t>
      </w:r>
      <w:hyperlink r:id="rId935">
        <w:r>
          <w:rPr>
            <w:color w:val="1155CC"/>
            <w:u w:val="single"/>
          </w:rPr>
          <w:t>圆柱形环对苯撑三层结构</w:t>
        </w:r>
      </w:hyperlink>
    </w:p>
    <w:p>
      <w:pPr>
        <w:spacing w:before="0" w:after="80"/>
      </w:pPr>
      <w:r>
        <w:rPr>
          <w:i/>
          <w:sz w:val="20"/>
        </w:rPr>
        <w:t>EN: Cylindrical Cycloparaphenylene Triple‐Decker</w:t>
      </w:r>
    </w:p>
    <w:p>
      <w:pPr>
        <w:spacing w:before="0" w:after="120"/>
      </w:pPr>
      <w:r>
        <w:rPr>
          <w:b/>
        </w:rPr>
        <w:t xml:space="preserve">Source: </w:t>
      </w:r>
      <w:r>
        <w:t>Wiley: Angewandte Chemie International Edition: Table of Contents</w:t>
      </w:r>
      <w:r>
        <w:t xml:space="preserve">    </w:t>
      </w:r>
      <w:r>
        <w:rPr>
          <w:b/>
        </w:rPr>
        <w:t xml:space="preserve">Pub date: </w:t>
      </w:r>
      <w:r>
        <w:t>2026-03-18 14:10:36+00:00</w:t>
      </w:r>
      <w:r>
        <w:t xml:space="preserve">    </w:t>
      </w:r>
      <w:r>
        <w:rPr>
          <w:b/>
        </w:rPr>
        <w:t xml:space="preserve">DOI: </w:t>
      </w:r>
      <w:hyperlink r:id="rId936">
        <w:r>
          <w:rPr>
            <w:color w:val="1155CC"/>
            <w:u w:val="single"/>
          </w:rPr>
          <w:t>10.1002/anie.8876064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三个轴向排列的环对苯撑（CPP）层组成的离散分子圆柱的自下而上合成仍然难以实现。在此，我们报告了首个合成和表征的定义明确的CPP三明治分子，记作CPP-TD，该分子在室温下保持持久的圆柱形几何结构。该结构通过简洁的、立体选择性的环缩合反应高效构建。X射线晶体学分析证实了固态中刚性的</w:t>
      </w:r>
      <w:r>
        <w:t xml:space="preserve"> </w:t>
      </w:r>
      <w:r>
        <w:t>cis–cis</w:t>
      </w:r>
      <w:r>
        <w:t xml:space="preserve"> </w:t>
      </w:r>
      <w:r>
        <w:t>圆柱形构象，这种几何形状在溶液中通过光谱研究得以保留。观察到的形状持久性源于吸引的范德华（vdW）相互作用</w:t>
      </w:r>
    </w:p>
    <w:p>
      <w:pPr>
        <w:spacing w:before="0" w:after="200" w:lineRule="auto" w:line="276"/>
      </w:pPr>
      <w:r>
        <w:rPr>
          <w:b/>
        </w:rPr>
        <w:t xml:space="preserve">Abstract (EN): </w:t>
      </w:r>
      <w:r>
        <w:t>The bottom‐up synthesis of discrete molecular cylinders consisting of three axially aligned cycloparaphenylene (CPP) layers remains elusive. Here, we report the first synthesis and characterization of a well‐defined CPP triple‐decker molecule, denoted as CPP‐TD, which maintains a persistent cylindrical geometry at room temperature. This structure is efficiently constructed via a concise, stereoselective cyclocondensation reaction. X‐ray crystallographic analysis confirms a rigid</w:t>
      </w:r>
      <w:r>
        <w:t xml:space="preserve"> </w:t>
      </w:r>
      <w:r>
        <w:t>cis–cis</w:t>
      </w:r>
      <w:r>
        <w:t xml:space="preserve"> </w:t>
      </w:r>
      <w:r>
        <w:t>cylindrical conformation in the solid state, a geometry that is retained in solution as evidenced by spectroscopic studies. The observed shape persistency arises from attractive van der Waals (vdW) interactions between adjacent CPP layers. Owing to its rigid cylindrical architecture and alternating donor–acceptor constitution, CPP‐TD exhibits distinctive optical properties and demonstrates strong binding affinity toward fullerene C</w:t>
      </w:r>
      <w:r>
        <w:rPr>
          <w:vertAlign w:val="subscript"/>
        </w:rPr>
        <w:t>70</w:t>
      </w:r>
      <w:r>
        <w:t>, forming a tight 1:2 host–guest complex.</w:t>
      </w:r>
    </w:p>
    <w:p>
      <w:pPr>
        <w:spacing w:before="120" w:after="120"/>
      </w:pPr>
      <w:r>
        <w:rPr>
          <w:sz w:val="18"/>
        </w:rPr>
        <w:t>——————————————————————————————————————————————————————————————————————</w:t>
      </w:r>
    </w:p>
    <w:p>
      <w:pPr>
        <w:spacing w:before="160" w:after="40" w:line="240" w:lineRule="auto"/>
      </w:pPr>
      <w:r>
        <w:rPr>
          <w:b/>
        </w:rPr>
        <w:t xml:space="preserve">[372] </w:t>
      </w:r>
      <w:hyperlink r:id="rId937">
        <w:r>
          <w:rPr>
            <w:color w:val="1155CC"/>
            <w:u w:val="single"/>
          </w:rPr>
          <w:t>光诱导选择性构建具有炔基等价物的高密度官能化螺环醚</w:t>
        </w:r>
      </w:hyperlink>
    </w:p>
    <w:p>
      <w:pPr>
        <w:spacing w:before="0" w:after="80"/>
      </w:pPr>
      <w:r>
        <w:rPr>
          <w:i/>
          <w:sz w:val="20"/>
        </w:rPr>
        <w:t>EN: Photoinduced Selective Construction of Densely Functionalized Spirocyclic Ethers With Carbyne Equivalents</w:t>
      </w:r>
    </w:p>
    <w:p>
      <w:pPr>
        <w:spacing w:before="0" w:after="120"/>
      </w:pPr>
      <w:r>
        <w:rPr>
          <w:b/>
        </w:rPr>
        <w:t xml:space="preserve">Source: </w:t>
      </w:r>
      <w:r>
        <w:t>Wiley: Angewandte Chemie International Edition: Table of Contents</w:t>
      </w:r>
      <w:r>
        <w:t xml:space="preserve">    </w:t>
      </w:r>
      <w:r>
        <w:rPr>
          <w:b/>
        </w:rPr>
        <w:t xml:space="preserve">Pub date: </w:t>
      </w:r>
      <w:r>
        <w:t>2026-03-18 14:12:33+00:00</w:t>
      </w:r>
      <w:r>
        <w:t xml:space="preserve">    </w:t>
      </w:r>
      <w:r>
        <w:rPr>
          <w:b/>
        </w:rPr>
        <w:t xml:space="preserve">DOI: </w:t>
      </w:r>
      <w:hyperlink r:id="rId938">
        <w:r>
          <w:rPr>
            <w:color w:val="1155CC"/>
            <w:u w:val="single"/>
          </w:rPr>
          <w:t>10.1002/anie.1489528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arbyne等价物代表了理想的三价碳合成子，能够通过其三个非键合电子形成C─C和C─X键。这种独特的反应性提供了高度的模块化，用于快速组装复杂的分子骨架。然而，在单个碳中心选择性引入三个σ键仍然是一个艰巨的挑战，因为carbyne中心的反应性多方面。在此，我们报告了一种级联反应，该反应在光照下依次调节carbyne等价物的自由基、亲核和亲电反应性。该级联反应实现了精确的空间和时间激活，促进了从烯丙基和同系物中选择性和高效构建高密度功能化的螺环醚。</w:t>
      </w:r>
    </w:p>
    <w:p>
      <w:pPr>
        <w:spacing w:before="0" w:after="200" w:lineRule="auto" w:line="276"/>
      </w:pPr>
      <w:r>
        <w:rPr>
          <w:b/>
        </w:rPr>
        <w:t xml:space="preserve">Abstract (EN): </w:t>
      </w:r>
      <w:r>
        <w:t>Carbyne equivalents represent ideal trivalent carbon synthons, capable of forming C─C and C─X bonds through their three nonbonded electrons. This unique reactivity profile offers high modularity for rapid assemble complicate molecular scaffolds. However, the selective introduction of three σ‐bonds at a single carbon center remains a formidable challenge, owing to the multifaceted reactivity of the carbyne center. Herein, we report a cascade reaction, which sequentially regulates the radical, nucleophilic, and electrophilic reactivity of carbyne equivalents under light irradiation. This cascade enables precise spatial and temporal activation, facilitating the selective and efficient construction of densely functionalized spirocyclic ethers from allylic and homoallylic acetates, with three σ‐bonds introduced at the carbyne center. A wide range of spirocyclic ethers bearing diverse functional groups and structural motifs was obtained with excellent diastereoselectivity, underscoring the capability of carbyne equivalents for rapid construction of drug‐like molecules. The reaction was readily scalable up to 50 mmol, either in batch mode or using a high‐speed circulation‐flow reactor. Mechanistic studies, including UV–vis spectroscopy, cyclic voltammetry, radical trapping, structure‐reactivity relationship experiments, isotope labeling, as well as theoretical calculations, provide insights into the dynamic evolution of reactive intermediates, shedding light on the diverse reactivity of carbyne equivalents in organic synthesis.</w:t>
      </w:r>
    </w:p>
    <w:p>
      <w:pPr>
        <w:spacing w:before="120" w:after="120"/>
      </w:pPr>
      <w:r>
        <w:rPr>
          <w:sz w:val="18"/>
        </w:rPr>
        <w:t>——————————————————————————————————————————————————————————————————————</w:t>
      </w:r>
    </w:p>
    <w:p>
      <w:pPr>
        <w:spacing w:before="160" w:after="40" w:line="240" w:lineRule="auto"/>
      </w:pPr>
      <w:r>
        <w:rPr>
          <w:b/>
        </w:rPr>
        <w:t xml:space="preserve">[373] </w:t>
      </w:r>
      <w:hyperlink r:id="rId939">
        <w:r>
          <w:rPr>
            <w:color w:val="1155CC"/>
            <w:u w:val="single"/>
          </w:rPr>
          <w:t>[ASAP] 非化学计量WOx (0 &lt; x &lt; 3) 中可调的缺陷化学促进多样的催化反应</w:t>
        </w:r>
      </w:hyperlink>
    </w:p>
    <w:p>
      <w:pPr>
        <w:spacing w:before="0" w:after="80"/>
      </w:pPr>
      <w:r>
        <w:rPr>
          <w:i/>
          <w:sz w:val="20"/>
        </w:rPr>
        <w:t>EN: [ASAP] Tunable Defect Chemistry in Nonstoichiometric WOx (0 &lt; x &lt; 3) Enables Diverse Catalytic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2026-03-18 14:13:32+00:00</w:t>
      </w:r>
      <w:r>
        <w:t xml:space="preserve">    </w:t>
      </w:r>
      <w:r>
        <w:rPr>
          <w:b/>
        </w:rPr>
        <w:t xml:space="preserve">DOI: </w:t>
      </w:r>
      <w:hyperlink r:id="rId940">
        <w:r>
          <w:rPr>
            <w:color w:val="1155CC"/>
            <w:u w:val="single"/>
          </w:rPr>
          <w:t>10.1021/jacs.5c20967</w:t>
        </w:r>
      </w:hyperlink>
    </w:p>
    <w:p>
      <w:pPr>
        <w:spacing w:before="0" w:after="120"/>
      </w:pPr>
      <w:r>
        <w:rPr>
          <w:b/>
        </w:rPr>
        <w:t xml:space="preserve">Notes: </w:t>
      </w:r>
      <w:r>
        <w:t>abstract_source=pubmed</w:t>
      </w:r>
    </w:p>
    <w:p>
      <w:pPr>
        <w:spacing w:before="0" w:after="80" w:lineRule="auto" w:line="276"/>
      </w:pPr>
      <w:r>
        <w:rPr>
          <w:b/>
        </w:rPr>
        <w:t xml:space="preserve">摘要（ZH）: </w:t>
      </w:r>
      <w:r>
        <w:t>过渡金属氧化物（TMO）提供了丰富的催化功能，但由于其固有的结构不稳定性，控制广泛组成范围内的非化学计量性仍然是一个重大挑战。在此，我们展示了一种钾辅助阳极氧化方法，结合控制退火，能够有意合成具有多功能催化性质的宽范围非化学计量钨氧化物（WRNS-WOx, 0 &lt; x &lt; 3）。这种方法稳定了缺氧WOx（x &lt; 2）和高度共价WOx（x &gt; 2），通过原子尺度的结构和电子表征验证。系统调节氧化态导致晶体结构的可预测变化，从扭曲的八面体WO6配位演变为类似体心立方的金属特征。</w:t>
      </w:r>
    </w:p>
    <w:p>
      <w:pPr>
        <w:spacing w:before="0" w:after="200" w:lineRule="auto" w:line="276"/>
      </w:pPr>
      <w:r>
        <w:rPr>
          <w:b/>
        </w:rPr>
        <w:t xml:space="preserve">Abstract (EN): </w:t>
      </w:r>
      <w:r>
        <w:t>Transition metal oxides (TMOs) offer rich catalytic functionality, yet controlling nonstoichiometry across broad composition ranges remains a significant challenge due to their intrinsic structural instability. Here, we show that a potassium-assisted anodization approach, combined with controlled annealing, enables the deliberate synthesis of wide-range nonstoichiometric tungsten oxides (WRNS-WOx, 0 &lt; x &lt; 3) exhibiting versatile catalytic properties. This approach stabilizes both oxygen-deficient WOx (x &lt; 2) and highly covalent WOx (x &gt; 2), as verified by atomic-scale structural and electronic characterization. Systematic tuning of the oxidation state leads to predictable changes in the crystal structure, evolving from a distorted octahedral WO6 coordination toward bcc-like metallic features with progressive oxygen deficiency. This evolution concurrently reshapes the electronic band structure by modulating W-O hybridization and vacancy-derived states. The oxidation-state-dependent structural characteristics ultimately determine catalytic behavior, where strong W-O covalency in WOx (x &gt; 2) promotes photoelectrochemical oxygen evolution, while Bro̷nsted-acidic vacancy sites in WOx (x &lt; 2) favor selective electrochemical oxygen reduction reactions. This work establishes WRNS-WOx as a systematic platform for elucidating how the nonstoichiometry of TMO catalysts influences their electronic structure and active site. Furthermore, it offers a promising strategy for endowing transition metal oxides with programmable catalytic selectivity for both oxidative and reductive reactions.</w:t>
      </w:r>
    </w:p>
    <w:p>
      <w:pPr>
        <w:spacing w:before="120" w:after="120"/>
      </w:pPr>
      <w:r>
        <w:rPr>
          <w:sz w:val="18"/>
        </w:rPr>
        <w:t>——————————————————————————————————————————————————————————————————————</w:t>
      </w:r>
    </w:p>
    <w:p>
      <w:pPr>
        <w:spacing w:before="160" w:after="40" w:line="240" w:lineRule="auto"/>
      </w:pPr>
      <w:r>
        <w:rPr>
          <w:b/>
        </w:rPr>
        <w:t xml:space="preserve">[374] </w:t>
      </w:r>
      <w:hyperlink r:id="rId941">
        <w:r>
          <w:rPr>
            <w:color w:val="1155CC"/>
            <w:u w:val="single"/>
          </w:rPr>
          <w:t>配位不饱和铝使甲醇选择性CO2加氢与沸石负载铜催化剂成为可能</w:t>
        </w:r>
      </w:hyperlink>
    </w:p>
    <w:p>
      <w:pPr>
        <w:spacing w:before="0" w:after="80"/>
      </w:pPr>
      <w:r>
        <w:rPr>
          <w:i/>
          <w:sz w:val="20"/>
        </w:rPr>
        <w:t>EN: Coordinatively Unsaturated Aluminum Enables Methanol‐Selective CO2 Hydrogenation With Zeolite‐Supported Copper Catalysts</w:t>
      </w:r>
    </w:p>
    <w:p>
      <w:pPr>
        <w:spacing w:before="0" w:after="120"/>
      </w:pPr>
      <w:r>
        <w:rPr>
          <w:b/>
        </w:rPr>
        <w:t xml:space="preserve">Source: </w:t>
      </w:r>
      <w:r>
        <w:t>Wiley: Angewandte Chemie International Edition: Table of Contents</w:t>
      </w:r>
      <w:r>
        <w:t xml:space="preserve">    </w:t>
      </w:r>
      <w:r>
        <w:rPr>
          <w:b/>
        </w:rPr>
        <w:t xml:space="preserve">Pub date: </w:t>
      </w:r>
      <w:r>
        <w:t>2026-03-18 14:14:11+00:00</w:t>
      </w:r>
      <w:r>
        <w:t xml:space="preserve">    </w:t>
      </w:r>
      <w:r>
        <w:rPr>
          <w:b/>
        </w:rPr>
        <w:t xml:space="preserve">DOI: </w:t>
      </w:r>
      <w:hyperlink r:id="rId942">
        <w:r>
          <w:rPr>
            <w:color w:val="1155CC"/>
            <w:u w:val="single"/>
          </w:rPr>
          <w:t>10.1002/anie.202525717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我们展示了在MER沸石的限制下合成Cu(AlO</w:t>
      </w:r>
      <w:r>
        <w:t xml:space="preserve"> </w:t>
      </w:r>
      <w:r>
        <w:t>x</w:t>
      </w:r>
      <w:r>
        <w:t xml:space="preserve"> </w:t>
      </w:r>
      <w:r>
        <w:t>)</w:t>
      </w:r>
      <w:r>
        <w:t xml:space="preserve"> </w:t>
      </w:r>
      <w:r>
        <w:t>a</w:t>
      </w:r>
      <w:r>
        <w:t xml:space="preserve"> </w:t>
      </w:r>
      <w:r>
        <w:t>(SiO</w:t>
      </w:r>
      <w:r>
        <w:t xml:space="preserve"> </w:t>
      </w:r>
      <w:r>
        <w:t>y</w:t>
      </w:r>
      <w:r>
        <w:t xml:space="preserve"> </w:t>
      </w:r>
      <w:r>
        <w:t>)</w:t>
      </w:r>
      <w:r>
        <w:t xml:space="preserve"> </w:t>
      </w:r>
      <w:r>
        <w:t>b</w:t>
      </w:r>
      <w:r>
        <w:t xml:space="preserve"> </w:t>
      </w:r>
      <w:r>
        <w:t>簇，这些簇以96%的选择性将CO</w:t>
      </w:r>
      <w:r>
        <w:rPr>
          <w:vertAlign w:val="subscript"/>
        </w:rPr>
        <w:t>2</w:t>
      </w:r>
      <w:r>
        <w:t>氢化为甲醇和二甲醚，空间时间产率为15.0 mmol</w:t>
      </w:r>
      <w:r>
        <w:t xml:space="preserve"> </w:t>
      </w:r>
      <w:r>
        <w:t>C</w:t>
      </w:r>
      <w:r>
        <w:t xml:space="preserve"> </w:t>
      </w:r>
      <w:r>
        <w:t>g</w:t>
      </w:r>
      <w:r>
        <w:t xml:space="preserve"> </w:t>
      </w:r>
      <w:r>
        <w:t>Cu</w:t>
      </w:r>
      <w:r>
        <w:t xml:space="preserve"> </w:t>
      </w:r>
      <w:r>
        <w:t>−1</w:t>
      </w:r>
      <w:r>
        <w:t xml:space="preserve"> </w:t>
      </w:r>
      <w:r>
        <w:t>h</w:t>
      </w:r>
      <w:r>
        <w:t xml:space="preserve"> </w:t>
      </w:r>
      <w:r>
        <w:t>−1</w:t>
      </w:r>
      <w:r>
        <w:t xml:space="preserve"> </w:t>
      </w:r>
      <w:r>
        <w:t>在250 °C（4:1 H</w:t>
      </w:r>
      <w:r>
        <w:rPr>
          <w:vertAlign w:val="subscript"/>
        </w:rPr>
        <w:t>2</w:t>
      </w:r>
      <w:r>
        <w:t>:CO</w:t>
      </w:r>
      <w:r>
        <w:rPr>
          <w:vertAlign w:val="subscript"/>
        </w:rPr>
        <w:t>2</w:t>
      </w:r>
      <w:r>
        <w:t>和5 MPa）。合成的一个关键方面涉及MER沸石的煅烧，</w:t>
      </w:r>
    </w:p>
    <w:p>
      <w:pPr>
        <w:spacing w:before="0" w:after="200" w:lineRule="auto" w:line="276"/>
      </w:pPr>
      <w:r>
        <w:rPr>
          <w:b/>
        </w:rPr>
        <w:t xml:space="preserve">Abstract (EN): </w:t>
      </w:r>
      <w:r>
        <w:t>We demonstrate the synthesis of Cu(AlO</w:t>
      </w:r>
      <w:r>
        <w:t xml:space="preserve"> </w:t>
      </w:r>
      <w:r>
        <w:t>x</w:t>
      </w:r>
      <w:r>
        <w:t xml:space="preserve"> </w:t>
      </w:r>
      <w:r>
        <w:t>)</w:t>
      </w:r>
      <w:r>
        <w:t xml:space="preserve"> </w:t>
      </w:r>
      <w:r>
        <w:t>a</w:t>
      </w:r>
      <w:r>
        <w:t xml:space="preserve"> </w:t>
      </w:r>
      <w:r>
        <w:t>(SiO</w:t>
      </w:r>
      <w:r>
        <w:t xml:space="preserve"> </w:t>
      </w:r>
      <w:r>
        <w:t>y</w:t>
      </w:r>
      <w:r>
        <w:t xml:space="preserve"> </w:t>
      </w:r>
      <w:r>
        <w:t>)</w:t>
      </w:r>
      <w:r>
        <w:t xml:space="preserve"> </w:t>
      </w:r>
      <w:r>
        <w:t>b</w:t>
      </w:r>
      <w:r>
        <w:t xml:space="preserve"> </w:t>
      </w:r>
      <w:r>
        <w:t>clusters under the confines of MER zeolite, which hydrogenate CO</w:t>
      </w:r>
      <w:r>
        <w:rPr>
          <w:vertAlign w:val="subscript"/>
        </w:rPr>
        <w:t>2</w:t>
      </w:r>
      <w:r>
        <w:t>to methanol and dimethyl ether with 96% selectivity and a space time yield of 15.0 mmol</w:t>
      </w:r>
      <w:r>
        <w:t xml:space="preserve"> </w:t>
      </w:r>
      <w:r>
        <w:t>C</w:t>
      </w:r>
      <w:r>
        <w:t xml:space="preserve"> </w:t>
      </w:r>
      <w:r>
        <w:t>g</w:t>
      </w:r>
      <w:r>
        <w:t xml:space="preserve"> </w:t>
      </w:r>
      <w:r>
        <w:t>Cu</w:t>
      </w:r>
      <w:r>
        <w:t xml:space="preserve"> </w:t>
      </w:r>
      <w:r>
        <w:t>−1</w:t>
      </w:r>
      <w:r>
        <w:t xml:space="preserve"> </w:t>
      </w:r>
      <w:r>
        <w:t>h</w:t>
      </w:r>
      <w:r>
        <w:t xml:space="preserve"> </w:t>
      </w:r>
      <w:r>
        <w:t>−1</w:t>
      </w:r>
      <w:r>
        <w:t xml:space="preserve"> </w:t>
      </w:r>
      <w:r>
        <w:t>at 250 °C (4:1 H</w:t>
      </w:r>
      <w:r>
        <w:rPr>
          <w:vertAlign w:val="subscript"/>
        </w:rPr>
        <w:t>2</w:t>
      </w:r>
      <w:r>
        <w:t>:CO</w:t>
      </w:r>
      <w:r>
        <w:rPr>
          <w:vertAlign w:val="subscript"/>
        </w:rPr>
        <w:t>2</w:t>
      </w:r>
      <w:r>
        <w:t>and 5 MPa). A crucial aspect of the synthesis involves MER zeolite calcination, leading to framework dealumination and loss of long‐range order. These Cu(AlO</w:t>
      </w:r>
      <w:r>
        <w:t xml:space="preserve"> </w:t>
      </w:r>
      <w:r>
        <w:t>x</w:t>
      </w:r>
      <w:r>
        <w:t xml:space="preserve"> </w:t>
      </w:r>
      <w:r>
        <w:t>)</w:t>
      </w:r>
      <w:r>
        <w:t xml:space="preserve"> </w:t>
      </w:r>
      <w:r>
        <w:t>a</w:t>
      </w:r>
      <w:r>
        <w:t xml:space="preserve"> </w:t>
      </w:r>
      <w:r>
        <w:t>(SiO</w:t>
      </w:r>
      <w:r>
        <w:t xml:space="preserve"> </w:t>
      </w:r>
      <w:r>
        <w:t>y</w:t>
      </w:r>
      <w:r>
        <w:t xml:space="preserve"> </w:t>
      </w:r>
      <w:r>
        <w:t>)</w:t>
      </w:r>
      <w:r>
        <w:t xml:space="preserve"> </w:t>
      </w:r>
      <w:r>
        <w:t>b</w:t>
      </w:r>
      <w:r>
        <w:t xml:space="preserve"> </w:t>
      </w:r>
      <w:r>
        <w:t>clusters consist of a high density of coordinatively unsaturated aluminum sites, which are lacking in conventional copper catalysts with similar stoichiometry, and stabilize copper in a more oxidic form that is characterized by higher reduction temperatures. Other copper‐containing zeolites consisting of stable frameworks that do not dealuminate upon calcination (Cu‐Li‐FAU and Cu‐Li‐RHO zeolites) exhibit 99% selectivity to CO under the same reaction conditions. When compared with these catalysts and an industrial CuZnAl catalyst, kinetic analysis shows the Cu(AlO</w:t>
      </w:r>
      <w:r>
        <w:t xml:space="preserve"> </w:t>
      </w:r>
      <w:r>
        <w:t>x</w:t>
      </w:r>
      <w:r>
        <w:t xml:space="preserve"> </w:t>
      </w:r>
      <w:r>
        <w:t>)</w:t>
      </w:r>
      <w:r>
        <w:t xml:space="preserve"> </w:t>
      </w:r>
      <w:r>
        <w:t>a</w:t>
      </w:r>
      <w:r>
        <w:t xml:space="preserve"> </w:t>
      </w:r>
      <w:r>
        <w:t>(SiO</w:t>
      </w:r>
      <w:r>
        <w:t xml:space="preserve"> </w:t>
      </w:r>
      <w:r>
        <w:t>y</w:t>
      </w:r>
      <w:r>
        <w:t xml:space="preserve"> </w:t>
      </w:r>
      <w:r>
        <w:t>)</w:t>
      </w:r>
      <w:r>
        <w:t xml:space="preserve"> </w:t>
      </w:r>
      <w:r>
        <w:t>b</w:t>
      </w:r>
      <w:r>
        <w:t xml:space="preserve"> </w:t>
      </w:r>
      <w:r>
        <w:t>clusters are more intrinsically selective for methanol over the reverse water gas shift reaction at low CO</w:t>
      </w:r>
      <w:r>
        <w:rPr>
          <w:vertAlign w:val="subscript"/>
        </w:rPr>
        <w:t>2</w:t>
      </w:r>
      <w:r>
        <w:t>converions.</w:t>
      </w:r>
    </w:p>
    <w:p>
      <w:pPr>
        <w:spacing w:before="120" w:after="120"/>
      </w:pPr>
      <w:r>
        <w:rPr>
          <w:sz w:val="18"/>
        </w:rPr>
        <w:t>——————————————————————————————————————————————————————————————————————</w:t>
      </w:r>
    </w:p>
    <w:p>
      <w:pPr>
        <w:spacing w:before="160" w:after="40" w:line="240" w:lineRule="auto"/>
      </w:pPr>
      <w:r>
        <w:rPr>
          <w:b/>
        </w:rPr>
        <w:t xml:space="preserve">[375] </w:t>
      </w:r>
      <w:hyperlink r:id="rId943">
        <w:r>
          <w:rPr>
            <w:color w:val="1155CC"/>
            <w:u w:val="single"/>
          </w:rPr>
          <w:t>[ASAP] 用于二硫化的分歧自由基和离子电还原调控</w:t>
        </w:r>
      </w:hyperlink>
    </w:p>
    <w:p>
      <w:pPr>
        <w:spacing w:before="0" w:after="80"/>
      </w:pPr>
      <w:r>
        <w:rPr>
          <w:i/>
          <w:sz w:val="20"/>
        </w:rPr>
        <w:t>EN: [ASAP] Divergent Radical and Ionic Electroreductive Regulation for Disulfuration</w:t>
      </w:r>
    </w:p>
    <w:p>
      <w:pPr>
        <w:spacing w:before="0" w:after="120"/>
      </w:pPr>
      <w:r>
        <w:rPr>
          <w:b/>
        </w:rPr>
        <w:t xml:space="preserve">Source: </w:t>
      </w:r>
      <w:r>
        <w:t>Journal of the American Chemical Society: Latest Articles (ACS Publications)</w:t>
      </w:r>
      <w:r>
        <w:t xml:space="preserve">    </w:t>
      </w:r>
      <w:r>
        <w:rPr>
          <w:b/>
        </w:rPr>
        <w:t xml:space="preserve">Pub date: </w:t>
      </w:r>
      <w:r>
        <w:t>2026-03-18 14:14:31+00:00</w:t>
      </w:r>
      <w:r>
        <w:t xml:space="preserve">    </w:t>
      </w:r>
      <w:r>
        <w:rPr>
          <w:b/>
        </w:rPr>
        <w:t xml:space="preserve">DOI: </w:t>
      </w:r>
      <w:hyperlink r:id="rId944">
        <w:r>
          <w:rPr>
            <w:color w:val="1155CC"/>
            <w:u w:val="single"/>
          </w:rPr>
          <w:t>10.1021/jacs.5c20558</w:t>
        </w:r>
      </w:hyperlink>
    </w:p>
    <w:p>
      <w:pPr>
        <w:spacing w:before="0" w:after="120"/>
      </w:pPr>
      <w:r>
        <w:rPr>
          <w:b/>
        </w:rPr>
        <w:t xml:space="preserve">Notes: </w:t>
      </w:r>
      <w:r>
        <w:t>abstract_source=pubmed</w:t>
      </w:r>
    </w:p>
    <w:p>
      <w:pPr>
        <w:spacing w:before="0" w:after="80" w:lineRule="auto" w:line="276"/>
      </w:pPr>
      <w:r>
        <w:rPr>
          <w:b/>
        </w:rPr>
        <w:t xml:space="preserve">摘要（ZH）: </w:t>
      </w:r>
      <w:r>
        <w:t>二硫化物是生命科学、生物医学和材料科学中的关键化学结构；然而，由于其对氧化还原环境的固有脆弱性，其高效构建引发了巨大的挑战。在此，我们披露了一种电还原二硫化物化方法，利用易得的亲电试剂通过四硫化物自由基阴离子[tBuSSSStBu]•-实现不同的偶联，分别通过可调的自由基和离子途径。亲电试剂相对于四硫化物还原电位（tBuSSSStBu, Ep = -1.08 V vs Ag/AgCl）的不同还原电位作为电化学开关。通过单电子还原生成的[tBuSSSStBu]•-的解离调节了反应路径，趋向于自由基（由较高电位e所偏好）</w:t>
      </w:r>
    </w:p>
    <w:p>
      <w:pPr>
        <w:spacing w:before="0" w:after="200" w:lineRule="auto" w:line="276"/>
      </w:pPr>
      <w:r>
        <w:rPr>
          <w:b/>
        </w:rPr>
        <w:t xml:space="preserve">Abstract (EN): </w:t>
      </w:r>
      <w:r>
        <w:t>Disulfides are pivotal chemical motifs in life science, biomedicine, and materials science; nevertheless, their efficient construction arouses tremendous challenges due to inherent fragility to redox environments. Herein, we disclosed an electroreductive disulfuration protocol, leveraging readily accessible electrophiles to achieve divergent coupling via the tetrasulfide radical anion [tBuSSSStBu]•- with tunable radical and ionic routes, respectively. The distinct reductive potential of the electrophilic partners relative to the tetrasulfide reduction potential (tBuSSSStBu, Ep = -1.08 V vs Ag/AgCl) served as the electrochemical switch. The dissociation of the [tBuSSSStBu]•- generated from single-electron reduction regulated the reaction pathway toward radical (favored by higher potential electrophiles, Ep = -0.8 to -1.5 V vs Ag/AgCl) and ionic (favored by lower potential electrophiles, Ep = -2.0 to -3.0 V vs Ag/AgCl) pathways. This protocol afforded straightforward access to unsymmetric disulfides with diversely functional pharmaceutical, agrochemical, and natural product scaffolds. Density functional theory (DFT) calculations elucidated the crucial role of the central S-S bond lability from tetrasulfide for two distinct mechanistic pathways. Gram-scaled continuous flow synthesis showcased the operational robustness and scalability of this protocol. The potent antibacterial activity observed against Staphylococcus aureus underscored its great potential for accelerating the discovery of disulfide-based therapeutic agents.</w:t>
      </w:r>
    </w:p>
    <w:p>
      <w:pPr>
        <w:spacing w:before="120" w:after="120"/>
      </w:pPr>
      <w:r>
        <w:rPr>
          <w:sz w:val="18"/>
        </w:rPr>
        <w:t>——————————————————————————————————————————————————————————————————————</w:t>
      </w:r>
    </w:p>
    <w:p>
      <w:pPr>
        <w:spacing w:before="160" w:after="40" w:line="240" w:lineRule="auto"/>
      </w:pPr>
      <w:r>
        <w:rPr>
          <w:b/>
        </w:rPr>
        <w:t xml:space="preserve">[376] </w:t>
      </w:r>
      <w:hyperlink r:id="rId945">
        <w:r>
          <w:rPr>
            <w:color w:val="1155CC"/>
            <w:u w:val="single"/>
          </w:rPr>
          <w:t>[ASAP] 硫蒽S-氧化物的单电子反应性及其在后期硫氰化和硒氰化中的合成应用</w:t>
        </w:r>
      </w:hyperlink>
    </w:p>
    <w:p>
      <w:pPr>
        <w:spacing w:before="0" w:after="80"/>
      </w:pPr>
      <w:r>
        <w:rPr>
          <w:i/>
          <w:sz w:val="20"/>
        </w:rPr>
        <w:t>EN: [ASAP] Single-Electron Reactivity of Thianthrene S-Oxide and Its Synthetic Application in Late-Stage Thiocyanation and Selenocyanation</w:t>
      </w:r>
    </w:p>
    <w:p>
      <w:pPr>
        <w:spacing w:before="0" w:after="120"/>
      </w:pPr>
      <w:r>
        <w:rPr>
          <w:b/>
        </w:rPr>
        <w:t xml:space="preserve">Source: </w:t>
      </w:r>
      <w:r>
        <w:t>Journal of the American Chemical Society: Latest Articles (ACS Publications)</w:t>
      </w:r>
      <w:r>
        <w:t xml:space="preserve">    </w:t>
      </w:r>
      <w:r>
        <w:rPr>
          <w:b/>
        </w:rPr>
        <w:t xml:space="preserve">Pub date: </w:t>
      </w:r>
      <w:r>
        <w:t>2026-03-18 14:14:46+00:00</w:t>
      </w:r>
      <w:r>
        <w:t xml:space="preserve">    </w:t>
      </w:r>
      <w:r>
        <w:rPr>
          <w:b/>
        </w:rPr>
        <w:t xml:space="preserve">DOI: </w:t>
      </w:r>
      <w:hyperlink r:id="rId946">
        <w:r>
          <w:rPr>
            <w:color w:val="1155CC"/>
            <w:u w:val="single"/>
          </w:rPr>
          <w:t>10.1021/jacs.6c00848</w:t>
        </w:r>
      </w:hyperlink>
    </w:p>
    <w:p>
      <w:pPr>
        <w:spacing w:before="0" w:after="120"/>
      </w:pPr>
      <w:r>
        <w:rPr>
          <w:b/>
        </w:rPr>
        <w:t xml:space="preserve">Notes: </w:t>
      </w:r>
      <w:r>
        <w:t>abstract_source=pubmed</w:t>
      </w:r>
    </w:p>
    <w:p>
      <w:pPr>
        <w:spacing w:before="0" w:after="80" w:lineRule="auto" w:line="276"/>
      </w:pPr>
      <w:r>
        <w:rPr>
          <w:b/>
        </w:rPr>
        <w:t xml:space="preserve">摘要（ZH）: </w:t>
      </w:r>
      <w:r>
        <w:t>亚砜的亲电活化通常通过极性（2e-）键断裂和形成，允许多种化学转化。在此，我们报告活化的噻蒽S-氧化物（TTO）能够通过单电子（1e-）途径与硫氰酸盐和硒氰酸盐反应，这由噻蒽阳离子自由基的特殊持久性驱动。与传统酸活化相比，1,1,1,3,3,3-六氟-2-丙醇（HFIP）促进的活化对于选择性触发1e-反应性至关重要。活化的TTO因此能够高效地进行末端C-H硫氰化和硒氰化。这一新策略将范围扩展到未活化的芳烃以及复杂的药物，并允许简化（杂化）对苯撑硫属化物的合成</w:t>
      </w:r>
    </w:p>
    <w:p>
      <w:pPr>
        <w:spacing w:before="0" w:after="200" w:lineRule="auto" w:line="276"/>
      </w:pPr>
      <w:r>
        <w:rPr>
          <w:b/>
        </w:rPr>
        <w:t xml:space="preserve">Abstract (EN): </w:t>
      </w:r>
      <w:r>
        <w:t>The electrophilic activation of sulfoxides allows for versatile chemical transformations usually via polar (2e-) bond-breaking and -forming. Herein, we report that activated thianthrene S-oxide (TTO) is capable of reacting with thio- and selenocyanate salts through a single-electron (1e-) pathway, driven by the particular persistence of the thianthrenium radical cation. 1,1,1,3,3,3-Hexafluoro-2-propanol (HFIP)-facilitated activation, in contrast to conventional acid activation, is crucial for selectively triggering 1e- reactivity. The activated TTO thereby enables efficient late-stage C-H thiocyanation and selenocyanation. This new strategy extends the scope to unactivated arenes as well as complex pharmaceuticals and allows for streamlined synthesis of (hybrid) p-phenylene chalcogenide oligomers. This study also reveals a direct C-H functionalization using thianthrene chemistry, yet moving beyond the well-established aryl thianthrenium intermediates.</w:t>
      </w:r>
    </w:p>
    <w:p>
      <w:pPr>
        <w:spacing w:before="120" w:after="120"/>
      </w:pPr>
      <w:r>
        <w:rPr>
          <w:sz w:val="18"/>
        </w:rPr>
        <w:t>——————————————————————————————————————————————————————————————————————</w:t>
      </w:r>
    </w:p>
    <w:p>
      <w:pPr>
        <w:spacing w:before="160" w:after="40" w:line="240" w:lineRule="auto"/>
      </w:pPr>
      <w:r>
        <w:rPr>
          <w:b/>
        </w:rPr>
        <w:t xml:space="preserve">[377] </w:t>
      </w:r>
      <w:hyperlink r:id="rId947">
        <w:r>
          <w:rPr>
            <w:color w:val="1155CC"/>
            <w:u w:val="single"/>
          </w:rPr>
          <w:t>氧受体驱动的高光致变色对比固态激发态分子内质子转移光开关</w:t>
        </w:r>
      </w:hyperlink>
    </w:p>
    <w:p>
      <w:pPr>
        <w:spacing w:before="0" w:after="80"/>
      </w:pPr>
      <w:r>
        <w:rPr>
          <w:i/>
          <w:sz w:val="20"/>
        </w:rPr>
        <w:t>EN: Oxygen‐Acceptor‐Driven High Photochromic Contrast Solid‐State Excited‐State Intramolecular Proton Transfer Photoswitches</w:t>
      </w:r>
    </w:p>
    <w:p>
      <w:pPr>
        <w:spacing w:before="0" w:after="120"/>
      </w:pPr>
      <w:r>
        <w:rPr>
          <w:b/>
        </w:rPr>
        <w:t xml:space="preserve">Source: </w:t>
      </w:r>
      <w:r>
        <w:t>Wiley: Angewandte Chemie International Edition: Table of Contents</w:t>
      </w:r>
      <w:r>
        <w:t xml:space="preserve">    </w:t>
      </w:r>
      <w:r>
        <w:rPr>
          <w:b/>
        </w:rPr>
        <w:t xml:space="preserve">Pub date: </w:t>
      </w:r>
      <w:r>
        <w:t>2026-03-18 14:15:17+00:00</w:t>
      </w:r>
      <w:r>
        <w:t xml:space="preserve">    </w:t>
      </w:r>
      <w:r>
        <w:rPr>
          <w:b/>
        </w:rPr>
        <w:t xml:space="preserve">DOI: </w:t>
      </w:r>
      <w:hyperlink r:id="rId948">
        <w:r>
          <w:rPr>
            <w:color w:val="1155CC"/>
            <w:u w:val="single"/>
          </w:rPr>
          <w:t>10.1002/anie.5193191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在固态中开发高光致变色对比度的光开关仍然是有机智能材料中的一个重大挑战。我们在此提供了一种氧受体策略，用于构建激发态分子内质子转移（ESIPT）启发的有机光开关，即</w:t>
      </w:r>
      <w:r>
        <w:t xml:space="preserve"> </w:t>
      </w:r>
      <w:r>
        <w:t>tpm</w:t>
      </w:r>
      <w:r>
        <w:t xml:space="preserve"> </w:t>
      </w:r>
      <w:r>
        <w:t>SA</w:t>
      </w:r>
      <w:r>
        <w:t xml:space="preserve"> </w:t>
      </w:r>
      <w:r>
        <w:t>。通过在水杨醛骨架中引入一个笨重的三苯甲烷，</w:t>
      </w:r>
      <w:r>
        <w:t xml:space="preserve"> </w:t>
      </w:r>
      <w:r>
        <w:t>tpm</w:t>
      </w:r>
      <w:r>
        <w:t xml:space="preserve"> </w:t>
      </w:r>
      <w:r>
        <w:t>SA</w:t>
      </w:r>
      <w:r>
        <w:t xml:space="preserve"> </w:t>
      </w:r>
      <w:r>
        <w:t>可以在固态中实现光致变色行为。在暴露于紫外线（UV）光下，</w:t>
      </w:r>
      <w:r>
        <w:t xml:space="preserve"> </w:t>
      </w:r>
      <w:r>
        <w:t>tpm</w:t>
      </w:r>
    </w:p>
    <w:p>
      <w:pPr>
        <w:spacing w:before="0" w:after="200" w:lineRule="auto" w:line="276"/>
      </w:pPr>
      <w:r>
        <w:rPr>
          <w:b/>
        </w:rPr>
        <w:t xml:space="preserve">Abstract (EN): </w:t>
      </w:r>
      <w:r>
        <w:t>Developing high photochromic contrast photoswitches in the solid state remains a significant challenge in organic smart materials. We here provide an oxygen‐acceptor strategy for constructing an excited‐state intramolecular proton transfer (ESIPT)‐inspired organic photoswitch, namely</w:t>
      </w:r>
      <w:r>
        <w:t xml:space="preserve"> </w:t>
      </w:r>
      <w:r>
        <w:t>tpm</w:t>
      </w:r>
      <w:r>
        <w:t xml:space="preserve"> </w:t>
      </w:r>
      <w:r>
        <w:t>SA</w:t>
      </w:r>
      <w:r>
        <w:t xml:space="preserve"> </w:t>
      </w:r>
      <w:r>
        <w:t>. By introducing a bulky triphenylmethane into the salicylaldehyde skeleton,</w:t>
      </w:r>
      <w:r>
        <w:t xml:space="preserve"> </w:t>
      </w:r>
      <w:r>
        <w:t>tpm</w:t>
      </w:r>
      <w:r>
        <w:t xml:space="preserve"> </w:t>
      </w:r>
      <w:r>
        <w:t>SA</w:t>
      </w:r>
      <w:r>
        <w:t xml:space="preserve"> </w:t>
      </w:r>
      <w:r>
        <w:t>can achieve photochromic behavior in the solid state. Upon exposure to ultraviolet (UV) light,</w:t>
      </w:r>
      <w:r>
        <w:t xml:space="preserve"> </w:t>
      </w:r>
      <w:r>
        <w:t>tpm</w:t>
      </w:r>
      <w:r>
        <w:t xml:space="preserve"> </w:t>
      </w:r>
      <w:r>
        <w:t>SA</w:t>
      </w:r>
      <w:r>
        <w:t xml:space="preserve"> </w:t>
      </w:r>
      <w:r>
        <w:t>displays distinct color variation from white to yellow, yielding a high photochromic contrast (</w:t>
      </w:r>
      <w:r>
        <w:t xml:space="preserve"> </w:t>
      </w:r>
      <w:r>
        <w:t>ΔE*</w:t>
      </w:r>
      <w:r>
        <w:t xml:space="preserve"> </w:t>
      </w:r>
      <w:r>
        <w:t>Lab</w:t>
      </w:r>
      <w:r>
        <w:t xml:space="preserve"> </w:t>
      </w:r>
      <w:r>
        <w:t>&amp;gt;74). Kinetic studies suggest that</w:t>
      </w:r>
      <w:r>
        <w:t xml:space="preserve"> </w:t>
      </w:r>
      <w:r>
        <w:t>tpm</w:t>
      </w:r>
      <w:r>
        <w:t xml:space="preserve"> </w:t>
      </w:r>
      <w:r>
        <w:t>SA</w:t>
      </w:r>
      <w:r>
        <w:t xml:space="preserve"> </w:t>
      </w:r>
      <w:r>
        <w:t>can undergo rapid photoisomerization and is capable of reversible switching for over 20 cycles, demonstrating superior fatigue resistance. Mechanistic studies reveal that the weakly alkaline oxygen‐acceptor in</w:t>
      </w:r>
      <w:r>
        <w:t xml:space="preserve"> </w:t>
      </w:r>
      <w:r>
        <w:t>tpm</w:t>
      </w:r>
      <w:r>
        <w:t xml:space="preserve"> </w:t>
      </w:r>
      <w:r>
        <w:t>SA</w:t>
      </w:r>
      <w:r>
        <w:t xml:space="preserve"> </w:t>
      </w:r>
      <w:r>
        <w:t>significantly enhances photochromic contrast by suppressing the ground‐state intramolecular proton transfer (GSIPT) pathway. The photopatterning and high‐level information encryption were successfully developed by</w:t>
      </w:r>
      <w:r>
        <w:t xml:space="preserve"> </w:t>
      </w:r>
      <w:r>
        <w:t>tpm</w:t>
      </w:r>
      <w:r>
        <w:t xml:space="preserve"> </w:t>
      </w:r>
      <w:r>
        <w:t>SA</w:t>
      </w:r>
      <w:r>
        <w:t xml:space="preserve"> </w:t>
      </w:r>
      <w:r>
        <w:t>. This study proposes an oxygen−acceptor strategy for developing solid‐state photoswitches with high photochromic contrast, demonstrating great potential for advanced information encryption materials.</w:t>
      </w:r>
    </w:p>
    <w:p>
      <w:pPr>
        <w:spacing w:before="120" w:after="120"/>
      </w:pPr>
      <w:r>
        <w:rPr>
          <w:sz w:val="18"/>
        </w:rPr>
        <w:t>——————————————————————————————————————————————————————————————————————</w:t>
      </w:r>
    </w:p>
    <w:p>
      <w:pPr>
        <w:spacing w:before="160" w:after="40" w:line="240" w:lineRule="auto"/>
      </w:pPr>
      <w:r>
        <w:rPr>
          <w:b/>
        </w:rPr>
        <w:t xml:space="preserve">[378] </w:t>
      </w:r>
      <w:hyperlink r:id="rId949">
        <w:r>
          <w:rPr>
            <w:color w:val="1155CC"/>
            <w:u w:val="single"/>
          </w:rPr>
          <w:t>[ASAP] RAvIN平台：用于寡核苷酸合成的非碳水化合物平台</w:t>
        </w:r>
      </w:hyperlink>
    </w:p>
    <w:p>
      <w:pPr>
        <w:spacing w:before="0" w:after="80"/>
      </w:pPr>
      <w:r>
        <w:rPr>
          <w:i/>
          <w:sz w:val="20"/>
        </w:rPr>
        <w:t>EN: [ASAP] The RAvIN Platform: A Noncarbohydrate Platform for Oligonucleotide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2026-03-18 14:15:46+00:00</w:t>
      </w:r>
      <w:r>
        <w:t xml:space="preserve">    </w:t>
      </w:r>
      <w:r>
        <w:rPr>
          <w:b/>
        </w:rPr>
        <w:t xml:space="preserve">DOI: </w:t>
      </w:r>
      <w:hyperlink r:id="rId950">
        <w:r>
          <w:rPr>
            <w:color w:val="1155CC"/>
            <w:u w:val="single"/>
          </w:rPr>
          <w:t>10.1021/jacs.5c21938</w:t>
        </w:r>
      </w:hyperlink>
    </w:p>
    <w:p>
      <w:pPr>
        <w:spacing w:before="0" w:after="120"/>
      </w:pPr>
      <w:r>
        <w:rPr>
          <w:b/>
        </w:rPr>
        <w:t xml:space="preserve">Notes: </w:t>
      </w:r>
      <w:r>
        <w:t>abstract_source=pubmed</w:t>
      </w:r>
    </w:p>
    <w:p>
      <w:pPr>
        <w:spacing w:before="0" w:after="80" w:lineRule="auto" w:line="276"/>
      </w:pPr>
      <w:r>
        <w:rPr>
          <w:b/>
        </w:rPr>
        <w:t xml:space="preserve">摘要（ZH）: </w:t>
      </w:r>
      <w:r>
        <w:t>寡核苷酸治疗（ONTs）有望成为现代医学的第三支柱。然而，ONTs及其组成核苷类似物（NA）构建块的实际和大规模合成仍然是一个主要挑战。由于每个NA单元必须单独设计和定制以增强ONT所需的ADMET特性，识别这些化合物的经济、灵活和可扩展的合成方法至关重要。迄今为止，该领域几乎完全依赖于碳水化合物作为NA合成的起始材料。虽然这些化合物是对映纯的，并与NA共享共同的结构和立体化学特征，但它们转化为NA通常需要具有挑战性、低产率和昂贵的合成过程。因此，大部分</w:t>
      </w:r>
    </w:p>
    <w:p>
      <w:pPr>
        <w:spacing w:before="0" w:after="200" w:lineRule="auto" w:line="276"/>
      </w:pPr>
      <w:r>
        <w:rPr>
          <w:b/>
        </w:rPr>
        <w:t xml:space="preserve">Abstract (EN): </w:t>
      </w:r>
      <w:r>
        <w:t>Oligonucleotide therapeutics (ONTs) are poised to become a third pillar of modern medicine. However, the practical and large-scale synthesis of ONTs and their constituent nucleoside analogue (NA) building blocks remains a major challenge. As each of the NA units must be individually designed and tailored to enhance the desired ADMET properties of the ONT, identifying economic, flexible, and scalable syntheses of these compounds is of critical importance. To date, the field has relied almost exclusively on carbohydrates as starting materials for NA synthesis. While these compounds are enantiopure and share common structural and stereochemical features with NAs, their conversion into NAs often requires challenging, low-yielding, and expensive synthetic campaigns. As a result, a large fraction of the ONT chemical space remains underexplored, and the full impact of chemical modification on the pharmacokinetic properties of the ONTs remains poorly understood. Here, we present a streamlined platform to produce NAs that will improve access to precision-edited ONTs. This approach uses achiral starting materials and relies on a dual organocatalyst, one-pot process to furnish a key class of ONT building blocks: the RAvIN (rapid access to value-added innovative nucleosides) ketones (RKs). Notably, RKs can incorporate appropriately protected natural nucleobases as well as nucleobase analogues, be made on scale in 2-4 steps with carbohydrate-like levels of enantiomeric purity, and are readily diversified to create the next-generation NAs required to improve the pharmacokinetic properties of the ONTs. Finally, we demonstrate the versatility and potential of this methodology in a totally noncarbohydrate synthesis of the all-MOE-modified 18mer ONT Nusinersen.</w:t>
      </w:r>
    </w:p>
    <w:p>
      <w:pPr>
        <w:spacing w:before="120" w:after="120"/>
      </w:pPr>
      <w:r>
        <w:rPr>
          <w:sz w:val="18"/>
        </w:rPr>
        <w:t>——————————————————————————————————————————————————————————————————————</w:t>
      </w:r>
    </w:p>
    <w:p>
      <w:pPr>
        <w:spacing w:before="160" w:after="40" w:line="240" w:lineRule="auto"/>
      </w:pPr>
      <w:r>
        <w:rPr>
          <w:b/>
        </w:rPr>
        <w:t xml:space="preserve">[379] </w:t>
      </w:r>
      <w:hyperlink r:id="rId951">
        <w:r>
          <w:rPr>
            <w:color w:val="1155CC"/>
            <w:u w:val="single"/>
          </w:rPr>
          <w:t>光合纳米细菌驱动代谢-免疫协同用于抗缺氧癌症治疗</w:t>
        </w:r>
      </w:hyperlink>
    </w:p>
    <w:p>
      <w:pPr>
        <w:spacing w:before="0" w:after="80"/>
      </w:pPr>
      <w:r>
        <w:rPr>
          <w:i/>
          <w:sz w:val="20"/>
        </w:rPr>
        <w:t>EN: Photosynthetic Nanobacteria Drive Metabolic‐Immune Synergy for Hypoxia‐Resistant Cancer Therapy</w:t>
      </w:r>
    </w:p>
    <w:p>
      <w:pPr>
        <w:spacing w:before="0" w:after="120"/>
      </w:pPr>
      <w:r>
        <w:rPr>
          <w:b/>
        </w:rPr>
        <w:t xml:space="preserve">Source: </w:t>
      </w:r>
      <w:r>
        <w:t>Wiley: Advanced Materials: Table of Contents</w:t>
      </w:r>
      <w:r>
        <w:t xml:space="preserve">    </w:t>
      </w:r>
      <w:r>
        <w:rPr>
          <w:b/>
        </w:rPr>
        <w:t xml:space="preserve">Pub date: </w:t>
      </w:r>
      <w:r>
        <w:t>2026-03-18 14:15:51+00:00</w:t>
      </w:r>
      <w:r>
        <w:t xml:space="preserve">    </w:t>
      </w:r>
      <w:r>
        <w:rPr>
          <w:b/>
        </w:rPr>
        <w:t xml:space="preserve">DOI: </w:t>
      </w:r>
      <w:hyperlink r:id="rId952">
        <w:r>
          <w:rPr>
            <w:color w:val="1155CC"/>
            <w:u w:val="single"/>
          </w:rPr>
          <w:t>10.1002/adma.72834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光动力疗法（PDT）是一种有前途的癌症治疗方法，但其疗效常因肿瘤缺氧和免疫激活有限而受损。在此，我们开发了一种多功能光合纳米平台（PnanoCB），源自</w:t>
      </w:r>
      <w:r>
        <w:t xml:space="preserve"> </w:t>
      </w:r>
      <w:r>
        <w:t>Microcystis wesenbergii</w:t>
      </w:r>
      <w:r>
        <w:t xml:space="preserve"> </w:t>
      </w:r>
      <w:r>
        <w:t>，以缓解缺氧，增强活性氧（ROS）介导的肿瘤细胞杀伤，并激活抗肿瘤免疫。蓝藻被重组为原生质体衍生的囊泡，保留光合能力和叶绿素，并通过pH敏感的pH低插入肽（pHLIP）连接器功能化，以携带基质金属蛋白酶-2（MMP-2）可切割的抗PD-L1肽，用于肿瘤靶向免疫检查点阻断。在红光照射下</w:t>
      </w:r>
    </w:p>
    <w:p>
      <w:pPr>
        <w:spacing w:before="0" w:after="200" w:lineRule="auto" w:line="276"/>
      </w:pPr>
      <w:r>
        <w:rPr>
          <w:b/>
        </w:rPr>
        <w:t xml:space="preserve">Abstract (EN): </w:t>
      </w:r>
      <w:r>
        <w:t>Photodynamic therapy (PDT) is a promising cancer treatment, yet its efficacy is often compromised by tumor hypoxia and limited immune activation. Here, we developed a multifunctional photosynthetic nanoplatform (PnanoCB) derived from</w:t>
      </w:r>
      <w:r>
        <w:t xml:space="preserve"> </w:t>
      </w:r>
      <w:r>
        <w:t>Microcystis wesenbergii</w:t>
      </w:r>
      <w:r>
        <w:t xml:space="preserve"> </w:t>
      </w:r>
      <w:r>
        <w:t>to alleviate hypoxia, enhance reactive oxygen species (ROS)‐mediated tumor cell killing, and activate antitumor immunity. The cyanobacteria were restructured into protoplast‐derived vesicles, retaining photosynthetic capacity and chlorophyll, and functionalized with a Matrix metalloproteinase‐2 (MMP‐2)‐cleavable anti‐PD‐L1 peptide via a pH‐sensitive pH low insertion peptide (pHLIP) linker for tumor‐targeted immune checkpoint blockade. Upon red light irradiation, PnanoCB efficiently generated oxygen in situ, overcoming hypoxia and significantly amplifying PDT‐induced ROS production. Combining PnanoCB with a fasting‐mimicking diet (FMD) further improved tumor accumulation and therapeutic efficacy. The combination of PnanoCB, light irradiation, and FMD achieved the most potent tumor inhibition in a 4T1 breast cancer model and effectively prevented tumor recurrence in a rechallenge model, without detectable toxicity to major organs. Overall, PnanoCB significantly alleviates hypoxia, promotes immunogenic cell death, and triggers robust dendritic cell (DC) maturation through stimulator of interferon genes (STING) pathway activation. This study demonstrates a strategy integrating photosynthetic oxygen generation, photodynamic immunotherapy, and metabolic intervention to remodel the tumor microenvironment and elicit robust systemic antitumor immunity.</w:t>
      </w:r>
    </w:p>
    <w:p>
      <w:pPr>
        <w:spacing w:before="120" w:after="120"/>
      </w:pPr>
      <w:r>
        <w:rPr>
          <w:sz w:val="18"/>
        </w:rPr>
        <w:t>——————————————————————————————————————————————————————————————————————</w:t>
      </w:r>
    </w:p>
    <w:p>
      <w:pPr>
        <w:spacing w:before="160" w:after="40" w:line="240" w:lineRule="auto"/>
      </w:pPr>
      <w:r>
        <w:rPr>
          <w:b/>
        </w:rPr>
        <w:t xml:space="preserve">[380] </w:t>
      </w:r>
      <w:hyperlink r:id="rId953">
        <w:r>
          <w:rPr>
            <w:color w:val="1155CC"/>
            <w:u w:val="single"/>
          </w:rPr>
          <w:t>靶向β2‐肾上腺素能受体的光开关效能的结构机制</w:t>
        </w:r>
      </w:hyperlink>
    </w:p>
    <w:p>
      <w:pPr>
        <w:spacing w:before="0" w:after="80"/>
      </w:pPr>
      <w:r>
        <w:rPr>
          <w:i/>
          <w:sz w:val="20"/>
        </w:rPr>
        <w:t>EN: Structural Mechanism of an Efficacy Photoswitch Targeting the β2‐adrenergic Receptor</w:t>
      </w:r>
    </w:p>
    <w:p>
      <w:pPr>
        <w:spacing w:before="0" w:after="120"/>
      </w:pPr>
      <w:r>
        <w:rPr>
          <w:b/>
        </w:rPr>
        <w:t xml:space="preserve">Source: </w:t>
      </w:r>
      <w:r>
        <w:t>Wiley: Angewandte Chemie International Edition: Table of Contents</w:t>
      </w:r>
      <w:r>
        <w:t xml:space="preserve">    </w:t>
      </w:r>
      <w:r>
        <w:rPr>
          <w:b/>
        </w:rPr>
        <w:t xml:space="preserve">Pub date: </w:t>
      </w:r>
      <w:r>
        <w:t>2026-03-18 14:15:59+00:00</w:t>
      </w:r>
      <w:r>
        <w:t xml:space="preserve">    </w:t>
      </w:r>
      <w:r>
        <w:rPr>
          <w:b/>
        </w:rPr>
        <w:t xml:space="preserve">DOI: </w:t>
      </w:r>
      <w:hyperlink r:id="rId954">
        <w:r>
          <w:rPr>
            <w:color w:val="1155CC"/>
            <w:u w:val="single"/>
          </w:rPr>
          <w:t>10.1002/anie.202517995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药理学领域开发了光响应药物，可以调节蛋白质活性，从而精确和动态地研究其在健康和疾病中的作用。肾上腺素能受体是这种方法的重要目标，因为它们是典型的G蛋白偶联受体，在支气管和心血管疾病中具有高度临床相关性。在此，我们结合使用偶氮苯基化合物photoazolol-1和时间分辨串行晶体学在X射线自由电子激光器上解析光开关β-阻滞剂调节β</w:t>
      </w:r>
      <w:r>
        <w:rPr>
          <w:vertAlign w:val="subscript"/>
        </w:rPr>
        <w:t>2</w:t>
      </w:r>
      <w:r>
        <w:t>-肾上腺素受体（β</w:t>
      </w:r>
      <w:r>
        <w:rPr>
          <w:vertAlign w:val="subscript"/>
        </w:rPr>
        <w:t>2</w:t>
      </w:r>
      <w:r>
        <w:t>AR）活性的分子机制。时间分辨结构</w:t>
      </w:r>
    </w:p>
    <w:p>
      <w:pPr>
        <w:spacing w:before="0" w:after="200" w:lineRule="auto" w:line="276"/>
      </w:pPr>
      <w:r>
        <w:rPr>
          <w:b/>
        </w:rPr>
        <w:t xml:space="preserve">Abstract (EN): </w:t>
      </w:r>
      <w:r>
        <w:t>The field of photopharmacology develops light‐responsive drugs that can modulate protein activity, enabling precise and dynamic investigations of their roles in health and disease. Adrenergic receptors are prominent targets for this approach because they are prototypical G protein‐coupled receptors with high clinical relevance in bronchial and cardiovascular diseases. Here, we employed the azobenzene‐based compound photoazolol‐1 in combination with time‐resolved serial crystallography at X‐ray free‐electron lasers to resolve the molecular mechanisms by which photoswitchable β‐blockers modulate activity of the β</w:t>
      </w:r>
      <w:r>
        <w:rPr>
          <w:vertAlign w:val="subscript"/>
        </w:rPr>
        <w:t>2</w:t>
      </w:r>
      <w:r>
        <w:t>‐adrenoceptor (β</w:t>
      </w:r>
      <w:r>
        <w:rPr>
          <w:vertAlign w:val="subscript"/>
        </w:rPr>
        <w:t>2</w:t>
      </w:r>
      <w:r>
        <w:t>AR). Time‐resolved structures of the receptor bound to</w:t>
      </w:r>
      <w:r>
        <w:t xml:space="preserve"> </w:t>
      </w:r>
      <w:r>
        <w:t>trans</w:t>
      </w:r>
      <w:r>
        <w:t xml:space="preserve"> </w:t>
      </w:r>
      <w:r>
        <w:t>‐photoazolol‐1 (pre‐photoconversion), a strained intermediate in the nanosecond range, and the fully photoisomerized</w:t>
      </w:r>
      <w:r>
        <w:t xml:space="preserve"> </w:t>
      </w:r>
      <w:r>
        <w:t>cis</w:t>
      </w:r>
      <w:r>
        <w:t xml:space="preserve"> </w:t>
      </w:r>
      <w:r>
        <w:t>‐photoazolol‐1 reveal how isomerization of the azobenzene moiety induces distinct conformational changes within the orthosteric ligand binding pocket. Within seconds, light‐excited photoazolol‐1 adopts a new binding pose, altering interactions with extracellular loop 2 and shifting the positions of transmembrane helices 5, 6, and 7. Functional assays of β</w:t>
      </w:r>
      <w:r>
        <w:rPr>
          <w:vertAlign w:val="subscript"/>
        </w:rPr>
        <w:t>2</w:t>
      </w:r>
      <w:r>
        <w:t>AR in cellular membranes show that photoazolol‐1 acts as an efficacy photoswitch, changing from an inverse agonist to a neutral antagonist upon isomerization without leaving the binding pocket. In combination, these findings suggest a molecular mechanism for activity modulation via efficacy photoswitches and provide a framework for designing ligands that exploit light‐driven transitions within the binding pocket to achieve spatiotemporal control of receptor function.</w:t>
      </w:r>
    </w:p>
    <w:p>
      <w:pPr>
        <w:spacing w:before="120" w:after="120"/>
      </w:pPr>
      <w:r>
        <w:rPr>
          <w:sz w:val="18"/>
        </w:rPr>
        <w:t>——————————————————————————————————————————————————————————————————————</w:t>
      </w:r>
    </w:p>
    <w:p>
      <w:pPr>
        <w:spacing w:before="160" w:after="40" w:line="240" w:lineRule="auto"/>
      </w:pPr>
      <w:r>
        <w:rPr>
          <w:b/>
        </w:rPr>
        <w:t xml:space="preserve">[381] </w:t>
      </w:r>
      <w:hyperlink r:id="rId955">
        <w:r>
          <w:rPr>
            <w:color w:val="1155CC"/>
            <w:u w:val="single"/>
          </w:rPr>
          <w:t>用于高圆偏振发光的同手性双折射氢键有机框架薄膜</w:t>
        </w:r>
      </w:hyperlink>
    </w:p>
    <w:p>
      <w:pPr>
        <w:spacing w:before="0" w:after="80"/>
      </w:pPr>
      <w:r>
        <w:rPr>
          <w:i/>
          <w:sz w:val="20"/>
        </w:rPr>
        <w:t>EN: Homochiral Birefringence Hydrogen‐Bonded Organic Framework Films for Highly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2026-03-18 14:17:15+00:00</w:t>
      </w:r>
      <w:r>
        <w:t xml:space="preserve">    </w:t>
      </w:r>
      <w:r>
        <w:rPr>
          <w:b/>
        </w:rPr>
        <w:t xml:space="preserve">DOI: </w:t>
      </w:r>
      <w:hyperlink r:id="rId956">
        <w:r>
          <w:rPr>
            <w:color w:val="1155CC"/>
            <w:u w:val="single"/>
          </w:rPr>
          <w:t>10.1002/anie.4678241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高圆偏振发光（CPL）的同手性氢键有机框架（HOF）薄膜仍然是一个重大挑战。在本研究中，我们旨在通过合理的分子设计和超分子自组装构建将强CPL与高手性有序结构结合的HOF材料。我们设计了一种由对映异构体1,1′-联萘-2,2′-二羟基-5,5′-二羧酸（H</w:t>
      </w:r>
      <w:r>
        <w:rPr>
          <w:vertAlign w:val="subscript"/>
        </w:rPr>
        <w:t>2</w:t>
      </w:r>
      <w:r>
        <w:t>BDA）构成的同手性HOF，称为CAS-10，其在C222</w:t>
      </w:r>
      <w:r>
        <w:rPr>
          <w:vertAlign w:val="subscript"/>
        </w:rPr>
        <w:t>1</w:t>
      </w:r>
      <w:r>
        <w:t>空间群中结晶，并通过原位生长策略实现其自组织成高度取向的薄膜。我们的研究发现，取向的HOF薄膜显示出强烈的chi</w:t>
      </w:r>
    </w:p>
    <w:p>
      <w:pPr>
        <w:spacing w:before="0" w:after="200" w:lineRule="auto" w:line="276"/>
      </w:pPr>
      <w:r>
        <w:rPr>
          <w:b/>
        </w:rPr>
        <w:t xml:space="preserve">Abstract (EN): </w:t>
      </w:r>
      <w:r>
        <w:t>Development of homochiral hydrogen‐bonded organic framework (HOF) film for highly circularly polarized luminescent (CPL) remains a significant challenge. In this study, we aim to construct HOF materials that integrate strong CPL with high chiral ordered structure through rational molecular design and supramolecular self‐assembly. We designed a homochiral HOF from enantiomeric 1,1′‐binaphthyl‐2,2′‐dihydroxy‐5,5′‐dicarboxylic acid (H</w:t>
      </w:r>
      <w:r>
        <w:rPr>
          <w:vertAlign w:val="subscript"/>
        </w:rPr>
        <w:t>2</w:t>
      </w:r>
      <w:r>
        <w:t>BDA), termed CAS‐10, which crystallize in the C222</w:t>
      </w:r>
      <w:r>
        <w:rPr>
          <w:vertAlign w:val="subscript"/>
        </w:rPr>
        <w:t>1</w:t>
      </w:r>
      <w:r>
        <w:t>space group, and realized its self‐organization into a highly oriented film through with in situ growth strategy. Our findings reveal that the oriented HOF film displays, strong chirality and intense blue luminescence, obvious CPL performance. By strategically incorporating linear birefringence effects, the</w:t>
      </w:r>
      <w:r>
        <w:t xml:space="preserve"> </w:t>
      </w:r>
      <w:r>
        <w:t>g</w:t>
      </w:r>
      <w:r>
        <w:t xml:space="preserve"> </w:t>
      </w:r>
      <w:r>
        <w:t>lum</w:t>
      </w:r>
      <w:r>
        <w:t xml:space="preserve"> </w:t>
      </w:r>
      <w:r>
        <w:t>values reach an exceptional value of ±0.5 at 460 nm, representing a 167 times enhancement over the precursor disordered chiral molecule. This work not only presents an effective supramolecular assembly strategy for dramatically amplifying CPL performance through hydrogen‐bonded networks, but also pioneers the introduction of birefringence into chiral crystalline film materials. Furthermore, these advances establish a new material platform and design principle for developing cost‐effective, high‐performance CPL devices with practical applicability.</w:t>
      </w:r>
    </w:p>
    <w:p>
      <w:pPr>
        <w:spacing w:before="120" w:after="120"/>
      </w:pPr>
      <w:r>
        <w:rPr>
          <w:sz w:val="18"/>
        </w:rPr>
        <w:t>——————————————————————————————————————————————————————————————————————</w:t>
      </w:r>
    </w:p>
    <w:p>
      <w:pPr>
        <w:spacing w:before="160" w:after="40" w:line="240" w:lineRule="auto"/>
      </w:pPr>
      <w:r>
        <w:rPr>
          <w:b/>
        </w:rPr>
        <w:t xml:space="preserve">[382] </w:t>
      </w:r>
      <w:hyperlink r:id="rId957">
        <w:r>
          <w:rPr>
            <w:color w:val="1155CC"/>
            <w:u w:val="single"/>
          </w:rPr>
          <w:t>使用选择性微加工协议在CMOS读出上图案化铅卤化物钙钛矿器件堆叠</w:t>
        </w:r>
      </w:hyperlink>
    </w:p>
    <w:p>
      <w:pPr>
        <w:spacing w:before="0" w:after="80"/>
      </w:pPr>
      <w:r>
        <w:rPr>
          <w:i/>
          <w:sz w:val="20"/>
        </w:rPr>
        <w:t>EN: Patterning of Lead Halide Perovskite Device Stacks on CMOS Readout Using Selective Microfabrication Protocols</w:t>
      </w:r>
    </w:p>
    <w:p>
      <w:pPr>
        <w:spacing w:before="0" w:after="120"/>
      </w:pPr>
      <w:r>
        <w:rPr>
          <w:b/>
        </w:rPr>
        <w:t xml:space="preserve">Source: </w:t>
      </w:r>
      <w:r>
        <w:t>Wiley: Advanced Materials: Table of Contents</w:t>
      </w:r>
      <w:r>
        <w:t xml:space="preserve">    </w:t>
      </w:r>
      <w:r>
        <w:rPr>
          <w:b/>
        </w:rPr>
        <w:t xml:space="preserve">Pub date: </w:t>
      </w:r>
      <w:r>
        <w:t>2026-03-18 14:17:34+00:00</w:t>
      </w:r>
      <w:r>
        <w:t xml:space="preserve">    </w:t>
      </w:r>
      <w:r>
        <w:rPr>
          <w:b/>
        </w:rPr>
        <w:t xml:space="preserve">DOI: </w:t>
      </w:r>
      <w:hyperlink r:id="rId958">
        <w:r>
          <w:rPr>
            <w:color w:val="1155CC"/>
            <w:u w:val="single"/>
          </w:rPr>
          <w:t>10.1002/adma.202523002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铅钙钛矿代表了一类有前途的半导体材料，以其独特的光电特性而著称。然而，它们在先进半导体器件中的应用，如CMOS图像传感器、光子集成电路和忆阻器，需要开发与标准洁净室制造兼容的精确、特定于钙钛矿的图案化工艺。在此，我们介绍了几项关键创新，使得卤化铅钙钛矿的标准微制造成为可能。首先，使用山梨醇月桂酸酯进行表面钝化，有效密封钙钛矿晶粒边界，使得在完整器件堆栈上使用标准光刻胶（如AZ1518）和水性显影剂成为可能。此外，改良的磷酸等</w:t>
      </w:r>
    </w:p>
    <w:p>
      <w:pPr>
        <w:spacing w:before="0" w:after="200" w:lineRule="auto" w:line="276"/>
      </w:pPr>
      <w:r>
        <w:rPr>
          <w:b/>
        </w:rPr>
        <w:t xml:space="preserve">Abstract (EN): </w:t>
      </w:r>
      <w:r>
        <w:t>Lead halide perovskites represent a promising class of semiconductor materials, notable for their unique optoelectronic properties. However, their application in advanced semiconductor devices, such as CMOS image sensors, photonic integrated circuits, and memristors, requires the development of precise, perovskite‐specific patterning processes compatible with standard cleanroom fabrication. Here, we introduce several key innovations enabling standard microfabrication with lead halide perovskites. First, surface passivation with sorbitan laurate effectively seals the perovskite grain boundaries, enabling the use of standard photoresists (e.g., AZ1518) and aqueous developers on complete device stacks. Furthermore, a modified phosphoric acid etchant, incorporating phenylbutylammonium bromide (PBABr), facilitates the selective etching of transparent conductive oxides (TCOs) such as ITO directly atop the perovskite stack without significant degradation of the active layer. Finally, SF</w:t>
      </w:r>
      <w:r>
        <w:rPr>
          <w:vertAlign w:val="subscript"/>
        </w:rPr>
        <w:t>6</w:t>
      </w:r>
      <w:r>
        <w:t>plasma treatment, using the patterned TCO as a hard mask, selectively converts perovskite in the interpixel gaps into non‐photoactive PbF</w:t>
      </w:r>
      <w:r>
        <w:t xml:space="preserve"> </w:t>
      </w:r>
      <w:r>
        <w:t>x</w:t>
      </w:r>
      <w:r>
        <w:t xml:space="preserve"> </w:t>
      </w:r>
      <w:r>
        <w:t>Br</w:t>
      </w:r>
      <w:r>
        <w:t xml:space="preserve"> </w:t>
      </w:r>
      <w:r>
        <w:t>2‐x</w:t>
      </w:r>
      <w:r>
        <w:t xml:space="preserve"> </w:t>
      </w:r>
      <w:r>
        <w:t>, effectively suppressing lateral cross‐talk. Utilizing this integrated fabrication strategy, we successfully fabricated and characterized a 400 × 400 pixel perovskite CMOS image sensor, where the well‐defined pixels are essential for high spatial resolution and sensor performance. Our results establish a pathway for the development of high‐performance (opto)electronic devices based on lead halide perovskites integrated via standard semiconductor processing methods.</w:t>
      </w:r>
    </w:p>
    <w:p>
      <w:pPr>
        <w:spacing w:before="120" w:after="120"/>
      </w:pPr>
      <w:r>
        <w:rPr>
          <w:sz w:val="18"/>
        </w:rPr>
        <w:t>——————————————————————————————————————————————————————————————————————</w:t>
      </w:r>
    </w:p>
    <w:p>
      <w:pPr>
        <w:spacing w:before="160" w:after="40" w:line="240" w:lineRule="auto"/>
      </w:pPr>
      <w:r>
        <w:rPr>
          <w:b/>
        </w:rPr>
        <w:t xml:space="preserve">[383] </w:t>
      </w:r>
      <w:hyperlink r:id="rId959">
        <w:r>
          <w:rPr>
            <w:color w:val="1155CC"/>
            <w:u w:val="single"/>
          </w:rPr>
          <w:t>硼环并合稳定反芳香性并增强s‐茚满/二环戊[b,g]萘核有机硼多环烃的双自由基特性</w:t>
        </w:r>
      </w:hyperlink>
    </w:p>
    <w:p>
      <w:pPr>
        <w:spacing w:before="0" w:after="80"/>
      </w:pPr>
      <w:r>
        <w:rPr>
          <w:i/>
          <w:sz w:val="20"/>
        </w:rPr>
        <w:t>EN: Boracycle‐Annulation Stabilizes Antiaromaticity and Enhances Diradical Character in s‐Indacene/Dicyclopenta[b,g]Naphthalene‐Cored Organoboron Polycyclic Hydrocarbons</w:t>
      </w:r>
    </w:p>
    <w:p>
      <w:pPr>
        <w:spacing w:before="0" w:after="120"/>
      </w:pPr>
      <w:r>
        <w:rPr>
          <w:b/>
        </w:rPr>
        <w:t xml:space="preserve">Source: </w:t>
      </w:r>
      <w:r>
        <w:t>Wiley: Angewandte Chemie International Edition: Table of Contents</w:t>
      </w:r>
      <w:r>
        <w:t xml:space="preserve">    </w:t>
      </w:r>
      <w:r>
        <w:rPr>
          <w:b/>
        </w:rPr>
        <w:t xml:space="preserve">Pub date: </w:t>
      </w:r>
      <w:r>
        <w:t>2026-03-18 14:17:50+00:00</w:t>
      </w:r>
      <w:r>
        <w:t xml:space="preserve">    </w:t>
      </w:r>
      <w:r>
        <w:rPr>
          <w:b/>
        </w:rPr>
        <w:t xml:space="preserve">DOI: </w:t>
      </w:r>
      <w:hyperlink r:id="rId960">
        <w:r>
          <w:rPr>
            <w:color w:val="1155CC"/>
            <w:u w:val="single"/>
          </w:rPr>
          <w:t>10.1002/anie.1718544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对于反芳香性多环烃（PHs），杂环融合是一种有效的改变其电子结构和物理性质的方法。在此，我们揭示了反芳香性π系统的原始硼环并合。通过将1-硼苯并并合到一个</w:t>
      </w:r>
      <w:r>
        <w:t xml:space="preserve"> </w:t>
      </w:r>
      <w:r>
        <w:t>s</w:t>
      </w:r>
      <w:r>
        <w:t xml:space="preserve"> </w:t>
      </w:r>
      <w:r>
        <w:t>-茚满或二环戊并[</w:t>
      </w:r>
      <w:r>
        <w:t xml:space="preserve"> </w:t>
      </w:r>
      <w:r>
        <w:t>b</w:t>
      </w:r>
      <w:r>
        <w:t xml:space="preserve"> </w:t>
      </w:r>
      <w:r>
        <w:t>,</w:t>
      </w:r>
      <w:r>
        <w:t xml:space="preserve"> </w:t>
      </w:r>
      <w:r>
        <w:t>g</w:t>
      </w:r>
      <w:r>
        <w:t xml:space="preserve"> </w:t>
      </w:r>
      <w:r>
        <w:t>]萘核心上设计了两种有机硼PHs。研究表明，这种硼环并合显著稳定了</w:t>
      </w:r>
      <w:r>
        <w:t xml:space="preserve"> </w:t>
      </w:r>
      <w:r>
        <w:t>s</w:t>
      </w:r>
      <w:r>
        <w:t xml:space="preserve"> </w:t>
      </w:r>
      <w:r>
        <w:t>-茚满的反芳香性，因为B原子具有较小的电负性，并适度增强了二环戊并[</w:t>
      </w:r>
    </w:p>
    <w:p>
      <w:pPr>
        <w:spacing w:before="0" w:after="200" w:lineRule="auto" w:line="276"/>
      </w:pPr>
      <w:r>
        <w:rPr>
          <w:b/>
        </w:rPr>
        <w:t xml:space="preserve">Abstract (EN): </w:t>
      </w:r>
      <w:r>
        <w:t>For antiaromatic polycyclic hydrocarbons (PHs), heterocycle‐fusion is an efficient approach to alter their electronic structures and physical properties. Herein, we disclose pristine boracycle‐annulation of antiaromatic π‐systems. Two organoboron PHs designed by fusion of 1‐boraphenalenes onto one</w:t>
      </w:r>
      <w:r>
        <w:t xml:space="preserve"> </w:t>
      </w:r>
      <w:r>
        <w:t>s</w:t>
      </w:r>
      <w:r>
        <w:t xml:space="preserve"> </w:t>
      </w:r>
      <w:r>
        <w:t>‐indacene or dicyclopenta[</w:t>
      </w:r>
      <w:r>
        <w:t xml:space="preserve"> </w:t>
      </w:r>
      <w:r>
        <w:t>b</w:t>
      </w:r>
      <w:r>
        <w:t xml:space="preserve"> </w:t>
      </w:r>
      <w:r>
        <w:t>,</w:t>
      </w:r>
      <w:r>
        <w:t xml:space="preserve"> </w:t>
      </w:r>
      <w:r>
        <w:t>g</w:t>
      </w:r>
      <w:r>
        <w:t xml:space="preserve"> </w:t>
      </w:r>
      <w:r>
        <w:t>]naphthalene core were synthesized. As studied, this boracycle‐annulation remarkably stabilizes the antiaromaticity of</w:t>
      </w:r>
      <w:r>
        <w:t xml:space="preserve"> </w:t>
      </w:r>
      <w:r>
        <w:t>s</w:t>
      </w:r>
      <w:r>
        <w:t xml:space="preserve"> </w:t>
      </w:r>
      <w:r>
        <w:t>‐indacene owing to the B atom with small electronegativity, and moderately enhances diradical character of dicyclopenta[</w:t>
      </w:r>
      <w:r>
        <w:t xml:space="preserve"> </w:t>
      </w:r>
      <w:r>
        <w:t>b</w:t>
      </w:r>
      <w:r>
        <w:t xml:space="preserve"> </w:t>
      </w:r>
      <w:r>
        <w:t>,</w:t>
      </w:r>
      <w:r>
        <w:t xml:space="preserve"> </w:t>
      </w:r>
      <w:r>
        <w:t>g</w:t>
      </w:r>
      <w:r>
        <w:t xml:space="preserve"> </w:t>
      </w:r>
      <w:r>
        <w:t>]naphthalene by inducing cross conjugation between the B atoms and radical centers and promoting spin delocalization. These electronic effects are in stark contrast to those of other N‐/O‐/S‐heterocycles, thus demonstrating the unique contributions of the B atoms. Furthermore, they show a few intriguing optoelectronic properties, such as near‐infrared absorptions, short excited‐state lifetimes and four‐step redox activity. In‐depth investigations demonstrate that the amphoteric antiaromatic core together with the electron‐accepting B‐containing rings make significant contributions to their characteristic properties. Thus, these findings may serve as an important basis for the design of functional heterocyclic PHs, especially antiaromatic and diradical materials.</w:t>
      </w:r>
    </w:p>
    <w:p>
      <w:pPr>
        <w:spacing w:before="120" w:after="120"/>
      </w:pPr>
      <w:r>
        <w:rPr>
          <w:sz w:val="18"/>
        </w:rPr>
        <w:t>——————————————————————————————————————————————————————————————————————</w:t>
      </w:r>
    </w:p>
    <w:p>
      <w:pPr>
        <w:spacing w:before="160" w:after="40" w:line="240" w:lineRule="auto"/>
      </w:pPr>
      <w:r>
        <w:rPr>
          <w:b/>
        </w:rPr>
        <w:t xml:space="preserve">[384] </w:t>
      </w:r>
      <w:hyperlink r:id="rId961">
        <w:r>
          <w:rPr>
            <w:color w:val="1155CC"/>
            <w:u w:val="single"/>
          </w:rPr>
          <w:t>电子镍催化的立体选择性丁烯合成</w:t>
        </w:r>
      </w:hyperlink>
    </w:p>
    <w:p>
      <w:pPr>
        <w:spacing w:before="0" w:after="80"/>
      </w:pPr>
      <w:r>
        <w:rPr>
          <w:i/>
          <w:sz w:val="20"/>
        </w:rPr>
        <w:t>EN: Electronickel‐Catalyzed Stereoselective Synthesis of Butafulvenes</w:t>
      </w:r>
    </w:p>
    <w:p>
      <w:pPr>
        <w:spacing w:before="0" w:after="120"/>
      </w:pPr>
      <w:r>
        <w:rPr>
          <w:b/>
        </w:rPr>
        <w:t xml:space="preserve">Source: </w:t>
      </w:r>
      <w:r>
        <w:t>Wiley: Angewandte Chemie International Edition: Table of Contents</w:t>
      </w:r>
      <w:r>
        <w:t xml:space="preserve">    </w:t>
      </w:r>
      <w:r>
        <w:rPr>
          <w:b/>
        </w:rPr>
        <w:t xml:space="preserve">Pub date: </w:t>
      </w:r>
      <w:r>
        <w:t>2026-03-18 14:18:59+00:00</w:t>
      </w:r>
      <w:r>
        <w:t xml:space="preserve">    </w:t>
      </w:r>
      <w:r>
        <w:rPr>
          <w:b/>
        </w:rPr>
        <w:t xml:space="preserve">DOI: </w:t>
      </w:r>
      <w:hyperlink r:id="rId962">
        <w:r>
          <w:rPr>
            <w:color w:val="1155CC"/>
            <w:u w:val="single"/>
          </w:rPr>
          <w:t>10.1002/anie.202522342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度选择性构建高度应变框架仍然是一个艰巨的合成挑战。我们在此报告了一种电化学镍催化策略，该策略能够区域、化学和立体选择性地合成丁烯烯，是苯的结构异构体，具有环丁烯核心和两个外环双键。该方案通过在温和条件下直接电还原偶联炔丙基酯实现，利用丰富的镍金属催化和电力，生成丁烯烯。值得注意的是，它克服了二级炔丙基底物的显著E/Z选择性挑战，这些底物以前产生了不良结果。</w:t>
      </w:r>
    </w:p>
    <w:p>
      <w:pPr>
        <w:spacing w:before="0" w:after="200" w:lineRule="auto" w:line="276"/>
      </w:pPr>
      <w:r>
        <w:rPr>
          <w:b/>
        </w:rPr>
        <w:t xml:space="preserve">Abstract (EN): </w:t>
      </w:r>
      <w:r>
        <w:t>The highly selective construction of highly strained frameworks remains a formidable synthetic challenge. We report here an electrochemical nickel‐catalyzed strategy that enables the regio‐, chemo‐, and stereoselective synthesis of butafulvenes, constitutional isomers of benzene featuring a cyclobutene core and two exocyclic double bonds. This protocol has been achieved via direct electroreductive coupling of propargylic esters under mild conditions with earth abundant metal catalysis of nickel and electricity, affording butafulvenes. Notably, it overcomes the significant</w:t>
      </w:r>
      <w:r>
        <w:t xml:space="preserve"> </w:t>
      </w:r>
      <w:r>
        <w:t>E</w:t>
      </w:r>
      <w:r>
        <w:t xml:space="preserve"> </w:t>
      </w:r>
      <w:r>
        <w:t>/</w:t>
      </w:r>
      <w:r>
        <w:t>Z</w:t>
      </w:r>
      <w:r>
        <w:t xml:space="preserve"> </w:t>
      </w:r>
      <w:r>
        <w:t>selectivity challenge of secondary propargylic substrates, which previously yielded inseparable mixtures. The success arises from redox‐governed sequential generation and transformation of allenyl–Ni, bisallenyl–Ni, bisallene, and five‐membered nickelacycle intermediates under electrochemical conditions. Mechanistic studies and cyclic voltammetry support a pathway involving sequential Ni</w:t>
      </w:r>
      <w:r>
        <w:rPr>
          <w:vertAlign w:val="subscript"/>
        </w:rPr>
        <w:t>0</w:t>
      </w:r>
      <w:r>
        <w:t>‐involved oxidative addition and reductive coupling as well as Ni</w:t>
      </w:r>
      <w:r>
        <w:rPr>
          <w:vertAlign w:val="subscript"/>
        </w:rPr>
        <w:t>0</w:t>
      </w:r>
      <w:r>
        <w:t>‐mediated highly stereoselective cycloisomerization. The reaction exhibits a broad substrate scope accommodating many synthetically versatile functional groups, such as bromide, carboxylate, trifluoromethyl, ether, and silyl groups, and is amenable to late‐stage functionalization of complex molecules. This work establishes a general and sustainable platform for accessing strained antiaromatic π‐systems and highlights the power of electro‐nickel catalysis in stereoselective molecular assembly.</w:t>
      </w:r>
    </w:p>
    <w:p>
      <w:pPr>
        <w:spacing w:before="120" w:after="120"/>
      </w:pPr>
      <w:r>
        <w:rPr>
          <w:sz w:val="18"/>
        </w:rPr>
        <w:t>——————————————————————————————————————————————————————————————————————</w:t>
      </w:r>
    </w:p>
    <w:p>
      <w:pPr>
        <w:spacing w:before="160" w:after="40" w:line="240" w:lineRule="auto"/>
      </w:pPr>
      <w:r>
        <w:rPr>
          <w:b/>
        </w:rPr>
        <w:t xml:space="preserve">[385] </w:t>
      </w:r>
      <w:hyperlink r:id="rId963">
        <w:r>
          <w:rPr>
            <w:color w:val="1155CC"/>
            <w:u w:val="single"/>
          </w:rPr>
          <w:t>中孔沸石中醇酮异质簇的稳定化驱动质子催化脱水反应的数量级速率增强</w:t>
        </w:r>
      </w:hyperlink>
    </w:p>
    <w:p>
      <w:pPr>
        <w:spacing w:before="0" w:after="80"/>
      </w:pPr>
      <w:r>
        <w:rPr>
          <w:i/>
          <w:sz w:val="20"/>
        </w:rPr>
        <w:t>EN: Stabilization of Alkanol–Alkanone Heteroclusters in Medium‐Pore Zeolites Drives Orders‐of‐Magnitude Rate Enhancements in Proton‐Catalyzed Dehydration Reactions</w:t>
      </w:r>
    </w:p>
    <w:p>
      <w:pPr>
        <w:spacing w:before="0" w:after="120"/>
      </w:pPr>
      <w:r>
        <w:rPr>
          <w:b/>
        </w:rPr>
        <w:t xml:space="preserve">Source: </w:t>
      </w:r>
      <w:r>
        <w:t>Wiley: Angewandte Chemie International Edition: Table of Contents</w:t>
      </w:r>
      <w:r>
        <w:t xml:space="preserve">    </w:t>
      </w:r>
      <w:r>
        <w:rPr>
          <w:b/>
        </w:rPr>
        <w:t xml:space="preserve">Pub date: </w:t>
      </w:r>
      <w:r>
        <w:t>2026-03-18 14:21:47+00:00</w:t>
      </w:r>
      <w:r>
        <w:t xml:space="preserve">    </w:t>
      </w:r>
      <w:r>
        <w:rPr>
          <w:b/>
        </w:rPr>
        <w:t xml:space="preserve">DOI: </w:t>
      </w:r>
      <w:hyperlink r:id="rId964">
        <w:r>
          <w:rPr>
            <w:color w:val="1155CC"/>
            <w:u w:val="single"/>
          </w:rPr>
          <w:t>10.1002/anie.202519476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现代催化方法主要依赖于（后）合成方法，从材料角度设计活性位点及其局部环境，而通过共吸附物相互作用动态创造和破坏反应性和旁观者物种的研究和理解则较少。在此，C3─C6脂肪族酮被确定为布朗斯特酸催化的醇脱水的有效促进剂，在亚纳米沸石孔中，MFI拓扑结构最为有效（速率提高达两个数量级，&amp;gt; 99.8%烯烃）并具有显著的稳定性（&amp;gt; 140 小时）。</w:t>
      </w:r>
    </w:p>
    <w:p>
      <w:pPr>
        <w:spacing w:before="0" w:after="200" w:lineRule="auto" w:line="276"/>
      </w:pPr>
      <w:r>
        <w:rPr>
          <w:b/>
        </w:rPr>
        <w:t xml:space="preserve">Abstract (EN): </w:t>
      </w:r>
      <w:r>
        <w:t>Modern catalytic approaches to manipulating reactivities predominantly rely on (post‐)synthetic methods that engineer active sites and their local environments from a materials perspective, while the dynamic creation and disruption of reactive and spectator species through co‐adsorbate interactions is much less explored and understood. Herein, C</w:t>
      </w:r>
      <w:r>
        <w:rPr>
          <w:vertAlign w:val="subscript"/>
        </w:rPr>
        <w:t>3</w:t>
      </w:r>
      <w:r>
        <w:t>─C</w:t>
      </w:r>
      <w:r>
        <w:rPr>
          <w:vertAlign w:val="subscript"/>
        </w:rPr>
        <w:t>6</w:t>
      </w:r>
      <w:r>
        <w:t>aliphatic alkanones have been identified as potent promotors for Brønsted acid‐catalyzed alkanol dehydration within the subnanometric zeolite pores, with the MFI topology being the most efficacious (up to two orders of magnitude rate enhancement and &amp;gt; 99.8% olefin) and featuring a remarkable stability (&amp;gt; 140 h on stream) at both kinetically limited and practically relevant conversions. Rigorous kinetic descriptions are combined with density functional theory methods to assess the structures, stabilities and reactivities of all plausible intermediates derived from the reactant and cofeed during 2‐propanol (IPA) dehydration in MFI pores. Stoichiometric clustering of alkanones with IPA‐derived monomers and dimers, driven by strong H‐bonds and stabilized by pore confinement, induces the formation of protonated bi‐ and termolecular species with distinct reactivities for intra‐ and intermolecular dehydration, which depends on the alkanone identity. These mechanistic underpinnings reward us with an ability to predict reactivity and selectivity trends and rationally design optimal solvent systems or cofeeding schemes for alkanol dehydration.</w:t>
      </w:r>
    </w:p>
    <w:p>
      <w:pPr>
        <w:spacing w:before="120" w:after="120"/>
      </w:pPr>
      <w:r>
        <w:rPr>
          <w:sz w:val="18"/>
        </w:rPr>
        <w:t>——————————————————————————————————————————————————————————————————————</w:t>
      </w:r>
    </w:p>
    <w:p>
      <w:pPr>
        <w:spacing w:before="160" w:after="40" w:line="240" w:lineRule="auto"/>
      </w:pPr>
      <w:r>
        <w:rPr>
          <w:b/>
        </w:rPr>
        <w:t xml:space="preserve">[386] </w:t>
      </w:r>
      <w:hyperlink r:id="rId965">
        <w:r>
          <w:rPr>
            <w:color w:val="1155CC"/>
            <w:u w:val="single"/>
          </w:rPr>
          <w:t>亚纳秒非线性激活的相变驱动全光神经元</w:t>
        </w:r>
      </w:hyperlink>
    </w:p>
    <w:p>
      <w:pPr>
        <w:spacing w:before="0" w:after="80"/>
      </w:pPr>
      <w:r>
        <w:rPr>
          <w:i/>
          <w:sz w:val="20"/>
        </w:rPr>
        <w:t>EN: A Phase‐Transition‐Driven All‐Optical Neuron with Sub‐Nanosecond Nonlinear Activation</w:t>
      </w:r>
    </w:p>
    <w:p>
      <w:pPr>
        <w:spacing w:before="0" w:after="120"/>
      </w:pPr>
      <w:r>
        <w:rPr>
          <w:b/>
        </w:rPr>
        <w:t xml:space="preserve">Source: </w:t>
      </w:r>
      <w:r>
        <w:t>Wiley: Advanced Materials: Table of Contents</w:t>
      </w:r>
      <w:r>
        <w:t xml:space="preserve">    </w:t>
      </w:r>
      <w:r>
        <w:rPr>
          <w:b/>
        </w:rPr>
        <w:t xml:space="preserve">Pub date: </w:t>
      </w:r>
      <w:r>
        <w:t>2026-03-18 14:21:58+00:00</w:t>
      </w:r>
      <w:r>
        <w:t xml:space="preserve">    </w:t>
      </w:r>
      <w:r>
        <w:rPr>
          <w:b/>
        </w:rPr>
        <w:t xml:space="preserve">DOI: </w:t>
      </w:r>
      <w:hyperlink r:id="rId966">
        <w:r>
          <w:rPr>
            <w:color w:val="1155CC"/>
            <w:u w:val="single"/>
          </w:rPr>
          <w:t>10.1002/adma.202522820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子神经形态计算已成为人工智能（AI）超越传统集成电路计算限制的有效解决方案。神经元的非线性激活函数是深度神经网络的核心之一，深度神经网络是AI程序中最强大的工具之一，因为它们能够学习高度复杂的映射。目前，缺乏高速、低阈值的全光神经元是该领域的巨大挑战，导致对光电混合物的过度依赖。这种依赖需要频繁的光电转换，以便在光子和电子系统之间进行数据传输，导致相当大的延迟和增加的能量消耗。为了解决这些挑战，我们利用光-</w:t>
      </w:r>
    </w:p>
    <w:p>
      <w:pPr>
        <w:spacing w:before="0" w:after="200" w:lineRule="auto" w:line="276"/>
      </w:pPr>
      <w:r>
        <w:rPr>
          <w:b/>
        </w:rPr>
        <w:t xml:space="preserve">Abstract (EN): </w:t>
      </w:r>
      <w:r>
        <w:t>Photonic neuromorphic computing has emerged as a potent solution for artificial intelligence (AI) to transcend the computational constraints of traditional integrated circuits. Nonlinear activation functions of neurons are central to deep neural networks, one of the most powerful tools in AI programs, as they enable the learning of highly intricate mappings. Currently, the absence of high‐speed, low‐threshold all‐optical neurons presents a tremendous challenge in the field, leading to an overreliance on optoelectronic hybrids. This reliance necessitates frequent optoelectronic conversions for data transfer between photonic and electronic systems, leading to considerable latency and increased energy consumption. To address these challenges, we leveraged the light‐induced phase transition in elemental tellurium (Te) to develop an all‐optical neuron, which has achieved, for the first time, an ultrafast response at the picosecond level (∼260 ps), representing a nearly two orders of magnitude enhancement in speed compared to conventional all‐optical technologies. Furthermore, through an integrated hardware–software approach, we have effectively demonstrated the superiority of our Te neurons within a three‐layer deep neural network. The processing of nonlinear activation operations is accelerated by a factor of 100 compared to electronic neurons, with the added benefit of further enhancement by parallel processing. Additionally, the phase‐transition‐driven mechanism has granted Te neurons exceptional advantages in terms of feature size, threshold energy, and enhanced performance metrics. Indeed, the proposed all‐optical neuron holds immense promise for enhancing the integration density and energy efficiency of photonic neural networks. It demonstrates great potential to surmount the performance limitations imposed by electronic systems, heralding a new era in photonic computing.</w:t>
      </w:r>
    </w:p>
    <w:p>
      <w:pPr>
        <w:spacing w:before="120" w:after="120"/>
      </w:pPr>
      <w:r>
        <w:rPr>
          <w:sz w:val="18"/>
        </w:rPr>
        <w:t>——————————————————————————————————————————————————————————————————————</w:t>
      </w:r>
    </w:p>
    <w:p>
      <w:pPr>
        <w:spacing w:before="160" w:after="40" w:line="240" w:lineRule="auto"/>
      </w:pPr>
      <w:r>
        <w:rPr>
          <w:b/>
        </w:rPr>
        <w:t xml:space="preserve">[387] </w:t>
      </w:r>
      <w:hyperlink r:id="rId967">
        <w:r>
          <w:rPr>
            <w:color w:val="1155CC"/>
            <w:u w:val="single"/>
          </w:rPr>
          <w:t>构建可调谐分级纳米片及其在聚合物增强中的应用</w:t>
        </w:r>
      </w:hyperlink>
    </w:p>
    <w:p>
      <w:pPr>
        <w:spacing w:before="0" w:after="80"/>
      </w:pPr>
      <w:r>
        <w:rPr>
          <w:i/>
          <w:sz w:val="20"/>
        </w:rPr>
        <w:t>EN: Constructing Tunable Hierarchical Nanosheets and Their Application in Polymer Reinforcement</w:t>
      </w:r>
    </w:p>
    <w:p>
      <w:pPr>
        <w:spacing w:before="0" w:after="120"/>
      </w:pPr>
      <w:r>
        <w:rPr>
          <w:b/>
        </w:rPr>
        <w:t xml:space="preserve">Source: </w:t>
      </w:r>
      <w:r>
        <w:t>Wiley: Advanced Materials: Table of Contents</w:t>
      </w:r>
      <w:r>
        <w:t xml:space="preserve">    </w:t>
      </w:r>
      <w:r>
        <w:rPr>
          <w:b/>
        </w:rPr>
        <w:t xml:space="preserve">Pub date: </w:t>
      </w:r>
      <w:r>
        <w:t>2026-03-18 14:22:37+00:00</w:t>
      </w:r>
      <w:r>
        <w:t xml:space="preserve">    </w:t>
      </w:r>
      <w:r>
        <w:rPr>
          <w:b/>
        </w:rPr>
        <w:t xml:space="preserve">DOI: </w:t>
      </w:r>
      <w:hyperlink r:id="rId968">
        <w:r>
          <w:rPr>
            <w:color w:val="1155CC"/>
            <w:u w:val="single"/>
          </w:rPr>
          <w:t>10.1002/adma.72843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片材料因其特定的平面结构和大表面积而极具吸引力。然而，在从2D到3D尺度的空间域中制造具有形态和功能控制的纳米片结构仍然是一个巨大的挑战。在此，我们报告了一种基于液晶（LC）嵌段共聚物的简单一锅策略，用于创建具有可调几何形状和多级层次结构的纳米片。通过精细调整组装条件，实现了多种纳米片形态，包括多层叶状纳米片（MLNs）、多层矩形纳米片（MRNs）、3D堆叠叶状纳米片（SLNs）、3D堆叠矩形纳米片（SRNs）和堆叠花状纳米片（SFNs）。多样化的形成</w:t>
      </w:r>
    </w:p>
    <w:p>
      <w:pPr>
        <w:spacing w:before="0" w:after="200" w:lineRule="auto" w:line="276"/>
      </w:pPr>
      <w:r>
        <w:rPr>
          <w:b/>
        </w:rPr>
        <w:t xml:space="preserve">Abstract (EN): </w:t>
      </w:r>
      <w:r>
        <w:t>Nanosheet materials are tremendously attractive for their specific planar architecture and large surface area. However, fabricating nanosheet structures with morphological and functional control across spatial domains from the 2D to 3D scale remains a great challenge. Herein, we report a facile one‐pot strategy for creating nanosheets with tunable geometries and multilevel hierarchies based on a liquid crystalline (LC) block copolymer. By finely tuning the assembly conditions, a variety of nanosheet morphologies were achieved, including multilayer leaf‐like nanosheets (MLNs), multilayer rectangular nanosheets (MRNs), 3D stacked leaf‐like nanosheets (SLNs), 3D stacked rectangular nanosheets (SRNs), and stacked flower‐like nanosheets (SFNs). The formation of diverse nanosheet structures relies on LC ordering and the nucleation and growth tendencies of the copolymer. Particularly, we demonstrate that these hierarchical nanosheets are promising additives for polymer reinforcement. By mimicking biological reinforcing principles, SLNs integrating a large surface area with layered and anisotropic characteristics exhibit efficient toughening and strengthening effects through effective energy dissipation and crack deflection. This study not only offers a facile strategy for the design of nanosheet materials with precise control of their morphologies and dimensions but also provides new insight into using hierarchical nanosheet structures to achieve advanced polymer performance.</w:t>
      </w:r>
    </w:p>
    <w:p>
      <w:pPr>
        <w:spacing w:before="120" w:after="120"/>
      </w:pPr>
      <w:r>
        <w:rPr>
          <w:sz w:val="18"/>
        </w:rPr>
        <w:t>——————————————————————————————————————————————————————————————————————</w:t>
      </w:r>
    </w:p>
    <w:p>
      <w:pPr>
        <w:spacing w:before="160" w:after="40" w:line="240" w:lineRule="auto"/>
      </w:pPr>
      <w:r>
        <w:rPr>
          <w:b/>
        </w:rPr>
        <w:t xml:space="preserve">[388] </w:t>
      </w:r>
      <w:hyperlink r:id="rId969">
        <w:r>
          <w:rPr>
            <w:color w:val="1155CC"/>
            <w:u w:val="single"/>
          </w:rPr>
          <w:t>吲哚的对映选择性分子间光环加成</w:t>
        </w:r>
      </w:hyperlink>
    </w:p>
    <w:p>
      <w:pPr>
        <w:spacing w:before="0" w:after="80"/>
      </w:pPr>
      <w:r>
        <w:rPr>
          <w:i/>
          <w:sz w:val="20"/>
        </w:rPr>
        <w:t>EN: Enantioselective Intermolecular Photocycloaddition of Indoles</w:t>
      </w:r>
    </w:p>
    <w:p>
      <w:pPr>
        <w:spacing w:before="0" w:after="120"/>
      </w:pPr>
      <w:r>
        <w:rPr>
          <w:b/>
        </w:rPr>
        <w:t xml:space="preserve">Source: </w:t>
      </w:r>
      <w:r>
        <w:t>Wiley: Angewandte Chemie International Edition: Table of Contents</w:t>
      </w:r>
      <w:r>
        <w:t xml:space="preserve">    </w:t>
      </w:r>
      <w:r>
        <w:rPr>
          <w:b/>
        </w:rPr>
        <w:t xml:space="preserve">Pub date: </w:t>
      </w:r>
      <w:r>
        <w:t>2026-03-18 14:23:04+00:00</w:t>
      </w:r>
      <w:r>
        <w:t xml:space="preserve">    </w:t>
      </w:r>
      <w:r>
        <w:rPr>
          <w:b/>
        </w:rPr>
        <w:t xml:space="preserve">DOI: </w:t>
      </w:r>
      <w:hyperlink r:id="rId970">
        <w:r>
          <w:rPr>
            <w:color w:val="1155CC"/>
            <w:u w:val="single"/>
          </w:rPr>
          <w:t>10.1002/anie.202521736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杂芳烃的光环加成（PCA）合成环丁烷融合杂环已被广泛探索。然而，实现高对映选择性仍然具有挑战性。本文报告了一种在可见光照射下，吲哚与各种烯烃和芳基烯丙烯的高效且对映选择性的分子间[2+2]环加成反应。使用手性氧杂硼烷鎓离子（COBI）通过高效的B</w:t>
      </w:r>
      <w:r>
        <w:t xml:space="preserve"> </w:t>
      </w:r>
      <w:r>
        <w:t>COBI−O</w:t>
      </w:r>
      <w:r>
        <w:t xml:space="preserve"> </w:t>
      </w:r>
      <w:r>
        <w:t>sub</w:t>
      </w:r>
      <w:r>
        <w:t xml:space="preserve"> </w:t>
      </w:r>
      <w:r>
        <w:t>配位与吲哚底物结合。在光激发后，生成的加合物对烯烃进行自由基加成，决定对映体的</w:t>
      </w:r>
    </w:p>
    <w:p>
      <w:pPr>
        <w:spacing w:before="0" w:after="200" w:lineRule="auto" w:line="276"/>
      </w:pPr>
      <w:r>
        <w:rPr>
          <w:b/>
        </w:rPr>
        <w:t xml:space="preserve">Abstract (EN): </w:t>
      </w:r>
      <w:r>
        <w:t>The synthesis of cyclobutane‐fused heterocycles via photocycloaddition (PCA) of heteroarenes has been widely explored. However, achieving high enantioselectivity remains challenging. Represented herein is a report on an efficient and enantioselective intermolecular [2+2] cycloaddition of indoles with various alkenes and aryl allenes under visible light irradiation. A chiral oxazaborolidinium ion (</w:t>
      </w:r>
      <w:r>
        <w:t xml:space="preserve"> </w:t>
      </w:r>
      <w:r>
        <w:t>COBI</w:t>
      </w:r>
      <w:r>
        <w:t xml:space="preserve"> </w:t>
      </w:r>
      <w:r>
        <w:t>) was used to engage indole substrates via efficient B</w:t>
      </w:r>
      <w:r>
        <w:t xml:space="preserve"> </w:t>
      </w:r>
      <w:r>
        <w:t>COBI</w:t>
      </w:r>
      <w:r>
        <w:t xml:space="preserve"> </w:t>
      </w:r>
      <w:r>
        <w:t>−O</w:t>
      </w:r>
      <w:r>
        <w:t xml:space="preserve"> </w:t>
      </w:r>
      <w:r>
        <w:t>sub</w:t>
      </w:r>
      <w:r>
        <w:t xml:space="preserve"> </w:t>
      </w:r>
      <w:r>
        <w:t>coordination. Upon photoexcitation, the resulting adduct undergoes radical addition to alkenes, the enantio‐determining step, followed by radical recombination to afford cyclobutane products. This strategy significantly expands substrate compatibility and functional group tolerance, providing an efficient and versatile route to enantioenriched cyclobutane‐fused heterocycles.</w:t>
      </w:r>
    </w:p>
    <w:p>
      <w:pPr>
        <w:spacing w:before="120" w:after="120"/>
      </w:pPr>
      <w:r>
        <w:rPr>
          <w:sz w:val="18"/>
        </w:rPr>
        <w:t>——————————————————————————————————————————————————————————————————————</w:t>
      </w:r>
    </w:p>
    <w:p>
      <w:pPr>
        <w:spacing w:before="160" w:after="40" w:line="240" w:lineRule="auto"/>
      </w:pPr>
      <w:r>
        <w:rPr>
          <w:b/>
        </w:rPr>
        <w:t xml:space="preserve">[389] </w:t>
      </w:r>
      <w:hyperlink r:id="rId971">
        <w:r>
          <w:rPr>
            <w:color w:val="1155CC"/>
            <w:u w:val="single"/>
          </w:rPr>
          <w:t>余辉材料的伪同系掺杂策略</w:t>
        </w:r>
      </w:hyperlink>
    </w:p>
    <w:p>
      <w:pPr>
        <w:spacing w:before="0" w:after="80"/>
      </w:pPr>
      <w:r>
        <w:rPr>
          <w:i/>
          <w:sz w:val="20"/>
        </w:rPr>
        <w:t>EN: Pseudo‐Homologue Doping Strategy for Afterglow Materials</w:t>
      </w:r>
    </w:p>
    <w:p>
      <w:pPr>
        <w:spacing w:before="0" w:after="120"/>
      </w:pPr>
      <w:r>
        <w:rPr>
          <w:b/>
        </w:rPr>
        <w:t xml:space="preserve">Source: </w:t>
      </w:r>
      <w:r>
        <w:t>Wiley: Angewandte Chemie International Edition: Table of Contents</w:t>
      </w:r>
      <w:r>
        <w:t xml:space="preserve">    </w:t>
      </w:r>
      <w:r>
        <w:rPr>
          <w:b/>
        </w:rPr>
        <w:t xml:space="preserve">Pub date: </w:t>
      </w:r>
      <w:r>
        <w:t>2026-03-18 14:24:40+00:00</w:t>
      </w:r>
      <w:r>
        <w:t xml:space="preserve">    </w:t>
      </w:r>
      <w:r>
        <w:rPr>
          <w:b/>
        </w:rPr>
        <w:t xml:space="preserve">DOI: </w:t>
      </w:r>
      <w:hyperlink r:id="rId972">
        <w:r>
          <w:rPr>
            <w:color w:val="1155CC"/>
            <w:u w:val="single"/>
          </w:rPr>
          <w:t>10.1002/anie.5554671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近年来，有机磷光材料中的杂质引起了广泛讨论。在这项工作中，我们证明了商业苯甲酸（BCA）衍生物的令人印象深刻的余辉归因于被鉴定为联苯羧酸衍生物的微量杂质。其中一种杂质甚至在掺杂比例低至0.1 ppm（摩尔比）时诱导可检测的磷光。受杂质与主要成分之间结构相似性的启发，我们提出了一种伪同系物策略来构建余辉材料。基于该模型，使用了几组化合物来制备275个掺杂样品。令人惊讶的是，伪同系物的余辉成功率显著高于</w:t>
      </w:r>
    </w:p>
    <w:p>
      <w:pPr>
        <w:spacing w:before="0" w:after="200" w:lineRule="auto" w:line="276"/>
      </w:pPr>
      <w:r>
        <w:rPr>
          <w:b/>
        </w:rPr>
        <w:t xml:space="preserve">Abstract (EN): </w:t>
      </w:r>
      <w:r>
        <w:t>Impurities in organic phosphorescent materials have caused extensive discussions in recent years. In this work, we demonstrate the impressive afterglow of commercial benzene‐carboxylic acid (BCA) derivatives are attributed to trace impurities identified as biphenyl carboxylic acid derivatives. One of the impurities even induces detectable phosphorescence when the doping ratio is as low as 0.1 ppm (molar ratio). Inspired by the structural similarity between impurities and the main component, we propose a pseudo‐homologues strategy for constructing afterglow materials. Based on this model, several groups of compounds are used to prepare 275 doped samples. Surprisingly, pseudo‐homologues exhibit a markedly higher success rate for afterglow (73.3%) compared to that of other samples (6.5%). This structural model offers new perspectives for the construction of dual‐component afterglow materials.</w:t>
      </w:r>
    </w:p>
    <w:p>
      <w:pPr>
        <w:spacing w:before="120" w:after="120"/>
      </w:pPr>
      <w:r>
        <w:rPr>
          <w:sz w:val="18"/>
        </w:rPr>
        <w:t>——————————————————————————————————————————————————————————————————————</w:t>
      </w:r>
    </w:p>
    <w:p>
      <w:pPr>
        <w:spacing w:before="160" w:after="40" w:line="240" w:lineRule="auto"/>
      </w:pPr>
      <w:r>
        <w:rPr>
          <w:b/>
        </w:rPr>
        <w:t xml:space="preserve">[390] </w:t>
      </w:r>
      <w:hyperlink r:id="rId973">
        <w:r>
          <w:rPr>
            <w:color w:val="1155CC"/>
            <w:u w:val="single"/>
          </w:rPr>
          <w:t>钙基电池机制和计算洞察的进展</w:t>
        </w:r>
      </w:hyperlink>
    </w:p>
    <w:p>
      <w:pPr>
        <w:spacing w:before="0" w:after="80"/>
      </w:pPr>
      <w:r>
        <w:rPr>
          <w:i/>
          <w:sz w:val="20"/>
        </w:rPr>
        <w:t>EN: Advances in Mechanisms and Computational Insights into Calcium‐Based Batteries</w:t>
      </w:r>
    </w:p>
    <w:p>
      <w:pPr>
        <w:spacing w:before="0" w:after="120"/>
      </w:pPr>
      <w:r>
        <w:rPr>
          <w:b/>
        </w:rPr>
        <w:t xml:space="preserve">Source: </w:t>
      </w:r>
      <w:r>
        <w:t>Wiley: Advanced Materials: Table of Contents</w:t>
      </w:r>
      <w:r>
        <w:t xml:space="preserve">    </w:t>
      </w:r>
      <w:r>
        <w:rPr>
          <w:b/>
        </w:rPr>
        <w:t xml:space="preserve">Pub date: </w:t>
      </w:r>
      <w:r>
        <w:t>2026-03-18 14:30:00+00:00</w:t>
      </w:r>
      <w:r>
        <w:t xml:space="preserve">    </w:t>
      </w:r>
      <w:r>
        <w:rPr>
          <w:b/>
        </w:rPr>
        <w:t xml:space="preserve">DOI: </w:t>
      </w:r>
      <w:hyperlink r:id="rId974">
        <w:r>
          <w:rPr>
            <w:color w:val="1155CC"/>
            <w:u w:val="single"/>
          </w:rPr>
          <w:t>10.1002/adma.72810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对先进储能的需求不断增加，推动了多价电池系统的研究。钙基电池由于其显著优势，如高自然丰度、低氧化还原电位和具有竞争力的理论能量密度，已成为关键候选者。然而，其实际发展受到多价Ca</w:t>
      </w:r>
      <w:r>
        <w:t xml:space="preserve"> </w:t>
      </w:r>
      <w:r>
        <w:t>2+</w:t>
      </w:r>
      <w:r>
        <w:t xml:space="preserve"> </w:t>
      </w:r>
      <w:r>
        <w:t>离子复杂电化学的重大挑战的阻碍。本文综述了这些系统中基本的电荷存储机制，包括嵌入、转化、有机氧化还原和合金化反应。通过多尺度计算建模，主要利用DFT和MD方法。</w:t>
      </w:r>
    </w:p>
    <w:p>
      <w:pPr>
        <w:spacing w:before="0" w:after="200" w:lineRule="auto" w:line="276"/>
      </w:pPr>
      <w:r>
        <w:rPr>
          <w:b/>
        </w:rPr>
        <w:t xml:space="preserve">Abstract (EN): </w:t>
      </w:r>
      <w:r>
        <w:t>The escalating demand for advanced energy storage is fueling research into multivalent battery systems. Calcium‐based batteries have emerged as a pivotal candidate due to their compelling advantages, including high natural abundance, low redox potential, and competitive theoretical energy density. However, their practical development is hindered by considerable challenges arising from the complex electrochemistry of the multivalent Ca</w:t>
      </w:r>
      <w:r>
        <w:t xml:space="preserve"> </w:t>
      </w:r>
      <w:r>
        <w:t>2+</w:t>
      </w:r>
      <w:r>
        <w:t xml:space="preserve"> </w:t>
      </w:r>
      <w:r>
        <w:t>ion. This review provides a methodical examination of the fundamental charge storage mechanisms in these systems, encompassing intercalation, conversion, organic redox, and alloying reactions. Through multi‐scale computational modeling, primarily utilizing DFT and MD simulations, these mechanisms are examined in depth at the microscopic scale. We highlight how theoretical simulation offers critical guidance for experimental work, facilitating accelerated performance optimization. Finally, we outline prospective research directions and stress the vital synergy between theory and experiment as essential for advancing practical calcium‐based batteries.</w:t>
      </w:r>
    </w:p>
    <w:p>
      <w:pPr>
        <w:spacing w:before="120" w:after="120"/>
      </w:pPr>
      <w:r>
        <w:rPr>
          <w:sz w:val="18"/>
        </w:rPr>
        <w:t>——————————————————————————————————————————————————————————————————————</w:t>
      </w:r>
    </w:p>
    <w:p>
      <w:pPr>
        <w:spacing w:before="160" w:after="40" w:line="240" w:lineRule="auto"/>
      </w:pPr>
      <w:r>
        <w:rPr>
          <w:b/>
        </w:rPr>
        <w:t xml:space="preserve">[391] </w:t>
      </w:r>
      <w:hyperlink r:id="rId975">
        <w:r>
          <w:rPr>
            <w:color w:val="1155CC"/>
            <w:u w:val="single"/>
          </w:rPr>
          <w:t>基于编码机械阵列的可重构虚拟现实交互界面</w:t>
        </w:r>
      </w:hyperlink>
    </w:p>
    <w:p>
      <w:pPr>
        <w:spacing w:before="0" w:after="80"/>
      </w:pPr>
      <w:r>
        <w:rPr>
          <w:i/>
          <w:sz w:val="20"/>
        </w:rPr>
        <w:t>EN: Reconfigurable Virtual Reality Interaction Interface Based on Encoded Mechanical Array</w:t>
      </w:r>
    </w:p>
    <w:p>
      <w:pPr>
        <w:spacing w:before="0" w:after="120"/>
      </w:pPr>
      <w:r>
        <w:rPr>
          <w:b/>
        </w:rPr>
        <w:t xml:space="preserve">Source: </w:t>
      </w:r>
      <w:r>
        <w:t>Wiley: Advanced Materials: Table of Contents</w:t>
      </w:r>
      <w:r>
        <w:t xml:space="preserve">    </w:t>
      </w:r>
      <w:r>
        <w:rPr>
          <w:b/>
        </w:rPr>
        <w:t xml:space="preserve">Pub date: </w:t>
      </w:r>
      <w:r>
        <w:t>2026-03-18 14:31:20+00:00</w:t>
      </w:r>
      <w:r>
        <w:t xml:space="preserve">    </w:t>
      </w:r>
      <w:r>
        <w:rPr>
          <w:b/>
        </w:rPr>
        <w:t xml:space="preserve">DOI: </w:t>
      </w:r>
      <w:hyperlink r:id="rId976">
        <w:r>
          <w:rPr>
            <w:color w:val="1155CC"/>
            <w:u w:val="single"/>
          </w:rPr>
          <w:t>10.1002/adma.202516232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虚拟现实（VR）交互界面在连接物理世界和网络空间的生物力学特征中起着关键作用。然而，现有的用于VR手势识别的可拉伸应变传感器在灵敏度和工作范围之间存在固有的权衡，从而显著限制了其在多样化元宇宙场景中的适用性。在此，我们提出了一种基于编码机械阵列（EMA）的动态重构策略，以实现VR应用中可拉伸应变传感器灵敏度和工作范围的现场和可编程调节。EMA中的互锁液态金属单元受榫卯设计启发，在外部磁场和机械应力下实现可逆的断裂-愈合循环。</w:t>
      </w:r>
    </w:p>
    <w:p>
      <w:pPr>
        <w:spacing w:before="0" w:after="200" w:lineRule="auto" w:line="276"/>
      </w:pPr>
      <w:r>
        <w:rPr>
          <w:b/>
        </w:rPr>
        <w:t xml:space="preserve">Abstract (EN): </w:t>
      </w:r>
      <w:r>
        <w:t>Virtual reality (VR) interaction interface plays a critical role in bridging biomechanical signatures between physical world and cyberspace. However, existing stretchable strain sensors for VR gesture recognition face an inherent trade‐off between sensitivity and operating range, thereby significantly limiting their applicability across diverse metaverse scenarios. Here, we present a dynamic reconfiguration strategy based on an encoded mechanical array (EMA) to enable in‐field and programmable tuning of sensitivity and operating range for stretchable strain sensors in VR applications. The interlocked liquid metal units in EMA, which are inspired by mortise‐and‐tenon design, achieve reversible fracture‐healing cycles under external magnetic fields and mechanical stimuli, enabling programmable localized strain tunability (up to 71%) in EMA with binary coding. With the integration of EMA, the stretchable strain sensor is capable of switching between multiple operational modes across high‐precision detection (∼610% sensitivity enhancement) and wide‐range monitoring (∼220% range extension). By implementing the EMA‐based stretchable strain sensor array in the creation of a reconfigurable VR interaction interface, we achieve scenario‐adaptive hand motion tracking in a VR medical training platform for orthopedic and neurosurgical surgery simulations.</w:t>
      </w:r>
    </w:p>
    <w:p>
      <w:pPr>
        <w:spacing w:before="120" w:after="120"/>
      </w:pPr>
      <w:r>
        <w:rPr>
          <w:sz w:val="18"/>
        </w:rPr>
        <w:t>——————————————————————————————————————————————————————————————————————</w:t>
      </w:r>
    </w:p>
    <w:p>
      <w:pPr>
        <w:spacing w:before="160" w:after="40" w:line="240" w:lineRule="auto"/>
      </w:pPr>
      <w:r>
        <w:rPr>
          <w:b/>
        </w:rPr>
        <w:t xml:space="preserve">[392] </w:t>
      </w:r>
      <w:hyperlink r:id="rId977">
        <w:r>
          <w:rPr>
            <w:color w:val="1155CC"/>
            <w:u w:val="single"/>
          </w:rPr>
          <w:t>硫桥工程实现反向氢溢流至原子Cu用于硝酸盐到氨的电催化</w:t>
        </w:r>
      </w:hyperlink>
    </w:p>
    <w:p>
      <w:pPr>
        <w:spacing w:before="0" w:after="80"/>
      </w:pPr>
      <w:r>
        <w:rPr>
          <w:i/>
          <w:sz w:val="20"/>
        </w:rPr>
        <w:t>EN: Sulfur‐Bridge Engineering Enables Reverse Hydrogen Spillover to Atomic Cu for Nitrate‐to‐Ammonia Electrocatalysis</w:t>
      </w:r>
    </w:p>
    <w:p>
      <w:pPr>
        <w:spacing w:before="0" w:after="120"/>
      </w:pPr>
      <w:r>
        <w:rPr>
          <w:b/>
        </w:rPr>
        <w:t xml:space="preserve">Source: </w:t>
      </w:r>
      <w:r>
        <w:t>Wiley: Angewandte Chemie International Edition: Table of Contents</w:t>
      </w:r>
      <w:r>
        <w:t xml:space="preserve">    </w:t>
      </w:r>
      <w:r>
        <w:rPr>
          <w:b/>
        </w:rPr>
        <w:t xml:space="preserve">Pub date: </w:t>
      </w:r>
      <w:r>
        <w:t>2026-03-18 14:32:16+00:00</w:t>
      </w:r>
      <w:r>
        <w:t xml:space="preserve">    </w:t>
      </w:r>
      <w:r>
        <w:rPr>
          <w:b/>
        </w:rPr>
        <w:t xml:space="preserve">DOI: </w:t>
      </w:r>
      <w:hyperlink r:id="rId978">
        <w:r>
          <w:rPr>
            <w:color w:val="1155CC"/>
            <w:u w:val="single"/>
          </w:rPr>
          <w:t>10.1002/anie.7688164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铜基催化剂被广泛认为是电催化硝酸盐还原（NO</w:t>
      </w:r>
      <w:r>
        <w:rPr>
          <w:vertAlign w:val="subscript"/>
        </w:rPr>
        <w:t>3</w:t>
      </w:r>
      <w:r>
        <w:t>RR）的有前途的候选者，这是一种环保的氨合成途径，但其效率常常受到亚硝酸盐积累和在高电流密度下活性氢（*H）供应不足的限制。在此，孤立的Cu原子被锚定在空心Co</w:t>
      </w:r>
      <w:r>
        <w:rPr>
          <w:vertAlign w:val="subscript"/>
        </w:rPr>
        <w:t>3</w:t>
      </w:r>
      <w:r>
        <w:t>S</w:t>
      </w:r>
      <w:r>
        <w:rPr>
          <w:vertAlign w:val="subscript"/>
        </w:rPr>
        <w:t>4</w:t>
      </w:r>
      <w:r>
        <w:t>多面体框架中（Cu-Co</w:t>
      </w:r>
      <w:r>
        <w:rPr>
          <w:vertAlign w:val="subscript"/>
        </w:rPr>
        <w:t>3</w:t>
      </w:r>
      <w:r>
        <w:t>S</w:t>
      </w:r>
      <w:r>
        <w:rPr>
          <w:vertAlign w:val="subscript"/>
        </w:rPr>
        <w:t>4</w:t>
      </w:r>
      <w:r>
        <w:t>），生成硫桥接的不对称活性中心。电化学和计算研究表明，Co</w:t>
      </w:r>
      <w:r>
        <w:rPr>
          <w:vertAlign w:val="subscript"/>
        </w:rPr>
        <w:t>3</w:t>
      </w:r>
    </w:p>
    <w:p>
      <w:pPr>
        <w:spacing w:before="0" w:after="200" w:lineRule="auto" w:line="276"/>
      </w:pPr>
      <w:r>
        <w:rPr>
          <w:b/>
        </w:rPr>
        <w:t xml:space="preserve">Abstract (EN): </w:t>
      </w:r>
      <w:r>
        <w:t>Copper‐based catalysts are widely regarded as promising candidates for electrocatalytic nitrate reduction (NO</w:t>
      </w:r>
      <w:r>
        <w:rPr>
          <w:vertAlign w:val="subscript"/>
        </w:rPr>
        <w:t>3</w:t>
      </w:r>
      <w:r>
        <w:t>RR), an environmentally benign route to ammonia synthesis, yet their efficiency is often constrained by nitrite accumulation and insufficient active hydrogen (*H) supply at high current densities. Here, isolated Cu atoms were anchored into a hollow Co</w:t>
      </w:r>
      <w:r>
        <w:rPr>
          <w:vertAlign w:val="subscript"/>
        </w:rPr>
        <w:t>3</w:t>
      </w:r>
      <w:r>
        <w:t>S</w:t>
      </w:r>
      <w:r>
        <w:rPr>
          <w:vertAlign w:val="subscript"/>
        </w:rPr>
        <w:t>4</w:t>
      </w:r>
      <w:r>
        <w:t>polyhedral framework (Cu‐Co</w:t>
      </w:r>
      <w:r>
        <w:rPr>
          <w:vertAlign w:val="subscript"/>
        </w:rPr>
        <w:t>3</w:t>
      </w:r>
      <w:r>
        <w:t>S</w:t>
      </w:r>
      <w:r>
        <w:rPr>
          <w:vertAlign w:val="subscript"/>
        </w:rPr>
        <w:t>4</w:t>
      </w:r>
      <w:r>
        <w:t>), generating a sulfur bridged asymmetric active center. Electrochemical and computational studies reveal that Co</w:t>
      </w:r>
      <w:r>
        <w:rPr>
          <w:vertAlign w:val="subscript"/>
        </w:rPr>
        <w:t>3</w:t>
      </w:r>
      <w:r>
        <w:t>S</w:t>
      </w:r>
      <w:r>
        <w:rPr>
          <w:vertAlign w:val="subscript"/>
        </w:rPr>
        <w:t>4</w:t>
      </w:r>
      <w:r>
        <w:t>functions as an efficient *H donor, transferring hydrogen species to Cu sites through a sulfur bridge mediated reverse hydrogen spillover process, thereby accelerating the hydrogenation of nitrogen intermediates. By precisely tuning the Cu site density to balance nitrogen intermediate adsorption with *H supply, the optimized Cu</w:t>
      </w:r>
      <w:r>
        <w:t xml:space="preserve"> </w:t>
      </w:r>
      <w:r>
        <w:t>1.01wt%</w:t>
      </w:r>
      <w:r>
        <w:t xml:space="preserve"> </w:t>
      </w:r>
      <w:r>
        <w:t>‐Co</w:t>
      </w:r>
      <w:r>
        <w:rPr>
          <w:vertAlign w:val="subscript"/>
        </w:rPr>
        <w:t>3</w:t>
      </w:r>
      <w:r>
        <w:t>S</w:t>
      </w:r>
      <w:r>
        <w:rPr>
          <w:vertAlign w:val="subscript"/>
        </w:rPr>
        <w:t>4</w:t>
      </w:r>
      <w:r>
        <w:t>catalyst delivers an exceptional NH</w:t>
      </w:r>
      <w:r>
        <w:rPr>
          <w:vertAlign w:val="subscript"/>
        </w:rPr>
        <w:t>3</w:t>
      </w:r>
      <w:r>
        <w:t>yield rate of 94.52 mg h</w:t>
      </w:r>
      <w:r>
        <w:t xml:space="preserve"> </w:t>
      </w:r>
      <w:r>
        <w:t>−1</w:t>
      </w:r>
      <w:r>
        <w:t xml:space="preserve"> </w:t>
      </w:r>
      <w:r>
        <w:t>mg</w:t>
      </w:r>
      <w:r>
        <w:t xml:space="preserve"> </w:t>
      </w:r>
      <w:r>
        <w:t>cat.</w:t>
      </w:r>
      <w:r>
        <w:t xml:space="preserve"> </w:t>
      </w:r>
      <w:r>
        <w:t>−1</w:t>
      </w:r>
      <w:r>
        <w:t xml:space="preserve"> </w:t>
      </w:r>
      <w:r>
        <w:t>(18.90 mg h</w:t>
      </w:r>
      <w:r>
        <w:t xml:space="preserve"> </w:t>
      </w:r>
      <w:r>
        <w:t>−1</w:t>
      </w:r>
      <w:r>
        <w:t xml:space="preserve"> </w:t>
      </w:r>
      <w:r>
        <w:t>cm</w:t>
      </w:r>
      <w:r>
        <w:t xml:space="preserve"> </w:t>
      </w:r>
      <w:r>
        <w:t>−2</w:t>
      </w:r>
      <w:r>
        <w:t xml:space="preserve"> </w:t>
      </w:r>
      <w:r>
        <w:t>) and a Faradaic efficiency (FE) of 95.18% at −0.8 V vs reversible hydrogen electrode. The catalyst also exhibits remarkable durability over 300 h at −200 mA cm</w:t>
      </w:r>
      <w:r>
        <w:t xml:space="preserve"> </w:t>
      </w:r>
      <w:r>
        <w:t>−2</w:t>
      </w:r>
      <w:r>
        <w:t xml:space="preserve"> </w:t>
      </w:r>
      <w:r>
        <w:t>and performs effectively in zinc‐nitrate batteries. These findings highlight the importance of coupling intermediate activation with hydrogenation kinetics and provide guiding principles for the rational design of high efficiency NO</w:t>
      </w:r>
      <w:r>
        <w:rPr>
          <w:vertAlign w:val="subscript"/>
        </w:rPr>
        <w:t>3</w:t>
      </w:r>
      <w:r>
        <w:t>RR electrocatalysts.</w:t>
      </w:r>
    </w:p>
    <w:p>
      <w:pPr>
        <w:spacing w:before="120" w:after="120"/>
      </w:pPr>
      <w:r>
        <w:rPr>
          <w:sz w:val="18"/>
        </w:rPr>
        <w:t>——————————————————————————————————————————————————————————————————————</w:t>
      </w:r>
    </w:p>
    <w:p>
      <w:pPr>
        <w:spacing w:before="160" w:after="40" w:line="240" w:lineRule="auto"/>
      </w:pPr>
      <w:r>
        <w:rPr>
          <w:b/>
        </w:rPr>
        <w:t xml:space="preserve">[393] </w:t>
      </w:r>
      <w:hyperlink r:id="rId979">
        <w:r>
          <w:rPr>
            <w:color w:val="1155CC"/>
            <w:u w:val="single"/>
          </w:rPr>
          <w:t>能量中继工程化上转换发射具有内在环境响应性</w:t>
        </w:r>
      </w:hyperlink>
    </w:p>
    <w:p>
      <w:pPr>
        <w:spacing w:before="0" w:after="80"/>
      </w:pPr>
      <w:r>
        <w:rPr>
          <w:i/>
          <w:sz w:val="20"/>
        </w:rPr>
        <w:t>EN: Energy‐Relay‐Engineered Upconversion Emission with Intrinsic Environmental Responsiveness</w:t>
      </w:r>
    </w:p>
    <w:p>
      <w:pPr>
        <w:spacing w:before="0" w:after="120"/>
      </w:pPr>
      <w:r>
        <w:rPr>
          <w:b/>
        </w:rPr>
        <w:t xml:space="preserve">Source: </w:t>
      </w:r>
      <w:r>
        <w:t>Wiley: Advanced Materials: Table of Contents</w:t>
      </w:r>
      <w:r>
        <w:t xml:space="preserve">    </w:t>
      </w:r>
      <w:r>
        <w:rPr>
          <w:b/>
        </w:rPr>
        <w:t xml:space="preserve">Pub date: </w:t>
      </w:r>
      <w:r>
        <w:t>2026-03-18 14:32:29+00:00</w:t>
      </w:r>
      <w:r>
        <w:t xml:space="preserve">    </w:t>
      </w:r>
      <w:r>
        <w:rPr>
          <w:b/>
        </w:rPr>
        <w:t xml:space="preserve">DOI: </w:t>
      </w:r>
      <w:hyperlink r:id="rId980">
        <w:r>
          <w:rPr>
            <w:color w:val="1155CC"/>
            <w:u w:val="single"/>
          </w:rPr>
          <w:t>10.1002/adma.72806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基于镧系元素的上转换纳米颗粒（UCNPs）具有优异的光稳定性和大的反斯托克斯位移，但通常由于环境响应性差而限制了传感应用。为了解决这一挑战，我们通过将近红外（NIR）染料与掺杂Er</w:t>
      </w:r>
      <w:r>
        <w:t xml:space="preserve"> </w:t>
      </w:r>
      <w:r>
        <w:t>3+</w:t>
      </w:r>
      <w:r>
        <w:t xml:space="preserve"> </w:t>
      </w:r>
      <w:r>
        <w:t>/Tm</w:t>
      </w:r>
      <w:r>
        <w:t xml:space="preserve"> </w:t>
      </w:r>
      <w:r>
        <w:t>3+</w:t>
      </w:r>
      <w:r>
        <w:t xml:space="preserve"> </w:t>
      </w:r>
      <w:r>
        <w:t>的UCNPs集成，开发了一种能量中继策略。在980 nm激发下，Yb</w:t>
      </w:r>
      <w:r>
        <w:t xml:space="preserve"> </w:t>
      </w:r>
      <w:r>
        <w:t>3+</w:t>
      </w:r>
      <w:r>
        <w:t xml:space="preserve"> </w:t>
      </w:r>
      <w:r>
        <w:t>将能量传递给Tm</w:t>
      </w:r>
      <w:r>
        <w:t xml:space="preserve"> </w:t>
      </w:r>
      <w:r>
        <w:t>3+</w:t>
      </w:r>
      <w:r>
        <w:t xml:space="preserve"> </w:t>
      </w:r>
      <w:r>
        <w:t>和Er</w:t>
      </w:r>
      <w:r>
        <w:t xml:space="preserve"> </w:t>
      </w:r>
      <w:r>
        <w:t>3+</w:t>
      </w:r>
      <w:r>
        <w:t xml:space="preserve"> </w:t>
      </w:r>
      <w:r>
        <w:t>，激发的Tm</w:t>
      </w:r>
      <w:r>
        <w:t xml:space="preserve"> </w:t>
      </w:r>
      <w:r>
        <w:t>3+</w:t>
      </w:r>
      <w:r>
        <w:t xml:space="preserve"> </w:t>
      </w:r>
      <w:r>
        <w:t>离子随后将能量传递给NIR染料如Cy7.5，然后再将其传递回去。</w:t>
      </w:r>
    </w:p>
    <w:p>
      <w:pPr>
        <w:spacing w:before="0" w:after="200" w:lineRule="auto" w:line="276"/>
      </w:pPr>
      <w:r>
        <w:rPr>
          <w:b/>
        </w:rPr>
        <w:t xml:space="preserve">Abstract (EN): </w:t>
      </w:r>
      <w:r>
        <w:t>Lanthanide‐based upconversion nanoparticles (UCNPs) offer excellent photostability and large anti‐Stokes shifts but are often limited by poor environmental responsiveness, hindering sensing applications. To address this challenge, we developed an energy‐relay strategy by integrating near‐infrared (NIR) dyes with Er</w:t>
      </w:r>
      <w:r>
        <w:t xml:space="preserve"> </w:t>
      </w:r>
      <w:r>
        <w:t>3+</w:t>
      </w:r>
      <w:r>
        <w:t xml:space="preserve"> </w:t>
      </w:r>
      <w:r>
        <w:t>/Tm</w:t>
      </w:r>
      <w:r>
        <w:t xml:space="preserve"> </w:t>
      </w:r>
      <w:r>
        <w:t>3+</w:t>
      </w:r>
      <w:r>
        <w:t xml:space="preserve"> </w:t>
      </w:r>
      <w:r>
        <w:t>doped UCNPs. Under 980 nm excitation, Yb</w:t>
      </w:r>
      <w:r>
        <w:t xml:space="preserve"> </w:t>
      </w:r>
      <w:r>
        <w:t>3+</w:t>
      </w:r>
      <w:r>
        <w:t xml:space="preserve"> </w:t>
      </w:r>
      <w:r>
        <w:t>transfers energy to Tm</w:t>
      </w:r>
      <w:r>
        <w:t xml:space="preserve"> </w:t>
      </w:r>
      <w:r>
        <w:t>3+</w:t>
      </w:r>
      <w:r>
        <w:t xml:space="preserve"> </w:t>
      </w:r>
      <w:r>
        <w:t>and Er</w:t>
      </w:r>
      <w:r>
        <w:t xml:space="preserve"> </w:t>
      </w:r>
      <w:r>
        <w:t>3+</w:t>
      </w:r>
      <w:r>
        <w:t xml:space="preserve"> </w:t>
      </w:r>
      <w:r>
        <w:t>, excited Tm</w:t>
      </w:r>
      <w:r>
        <w:t xml:space="preserve"> </w:t>
      </w:r>
      <w:r>
        <w:t>3+</w:t>
      </w:r>
      <w:r>
        <w:t xml:space="preserve"> </w:t>
      </w:r>
      <w:r>
        <w:t>ions then pass their energy to NIR dyes such as Cy7.5, which subsequently relay it back to Yb</w:t>
      </w:r>
      <w:r>
        <w:t xml:space="preserve"> </w:t>
      </w:r>
      <w:r>
        <w:t>3+</w:t>
      </w:r>
      <w:r>
        <w:t xml:space="preserve"> </w:t>
      </w:r>
      <w:r>
        <w:t>ions, enabling a second Yb</w:t>
      </w:r>
      <w:r>
        <w:t xml:space="preserve"> </w:t>
      </w:r>
      <w:r>
        <w:t>3+</w:t>
      </w:r>
      <w:r>
        <w:t xml:space="preserve"> </w:t>
      </w:r>
      <w:r>
        <w:t>‐to‐Er</w:t>
      </w:r>
      <w:r>
        <w:t xml:space="preserve"> </w:t>
      </w:r>
      <w:r>
        <w:t>3+</w:t>
      </w:r>
      <w:r>
        <w:t xml:space="preserve"> </w:t>
      </w:r>
      <w:r>
        <w:t>energy transfer. This cascade process amplifies Er</w:t>
      </w:r>
      <w:r>
        <w:t xml:space="preserve"> </w:t>
      </w:r>
      <w:r>
        <w:t>3+</w:t>
      </w:r>
      <w:r>
        <w:t xml:space="preserve"> </w:t>
      </w:r>
      <w:r>
        <w:t>emission while quenching Tm</w:t>
      </w:r>
      <w:r>
        <w:rPr>
          <w:vertAlign w:val="subscript"/>
        </w:rPr>
        <w:t>3</w:t>
      </w:r>
      <w:r>
        <w:t>+</w:t>
      </w:r>
      <w:r>
        <w:t xml:space="preserve"> </w:t>
      </w:r>
      <w:r>
        <w:t>emission. In Cy7.5‐modified Er</w:t>
      </w:r>
      <w:r>
        <w:t xml:space="preserve"> </w:t>
      </w:r>
      <w:r>
        <w:t>3+</w:t>
      </w:r>
      <w:r>
        <w:t xml:space="preserve"> </w:t>
      </w:r>
      <w:r>
        <w:t>/Tm</w:t>
      </w:r>
      <w:r>
        <w:t xml:space="preserve"> </w:t>
      </w:r>
      <w:r>
        <w:t>3+</w:t>
      </w:r>
      <w:r>
        <w:t xml:space="preserve"> </w:t>
      </w:r>
      <w:r>
        <w:t>doped UCNPs (NaYbF</w:t>
      </w:r>
      <w:r>
        <w:rPr>
          <w:vertAlign w:val="subscript"/>
        </w:rPr>
        <w:t>4</w:t>
      </w:r>
      <w:r>
        <w:t>:Er@NaYbF</w:t>
      </w:r>
      <w:r>
        <w:rPr>
          <w:vertAlign w:val="subscript"/>
        </w:rPr>
        <w:t>4</w:t>
      </w:r>
      <w:r>
        <w:t>@NaYbF</w:t>
      </w:r>
      <w:r>
        <w:rPr>
          <w:vertAlign w:val="subscript"/>
        </w:rPr>
        <w:t>4</w:t>
      </w:r>
      <w:r>
        <w:t>:Tm@NaYbF</w:t>
      </w:r>
      <w:r>
        <w:rPr>
          <w:vertAlign w:val="subscript"/>
        </w:rPr>
        <w:t>4</w:t>
      </w:r>
      <w:r>
        <w:t>@NaLuF</w:t>
      </w:r>
      <w:r>
        <w:rPr>
          <w:vertAlign w:val="subscript"/>
        </w:rPr>
        <w:t>4</w:t>
      </w:r>
      <w:r>
        <w:t>), the energy‐relay effect enhances the Er</w:t>
      </w:r>
      <w:r>
        <w:t xml:space="preserve"> </w:t>
      </w:r>
      <w:r>
        <w:t>3+</w:t>
      </w:r>
      <w:r>
        <w:t xml:space="preserve"> </w:t>
      </w:r>
      <w:r>
        <w:t>/Tm</w:t>
      </w:r>
      <w:r>
        <w:t xml:space="preserve"> </w:t>
      </w:r>
      <w:r>
        <w:t>3+</w:t>
      </w:r>
      <w:r>
        <w:t xml:space="preserve"> </w:t>
      </w:r>
      <w:r>
        <w:t>ratiometric signal by two orders of magnitude. The process is highly dependent on the dopant architecture, as swapping Er</w:t>
      </w:r>
      <w:r>
        <w:t xml:space="preserve"> </w:t>
      </w:r>
      <w:r>
        <w:t>3+</w:t>
      </w:r>
      <w:r>
        <w:t xml:space="preserve"> </w:t>
      </w:r>
      <w:r>
        <w:t>and Tm</w:t>
      </w:r>
      <w:r>
        <w:t xml:space="preserve"> </w:t>
      </w:r>
      <w:r>
        <w:t>3+</w:t>
      </w:r>
      <w:r>
        <w:t xml:space="preserve"> </w:t>
      </w:r>
      <w:r>
        <w:t>positions disrupts the relay. The generality of this strategy is supported by similar energy‐relay observed with Cy7 and IR806. Despite the incorporation of dyes, our energy‐relay design retains the excellent photostability characteristic of lanthanide upconversion while introducing environmental responsiveness. As a proof of concept, the energy‐relay nanoprobe demonstrated high sensitivity in both thermal and chemical sensing. Our findings establish energy‐relay engineering as a versatile design principle for designing stable, efficient, and responsive upconversion nanoprobe platforms.</w:t>
      </w:r>
    </w:p>
    <w:p>
      <w:pPr>
        <w:spacing w:before="120" w:after="120"/>
      </w:pPr>
      <w:r>
        <w:rPr>
          <w:sz w:val="18"/>
        </w:rPr>
        <w:t>——————————————————————————————————————————————————————————————————————</w:t>
      </w:r>
    </w:p>
    <w:p>
      <w:pPr>
        <w:spacing w:before="160" w:after="40" w:line="240" w:lineRule="auto"/>
      </w:pPr>
      <w:r>
        <w:rPr>
          <w:b/>
        </w:rPr>
        <w:t xml:space="preserve">[394] </w:t>
      </w:r>
      <w:hyperlink r:id="rId981">
        <w:r>
          <w:rPr>
            <w:color w:val="1155CC"/>
            <w:u w:val="single"/>
          </w:rPr>
          <w:t>[ASAP] 原子尺度成像揭示二维分子超晶格中的极性-π相互作用</w:t>
        </w:r>
      </w:hyperlink>
    </w:p>
    <w:p>
      <w:pPr>
        <w:spacing w:before="0" w:after="80"/>
      </w:pPr>
      <w:r>
        <w:rPr>
          <w:i/>
          <w:sz w:val="20"/>
        </w:rPr>
        <w:t>EN: [ASAP] Atomic-Scale Imaging Reveals Polar-π Interactions in Two-Dimensional Molecular Superlattices</w:t>
      </w:r>
    </w:p>
    <w:p>
      <w:pPr>
        <w:spacing w:before="0" w:after="120"/>
      </w:pPr>
      <w:r>
        <w:rPr>
          <w:b/>
        </w:rPr>
        <w:t xml:space="preserve">Source: </w:t>
      </w:r>
      <w:r>
        <w:t>Journal of the American Chemical Society: Latest Articles (ACS Publications)</w:t>
      </w:r>
      <w:r>
        <w:t xml:space="preserve">    </w:t>
      </w:r>
      <w:r>
        <w:rPr>
          <w:b/>
        </w:rPr>
        <w:t xml:space="preserve">Pub date: </w:t>
      </w:r>
      <w:r>
        <w:t>2026-03-18 14:34:31+00:00</w:t>
      </w:r>
      <w:r>
        <w:t xml:space="preserve">    </w:t>
      </w:r>
      <w:r>
        <w:rPr>
          <w:b/>
        </w:rPr>
        <w:t xml:space="preserve">DOI: </w:t>
      </w:r>
      <w:hyperlink r:id="rId982">
        <w:r>
          <w:rPr>
            <w:color w:val="1155CC"/>
            <w:u w:val="single"/>
          </w:rPr>
          <w:t>10.1021/jacs.5c19396</w:t>
        </w:r>
      </w:hyperlink>
    </w:p>
    <w:p>
      <w:pPr>
        <w:spacing w:before="0" w:after="120"/>
      </w:pPr>
      <w:r>
        <w:rPr>
          <w:b/>
        </w:rPr>
        <w:t xml:space="preserve">Notes: </w:t>
      </w:r>
      <w:r>
        <w:t>abstract_source=pubmed</w:t>
      </w:r>
    </w:p>
    <w:p>
      <w:pPr>
        <w:spacing w:before="0" w:after="80" w:lineRule="auto" w:line="276"/>
      </w:pPr>
      <w:r>
        <w:rPr>
          <w:b/>
        </w:rPr>
        <w:t xml:space="preserve">摘要（ZH）: </w:t>
      </w:r>
      <w:r>
        <w:t>控制合成寡聚物在原子水平上组装成二元超晶格具有挑战性。我们报告了一种在寡聚肽类物质中编程极性-π相互作用的策略，这是一类序列定义的肽模拟物，促进了均匀二维（2D）超晶格的形成。引入了N-2-苯乙基和N-(2-全氟苯基)乙基侧链，尺寸相似，但具有对比的静电特性，在定义的序列位置生成有利的偶极芳香相互作用。所产生的纳米片根据侧链相互作用表现出不同的晶体图案：仅含一种芳香侧链的系统形成由π-π相互作用驱动的平行V形图案，而两种芳香侧链的组合则形成不同的</w:t>
      </w:r>
    </w:p>
    <w:p>
      <w:pPr>
        <w:spacing w:before="0" w:after="200" w:lineRule="auto" w:line="276"/>
      </w:pPr>
      <w:r>
        <w:rPr>
          <w:b/>
        </w:rPr>
        <w:t xml:space="preserve">Abstract (EN): </w:t>
      </w:r>
      <w:r>
        <w:t>Controlling coassembly of synthetic oligomers into binary superlattices at the atomic level is challenging. We report a strategy for programming polar-π interactions in oligomeric peptoids, a class of sequence-defined peptidomimetics, facilitating the formation of homogeneous two-dimensional (2D) superlattices. N-2-phenylethyl and N-(2-perfluorophenyl)ethyl side chains, similar in size, but with contrasting electrostatic characteristics, were introduced at defined sequence positions to generate favorable dipolar aromatic interactions. The resulting nanosheets exhibit different crystal motifs depending on the side chain interactions: systems containing only one type of aromatic side chain form a parallel V-shaped motif driven by π-π interactions, whereas a combination of both types of aromatic side chains, either within one backbone or through the coassembly of two distinct peptoids, adopt an antiparallel V-shaped superlattice with higher thermal stability, driven by polar-π interactions. Cryogenic transmission electron microscopy directly resolved the packing arrangement of perfluorophenyl and phenyl rings in individual nanosheet superlattices, confirming that intermolecular polar-π interaction dominates the superlattice motifs and increases lattice stability. Molecular dynamics simulations and density functional theory calculations further substantiate the energetic favorability of polar-π interactions over π-π interactions, rationalizing the formation of homogeneous superlattices with enhanced thermal stability. Our discoveries establish a design principle for binary coassembly using sequence-defined oligomers, which enables control over unit cell geometry, lattice stability, and molecular registration through aromatic side chain polarization and sequence control. This ability to program atomic-scale binary superlattices opens new avenues for designing functional 2D soft materials.</w:t>
      </w:r>
    </w:p>
    <w:p>
      <w:pPr>
        <w:spacing w:before="120" w:after="120"/>
      </w:pPr>
      <w:r>
        <w:rPr>
          <w:sz w:val="18"/>
        </w:rPr>
        <w:t>——————————————————————————————————————————————————————————————————————</w:t>
      </w:r>
    </w:p>
    <w:p>
      <w:pPr>
        <w:spacing w:before="160" w:after="40" w:line="240" w:lineRule="auto"/>
      </w:pPr>
      <w:r>
        <w:rPr>
          <w:b/>
        </w:rPr>
        <w:t xml:space="preserve">[395] </w:t>
      </w:r>
      <w:hyperlink r:id="rId983">
        <w:r>
          <w:rPr>
            <w:color w:val="1155CC"/>
            <w:u w:val="single"/>
          </w:rPr>
          <w:t>光图案化PEDOT:PSS用于高性能有机电化学晶体管</w:t>
        </w:r>
      </w:hyperlink>
    </w:p>
    <w:p>
      <w:pPr>
        <w:spacing w:before="0" w:after="80"/>
      </w:pPr>
      <w:r>
        <w:rPr>
          <w:i/>
          <w:sz w:val="20"/>
        </w:rPr>
        <w:t>EN: Photo‐Patternable PEDOT:PSS for High Performance Organic Electrochemical Transistors</w:t>
      </w:r>
    </w:p>
    <w:p>
      <w:pPr>
        <w:spacing w:before="0" w:after="120"/>
      </w:pPr>
      <w:r>
        <w:rPr>
          <w:b/>
        </w:rPr>
        <w:t xml:space="preserve">Source: </w:t>
      </w:r>
      <w:r>
        <w:t>Wiley: Advanced Materials: Table of Contents</w:t>
      </w:r>
      <w:r>
        <w:t xml:space="preserve">    </w:t>
      </w:r>
      <w:r>
        <w:rPr>
          <w:b/>
        </w:rPr>
        <w:t xml:space="preserve">Pub date: </w:t>
      </w:r>
      <w:r>
        <w:t>2026-03-18 14:36:13+00:00</w:t>
      </w:r>
      <w:r>
        <w:t xml:space="preserve">    </w:t>
      </w:r>
      <w:r>
        <w:rPr>
          <w:b/>
        </w:rPr>
        <w:t xml:space="preserve">DOI: </w:t>
      </w:r>
      <w:hyperlink r:id="rId984">
        <w:r>
          <w:rPr>
            <w:color w:val="1155CC"/>
            <w:u w:val="single"/>
          </w:rPr>
          <w:t>10.1002/adma.202521689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混合离子-电子导体（OMIECs）具有同时传输离子和电子电荷的独特能力，使其成为生物（离子）与人类技术（电子）之间交互的理想选择。OMIECs最初用于感知生物环境，现在用于开发能够无缝“与生物沟通”的类脑电路。然而，在复杂电路中图案化这些有机材料是一个挑战，因为传统的微加工技术并不完全兼容。目前的研究仍然严重依赖于一种称为剥离的技术，该技术涉及物理去除牺牲层，使得开发高度集成的电路变得繁琐。</w:t>
      </w:r>
      <w:r>
        <w:t xml:space="preserve"> </w:t>
      </w:r>
      <w:r>
        <w:t>为了规避这些制造</w:t>
      </w:r>
    </w:p>
    <w:p>
      <w:pPr>
        <w:spacing w:before="0" w:after="200" w:lineRule="auto" w:line="276"/>
      </w:pPr>
      <w:r>
        <w:rPr>
          <w:b/>
        </w:rPr>
        <w:t xml:space="preserve">Abstract (EN): </w:t>
      </w:r>
      <w:r>
        <w:t>Organic mixed ionic‐electronic conductors (OMIECs) have the unique ability to transport both ionic and electronic charges, making them the ideal choice for interaction between biology (ionic) and human technology (electronic). Applied first to sense biological environments, OMIECs are now used to develop brain‐inspired circuits capable of seamlessly “communicating” with biology. However, patterning these organic materials in complex circuits is a challenge as traditional microfabrication techniques are not fully compatible. Current research is still heavily relying on a technique called peel‐off, which involves the physical removal of a sacrificial layer, making it cumbersome to develop highly integrated circuits.</w:t>
      </w:r>
      <w:r>
        <w:t xml:space="preserve"> </w:t>
      </w:r>
      <w:r>
        <w:t>To circumvent these fabrication limitations, a photo‐patternable PEDOT:PSS is developed by blending it with a photo‐sensitive interpenetrating network, allowing features down to 2 µm to be patterned using photolithography on a wide range of substrates. The process fully retains the ability of the OMIEC to transport ions and electrical charges; moreover, organic electrochemical transistors fabricated using this technique outperform the widely used chemically‐cross‐linked GOPS PEDOT:PSS, while having a batch‐to‐batch variability below 5%. Our photo‐patterning process opens the door to monolithic fabrication of miniaturized and highly integrated circuits, allowing to push the limits of interaction between biology and man‐made technology.</w:t>
      </w:r>
    </w:p>
    <w:p>
      <w:pPr>
        <w:spacing w:before="120" w:after="120"/>
      </w:pPr>
      <w:r>
        <w:rPr>
          <w:sz w:val="18"/>
        </w:rPr>
        <w:t>——————————————————————————————————————————————————————————————————————</w:t>
      </w:r>
    </w:p>
    <w:p>
      <w:pPr>
        <w:spacing w:before="160" w:after="40" w:line="240" w:lineRule="auto"/>
      </w:pPr>
      <w:r>
        <w:rPr>
          <w:b/>
        </w:rPr>
        <w:t xml:space="preserve">[396] </w:t>
      </w:r>
      <w:hyperlink r:id="rId985">
        <w:r>
          <w:rPr>
            <w:color w:val="1155CC"/>
            <w:u w:val="single"/>
          </w:rPr>
          <w:t>晶体如火箭：通过溶剂混合物组成调节共晶体的显著温度</w:t>
        </w:r>
      </w:hyperlink>
    </w:p>
    <w:p>
      <w:pPr>
        <w:spacing w:before="0" w:after="80"/>
      </w:pPr>
      <w:r>
        <w:rPr>
          <w:i/>
          <w:sz w:val="20"/>
        </w:rPr>
        <w:t>EN: Crystals as Rockets: Modulation of the Salient Temperature in Cocrystals by Solvent Mixture Composition</w:t>
      </w:r>
    </w:p>
    <w:p>
      <w:pPr>
        <w:spacing w:before="0" w:after="120"/>
      </w:pPr>
      <w:r>
        <w:rPr>
          <w:b/>
        </w:rPr>
        <w:t xml:space="preserve">Source: </w:t>
      </w:r>
      <w:r>
        <w:t>Wiley: Angewandte Chemie International Edition: Table of Contents</w:t>
      </w:r>
      <w:r>
        <w:t xml:space="preserve">    </w:t>
      </w:r>
      <w:r>
        <w:rPr>
          <w:b/>
        </w:rPr>
        <w:t xml:space="preserve">Pub date: </w:t>
      </w:r>
      <w:r>
        <w:t>2026-03-18 14:36:37+00:00</w:t>
      </w:r>
      <w:r>
        <w:t xml:space="preserve">    </w:t>
      </w:r>
      <w:r>
        <w:rPr>
          <w:b/>
        </w:rPr>
        <w:t xml:space="preserve">DOI: </w:t>
      </w:r>
      <w:hyperlink r:id="rId986">
        <w:r>
          <w:rPr>
            <w:color w:val="1155CC"/>
            <w:u w:val="single"/>
          </w:rPr>
          <w:t>10.1002/anie.202526010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分子晶体中利用机械运动是开发新型能量转换材料的关键目标。在已知策略中，通过跳跃伴侣方法从晶格中喷射客体分子提供了一种直接的推进手段。在此，我们展示了吲哚[3,2-a]咔唑（ICZ）和（E）-1,2-二（4-吡啶基）乙烯（BPE）的同构共晶体，这些共晶体包含丙酮、乙酸乙酯或四氢呋喃等溶剂。X射线衍射和固态核磁共振（NMR）研究证实了溶剂或溶剂混合物的存在。加热时，这些通道型共晶体</w:t>
      </w:r>
    </w:p>
    <w:p>
      <w:pPr>
        <w:spacing w:before="0" w:after="200" w:lineRule="auto" w:line="276"/>
      </w:pPr>
      <w:r>
        <w:rPr>
          <w:b/>
        </w:rPr>
        <w:t xml:space="preserve">Abstract (EN): </w:t>
      </w:r>
      <w:r>
        <w:t>Harnessing mechanical motion in molecular crystals is a critical goal for developing novel energy conversion materials. Among known strategies, the ejection of guest molecules from the lattice via the</w:t>
      </w:r>
      <w:r>
        <w:t xml:space="preserve"> </w:t>
      </w:r>
      <w:r>
        <w:t>jumping‐mate</w:t>
      </w:r>
      <w:r>
        <w:t xml:space="preserve"> </w:t>
      </w:r>
      <w:r>
        <w:t>approach offers a direct means of propulsion. Here, we present isostructural cocrystals of indolo[3,2‐</w:t>
      </w:r>
      <w:r>
        <w:t xml:space="preserve"> </w:t>
      </w:r>
      <w:r>
        <w:t>a</w:t>
      </w:r>
      <w:r>
        <w:t xml:space="preserve"> </w:t>
      </w:r>
      <w:r>
        <w:t>]carbazole (ICZ) and (</w:t>
      </w:r>
      <w:r>
        <w:t xml:space="preserve"> </w:t>
      </w:r>
      <w:r>
        <w:t>E</w:t>
      </w:r>
      <w:r>
        <w:t xml:space="preserve"> </w:t>
      </w:r>
      <w:r>
        <w:t>)‐1,2‐di(pyridin‐4‐yl)ethene (BPE) that incorporate solvents such as acetone, ethyl acetate, or tetrahydrofuran. X‐ray diffraction and solid‐state nuclear magnetic resonance (NMR) studies confirmed the presence of solvents or solvent mixtures. Upon heating, these channel‐type cocrystals exhibit a thermosalient effect, with temperature regulation achieved by releasing pure or solvent mixtures. Differential scanning calorimetry and thermogravimetry (DSC–TGA) analyses revealed that the transition temperatures changed progressively, demonstrating controllable thermal actuation through the release of occluded solvents. This work demonstrates a simple yet powerful way to regulate mechanical responses in molecular crystals, thereby advancing the design of responsive energy conversion materials.</w:t>
      </w:r>
    </w:p>
    <w:p>
      <w:pPr>
        <w:spacing w:before="120" w:after="120"/>
      </w:pPr>
      <w:r>
        <w:rPr>
          <w:sz w:val="18"/>
        </w:rPr>
        <w:t>——————————————————————————————————————————————————————————————————————</w:t>
      </w:r>
    </w:p>
    <w:p>
      <w:pPr>
        <w:spacing w:before="160" w:after="40" w:line="240" w:lineRule="auto"/>
      </w:pPr>
      <w:r>
        <w:rPr>
          <w:b/>
        </w:rPr>
        <w:t xml:space="preserve">[397] </w:t>
      </w:r>
      <w:hyperlink r:id="rId987">
        <w:r>
          <w:rPr>
            <w:color w:val="1155CC"/>
            <w:u w:val="single"/>
          </w:rPr>
          <w:t>Ti基Kagome金属中的异常自旋光螺旋效应</w:t>
        </w:r>
      </w:hyperlink>
    </w:p>
    <w:p>
      <w:pPr>
        <w:spacing w:before="0" w:after="80"/>
      </w:pPr>
      <w:r>
        <w:rPr>
          <w:i/>
          <w:sz w:val="20"/>
        </w:rPr>
        <w:t>EN: Anomalous Spin‐Optical Helical Effect in Ti‐Based Kagome Metal</w:t>
      </w:r>
    </w:p>
    <w:p>
      <w:pPr>
        <w:spacing w:before="0" w:after="120"/>
      </w:pPr>
      <w:r>
        <w:rPr>
          <w:b/>
        </w:rPr>
        <w:t xml:space="preserve">Source: </w:t>
      </w:r>
      <w:r>
        <w:t>Wiley: Advanced Materials: Table of Contents</w:t>
      </w:r>
      <w:r>
        <w:t xml:space="preserve">    </w:t>
      </w:r>
      <w:r>
        <w:rPr>
          <w:b/>
        </w:rPr>
        <w:t xml:space="preserve">Pub date: </w:t>
      </w:r>
      <w:r>
        <w:t>2026-03-18 14:38:21+00:00</w:t>
      </w:r>
      <w:r>
        <w:t xml:space="preserve">    </w:t>
      </w:r>
      <w:r>
        <w:rPr>
          <w:b/>
        </w:rPr>
        <w:t xml:space="preserve">DOI: </w:t>
      </w:r>
      <w:hyperlink r:id="rId988">
        <w:r>
          <w:rPr>
            <w:color w:val="1155CC"/>
            <w:u w:val="single"/>
          </w:rPr>
          <w:t>10.1002/adma.202522533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Kagome晶格是一个丰富的平台，可以承载多种相关的量子现象，从电荷密度波和超导性到电子向列性和环电流状态。由于其复杂的空间排列和产生的弱磁场特征，直接检测Kagome系统中的环电流一直是一个艰巨的挑战，这使得它们的识别在实验上变得微妙。这使得它们的存在及其潜在机制成为激烈争论的话题。在这项工作中，我们发现了与环电流兼容的特征：超过传统二色性、自旋和自旋二色性响应的自旋手性选择信号。我们在Kagome金属中观察到了这种现象，并称之为t</w:t>
      </w:r>
    </w:p>
    <w:p>
      <w:pPr>
        <w:spacing w:before="0" w:after="200" w:lineRule="auto" w:line="276"/>
      </w:pPr>
      <w:r>
        <w:rPr>
          <w:b/>
        </w:rPr>
        <w:t xml:space="preserve">Abstract (EN): </w:t>
      </w:r>
      <w:r>
        <w:t>The kagome lattice stands as a rich platform for hosting a wide array of correlated quantum phenomena, ranging from charge density waves and superconductivity to electron nematicity and loop current states. Direct detection of loop currents in kagome systems has remained a formidable challenge due to their intricate spatial arrangements and the weak magnetic field signatures they produce, and this has made their identification experimentally subtle. This has left their existence and underlying mechanisms a topic of intense debate. In this work, we uncover signatures compatible with loop currents: spin handedness‐selective signals that surpass conventional dichroic, spin, and spin‐dichroic responses. We observe this phenomenon in the kagome metal  and we call it the anomalous spin‐optical helical effect. This effect arises from the coupling of light's helicity with spin‐orbital electron correlations, thereby providing an indirect yet sensitive approach to probe loop‐current–related electronic correlations in quantum materials. Our discovery not only enriches the debate surrounding loop currents but also offers new experimental strategies to exploit the electronic phases of quantum materials via light–matter interaction.</w:t>
      </w:r>
    </w:p>
    <w:p>
      <w:pPr>
        <w:spacing w:before="120" w:after="120"/>
      </w:pPr>
      <w:r>
        <w:rPr>
          <w:sz w:val="18"/>
        </w:rPr>
        <w:t>——————————————————————————————————————————————————————————————————————</w:t>
      </w:r>
    </w:p>
    <w:p>
      <w:pPr>
        <w:spacing w:before="160" w:after="40" w:line="240" w:lineRule="auto"/>
      </w:pPr>
      <w:r>
        <w:rPr>
          <w:b/>
        </w:rPr>
        <w:t xml:space="preserve">[398] </w:t>
      </w:r>
      <w:hyperlink r:id="rId989">
        <w:r>
          <w:rPr>
            <w:color w:val="1155CC"/>
            <w:u w:val="single"/>
          </w:rPr>
          <w:t>通过阴离子-π互锁作为可注射桥梁的免疫兼容导电水凝胶用于持续生物电子接口</w:t>
        </w:r>
      </w:hyperlink>
    </w:p>
    <w:p>
      <w:pPr>
        <w:spacing w:before="0" w:after="80"/>
      </w:pPr>
      <w:r>
        <w:rPr>
          <w:i/>
          <w:sz w:val="20"/>
        </w:rPr>
        <w:t>EN: An Immunocompatible Conductive Hydrogel Via Anion‐π Interlocking as an Injectable Bridge for Sustained Bioelectronic Interfacing</w:t>
      </w:r>
    </w:p>
    <w:p>
      <w:pPr>
        <w:spacing w:before="0" w:after="120"/>
      </w:pPr>
      <w:r>
        <w:rPr>
          <w:b/>
        </w:rPr>
        <w:t xml:space="preserve">Source: </w:t>
      </w:r>
      <w:r>
        <w:t>Wiley: Advanced Materials: Table of Contents</w:t>
      </w:r>
      <w:r>
        <w:t xml:space="preserve">    </w:t>
      </w:r>
      <w:r>
        <w:rPr>
          <w:b/>
        </w:rPr>
        <w:t xml:space="preserve">Pub date: </w:t>
      </w:r>
      <w:r>
        <w:t>2026-03-18 14:40:12+00:00</w:t>
      </w:r>
      <w:r>
        <w:t xml:space="preserve">    </w:t>
      </w:r>
      <w:r>
        <w:rPr>
          <w:b/>
        </w:rPr>
        <w:t xml:space="preserve">DOI: </w:t>
      </w:r>
      <w:hyperlink r:id="rId990">
        <w:r>
          <w:rPr>
            <w:color w:val="1155CC"/>
            <w:u w:val="single"/>
          </w:rPr>
          <w:t>10.1002/adma.72820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植入式生物电子学的进步改善了智能系统与生物组织之间的互动。然而，刚性电极与软组织之间的机械免疫学不匹配仍然限制了长期设备的稳定性。在这里，我们提出了SSPH，这是一种免疫兼容的、可注射的导电水凝胶桥，能够实现微创输送和稳定的组织整合。通过形成一个顺应性的界面桥，SSPH减少了电极上的机械生物不匹配和免疫压力。它是通过PEDOT:PSS和两性离子聚合物聚（磺基甜菜碱甲基丙烯酸酯）（PSBMA）的自发共组装形成的，形成了一个由阴离子-π相互作用、静电相互作用和富含PEDOT的纳米结构稳定的3D网络</w:t>
      </w:r>
    </w:p>
    <w:p>
      <w:pPr>
        <w:spacing w:before="0" w:after="200" w:lineRule="auto" w:line="276"/>
      </w:pPr>
      <w:r>
        <w:rPr>
          <w:b/>
        </w:rPr>
        <w:t xml:space="preserve">Abstract (EN): </w:t>
      </w:r>
      <w:r>
        <w:t>Advances in implantable bioelectronics have improved the interaction between intelligent systems and biological tissues. Yet, the mechanical‐immunological mismatch between rigid electrodes and soft tissues continues to limit long‐term device stability. Here, we present SSPH, an immunocompatible, injectable, conductive hydrogel bridge that enables minimally invasive delivery and stable tissue integration. By forming a compliant interfacial bridge, SSPH reduces mechanical‐biological mismatch and immune stress on electrodes. It is formed by the spontaneous co‐assembly of PEDOT:PSS and the zwitterionic polymer poly(sulfobetaine methacrylate) (PSBMA), resulting in a 3D network stabilized by anion‐π interactions, electrostatic interactions, and PEDOT‐rich nanostructures. This self‐healable architecture allows SSPH to maintain its intrinsic conductive pathways after deformation. Experiments confirmed that SSPH exhibits stable electrochemical properties and favorable immunocompatibility. In an acute muscle injury model, SSPH restored signal transmission across the damaged region, demonstrating its potential to serve as a bridge across disrupted tissue. Furthermore, in both electromyography recording and spinal cord stimulation models, SSPH preserved electrode performance for up to four weeks, supporting reliable bidirectional signal conduction. These results highlight SSPH as a promising, durable, and immunocompatible bridging material for sustained bioelectronic interfaces.</w:t>
      </w:r>
    </w:p>
    <w:p>
      <w:pPr>
        <w:spacing w:before="120" w:after="120"/>
      </w:pPr>
      <w:r>
        <w:rPr>
          <w:sz w:val="18"/>
        </w:rPr>
        <w:t>——————————————————————————————————————————————————————————————————————</w:t>
      </w:r>
    </w:p>
    <w:p>
      <w:pPr>
        <w:spacing w:before="160" w:after="40" w:line="240" w:lineRule="auto"/>
      </w:pPr>
      <w:r>
        <w:rPr>
          <w:b/>
        </w:rPr>
        <w:t xml:space="preserve">[399] </w:t>
      </w:r>
      <w:hyperlink r:id="rId991">
        <w:r>
          <w:rPr>
            <w:color w:val="1155CC"/>
            <w:u w:val="single"/>
          </w:rPr>
          <w:t>曲率工程化引导单原子催化剂上的氧电还原路径</w:t>
        </w:r>
      </w:hyperlink>
    </w:p>
    <w:p>
      <w:pPr>
        <w:spacing w:before="0" w:after="80"/>
      </w:pPr>
      <w:r>
        <w:rPr>
          <w:i/>
          <w:sz w:val="20"/>
        </w:rPr>
        <w:t>EN: Curvature‐Engineered Steering of Oxygen Electroreduction Pathways on Single‐Atom Catalysts</w:t>
      </w:r>
    </w:p>
    <w:p>
      <w:pPr>
        <w:spacing w:before="0" w:after="120"/>
      </w:pPr>
      <w:r>
        <w:rPr>
          <w:b/>
        </w:rPr>
        <w:t xml:space="preserve">Source: </w:t>
      </w:r>
      <w:r>
        <w:t>Wiley: Angewandte Chemie International Edition: Table of Contents</w:t>
      </w:r>
      <w:r>
        <w:t xml:space="preserve">    </w:t>
      </w:r>
      <w:r>
        <w:rPr>
          <w:b/>
        </w:rPr>
        <w:t xml:space="preserve">Pub date: </w:t>
      </w:r>
      <w:r>
        <w:t>2026-03-18 14:41:28+00:00</w:t>
      </w:r>
      <w:r>
        <w:t xml:space="preserve">    </w:t>
      </w:r>
      <w:r>
        <w:rPr>
          <w:b/>
        </w:rPr>
        <w:t xml:space="preserve">DOI: </w:t>
      </w:r>
      <w:hyperlink r:id="rId992">
        <w:r>
          <w:rPr>
            <w:color w:val="1155CC"/>
            <w:u w:val="single"/>
          </w:rPr>
          <w:t>10.1002/anie.3924995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单原子催化剂（SACs）是一类有前途的电化学氧还原反应（ORR）催化剂，能够实现能量转换的四电子（4e</w:t>
      </w:r>
      <w:r>
        <w:t xml:space="preserve"> </w:t>
      </w:r>
      <w:r>
        <w:t>–</w:t>
      </w:r>
      <w:r>
        <w:t xml:space="preserve"> </w:t>
      </w:r>
      <w:r>
        <w:t>）路径或H</w:t>
      </w:r>
      <w:r>
        <w:rPr>
          <w:vertAlign w:val="subscript"/>
        </w:rPr>
        <w:t>2</w:t>
      </w:r>
      <w:r>
        <w:t>O</w:t>
      </w:r>
      <w:r>
        <w:rPr>
          <w:vertAlign w:val="subscript"/>
        </w:rPr>
        <w:t>2</w:t>
      </w:r>
      <w:r>
        <w:t>生产的二电子（2e</w:t>
      </w:r>
      <w:r>
        <w:t xml:space="preserve"> </w:t>
      </w:r>
      <w:r>
        <w:t>–</w:t>
      </w:r>
      <w:r>
        <w:t xml:space="preserve"> </w:t>
      </w:r>
      <w:r>
        <w:t>）路径。然而，由于缺乏微调SACs配位结构的策略，对ORR路径的精确控制和优化仍然具有挑战性。在此，我们开发了一种曲率工程策略，首次实现了从2e</w:t>
      </w:r>
      <w:r>
        <w:t xml:space="preserve"> </w:t>
      </w:r>
      <w:r>
        <w:t>–</w:t>
      </w:r>
      <w:r>
        <w:t xml:space="preserve"> </w:t>
      </w:r>
      <w:r>
        <w:t>到4e</w:t>
      </w:r>
    </w:p>
    <w:p>
      <w:pPr>
        <w:spacing w:before="0" w:after="200" w:lineRule="auto" w:line="276"/>
      </w:pPr>
      <w:r>
        <w:rPr>
          <w:b/>
        </w:rPr>
        <w:t xml:space="preserve">Abstract (EN): </w:t>
      </w:r>
      <w:r>
        <w:t>Single‐atom catalysts (SACs) are a promising class of electrochemical oxygen reduction reaction (ORR) catalysts, enabling either a four‐electron (4e</w:t>
      </w:r>
      <w:r>
        <w:t xml:space="preserve"> </w:t>
      </w:r>
      <w:r>
        <w:t>–</w:t>
      </w:r>
      <w:r>
        <w:t xml:space="preserve"> </w:t>
      </w:r>
      <w:r>
        <w:t>) pathway for energy conversion or a two‐electron (2e</w:t>
      </w:r>
      <w:r>
        <w:t xml:space="preserve"> </w:t>
      </w:r>
      <w:r>
        <w:t>–</w:t>
      </w:r>
      <w:r>
        <w:t xml:space="preserve"> </w:t>
      </w:r>
      <w:r>
        <w:t>) pathway for H</w:t>
      </w:r>
      <w:r>
        <w:rPr>
          <w:vertAlign w:val="subscript"/>
        </w:rPr>
        <w:t>2</w:t>
      </w:r>
      <w:r>
        <w:t>O</w:t>
      </w:r>
      <w:r>
        <w:rPr>
          <w:vertAlign w:val="subscript"/>
        </w:rPr>
        <w:t>2</w:t>
      </w:r>
      <w:r>
        <w:t>production. However, the precise control and optimization of the ORR pathway remain challenging due to the lack of strategies for fine‐tuning the SACs coordination structures. Herein, we developed a curvature engineering strategy that enables, for the first time, continuous steering of the ORR pathway from 2e</w:t>
      </w:r>
      <w:r>
        <w:t xml:space="preserve"> </w:t>
      </w:r>
      <w:r>
        <w:t>–</w:t>
      </w:r>
      <w:r>
        <w:t xml:space="preserve"> </w:t>
      </w:r>
      <w:r>
        <w:t>to 4e</w:t>
      </w:r>
      <w:r>
        <w:t xml:space="preserve"> </w:t>
      </w:r>
      <w:r>
        <w:t>–</w:t>
      </w:r>
      <w:r>
        <w:t xml:space="preserve"> </w:t>
      </w:r>
      <w:r>
        <w:t>over Cu‐based SACs. Through theoretical calculations and in‐situ spectroscopy, we revealed the essential mechanism by which active‐site tensile strain and interfacial water restructuring, induced by carbon nanotubes with varying curvature, jointly govern ORR activity and selectivity. The Cu single‐atom sites on high‐curvature CNTs exhibit 4e</w:t>
      </w:r>
      <w:r>
        <w:t xml:space="preserve"> </w:t>
      </w:r>
      <w:r>
        <w:t>–</w:t>
      </w:r>
      <w:r>
        <w:t xml:space="preserve"> </w:t>
      </w:r>
      <w:r>
        <w:t>ORR performance comparable to that of Pt/C, while those on low‐curvature CNTs achieve up to 99.5% 2e</w:t>
      </w:r>
      <w:r>
        <w:t xml:space="preserve"> </w:t>
      </w:r>
      <w:r>
        <w:t>–</w:t>
      </w:r>
      <w:r>
        <w:t xml:space="preserve"> </w:t>
      </w:r>
      <w:r>
        <w:t>ORR selectivity. Proof‐of‐concept solid‐electrolyte electrolyzer equipped with Cu SACs demonstrates exceptional performance for H</w:t>
      </w:r>
      <w:r>
        <w:rPr>
          <w:vertAlign w:val="subscript"/>
        </w:rPr>
        <w:t>2</w:t>
      </w:r>
      <w:r>
        <w:t>O</w:t>
      </w:r>
      <w:r>
        <w:rPr>
          <w:vertAlign w:val="subscript"/>
        </w:rPr>
        <w:t>2</w:t>
      </w:r>
      <w:r>
        <w:t>electrosynthesis, achieving H</w:t>
      </w:r>
      <w:r>
        <w:rPr>
          <w:vertAlign w:val="subscript"/>
        </w:rPr>
        <w:t>2</w:t>
      </w:r>
      <w:r>
        <w:t>O</w:t>
      </w:r>
      <w:r>
        <w:rPr>
          <w:vertAlign w:val="subscript"/>
        </w:rPr>
        <w:t>2</w:t>
      </w:r>
      <w:r>
        <w:t>Faradaic efficiencies of 96.4% and 92.5% at 200 and 300 mA cm</w:t>
      </w:r>
      <w:r>
        <w:t xml:space="preserve"> </w:t>
      </w:r>
      <w:r>
        <w:t>−2</w:t>
      </w:r>
      <w:r>
        <w:t xml:space="preserve"> </w:t>
      </w:r>
      <w:r>
        <w:t>, respectively, and sustaining &amp;gt;90% efficiency for over 100 h at a total current of 3 A. This work establishes curvature engineering as an ORR descriptor for precisely regulating SACs and designing advanced electrocatalysts.</w:t>
      </w:r>
    </w:p>
    <w:p>
      <w:pPr>
        <w:spacing w:before="120" w:after="120"/>
      </w:pPr>
      <w:r>
        <w:rPr>
          <w:sz w:val="18"/>
        </w:rPr>
        <w:t>——————————————————————————————————————————————————————————————————————</w:t>
      </w:r>
    </w:p>
    <w:p>
      <w:pPr>
        <w:spacing w:before="160" w:after="40" w:line="240" w:lineRule="auto"/>
      </w:pPr>
      <w:r>
        <w:rPr>
          <w:b/>
        </w:rPr>
        <w:t xml:space="preserve">[400] </w:t>
      </w:r>
      <w:hyperlink r:id="rId993">
        <w:r>
          <w:rPr>
            <w:color w:val="1155CC"/>
            <w:u w:val="single"/>
          </w:rPr>
          <w:t>通过分子内非共价相互作用增强实现三维锚定多重共振发射器，用于高效、稳定和窄带蓝色OLEDs</w:t>
        </w:r>
      </w:hyperlink>
    </w:p>
    <w:p>
      <w:pPr>
        <w:spacing w:before="0" w:after="80"/>
      </w:pPr>
      <w:r>
        <w:rPr>
          <w:i/>
          <w:sz w:val="20"/>
        </w:rPr>
        <w:t>EN: Three‐Dimensionally Anchored Multiple Resonance Emitters via Intramolecular Noncovalent Interaction Enhancement for Efficient, Stable, and Narrowband Blue OLEDs</w:t>
      </w:r>
    </w:p>
    <w:p>
      <w:pPr>
        <w:spacing w:before="0" w:after="120"/>
      </w:pPr>
      <w:r>
        <w:rPr>
          <w:b/>
        </w:rPr>
        <w:t xml:space="preserve">Source: </w:t>
      </w:r>
      <w:r>
        <w:t>Wiley: Advanced Materials: Table of Contents</w:t>
      </w:r>
      <w:r>
        <w:t xml:space="preserve">    </w:t>
      </w:r>
      <w:r>
        <w:rPr>
          <w:b/>
        </w:rPr>
        <w:t xml:space="preserve">Pub date: </w:t>
      </w:r>
      <w:r>
        <w:t>2026-03-18 14:42:30+00:00</w:t>
      </w:r>
      <w:r>
        <w:t xml:space="preserve">    </w:t>
      </w:r>
      <w:r>
        <w:rPr>
          <w:b/>
        </w:rPr>
        <w:t xml:space="preserve">DOI: </w:t>
      </w:r>
      <w:hyperlink r:id="rId994">
        <w:r>
          <w:rPr>
            <w:color w:val="1155CC"/>
            <w:u w:val="single"/>
          </w:rPr>
          <w:t>10.1002/adma.72846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效率和操作寿命之间的固有权衡，开发高效且稳定的蓝色有机发光二极管（OLEDs）仍然具有挑战性。虽然多重共振热激活延迟荧光发射器提供了窄带发射并降低了激发态能量，但其平面结构、长寿命激子和深最高占据分子轨道水平导致有害的聚集和不稳定性。在此，我们引入了一种“3D锚定”策略，战略性地增强分子内非共价相互作用。一个空间阻碍的、三明治状的结构与基于咔唑的双锚同时抑制π–π堆积并增强键解离能，提升了内在稳定性。</w:t>
      </w:r>
    </w:p>
    <w:p>
      <w:pPr>
        <w:spacing w:before="0" w:after="200" w:lineRule="auto" w:line="276"/>
      </w:pPr>
      <w:r>
        <w:rPr>
          <w:b/>
        </w:rPr>
        <w:t xml:space="preserve">Abstract (EN): </w:t>
      </w:r>
      <w:r>
        <w:t>Developing efficient and stable blue organic light‐emitting diodes (OLEDs) remains challenging due to the inherent trade‐off between efficiency and operational lifetime. While multiple resonance thermally activated delayed fluorescence emitters offer narrowband emission with reduced excited‐state energy, their planar structure, long‐lived excitons, and deep highest occupied molecular orbital levels cause detrimental aggregation and instability. Here, we introduce a “3D anchoring” strategy that strategically enhances intramolecular noncovalent interactions. A sterically encumbered, sandwich‐like architecture with carbazole‐based dual anchors simultaneously suppresses π–π stacking and reinforces bond dissociation energy, boosting intrinsic stability. The proof‐of‐concept emitters demonstrate bright blue photoluminescence in solution, with photoluminescence quantum yields surpassing 92% and exceptionally narrow emission bands down to 18 nm. The corresponding optimized OLED device achieves a maximum external quantum efficiency of 38.2%, alongside record‐high current and power efficiencies (59.2 cd A</w:t>
      </w:r>
      <w:r>
        <w:t xml:space="preserve"> </w:t>
      </w:r>
      <w:r>
        <w:t>−</w:t>
      </w:r>
      <w:r>
        <w:rPr>
          <w:vertAlign w:val="subscript"/>
        </w:rPr>
        <w:t>1</w:t>
      </w:r>
      <w:r>
        <w:t>and 66.8 lm W</w:t>
      </w:r>
      <w:r>
        <w:t xml:space="preserve"> </w:t>
      </w:r>
      <w:r>
        <w:t>−</w:t>
      </w:r>
      <w:r>
        <w:rPr>
          <w:vertAlign w:val="subscript"/>
        </w:rPr>
        <w:t>1</w:t>
      </w:r>
      <w:r>
        <w:t>, respectively), excellent color purity (CIEy &amp;lt; 0.25), and a 2.3‐fold improvement in operational lifetime. This work thereby presents a widely applicable design principle for next‐generation high‐performance blue emitters.</w:t>
      </w:r>
    </w:p>
    <w:p>
      <w:pPr>
        <w:spacing w:before="120" w:after="120"/>
      </w:pPr>
      <w:r>
        <w:rPr>
          <w:sz w:val="18"/>
        </w:rPr>
        <w:t>——————————————————————————————————————————————————————————————————————</w:t>
      </w:r>
    </w:p>
    <w:p>
      <w:pPr>
        <w:spacing w:before="160" w:after="40" w:line="240" w:lineRule="auto"/>
      </w:pPr>
      <w:r>
        <w:rPr>
          <w:b/>
        </w:rPr>
        <w:t xml:space="preserve">[401] </w:t>
      </w:r>
      <w:hyperlink r:id="rId995">
        <w:r>
          <w:rPr>
            <w:color w:val="1155CC"/>
            <w:u w:val="single"/>
          </w:rPr>
          <w:t>通过手性诱导结晶将手性从共价有机框架纳米管转移到共价有机框架薄膜</w:t>
        </w:r>
      </w:hyperlink>
    </w:p>
    <w:p>
      <w:pPr>
        <w:spacing w:before="0" w:after="80"/>
      </w:pPr>
      <w:r>
        <w:rPr>
          <w:i/>
          <w:sz w:val="20"/>
        </w:rPr>
        <w:t>EN: Chirality Transfer from Covalent Organic Framework Nanotubes to Covalent Organic Framework Films via Chirality Induction Crystallization</w:t>
      </w:r>
    </w:p>
    <w:p>
      <w:pPr>
        <w:spacing w:before="0" w:after="120"/>
      </w:pPr>
      <w:r>
        <w:rPr>
          <w:b/>
        </w:rPr>
        <w:t xml:space="preserve">Source: </w:t>
      </w:r>
      <w:r>
        <w:t>Wiley: Advanced Materials: Table of Contents</w:t>
      </w:r>
      <w:r>
        <w:t xml:space="preserve">    </w:t>
      </w:r>
      <w:r>
        <w:rPr>
          <w:b/>
        </w:rPr>
        <w:t xml:space="preserve">Pub date: </w:t>
      </w:r>
      <w:r>
        <w:t>2026-03-18 14:43:13+00:00</w:t>
      </w:r>
      <w:r>
        <w:t xml:space="preserve">    </w:t>
      </w:r>
      <w:r>
        <w:rPr>
          <w:b/>
        </w:rPr>
        <w:t xml:space="preserve">DOI: </w:t>
      </w:r>
      <w:hyperlink r:id="rId996">
        <w:r>
          <w:rPr>
            <w:color w:val="1155CC"/>
            <w:u w:val="single"/>
          </w:rPr>
          <w:t>10.1002/adma.202521292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同手性晶体共价有机框架（COF）薄膜的合成，这些薄膜结合了刚性和多孔性，为异相不对称催化提供了显著的前景。我们使用手性诱导结晶策略，从非手性二胺和三醛前体制备了光学纯COF薄膜。在手性酸（即(R)-和(S)-樟脑磺酸（CSA））催化下的席夫碱反应生成了具有诱导手性的β-酮胺骨架。(R)-和(S)-樟脑磺酸引导二胺-三醛缩合，并在COF纳米管成核过程中诱导手性，使其能够周期性排列并形成同手性薄膜。我们成功合成了六种不同的COF f</w:t>
      </w:r>
    </w:p>
    <w:p>
      <w:pPr>
        <w:spacing w:before="0" w:after="200" w:lineRule="auto" w:line="276"/>
      </w:pPr>
      <w:r>
        <w:rPr>
          <w:b/>
        </w:rPr>
        <w:t xml:space="preserve">Abstract (EN): </w:t>
      </w:r>
      <w:r>
        <w:t>We report the synthesis of homochiral crystalline covalent organic framework (COF) films that combine rigidity and porosity, offering significant promise for heterogeneous asymmetric catalysis. We prepared enantiopure COF films from achiral diamine and trialdehyde precursors using a chiral induction crystallization strategy. A Schiff‐base reaction, catalyzed by a chiral acid, namely (R)‐ and (S)‐camphorsulfonic acids (CSA) generated a β‐ketoenamine backbone with induced chirality. (R)‐ and (S)‐camphorsulfonic acids direct the diamine–trialdehyde condensation and induce chirality during the nucleation of COF nanotubes, enabling their periodic arrangement and the formation of homochiral thin films. We successfully synthesized six distinct COF films with three different backbone functionalities: R‐, S‐TpAzo; R‐, S‐TpDPP; and R‐, S‐TpBDMe</w:t>
      </w:r>
      <w:r>
        <w:rPr>
          <w:vertAlign w:val="subscript"/>
        </w:rPr>
        <w:t>2</w:t>
      </w:r>
      <w:r>
        <w:t>, using the two enantiomers of the chiral camphorsulfonic acids. All films displayed strong circular dichroism signals and pronounced Cotton effects, confirming their enhanced enantiopurity. Both R‐ and S‐TpAzo films exhibited the highest crystallinity, long‐range order, and permanent porosity, making them particularly well‐suited for catalytic applications. To demonstrate their utility, we encapsulated a bioinspired catalyst, (Et</w:t>
      </w:r>
      <w:r>
        <w:rPr>
          <w:vertAlign w:val="subscript"/>
        </w:rPr>
        <w:t>4</w:t>
      </w:r>
      <w:r>
        <w:t>N)</w:t>
      </w:r>
      <w:r>
        <w:rPr>
          <w:vertAlign w:val="subscript"/>
        </w:rPr>
        <w:t>2</w:t>
      </w:r>
      <w:r>
        <w:t>[Fe</w:t>
      </w:r>
      <w:r>
        <w:t xml:space="preserve"> </w:t>
      </w:r>
      <w:r>
        <w:t>III</w:t>
      </w:r>
      <w:r>
        <w:t xml:space="preserve"> </w:t>
      </w:r>
      <w:r>
        <w:t>(Cl)bTAML], within the chiral channels of the R‐ and S‐TpAzo films. The resulting composite created a robust heterogeneous catalytic platform for the asymmetric epoxidation of alkenes, achieving excellent activity and enantioselectivity under ambient conditions.</w:t>
      </w:r>
    </w:p>
    <w:p>
      <w:pPr>
        <w:spacing w:before="120" w:after="120"/>
      </w:pPr>
      <w:r>
        <w:rPr>
          <w:sz w:val="18"/>
        </w:rPr>
        <w:t>——————————————————————————————————————————————————————————————————————</w:t>
      </w:r>
    </w:p>
    <w:p>
      <w:pPr>
        <w:spacing w:before="160" w:after="40" w:line="240" w:lineRule="auto"/>
      </w:pPr>
      <w:r>
        <w:rPr>
          <w:b/>
        </w:rPr>
        <w:t xml:space="preserve">[402] </w:t>
      </w:r>
      <w:hyperlink r:id="rId997">
        <w:r>
          <w:rPr>
            <w:color w:val="1155CC"/>
            <w:u w:val="single"/>
          </w:rPr>
          <w:t>通过多切片电子相干衍射对MFI型沸石晶体的表面和界面进行深度分辨成像</w:t>
        </w:r>
      </w:hyperlink>
    </w:p>
    <w:p>
      <w:pPr>
        <w:spacing w:before="0" w:after="80"/>
      </w:pPr>
      <w:r>
        <w:rPr>
          <w:i/>
          <w:sz w:val="20"/>
        </w:rPr>
        <w:t>EN: Depth‐Resolved Imaging of Surfaces and Interfaces in MFI‐Type Zeolite Crystals via Multislice Electron Ptychography</w:t>
      </w:r>
    </w:p>
    <w:p>
      <w:pPr>
        <w:spacing w:before="0" w:after="120"/>
      </w:pPr>
      <w:r>
        <w:rPr>
          <w:b/>
        </w:rPr>
        <w:t xml:space="preserve">Source: </w:t>
      </w:r>
      <w:r>
        <w:t>Wiley: Advanced Materials: Table of Contents</w:t>
      </w:r>
      <w:r>
        <w:t xml:space="preserve">    </w:t>
      </w:r>
      <w:r>
        <w:rPr>
          <w:b/>
        </w:rPr>
        <w:t xml:space="preserve">Pub date: </w:t>
      </w:r>
      <w:r>
        <w:t>2026-03-18 14:45:00+00:00</w:t>
      </w:r>
      <w:r>
        <w:t xml:space="preserve">    </w:t>
      </w:r>
      <w:r>
        <w:rPr>
          <w:b/>
        </w:rPr>
        <w:t xml:space="preserve">DOI: </w:t>
      </w:r>
      <w:hyperlink r:id="rId998">
        <w:r>
          <w:rPr>
            <w:color w:val="1155CC"/>
            <w:u w:val="single"/>
          </w:rPr>
          <w:t>10.1002/adma.202519613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沸石中的局部结构特征——如晶体表面、界面和缺陷——对分子传输和催化有重要影响，但其非周期性特征使得3D高分辨率表征变得困难。在此，我们展示了多切片电子ptychography（MEP）为解决这一限制开辟了新的机会。通过模拟指导的采集参数优化和使用低电子剂量以避免结构损伤，MEP实现了原子尺度的横向和纳米尺度的深度分辨率，使得在MFI型沸石ZSM-5中可视化多样的局部结构。这种深度灵敏度揭示了纳米级表面粗糙度、[010]/[100]的交错生长以及一个介入的MEL型域，并且一个以前未报道的计划</w:t>
      </w:r>
    </w:p>
    <w:p>
      <w:pPr>
        <w:spacing w:before="0" w:after="200" w:lineRule="auto" w:line="276"/>
      </w:pPr>
      <w:r>
        <w:rPr>
          <w:b/>
        </w:rPr>
        <w:t xml:space="preserve">Abstract (EN): </w:t>
      </w:r>
      <w:r>
        <w:t>Local structural features in zeolites—such as crystal surfaces, interfaces, and defects—critically influence molecular transport and catalysis, yet their nonperiodic nature renders 3D, high‐resolution characterization difficult. Here, we show that multislice electron ptychography (MEP) opens new opportunities to address this limitation. Through simulation‐guided optimization of acquisition parameters and the use of low electron doses to avoid structural damage, MEP attains atomic‐scale lateral and nanometer‐scale depth resolution, enabling visualization of diverse local structures in the MFI‐type zeolite ZSM‐5. This depth sensitivity reveals nanometric surface roughness, [010]/[100] intergrowth with an intervening MEL‐type domain, and a previously unreported planar defect involving intra‐crystalline translational offsets. These findings highlight pronounced structural inhomogeneity in this widely studied zeolite and demonstrate the potential of MEP for probing 3D nonperiodic structures in other zeolites and in similarly beam‐sensitive materials.</w:t>
      </w:r>
    </w:p>
    <w:p>
      <w:pPr>
        <w:spacing w:before="120" w:after="120"/>
      </w:pPr>
      <w:r>
        <w:rPr>
          <w:sz w:val="18"/>
        </w:rPr>
        <w:t>——————————————————————————————————————————————————————————————————————</w:t>
      </w:r>
    </w:p>
    <w:p>
      <w:pPr>
        <w:spacing w:before="160" w:after="40" w:line="240" w:lineRule="auto"/>
      </w:pPr>
      <w:r>
        <w:rPr>
          <w:b/>
        </w:rPr>
        <w:t xml:space="preserve">[403] </w:t>
      </w:r>
      <w:hyperlink r:id="rId999">
        <w:r>
          <w:rPr>
            <w:color w:val="1155CC"/>
            <w:u w:val="single"/>
          </w:rPr>
          <w:t>测量单个微滴在带电微界面上的动态纳米级接触半径</w:t>
        </w:r>
      </w:hyperlink>
    </w:p>
    <w:p>
      <w:pPr>
        <w:spacing w:before="0" w:after="80"/>
      </w:pPr>
      <w:r>
        <w:rPr>
          <w:i/>
          <w:sz w:val="20"/>
        </w:rPr>
        <w:t>EN: Measuring the Dynamic Nanometric Contact Radius of a Single Microdroplet on an Electrified Microinterface</w:t>
      </w:r>
    </w:p>
    <w:p>
      <w:pPr>
        <w:spacing w:before="0" w:after="120"/>
      </w:pPr>
      <w:r>
        <w:rPr>
          <w:b/>
        </w:rPr>
        <w:t xml:space="preserve">Source: </w:t>
      </w:r>
      <w:r>
        <w:t>Wiley: Angewandte Chemie International Edition: Table of Contents</w:t>
      </w:r>
      <w:r>
        <w:t xml:space="preserve">    </w:t>
      </w:r>
      <w:r>
        <w:rPr>
          <w:b/>
        </w:rPr>
        <w:t xml:space="preserve">Pub date: </w:t>
      </w:r>
      <w:r>
        <w:t>2026-03-18 14:56:39+00:00</w:t>
      </w:r>
      <w:r>
        <w:t xml:space="preserve">    </w:t>
      </w:r>
      <w:r>
        <w:rPr>
          <w:b/>
        </w:rPr>
        <w:t xml:space="preserve">DOI: </w:t>
      </w:r>
      <w:hyperlink r:id="rId1000">
        <w:r>
          <w:rPr>
            <w:color w:val="1155CC"/>
            <w:u w:val="single"/>
          </w:rPr>
          <w:t>10.1002/anie.1113423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微滴因其独特的物理化学性质而受到关注，例如其能够比在体相中快几个数量级地驱动不利化学反应的能力。然而，很少有技术可以逐个探测微滴。更少的技术还可以实时提供微滴反应器在纳米尺度上的物理性质信息。这些性质对于严格的机制研究非常重要。在此，我们展示了一种简单的电化学方法，以量化碰撞微滴与带电表面之间形成的纳米级接触半径，作为时间的函数。我们解决了先前用于测量纳米级接触面积模型的局限性</w:t>
      </w:r>
    </w:p>
    <w:p>
      <w:pPr>
        <w:spacing w:before="0" w:after="200" w:lineRule="auto" w:line="276"/>
      </w:pPr>
      <w:r>
        <w:rPr>
          <w:b/>
        </w:rPr>
        <w:t xml:space="preserve">Abstract (EN): </w:t>
      </w:r>
      <w:r>
        <w:t>Aqueous microdroplets have received attention due to their peculiar physicochemical properties, such as their ability to drive unfavorable chemical reactions orders of magnitude more quickly than in the bulk phase. However, very few techniques can probe microdroplets, one‐at‐a‐time. Even fewer techniques can also provide real time information on the physical properties of the microdroplet reactor at the nanoscale. Such properties are highly important for rigorous mechanistic investigations. Here, we demonstrate a simple electrochemical method to quantify the nanometer contact radius that forms between a colliding droplet and an electrified surface, as a function of time. We address the limitations in the previous model used for sizing the nanometric contact area and offer a new quantitative framework. These new analyses give access to nanoscale wetting dynamics of individual microdroplets on an electrified micro‐interface. We demonstrate control over the microdroplet wetting dynamics using electrostatics. Finally, we use this platform to drive reactions within individual adsorbed microdroplets. We track the oxygen reduction reaction in real time at the well characterized microdroplet|microelectrode contact, extracting the actively partition‐controlled oxygen concentration in single microdroplets. These results have high sensitivity, allowing us to decipher both physical properties of droplets far below the diffraction limit of light and measure reactions at nanoscale, multiphase surfaces.</w:t>
      </w:r>
    </w:p>
    <w:p>
      <w:pPr>
        <w:spacing w:before="120" w:after="120"/>
      </w:pPr>
      <w:r>
        <w:rPr>
          <w:sz w:val="18"/>
        </w:rPr>
        <w:t>——————————————————————————————————————————————————————————————————————</w:t>
      </w:r>
    </w:p>
    <w:p>
      <w:pPr>
        <w:spacing w:before="160" w:after="40" w:line="240" w:lineRule="auto"/>
      </w:pPr>
      <w:r>
        <w:rPr>
          <w:b/>
        </w:rPr>
        <w:t xml:space="preserve">[404] </w:t>
      </w:r>
      <w:hyperlink r:id="rId1001">
        <w:r>
          <w:rPr>
            <w:color w:val="1155CC"/>
            <w:u w:val="single"/>
          </w:rPr>
          <w:t>基于邻三苯基的共轭大环家族：在水中选择性识别苯丙氨酸及与胰岛素的相互作用</w:t>
        </w:r>
      </w:hyperlink>
    </w:p>
    <w:p>
      <w:pPr>
        <w:spacing w:before="0" w:after="80"/>
      </w:pPr>
      <w:r>
        <w:rPr>
          <w:i/>
          <w:sz w:val="20"/>
        </w:rPr>
        <w:t>EN: o‐Terphenyl‐Based Family of Conjugated Macrocycles: Selective Recognition of Phenylalanine in Water and Interaction With Insulin</w:t>
      </w:r>
    </w:p>
    <w:p>
      <w:pPr>
        <w:spacing w:before="0" w:after="120"/>
      </w:pPr>
      <w:r>
        <w:rPr>
          <w:b/>
        </w:rPr>
        <w:t xml:space="preserve">Source: </w:t>
      </w:r>
      <w:r>
        <w:t>Wiley: Angewandte Chemie International Edition: Table of Contents</w:t>
      </w:r>
      <w:r>
        <w:t xml:space="preserve">    </w:t>
      </w:r>
      <w:r>
        <w:rPr>
          <w:b/>
        </w:rPr>
        <w:t xml:space="preserve">Pub date: </w:t>
      </w:r>
      <w:r>
        <w:t>2026-03-18 15:01:36+00:00</w:t>
      </w:r>
      <w:r>
        <w:t xml:space="preserve">    </w:t>
      </w:r>
      <w:r>
        <w:rPr>
          <w:b/>
        </w:rPr>
        <w:t xml:space="preserve">DOI: </w:t>
      </w:r>
      <w:hyperlink r:id="rId1002">
        <w:r>
          <w:rPr>
            <w:color w:val="1155CC"/>
            <w:u w:val="single"/>
          </w:rPr>
          <w:t>10.1002/anie.202525972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设计用于氨基酸的超分子受体是一项具有根本挑战性但极具前景的研究方向。苯丙氨酸因其在生物体中的多方面作用而受到特别关注。尽管已经探索了许多合成主体用于识别苯丙氨酸（Phe），但除了葫芦脲外，没有其他受体在水中对Phe相对于其他芳香氨基酸和相关芳香神经递质表现出选择性。为了解决这一挑战，我们探索了具有疏水口袋的π共轭水溶性大环。合成了一种新的基于邻三苯基的大环家族，TP[n]（n = 2‐8）</w:t>
      </w:r>
    </w:p>
    <w:p>
      <w:pPr>
        <w:spacing w:before="0" w:after="200" w:lineRule="auto" w:line="276"/>
      </w:pPr>
      <w:r>
        <w:rPr>
          <w:b/>
        </w:rPr>
        <w:t xml:space="preserve">Abstract (EN): </w:t>
      </w:r>
      <w:r>
        <w:t>The design of supramolecular receptors for amino acids presents a fundamentally challenging yet highly promising avenue of research. Phenylalanine attracts special attention because of its multifaceted role in living organisms. Although many synthetic hosts have been explored for recognition of phenylalanine (Phe), besides cucurbiturils, there are no receptors that show selectivity for Phe over other aromatic amino acids and related aromatic neurotransmitters in water. Toward addressing this challenge, we explored pi‐conjugated water‐soluble macrocycles with hydrophobic pockets. A new family of</w:t>
      </w:r>
      <w:r>
        <w:t xml:space="preserve"> </w:t>
      </w:r>
      <w:r>
        <w:t>o</w:t>
      </w:r>
      <w:r>
        <w:t xml:space="preserve"> </w:t>
      </w:r>
      <w:r>
        <w:t>‐terphenyl‐based macrocycles, TP[n] (</w:t>
      </w:r>
      <w:r>
        <w:t xml:space="preserve"> </w:t>
      </w:r>
      <w:r>
        <w:t>n</w:t>
      </w:r>
      <w:r>
        <w:t xml:space="preserve"> </w:t>
      </w:r>
      <w:r>
        <w:t>= 2‐8) was synthesized using the Yamamoto reaction. Macrocycles up to the octamer, TP[2]‐TP[8], were isolated and fully characterized. X‐ray studies reveal that these macrocycles can form folded conformations stabilized by stacking interactions. TP[3] was identified as the most selective host for Phe with an affinity of 7 x 10</w:t>
      </w:r>
      <w:r>
        <w:rPr>
          <w:vertAlign w:val="subscript"/>
        </w:rPr>
        <w:t>3</w:t>
      </w:r>
      <w:r>
        <w:t>M</w:t>
      </w:r>
      <w:r>
        <w:t xml:space="preserve"> </w:t>
      </w:r>
      <w:r>
        <w:t>−1</w:t>
      </w:r>
      <w:r>
        <w:t xml:space="preserve"> </w:t>
      </w:r>
      <w:r>
        <w:t>in water. The hosts, composed of 2–5 subunits were found to effectively inhibit protein aggregation according to the fluorescence assay using thioflavin T. The discovery of the new family of macrocycles paves the way for designing hosts with diverse architectures, precisely tailored geometries, and optimized binding properties capable of targeting not only individual amino acids but also entire protein surfaces.</w:t>
      </w:r>
    </w:p>
    <w:p>
      <w:pPr>
        <w:spacing w:before="120" w:after="120"/>
      </w:pPr>
      <w:r>
        <w:rPr>
          <w:sz w:val="18"/>
        </w:rPr>
        <w:t>——————————————————————————————————————————————————————————————————————</w:t>
      </w:r>
    </w:p>
    <w:p>
      <w:pPr>
        <w:spacing w:before="160" w:after="40" w:line="240" w:lineRule="auto"/>
      </w:pPr>
      <w:r>
        <w:rPr>
          <w:b/>
        </w:rPr>
        <w:t xml:space="preserve">[405] </w:t>
      </w:r>
      <w:hyperlink r:id="rId1003">
        <w:r>
          <w:rPr>
            <w:color w:val="1155CC"/>
            <w:u w:val="single"/>
          </w:rPr>
          <w:t>[ASAP] 金量子棒在短波红外（1000–2200 nm）范围内发射，具有104–5 M–1 cm–1的超高亮度</w:t>
        </w:r>
      </w:hyperlink>
    </w:p>
    <w:p>
      <w:pPr>
        <w:spacing w:before="0" w:after="80"/>
      </w:pPr>
      <w:r>
        <w:rPr>
          <w:i/>
          <w:sz w:val="20"/>
        </w:rPr>
        <w:t>EN: [ASAP] Gold Quantum Rods Emit in the Shortwave Infrared (1000–2200 nm) with 104–5 M–1 cm–1 Ultrabrightness</w:t>
      </w:r>
    </w:p>
    <w:p>
      <w:pPr>
        <w:spacing w:before="0" w:after="120"/>
      </w:pPr>
      <w:r>
        <w:rPr>
          <w:b/>
        </w:rPr>
        <w:t xml:space="preserve">Source: </w:t>
      </w:r>
      <w:r>
        <w:t>Journal of the American Chemical Society: Latest Articles (ACS Publications)</w:t>
      </w:r>
      <w:r>
        <w:t xml:space="preserve">    </w:t>
      </w:r>
      <w:r>
        <w:rPr>
          <w:b/>
        </w:rPr>
        <w:t xml:space="preserve">Pub date: </w:t>
      </w:r>
      <w:r>
        <w:t>2026-03-18 15:53:13+00:00</w:t>
      </w:r>
      <w:r>
        <w:t xml:space="preserve">    </w:t>
      </w:r>
      <w:r>
        <w:rPr>
          <w:b/>
        </w:rPr>
        <w:t xml:space="preserve">DOI: </w:t>
      </w:r>
      <w:hyperlink r:id="rId1004">
        <w:r>
          <w:rPr>
            <w:color w:val="1155CC"/>
            <w:u w:val="single"/>
          </w:rPr>
          <w:t>10.1021/jacs.6c02971</w:t>
        </w:r>
      </w:hyperlink>
    </w:p>
    <w:p>
      <w:pPr>
        <w:spacing w:before="0" w:after="120"/>
      </w:pPr>
      <w:r>
        <w:rPr>
          <w:b/>
        </w:rPr>
        <w:t xml:space="preserve">Notes: </w:t>
      </w:r>
      <w:r>
        <w:t>abstract_source=pubmed</w:t>
      </w:r>
    </w:p>
    <w:p>
      <w:pPr>
        <w:spacing w:before="0" w:after="80" w:lineRule="auto" w:line="276"/>
      </w:pPr>
      <w:r>
        <w:rPr>
          <w:b/>
        </w:rPr>
        <w:t xml:space="preserve">摘要（ZH）: </w:t>
      </w:r>
      <w:r>
        <w:t>近红外-II（NIR-II）区域（1000-2500 nm，也称为短波红外，SWIR）的荧光在量子光子学、生物医学和环境传感等高级光学应用中具有高度吸引力，但开发明亮、稳定和可调谐的SWIR发射体仍然是一个重大挑战。在此，我们报告了一系列原子精确的金量子棒（Au QRs），其荧光发射在1000至2200 nm范围内，量子产率达到约21%，通过抑制单线态到三线态的激子转换和电子-振动耦合。Au QRs的高量子产率以及高吸收系数（εpeak ∼ 105-6 M-1 cm-1）提供了前所未有的亮度（104-5 M-1 cm-1），超过了最先进的水平</w:t>
      </w:r>
    </w:p>
    <w:p>
      <w:pPr>
        <w:spacing w:before="0" w:after="200" w:lineRule="auto" w:line="276"/>
      </w:pPr>
      <w:r>
        <w:rPr>
          <w:b/>
        </w:rPr>
        <w:t xml:space="preserve">Abstract (EN): </w:t>
      </w:r>
      <w:r>
        <w:t>Fluorescence in the near-infrared-II (NIR-II) region (1000-2500 nm, also called shortwave infrared, SWIR) is highly attractive for advanced optical applications, including quantum photonics, biomedicine, and environmental sensing, yet the development of bright, stable, and tunable SWIR emitters remains a significant challenge. Here, we report ultrabright, subnanosecond fluorescence emission spanning 1000 to 2200 nm from a periodic series of atomically precise gold quantum rods (Au QRs) with quantum yields reaching up to ∼21% by suppressing singlet-to-triplet exciton conversion and electron-vibration coupling. The high quantum yields, together with high absorption coefficients (εpeak ∼ 105-6 M-1 cm-1) of Au QRs, offer unprecedented brightness (104-5 M-1 cm-1), exceeding the state-of-the-art SWIR organic dyes by more than 2 orders of magnitude in the 1100-1400 nm region and 4 orders of magnitude in the &gt;1500 nm region. Furthermore, Au QRs are successfully transferred into aqueous phase using a Pluronic F-127 amphiphilic polymer wrapping method. The results establish atomically precise Au QRs as a new benchmark platform that redefines the brightness and spectral reach attainable in SWIR fluorescence, providing a foundation for next-generation SWIR photonic and biorelated technologies.</w:t>
      </w:r>
    </w:p>
    <w:p>
      <w:pPr>
        <w:spacing w:before="120" w:after="120"/>
      </w:pPr>
      <w:r>
        <w:rPr>
          <w:sz w:val="18"/>
        </w:rPr>
        <w:t>——————————————————————————————————————————————————————————————————————</w:t>
      </w:r>
    </w:p>
    <w:p>
      <w:pPr>
        <w:spacing w:before="160" w:after="40" w:line="240" w:lineRule="auto"/>
      </w:pPr>
      <w:r>
        <w:rPr>
          <w:b/>
        </w:rPr>
        <w:t xml:space="preserve">[406] </w:t>
      </w:r>
      <w:hyperlink r:id="rId1005">
        <w:r>
          <w:rPr>
            <w:color w:val="1155CC"/>
            <w:u w:val="single"/>
          </w:rPr>
          <w:t>Isaac Choi</w:t>
        </w:r>
      </w:hyperlink>
    </w:p>
    <w:p>
      <w:pPr>
        <w:spacing w:before="0" w:after="120"/>
      </w:pPr>
      <w:r>
        <w:rPr>
          <w:b/>
        </w:rPr>
        <w:t xml:space="preserve">Source: </w:t>
      </w:r>
      <w:r>
        <w:t>Wiley: Angewandte Chemie International Edition: Table of Contents</w:t>
      </w:r>
      <w:r>
        <w:t xml:space="preserve">    </w:t>
      </w:r>
      <w:r>
        <w:rPr>
          <w:b/>
        </w:rPr>
        <w:t xml:space="preserve">Pub date: </w:t>
      </w:r>
      <w:r>
        <w:t>2026-03-18 16:14:33+00:00</w:t>
      </w:r>
      <w:r>
        <w:t xml:space="preserve">    </w:t>
      </w:r>
      <w:r>
        <w:rPr>
          <w:b/>
        </w:rPr>
        <w:t xml:space="preserve">DOI: </w:t>
      </w:r>
      <w:hyperlink r:id="rId1006">
        <w:r>
          <w:rPr>
            <w:color w:val="1155CC"/>
            <w:u w:val="single"/>
          </w:rPr>
          <w:t>10.1002/anie.8165954</w:t>
        </w:r>
      </w:hyperlink>
    </w:p>
    <w:p>
      <w:pPr>
        <w:spacing w:before="0" w:after="120"/>
      </w:pPr>
      <w:r>
        <w:rPr>
          <w:b/>
        </w:rPr>
        <w:t xml:space="preserve">Notes: </w:t>
      </w:r>
      <w:r>
        <w:t>abstract_source=pubmed</w:t>
      </w:r>
    </w:p>
    <w:p>
      <w:pPr>
        <w:spacing w:before="0" w:after="80" w:lineRule="auto" w:line="276"/>
      </w:pPr>
      <w:r>
        <w:rPr>
          <w:b/>
        </w:rPr>
        <w:t xml:space="preserve">摘要（ZH）: </w:t>
      </w:r>
      <w:r>
        <w:t>"我的科学"英雄"都是我的导师、指导者、合作者和学生，因为他们总是让我大开眼界……化学很有趣，因为它让我看到未曾见过的东西……" 了解更多关于Isaac Choi的信息，请查看他的Introducing… Profile。</w:t>
      </w:r>
    </w:p>
    <w:p>
      <w:pPr>
        <w:spacing w:before="0" w:after="200" w:lineRule="auto" w:line="276"/>
      </w:pPr>
      <w:r>
        <w:rPr>
          <w:b/>
        </w:rPr>
        <w:t xml:space="preserve">Abstract (EN): </w:t>
      </w:r>
      <w:r>
        <w:t>"My science "heroes" are all my supervisors, mentors, collaborators, and students because they always blow my mind…Chemistry is fun because it allows me to see the unseen…" Find out more about Isaac Choi in his Introducing… Profile.</w:t>
      </w:r>
    </w:p>
    <w:p>
      <w:pPr>
        <w:spacing w:before="120" w:after="120"/>
      </w:pPr>
      <w:r>
        <w:rPr>
          <w:sz w:val="18"/>
        </w:rPr>
        <w:t>——————————————————————————————————————————————————————————————————————</w:t>
      </w:r>
    </w:p>
    <w:p>
      <w:pPr>
        <w:spacing w:before="160" w:after="40" w:line="240" w:lineRule="auto"/>
      </w:pPr>
      <w:r>
        <w:rPr>
          <w:b/>
        </w:rPr>
        <w:t xml:space="preserve">[407] </w:t>
      </w:r>
      <w:hyperlink r:id="rId1007">
        <w:r>
          <w:rPr>
            <w:color w:val="1155CC"/>
            <w:u w:val="single"/>
          </w:rPr>
          <w:t>[ASAP] 钻石色心中零声子线波长的化学控制用于电信波段发射</w:t>
        </w:r>
      </w:hyperlink>
    </w:p>
    <w:p>
      <w:pPr>
        <w:spacing w:before="0" w:after="80"/>
      </w:pPr>
      <w:r>
        <w:rPr>
          <w:i/>
          <w:sz w:val="20"/>
        </w:rPr>
        <w:t>EN: [ASAP] Chemical Control of Zero-Phonon Line Wavelength in Diamond Color Centers for Telecom-Band Emission</w:t>
      </w:r>
    </w:p>
    <w:p>
      <w:pPr>
        <w:spacing w:before="0" w:after="120"/>
      </w:pPr>
      <w:r>
        <w:rPr>
          <w:b/>
        </w:rPr>
        <w:t xml:space="preserve">Source: </w:t>
      </w:r>
      <w:r>
        <w:t>Journal of the American Chemical Society: Latest Articles (ACS Publications)</w:t>
      </w:r>
      <w:r>
        <w:t xml:space="preserve">    </w:t>
      </w:r>
      <w:r>
        <w:rPr>
          <w:b/>
        </w:rPr>
        <w:t xml:space="preserve">Pub date: </w:t>
      </w:r>
      <w:r>
        <w:t>2026-03-18 16:51:24+00:00</w:t>
      </w:r>
      <w:r>
        <w:t xml:space="preserve">    </w:t>
      </w:r>
      <w:r>
        <w:rPr>
          <w:b/>
        </w:rPr>
        <w:t xml:space="preserve">DOI: </w:t>
      </w:r>
      <w:hyperlink r:id="rId1008">
        <w:r>
          <w:rPr>
            <w:color w:val="1155CC"/>
            <w:u w:val="single"/>
          </w:rPr>
          <w:t>10.1021/jacs.6c02983</w:t>
        </w:r>
      </w:hyperlink>
    </w:p>
    <w:p>
      <w:pPr>
        <w:spacing w:before="0" w:after="120"/>
      </w:pPr>
      <w:r>
        <w:rPr>
          <w:b/>
        </w:rPr>
        <w:t xml:space="preserve">Notes: </w:t>
      </w:r>
      <w:r>
        <w:t>abstract_source=pubmed</w:t>
      </w:r>
    </w:p>
    <w:p>
      <w:pPr>
        <w:spacing w:before="0" w:after="80" w:lineRule="auto" w:line="276"/>
      </w:pPr>
      <w:r>
        <w:rPr>
          <w:b/>
        </w:rPr>
        <w:t xml:space="preserve">摘要（ZH）: </w:t>
      </w:r>
      <w:r>
        <w:t>金刚石中的固态色心是量子通信的有前途的候选者，但在电信波段运行的固有发射体的缺乏一直是与现有光纤基础设施兼容的可扩展光纤量子网络的基本瓶颈。在这里，通过结合第一性原理计算和群论分析，我们建立了一般的化学设计规则，将替代杂质的化学性质与金刚石中空位-杂质-空位中心的零声子线（ZPL）波长联系起来。该框架表明，杂质原子大小和轨道能量共同作用以调节ZPL。具体来说，具有完全填充d轨道的重元素产生较短波长的发射，而缺乏占据的轻元素则</w:t>
      </w:r>
    </w:p>
    <w:p>
      <w:pPr>
        <w:spacing w:before="0" w:after="200" w:lineRule="auto" w:line="276"/>
      </w:pPr>
      <w:r>
        <w:rPr>
          <w:b/>
        </w:rPr>
        <w:t xml:space="preserve">Abstract (EN): </w:t>
      </w:r>
      <w:r>
        <w:t>Solid-state color centers in diamond are promising candidates for quantum communication, yet the absence of intrinsic emitters operating in the telecom band has remained a fundamental bottleneck for scalable fiber-based quantum networks compatible with the existing optical fiber infrastructure. Here, by combining first-principles calculations with group-theoretical analysis, we establish a general chemical design rule that links the chemical nature of substitutional impurities to the zero-phonon line (ZPL) wavelengths of vacancy-impurity-vacancy centers in diamond. This framework shows that impurity atomic size and orbital energies act together to tune the ZPL. Specifically, heavy elements with fully filled d orbitals yielding shorter-wavelength emission, while lighter elements lacking occupied d orbitals, generate longer-wavelengths. Guided by this principle, we identify the negatively charged vacancy-magnesium-vacancy (MgV3-) center as an ideal telecom-band emitter at 1448 nm, exhibiting outstanding optical coherence, minimal electron-phonon coupling, and a remarkably high Debye-Waller factor of 94.1%. These results provide not only a long-sought candidate for fiber-compatible quantum emitters but also a transferable design paradigm for tailoring optical transitions in wide-bandgap hosts, paving the way for material discovery in solid-state quantum technologies.</w:t>
      </w:r>
    </w:p>
    <w:p>
      <w:pPr>
        <w:spacing w:before="120" w:after="120"/>
      </w:pPr>
      <w:r>
        <w:rPr>
          <w:sz w:val="18"/>
        </w:rPr>
        <w:t>——————————————————————————————————————————————————————————————————————</w:t>
      </w:r>
    </w:p>
    <w:p>
      <w:pPr>
        <w:spacing w:before="160" w:after="40" w:line="240" w:lineRule="auto"/>
      </w:pPr>
      <w:r>
        <w:rPr>
          <w:b/>
        </w:rPr>
        <w:t xml:space="preserve">[408] </w:t>
      </w:r>
      <w:hyperlink r:id="rId1009">
        <w:r>
          <w:rPr>
            <w:color w:val="1155CC"/>
            <w:u w:val="single"/>
          </w:rPr>
          <w:t>[ASAP] 将NMR约束整合到粗粒度模拟中：实现复杂蛋白质系统的准确构象集合</w:t>
        </w:r>
      </w:hyperlink>
    </w:p>
    <w:p>
      <w:pPr>
        <w:spacing w:before="0" w:after="80"/>
      </w:pPr>
      <w:r>
        <w:rPr>
          <w:i/>
          <w:sz w:val="20"/>
        </w:rPr>
        <w:t>EN: [ASAP] Integrating NMR Restraints into Coarse-Grained Simulations: Toward Accurate Conformational Ensembles of Complex Protein Systems</w:t>
      </w:r>
    </w:p>
    <w:p>
      <w:pPr>
        <w:spacing w:before="0" w:after="120"/>
      </w:pPr>
      <w:r>
        <w:rPr>
          <w:b/>
        </w:rPr>
        <w:t xml:space="preserve">Source: </w:t>
      </w:r>
      <w:r>
        <w:t>Journal of the American Chemical Society: Latest Articles (ACS Publications)</w:t>
      </w:r>
      <w:r>
        <w:t xml:space="preserve">    </w:t>
      </w:r>
      <w:r>
        <w:rPr>
          <w:b/>
        </w:rPr>
        <w:t xml:space="preserve">Pub date: </w:t>
      </w:r>
      <w:r>
        <w:t>2026-03-18 17:49:53+00:00</w:t>
      </w:r>
      <w:r>
        <w:t xml:space="preserve">    </w:t>
      </w:r>
      <w:r>
        <w:rPr>
          <w:b/>
        </w:rPr>
        <w:t xml:space="preserve">DOI: </w:t>
      </w:r>
      <w:hyperlink r:id="rId1010">
        <w:r>
          <w:rPr>
            <w:color w:val="1155CC"/>
            <w:u w:val="single"/>
          </w:rPr>
          <w:t>10.1021/jacs.5c22987</w:t>
        </w:r>
      </w:hyperlink>
    </w:p>
    <w:p>
      <w:pPr>
        <w:spacing w:before="0" w:after="120"/>
      </w:pPr>
      <w:r>
        <w:rPr>
          <w:b/>
        </w:rPr>
        <w:t xml:space="preserve">Notes: </w:t>
      </w:r>
      <w:r>
        <w:t>abstract_source=pubmed</w:t>
      </w:r>
    </w:p>
    <w:p>
      <w:pPr>
        <w:spacing w:before="0" w:after="80" w:lineRule="auto" w:line="276"/>
      </w:pPr>
      <w:r>
        <w:rPr>
          <w:b/>
        </w:rPr>
        <w:t xml:space="preserve">摘要（ZH）: </w:t>
      </w:r>
      <w:r>
        <w:t>结构动力学对蛋白质分子的生物活性起着关键作用。表征这些大分子固有的构象景观仍然是一个主要的实验和计算挑战，特别是对于异质和瞬态系统，如本质无序蛋白、膜相关组装体和淀粉样聚集体的无序模糊外套。在这种情况下，粗粒化（CG）分子动力学模拟使得可以访问扩展的时间尺度和大型系统尺寸，但其降低的分辨率和简化的相互作用势往往限制了结构精度。在这里，我们介绍Martini3-NMR，一个将核磁共振（NMR）可观测量直接整合到CG蛋白中的综合框架</w:t>
      </w:r>
    </w:p>
    <w:p>
      <w:pPr>
        <w:spacing w:before="0" w:after="200" w:lineRule="auto" w:line="276"/>
      </w:pPr>
      <w:r>
        <w:rPr>
          <w:b/>
        </w:rPr>
        <w:t xml:space="preserve">Abstract (EN): </w:t>
      </w:r>
      <w:r>
        <w:t>Structural dynamics play critical roles for the biological activity of protein molecules. Characterizing the inherent conformational landscapes of these macromolecules remains a major experimental and computational challenge, particularly for heterogeneous and transient systems such as intrinsically disordered proteins, membrane-associated assemblies and disordered fuzzy coats of amyloid aggregates. In this context, coarse-grained (CG) molecular dynamics simulations have enabled accessing to extended time scales and large system sizes, however, their reduced resolution and simplified interaction potentials often limit the structural accuracy. Here, we introduce Martini3-NMR, an integrative framework that incorporates nuclear magnetic resonance (NMR) observables directly into CG protein force fields. Using artificial neural networks to model NMR chemical shifts at the CG level, and integrating these data with NOE restraints, we define an approach to significantly enhance the accuracy of CG simulations while maintaining their elevated sampling efficiency, thereby resulting in a substantially improved description of protein conformational ensembles. We demonstrate the broad applicability of Martini3-NMR by generating CG ensembles for a range of systems involved in diverse biological processes such as protein folding, oligomer disassembly within lipid bilayers and conformational transitions of disordered fuzzy regions decorating amyloid fibril surfaces, which were found to display condensate-like properties. By enabling an experimentally driven and computationally efficient exploration of protein conformational landscapes, Martini3-NMR provides a novel general framework for investigating dynamic, heterogeneous and multiscale biomolecular processes. This approach opens to significant new opportunities for extending CG simulations toward a more quantitative understanding of the relationship between molecular structure, dynamics and biological function.</w:t>
      </w:r>
    </w:p>
    <w:p>
      <w:pPr>
        <w:spacing w:before="120" w:after="120"/>
      </w:pPr>
      <w:r>
        <w:rPr>
          <w:sz w:val="18"/>
        </w:rPr>
        <w:t>——————————————————————————————————————————————————————————————————————</w:t>
      </w:r>
    </w:p>
    <w:p>
      <w:pPr>
        <w:spacing w:before="160" w:after="40" w:line="240" w:lineRule="auto"/>
      </w:pPr>
      <w:r>
        <w:rPr>
          <w:b/>
        </w:rPr>
        <w:t xml:space="preserve">[409] </w:t>
      </w:r>
      <w:hyperlink r:id="rId1011">
        <w:r>
          <w:rPr>
            <w:color w:val="1155CC"/>
            <w:u w:val="single"/>
          </w:rPr>
          <w:t>[ASAP] 表面配位促进的电合成1,4-丁二醇从乙烯和水通过2-溴乙醇</w:t>
        </w:r>
      </w:hyperlink>
    </w:p>
    <w:p>
      <w:pPr>
        <w:spacing w:before="0" w:after="80"/>
      </w:pPr>
      <w:r>
        <w:rPr>
          <w:i/>
          <w:sz w:val="20"/>
        </w:rPr>
        <w:t>EN: [ASAP] Surface Coordination-Promoted Electrosynthesis of 1,4-Butanediol from Ethylene and Water via 2-Bromoethanol</w:t>
      </w:r>
    </w:p>
    <w:p>
      <w:pPr>
        <w:spacing w:before="0" w:after="120"/>
      </w:pPr>
      <w:r>
        <w:rPr>
          <w:b/>
        </w:rPr>
        <w:t xml:space="preserve">Source: </w:t>
      </w:r>
      <w:r>
        <w:t>Journal of the American Chemical Society: Latest Articles (ACS Publications)</w:t>
      </w:r>
      <w:r>
        <w:t xml:space="preserve">    </w:t>
      </w:r>
      <w:r>
        <w:rPr>
          <w:b/>
        </w:rPr>
        <w:t xml:space="preserve">Pub date: </w:t>
      </w:r>
      <w:r>
        <w:t>2026-03-18 18:06:43+00:00</w:t>
      </w:r>
      <w:r>
        <w:t xml:space="preserve">    </w:t>
      </w:r>
      <w:r>
        <w:rPr>
          <w:b/>
        </w:rPr>
        <w:t xml:space="preserve">DOI: </w:t>
      </w:r>
      <w:hyperlink r:id="rId1012">
        <w:r>
          <w:rPr>
            <w:color w:val="1155CC"/>
            <w:u w:val="single"/>
          </w:rPr>
          <w:t>10.1021/jacs.5c22003</w:t>
        </w:r>
      </w:hyperlink>
    </w:p>
    <w:p>
      <w:pPr>
        <w:spacing w:before="0" w:after="120"/>
      </w:pPr>
      <w:r>
        <w:rPr>
          <w:b/>
        </w:rPr>
        <w:t xml:space="preserve">Notes: </w:t>
      </w:r>
      <w:r>
        <w:t>abstract_source=pubmed</w:t>
      </w:r>
    </w:p>
    <w:p>
      <w:pPr>
        <w:spacing w:before="0" w:after="80" w:lineRule="auto" w:line="276"/>
      </w:pPr>
      <w:r>
        <w:rPr>
          <w:b/>
        </w:rPr>
        <w:t xml:space="preserve">摘要（ZH）: </w:t>
      </w:r>
      <w:r>
        <w:t>1,4-丁二醇（1,4-BDO）是一种重要的化学品，由于其在可生物降解聚合物中的应用而受到越来越多的关注。其传统的合成方法是通过Reppe工艺进行的，该工艺涉及乙炔和甲醛的缩合，然后进行加氢，需要多个步骤并且需要严格的安全/环境法规。在这项工作中，我们展示了通过将2-溴乙醇（2-Br-EtOH）的还原偶联与Br-氧化还原结合，从乙烯和水中电合成1,4-BDO。2-Br-EtOH的自偶联生成1,4-BDO是限制反应。通过数据挖掘辅助的方法，我们确定了具有-NH2基团和适当Fukui函数的N基配体作为Cu电极上1,4-BDO形成的促进剂。最佳的2-氨基咪唑配体可以产生55.1%的产率和61.4</w:t>
      </w:r>
    </w:p>
    <w:p>
      <w:pPr>
        <w:spacing w:before="0" w:after="200" w:lineRule="auto" w:line="276"/>
      </w:pPr>
      <w:r>
        <w:rPr>
          <w:b/>
        </w:rPr>
        <w:t xml:space="preserve">Abstract (EN): </w:t>
      </w:r>
      <w:r>
        <w:t>1,4-Butanediol (1,4-BDO) is an important chemical with growing interest due to its use in biodegradable polymers. Its conventional synthesis by the Reppe process involves the condensation of acetylene and formaldehyde, followed by hydrogenation, demanding multiple steps and stringent safety/environmental regulation. In this work, we demonstrated the electrosynthesis of 1,4-BDO from ethylene and water by coupling the reductive coupling of 2-bromoethanol (2-Br-EtOH) with the Br- redox. The homocoupling of 2-Br-EtOH into 1,4-BDO was the limiting reaction. By a data-mining-assisted approach, we identified N-based ligands with an -NH2 group and appropriate Fukui functions as promoters for 1,4-BDO formation on Cu electrodes. The optimal 2-aminoimidazole ligand could generate 55.1% yield and 61.4% selectivity of 1,4-BDO from 2-Br-EtOH, by facilitating surface Cu+ formation for homocoupling, suppressing adsorbed hydrogen formation for hydrogenation, and retarding electron injection to create a local pH gradient toward the non-Faradaic production of ethylene oxide. By integrating the anode with hydrophobic carbon for Br- oxidation and its sequential reaction with gaseous ethylene into 2-Br-EtOH, we demonstrated the 1,4-BDO electrosynthesis under internal 2-Br-EtOH and Br- cycling, with ethanol as the only side product. This work extends the industrial synthetic strategy toward 1,4-BDO to a safe and green electrocatalytic route using low-cost ethylene and water as raw materials.</w:t>
      </w:r>
    </w:p>
    <w:p>
      <w:pPr>
        <w:spacing w:before="120" w:after="120"/>
      </w:pPr>
      <w:r>
        <w:rPr>
          <w:sz w:val="18"/>
        </w:rPr>
        <w:t>——————————————————————————————————————————————————————————————————————</w:t>
      </w:r>
    </w:p>
    <w:p>
      <w:pPr>
        <w:spacing w:before="160" w:after="40" w:line="240" w:lineRule="auto"/>
      </w:pPr>
      <w:r>
        <w:rPr>
          <w:b/>
        </w:rPr>
        <w:t xml:space="preserve">[410] </w:t>
      </w:r>
      <w:hyperlink r:id="rId1013">
        <w:r>
          <w:rPr>
            <w:color w:val="1155CC"/>
            <w:u w:val="single"/>
          </w:rPr>
          <w:t>[ASAP] 硝基甲烷的光电化学增值用于肟合成</w:t>
        </w:r>
      </w:hyperlink>
    </w:p>
    <w:p>
      <w:pPr>
        <w:spacing w:before="0" w:after="80"/>
      </w:pPr>
      <w:r>
        <w:rPr>
          <w:i/>
          <w:sz w:val="20"/>
        </w:rPr>
        <w:t>EN: [ASAP] Photoelectrochemical Valorization of Nitromethane for Oxime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2026-03-18 18:08:38+00:00</w:t>
      </w:r>
      <w:r>
        <w:t xml:space="preserve">    </w:t>
      </w:r>
      <w:r>
        <w:rPr>
          <w:b/>
        </w:rPr>
        <w:t xml:space="preserve">DOI: </w:t>
      </w:r>
      <w:hyperlink r:id="rId1014">
        <w:r>
          <w:rPr>
            <w:color w:val="1155CC"/>
            <w:u w:val="single"/>
          </w:rPr>
          <w:t>10.1021/jacs.6c02923</w:t>
        </w:r>
      </w:hyperlink>
    </w:p>
    <w:p>
      <w:pPr>
        <w:spacing w:before="0" w:after="120"/>
      </w:pPr>
      <w:r>
        <w:rPr>
          <w:b/>
        </w:rPr>
        <w:t xml:space="preserve">Notes: </w:t>
      </w:r>
      <w:r>
        <w:t>abstract_source=pubmed</w:t>
      </w:r>
    </w:p>
    <w:p>
      <w:pPr>
        <w:spacing w:before="0" w:after="80" w:lineRule="auto" w:line="276"/>
      </w:pPr>
      <w:r>
        <w:rPr>
          <w:b/>
        </w:rPr>
        <w:t xml:space="preserve">摘要（ZH）: </w:t>
      </w:r>
      <w:r>
        <w:t>大宗原料化学品催化升级为增值产品代表了现代化学合成中的一种强大方法。在此，我们描述了一种铁催化的光电化学策略，该策略能够高效地将丰富的工业原料硝基甲烷（MeNO2）转化为合成价值高的氧化氮（·NO）。这一概念验证平台允许从MeNO2和醇中直接合成结构多样的肟，并表现出广泛的官能团耐受性，包括与羰基和酸敏感基团（如酯和硅醚）的兼容性。机制研究表明，铁催化剂起到了双重作用：促进醇的自由基脱甲酰化或环烷醇的开环，并介导转化</w:t>
      </w:r>
    </w:p>
    <w:p>
      <w:pPr>
        <w:spacing w:before="0" w:after="200" w:lineRule="auto" w:line="276"/>
      </w:pPr>
      <w:r>
        <w:rPr>
          <w:b/>
        </w:rPr>
        <w:t xml:space="preserve">Abstract (EN): </w:t>
      </w:r>
      <w:r>
        <w:t>The catalytic upgrading of bulk feedstock chemicals into value-added products represents a powerful approach in modern chemical synthesis. Herein, we describe an iron-catalyzed photoelectrochemical strategy that enables the efficient conversion of nitromethane (MeNO2), an abundant industrial feedstock, into synthetically valuable nitric oxide (·NO). This proof-of-concept platform allows the direct synthesis of structurally diverse oximes from MeNO2 and alcohols and exhibits broad functional group tolerance, including compatibility with carbonyl groups and acid-sensitive motifs such as esters and silyl ethers. Mechanistic investigations reveal that the iron catalyst plays a dual role: promoting radical deformylation of alcohols or ring-opening of cycloalkanols and mediating the conversion of MeNO2 into ·NO.</w:t>
      </w:r>
    </w:p>
    <w:p>
      <w:pPr>
        <w:spacing w:before="120" w:after="120"/>
      </w:pPr>
      <w:r>
        <w:rPr>
          <w:sz w:val="18"/>
        </w:rPr>
        <w:t>——————————————————————————————————————————————————————————————————————</w:t>
      </w:r>
    </w:p>
    <w:p>
      <w:pPr>
        <w:spacing w:before="160" w:after="40" w:line="240" w:lineRule="auto"/>
      </w:pPr>
      <w:r>
        <w:rPr>
          <w:b/>
        </w:rPr>
        <w:t xml:space="preserve">[411] </w:t>
      </w:r>
      <w:hyperlink r:id="rId1015">
        <w:r>
          <w:rPr>
            <w:color w:val="1155CC"/>
            <w:u w:val="single"/>
          </w:rPr>
          <w:t>[ASAP] 限制催化使宏环化达到0.6 M：选择性形成单体和二聚糖苷宏环</w:t>
        </w:r>
      </w:hyperlink>
    </w:p>
    <w:p>
      <w:pPr>
        <w:spacing w:before="0" w:after="80"/>
      </w:pPr>
      <w:r>
        <w:rPr>
          <w:i/>
          <w:sz w:val="20"/>
        </w:rPr>
        <w:t>EN: [ASAP] Confinement Catalysis Enables Macrocyclization at Up to 0.6 M: Selective Formation of Mono- and Dimeric Glycosidic Macrocycles</w:t>
      </w:r>
    </w:p>
    <w:p>
      <w:pPr>
        <w:spacing w:before="0" w:after="120"/>
      </w:pPr>
      <w:r>
        <w:rPr>
          <w:b/>
        </w:rPr>
        <w:t xml:space="preserve">Source: </w:t>
      </w:r>
      <w:r>
        <w:t>Journal of the American Chemical Society: Latest Articles (ACS Publications)</w:t>
      </w:r>
      <w:r>
        <w:t xml:space="preserve">    </w:t>
      </w:r>
      <w:r>
        <w:rPr>
          <w:b/>
        </w:rPr>
        <w:t xml:space="preserve">Pub date: </w:t>
      </w:r>
      <w:r>
        <w:t>2026-03-18 19:19:34+00:00</w:t>
      </w:r>
      <w:r>
        <w:t xml:space="preserve">    </w:t>
      </w:r>
      <w:r>
        <w:rPr>
          <w:b/>
        </w:rPr>
        <w:t xml:space="preserve">DOI: </w:t>
      </w:r>
      <w:hyperlink r:id="rId1016">
        <w:r>
          <w:rPr>
            <w:color w:val="1155CC"/>
            <w:u w:val="single"/>
          </w:rPr>
          <w:t>10.1021/jacs.6c03730</w:t>
        </w:r>
      </w:hyperlink>
    </w:p>
    <w:p>
      <w:pPr>
        <w:spacing w:before="0" w:after="120"/>
      </w:pPr>
      <w:r>
        <w:rPr>
          <w:b/>
        </w:rPr>
        <w:t xml:space="preserve">Notes: </w:t>
      </w:r>
      <w:r>
        <w:t>abstract_source=pubmed</w:t>
      </w:r>
    </w:p>
    <w:p>
      <w:pPr>
        <w:spacing w:before="0" w:after="80" w:lineRule="auto" w:line="276"/>
      </w:pPr>
      <w:r>
        <w:rPr>
          <w:b/>
        </w:rPr>
        <w:t xml:space="preserve">摘要（ZH）: </w:t>
      </w:r>
      <w:r>
        <w:t>大环化合物在自然界中广泛存在，并且常见于具有生物活性的天然产物中。它们的构象预组织使其能够有效地参与大结合表面，这使得它们在药物发现中具有价值，特别是在调节蛋白质-蛋白质相互作用方面。因此，大环化策略受到了极大的关注；然而，它们仍然通常依赖于高稀释条件（0.10-10 mM）以促进分子内环闭合而非分子间寡聚化。在此，我们报告了一种使用催化限域空间方法解决这一长期挑战的方法，该方法即使在底物溶解度极限（600 mM）下也能高效运行，从而消除了对高稀释条件的需求。胶囊催化剂能够实现高产率</w:t>
      </w:r>
    </w:p>
    <w:p>
      <w:pPr>
        <w:spacing w:before="0" w:after="200" w:lineRule="auto" w:line="276"/>
      </w:pPr>
      <w:r>
        <w:rPr>
          <w:b/>
        </w:rPr>
        <w:t xml:space="preserve">Abstract (EN): </w:t>
      </w:r>
      <w:r>
        <w:t>Macrocyclic compounds are widespread in nature and frequently found among bioactive natural products. Their conformational preorganization allows them to effectively engage large binding surfaces, making them valuable in drug discovery, especially for modulating protein-protein interactions. Consequently, macrocyclization strategies have received significant attention; however, they still typically rely on high-dilution conditions (0.10-10 mM) to favor intramolecular ring closure over intermolecular oligomerization. Here, we report a solution to this long-standing challenge using a catalytic confined-space approach that operates efficiently even at the substrate solubility limit (600 mM), thereby eliminating the need for high-dilution conditions. The capsular catalyst enables the high-yielding formation of medium- and large-sized glycosidic macrocycles with excellent β-selectivity. Moreover, the method addresses a second persistent challenge in macrocyclization: the selective formation of macrocyclic dimers. Whereas such dimers are inaccessible under traditional high-dilution conditions, they are obtained in high yields when two substrates fit into the capsule's cavity, again at high substrate concentrations and with excellent β,β-selectivity. Control experiments establish the indispensability of the capsule as conventional conditions afford substantially lower yields and predominantly α-selectivity. The method's utility is further demonstrated in the selective synthesis of the dimeric core structure of glucolipsin A and cycloviracin B1. This work establishes confinement catalysis as a powerful tool to overcome key limitations in macrocyclization chemistry.</w:t>
      </w:r>
    </w:p>
    <w:p>
      <w:pPr>
        <w:spacing w:before="120" w:after="120"/>
      </w:pPr>
      <w:r>
        <w:rPr>
          <w:sz w:val="18"/>
        </w:rPr>
        <w:t>——————————————————————————————————————————————————————————————————————</w:t>
      </w:r>
    </w:p>
    <w:p>
      <w:pPr>
        <w:spacing w:before="160" w:after="40" w:line="240" w:lineRule="auto"/>
      </w:pPr>
      <w:r>
        <w:rPr>
          <w:b/>
        </w:rPr>
        <w:t xml:space="preserve">[412] </w:t>
      </w:r>
      <w:hyperlink r:id="rId1017">
        <w:r>
          <w:rPr>
            <w:color w:val="1155CC"/>
            <w:u w:val="single"/>
          </w:rPr>
          <w:t>[ASAP] 电渗流驱动的大型构象动态蛋白质的纳米孔转运：克服空间和静电障碍</w:t>
        </w:r>
      </w:hyperlink>
    </w:p>
    <w:p>
      <w:pPr>
        <w:spacing w:before="0" w:after="80"/>
      </w:pPr>
      <w:r>
        <w:rPr>
          <w:i/>
          <w:sz w:val="20"/>
        </w:rPr>
        <w:t>EN: [ASAP] Electroosmotic Flow-Driven Nanopore Translocation of Large, Conformationally Dynamic Proteins: Overcoming Steric and Electrostatic Barriers</w:t>
      </w:r>
    </w:p>
    <w:p>
      <w:pPr>
        <w:spacing w:before="0" w:after="120"/>
      </w:pPr>
      <w:r>
        <w:rPr>
          <w:b/>
        </w:rPr>
        <w:t xml:space="preserve">Source: </w:t>
      </w:r>
      <w:r>
        <w:t>Journal of the American Chemical Society: Latest Articles (ACS Publications)</w:t>
      </w:r>
      <w:r>
        <w:t xml:space="preserve">    </w:t>
      </w:r>
      <w:r>
        <w:rPr>
          <w:b/>
        </w:rPr>
        <w:t xml:space="preserve">Pub date: </w:t>
      </w:r>
      <w:r>
        <w:t>2026-03-18 19:38:16+00:00</w:t>
      </w:r>
      <w:r>
        <w:t xml:space="preserve">    </w:t>
      </w:r>
      <w:r>
        <w:rPr>
          <w:b/>
        </w:rPr>
        <w:t xml:space="preserve">DOI: </w:t>
      </w:r>
      <w:hyperlink r:id="rId1018">
        <w:r>
          <w:rPr>
            <w:color w:val="1155CC"/>
            <w:u w:val="single"/>
          </w:rPr>
          <w:t>10.1021/jacs.5c22239</w:t>
        </w:r>
      </w:hyperlink>
    </w:p>
    <w:p>
      <w:pPr>
        <w:spacing w:before="0" w:after="120"/>
      </w:pPr>
      <w:r>
        <w:rPr>
          <w:b/>
        </w:rPr>
        <w:t xml:space="preserve">Notes: </w:t>
      </w:r>
      <w:r>
        <w:t>abstract_source=pubmed</w:t>
      </w:r>
    </w:p>
    <w:p>
      <w:pPr>
        <w:spacing w:before="0" w:after="80" w:lineRule="auto" w:line="276"/>
      </w:pPr>
      <w:r>
        <w:rPr>
          <w:b/>
        </w:rPr>
        <w:t xml:space="preserve">摘要（ZH）: </w:t>
      </w:r>
      <w:r>
        <w:t>大蛋白通过比其本身尺寸更小的纳米孔的转运为探测内源性生物过程、评估蛋白质稳定性以及实现基于纳米孔的线性化蛋白质测序提供了机会。在此，我们展示了电渗流（EOF）驱动兆道尔顿蛋白通过几何约束的纳米孔的过程。使用尖端直径最多比蛋白质小2.5倍的玻璃纳米移液管，我们展示了EOF主动捕获、对齐和变形大分子，包括免疫球蛋白M（IgM）和α2-巨球蛋白（α2M），促进了极端限制下的转运。静电势分析和定量建模揭示了偶极增强和随后的蛋白质展开降低了能量障碍</w:t>
      </w:r>
    </w:p>
    <w:p>
      <w:pPr>
        <w:spacing w:before="0" w:after="200" w:lineRule="auto" w:line="276"/>
      </w:pPr>
      <w:r>
        <w:rPr>
          <w:b/>
        </w:rPr>
        <w:t xml:space="preserve">Abstract (EN): </w:t>
      </w:r>
      <w:r>
        <w:t>The translocation of large proteins through nanopores smaller than their native dimensions opens opportunities to probe endogenous biological processes, assess protein stability, and enable nanopore-based linearization for protein sequencing. Here, we demonstrate that electroosmotic flow (EOF) drives the passage of megadalton proteins through geometric constrained nanopores. Using glass nanopipettes with tip diameters up to 2.5-fold smaller than the proteins, we show that EOF actively captures, aligns, and deforms macromolecules─including immunoglobulin M (IgM) and α2-macroglobulin (α2M)─facilitating translocation through extreme confinement. Electrostatic potential analysis and quantitative modeling reveal that dipole enhancement and subsequent protein unfolding reduce the energetic barrier to pore entry and enable structural accommodation during transport. By fine-tuning voltage and ionic strength, a critical EOF-electrophoretic balance governing translocation kinetics is identified. Furthermore, voltage reversals change the EOF direction to achieve &gt;70% recapture efficiency, allowing reversible protein transport and ensemble-level interrogation of conformational dynamics. These findings establish an electrohydrodynamic framework for controlled macromolecular passage and expand nanopore sensing capabilities for precision proteomics and structural biology.</w:t>
      </w:r>
    </w:p>
    <w:p>
      <w:pPr>
        <w:spacing w:before="120" w:after="120"/>
      </w:pPr>
      <w:r>
        <w:rPr>
          <w:sz w:val="18"/>
        </w:rPr>
        <w:t>——————————————————————————————————————————————————————————————————————</w:t>
      </w:r>
    </w:p>
    <w:p>
      <w:pPr>
        <w:spacing w:before="160" w:after="40" w:line="240" w:lineRule="auto"/>
      </w:pPr>
      <w:r>
        <w:rPr>
          <w:b/>
        </w:rPr>
        <w:t xml:space="preserve">[413] </w:t>
      </w:r>
      <w:hyperlink r:id="rId1019">
        <w:r>
          <w:rPr>
            <w:color w:val="1155CC"/>
            <w:u w:val="single"/>
          </w:rPr>
          <w:t>[ASAP] 通过工程化光催化剂-微生物共生体从CO2和H2O光驱动C4生物合成</w:t>
        </w:r>
      </w:hyperlink>
    </w:p>
    <w:p>
      <w:pPr>
        <w:spacing w:before="0" w:after="80"/>
      </w:pPr>
      <w:r>
        <w:rPr>
          <w:i/>
          <w:sz w:val="20"/>
        </w:rPr>
        <w:t>EN: [ASAP] Light-Driven C4 Biosynthesis from CO2 and H2O via Engineered Photocatalyst–Microbial Consortia</w:t>
      </w:r>
    </w:p>
    <w:p>
      <w:pPr>
        <w:spacing w:before="0" w:after="120"/>
      </w:pPr>
      <w:r>
        <w:rPr>
          <w:b/>
        </w:rPr>
        <w:t xml:space="preserve">Source: </w:t>
      </w:r>
      <w:r>
        <w:t>Journal of the American Chemical Society: Latest Articles (ACS Publications)</w:t>
      </w:r>
      <w:r>
        <w:t xml:space="preserve">    </w:t>
      </w:r>
      <w:r>
        <w:rPr>
          <w:b/>
        </w:rPr>
        <w:t xml:space="preserve">Pub date: </w:t>
      </w:r>
      <w:r>
        <w:t>2026-03-18 19:56:53+00:00</w:t>
      </w:r>
      <w:r>
        <w:t xml:space="preserve">    </w:t>
      </w:r>
      <w:r>
        <w:rPr>
          <w:b/>
        </w:rPr>
        <w:t xml:space="preserve">DOI: </w:t>
      </w:r>
      <w:hyperlink r:id="rId1020">
        <w:r>
          <w:rPr>
            <w:color w:val="1155CC"/>
            <w:u w:val="single"/>
          </w:rPr>
          <w:t>10.1021/jacs.5c16572</w:t>
        </w:r>
      </w:hyperlink>
    </w:p>
    <w:p>
      <w:pPr>
        <w:spacing w:before="0" w:after="120"/>
      </w:pPr>
      <w:r>
        <w:rPr>
          <w:b/>
        </w:rPr>
        <w:t xml:space="preserve">Notes: </w:t>
      </w:r>
      <w:r>
        <w:t>abstract_source=pubmed</w:t>
      </w:r>
    </w:p>
    <w:p>
      <w:pPr>
        <w:spacing w:before="0" w:after="80" w:lineRule="auto" w:line="276"/>
      </w:pPr>
      <w:r>
        <w:rPr>
          <w:b/>
        </w:rPr>
        <w:t xml:space="preserve">摘要（ZH）: </w:t>
      </w:r>
      <w:r>
        <w:t>利用太阳能将CO2转化为增值化学品的可持续技术的发展仍然是一个关键挑战。我们提出了一种生物混合系统，将Z-方案光催化剂与工程化微生物群落结合，用于从CO2和H2O中光驱动生产琥珀酸，无需牺牲剂。该系统结合了表达甲酸脱氢酶的Escherichia coli生物膜，用于光电化学CO2还原为甲酸，并与适应性进化的Vibrio natriegens结合，将甲酸升级为琥珀酸。该配置在6小时内实现了0.06 mM的琥珀酸，表观量子产率为0.154%。生物膜在四个操作周期中与光催化剂保持一致接触，而V. natriegens的活力由于甲酸增加了11%。</w:t>
      </w:r>
    </w:p>
    <w:p>
      <w:pPr>
        <w:spacing w:before="0" w:after="200" w:lineRule="auto" w:line="276"/>
      </w:pPr>
      <w:r>
        <w:rPr>
          <w:b/>
        </w:rPr>
        <w:t xml:space="preserve">Abstract (EN): </w:t>
      </w:r>
      <w:r>
        <w:t>The development of sustainable technologies for converting CO2 into value-added chemicals using solar energy remains a critical challenge. We presented a biohybrid system integrating Z-scheme photocatalysts with engineered microbial consortia for light-driven succinic acid production from CO2 and H2O without sacrificial agents. The system combined Escherichia coli biofilms expressing formate dehydrogenase for photoelectrochemical CO2 reduction to formate with adaptively evolved Vibrio natriegens for formate upgrading to succinic acid. This configuration achieved 0.06 mM succinic acid in 6 h with an apparent quantum yield of 0.154%. The biofilms maintained conformal contact with photocatalysts through four operational cycles, while V. natriegens viability increased by 11% owing to the formate provided by the biohybrid sheet. Further, isotopic tracing revealed approximately 20% carbon incorporation from CO2. This work establishes a sustainable platform for solar-driven multicarbon synthesis through rational integration of photocatalysis and synthetic microbial consortia.</w:t>
      </w:r>
    </w:p>
    <w:p>
      <w:pPr>
        <w:spacing w:before="120" w:after="120"/>
      </w:pPr>
      <w:r>
        <w:rPr>
          <w:sz w:val="18"/>
        </w:rPr>
        <w:t>——————————————————————————————————————————————————————————————————————</w:t>
      </w:r>
    </w:p>
    <w:p>
      <w:pPr>
        <w:spacing w:before="160" w:after="40" w:line="240" w:lineRule="auto"/>
      </w:pPr>
      <w:r>
        <w:rPr>
          <w:b/>
        </w:rPr>
        <w:t xml:space="preserve">[414] </w:t>
      </w:r>
      <w:hyperlink r:id="rId1021">
        <w:r>
          <w:rPr>
            <w:color w:val="1155CC"/>
            <w:u w:val="single"/>
          </w:rPr>
          <w:t>寻求行业职位？把自己推销为问题解决者，而不是求职者</w:t>
        </w:r>
      </w:hyperlink>
    </w:p>
    <w:p>
      <w:pPr>
        <w:spacing w:before="0" w:after="80"/>
      </w:pPr>
      <w:r>
        <w:rPr>
          <w:i/>
          <w:sz w:val="20"/>
        </w:rPr>
        <w:t>EN: Seeking an industry role? Sell yourself as a problem-solver, not a job-seeker</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22">
        <w:r>
          <w:rPr>
            <w:color w:val="1155CC"/>
            <w:u w:val="single"/>
          </w:rPr>
          <w:t>10.1038/d41586-026-00548-2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[415] </w:t>
      </w:r>
      <w:hyperlink r:id="rId1023">
        <w:r>
          <w:rPr>
            <w:color w:val="1155CC"/>
            <w:u w:val="single"/>
          </w:rPr>
          <w:t>中国可能在两年内成为世界上最大的科学公共资助者</w:t>
        </w:r>
      </w:hyperlink>
    </w:p>
    <w:p>
      <w:pPr>
        <w:spacing w:before="0" w:after="80"/>
      </w:pPr>
      <w:r>
        <w:rPr>
          <w:i/>
          <w:sz w:val="20"/>
        </w:rPr>
        <w:t>EN: China could be the world’s biggest public funder of science within two years</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24">
        <w:r>
          <w:rPr>
            <w:color w:val="1155CC"/>
            <w:u w:val="single"/>
          </w:rPr>
          <w:t>10.1038/d41586-026-00618-5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[416] </w:t>
      </w:r>
      <w:hyperlink r:id="rId1025">
        <w:r>
          <w:rPr>
            <w:color w:val="1155CC"/>
            <w:u w:val="single"/>
          </w:rPr>
          <w:t>压力会导致湿疹爆发——现在我们知道原因了</w:t>
        </w:r>
      </w:hyperlink>
    </w:p>
    <w:p>
      <w:pPr>
        <w:spacing w:before="0" w:after="80"/>
      </w:pPr>
      <w:r>
        <w:rPr>
          <w:i/>
          <w:sz w:val="20"/>
        </w:rPr>
        <w:t>EN: Stress can cause eczema to flare-up – now we know why</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26">
        <w:r>
          <w:rPr>
            <w:color w:val="1155CC"/>
            <w:u w:val="single"/>
          </w:rPr>
          <w:t>10.1038/d41586-026-00876-3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[417] </w:t>
      </w:r>
      <w:hyperlink r:id="rId1027">
        <w:r>
          <w:rPr>
            <w:color w:val="1155CC"/>
            <w:u w:val="single"/>
          </w:rPr>
          <w:t>在中年肥胖药物疗程后力量仍然存在</w:t>
        </w:r>
      </w:hyperlink>
    </w:p>
    <w:p>
      <w:pPr>
        <w:spacing w:before="0" w:after="80"/>
      </w:pPr>
      <w:r>
        <w:rPr>
          <w:i/>
          <w:sz w:val="20"/>
        </w:rPr>
        <w:t>EN: Strength persists after a mid-life course of obesity drugs</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28">
        <w:r>
          <w:rPr>
            <w:color w:val="1155CC"/>
            <w:u w:val="single"/>
          </w:rPr>
          <w:t>10.1038/d41586-026-00852-x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[418] </w:t>
      </w:r>
      <w:hyperlink r:id="rId1029">
        <w:r>
          <w:rPr>
            <w:color w:val="1155CC"/>
            <w:u w:val="single"/>
          </w:rPr>
          <w:t>‘生物钟’加速预测寿命缩短</w:t>
        </w:r>
      </w:hyperlink>
    </w:p>
    <w:p>
      <w:pPr>
        <w:spacing w:before="0" w:after="80"/>
      </w:pPr>
      <w:r>
        <w:rPr>
          <w:i/>
          <w:sz w:val="20"/>
        </w:rPr>
        <w:t>EN: Faster ticking of ‘biological clock’ predicts shorter lifespan</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30">
        <w:r>
          <w:rPr>
            <w:color w:val="1155CC"/>
            <w:u w:val="single"/>
          </w:rPr>
          <w:t>10.1038/d41586-026-00866-5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[419] </w:t>
      </w:r>
      <w:hyperlink r:id="rId1031">
        <w:r>
          <w:rPr>
            <w:color w:val="1155CC"/>
            <w:u w:val="single"/>
          </w:rPr>
          <w:t>用于合成高密度功能化分子的电化学自优化</w:t>
        </w:r>
      </w:hyperlink>
    </w:p>
    <w:p>
      <w:pPr>
        <w:spacing w:before="0" w:after="80"/>
      </w:pPr>
      <w:r>
        <w:rPr>
          <w:i/>
          <w:sz w:val="20"/>
        </w:rPr>
        <w:t>EN: Electrochemical self-optimization for the synthesis of densely functionalized molecules</w:t>
      </w:r>
    </w:p>
    <w:p>
      <w:pPr>
        <w:spacing w:before="0" w:after="120"/>
      </w:pPr>
      <w:r>
        <w:rPr>
          <w:b/>
        </w:rPr>
        <w:t xml:space="preserve">Source: </w:t>
      </w:r>
      <w:r>
        <w:t>Chem</w:t>
      </w:r>
      <w:r>
        <w:t xml:space="preserve">    </w:t>
      </w:r>
      <w:r>
        <w:rPr>
          <w:b/>
        </w:rPr>
        <w:t xml:space="preserve">Pub date: </w:t>
      </w:r>
      <w:r>
        <w:t>2026-03-19 00:00:00+00:00</w:t>
      </w:r>
      <w:r>
        <w:t xml:space="preserve">    </w:t>
      </w:r>
      <w:r>
        <w:rPr>
          <w:b/>
        </w:rPr>
        <w:t xml:space="preserve">DOI: </w:t>
      </w:r>
      <w:hyperlink r:id="rId1032">
        <w:r>
          <w:rPr>
            <w:color w:val="1155CC"/>
            <w:u w:val="single"/>
          </w:rPr>
          <w:t>10.1016/j.chempr.2026.102952</w:t>
        </w:r>
      </w:hyperlink>
    </w:p>
    <w:p>
      <w:pPr>
        <w:spacing w:before="0" w:after="120"/>
      </w:pPr>
      <w:r>
        <w:rPr>
          <w:b/>
        </w:rPr>
        <w:t xml:space="preserve">Notes: </w:t>
      </w:r>
      <w:r>
        <w:t>abstract_source=rss_cell</w:t>
      </w:r>
    </w:p>
    <w:p>
      <w:pPr>
        <w:spacing w:before="0" w:after="80" w:lineRule="auto" w:line="276"/>
      </w:pPr>
      <w:r>
        <w:rPr>
          <w:b/>
        </w:rPr>
        <w:t xml:space="preserve">摘要（ZH）: </w:t>
      </w:r>
      <w:r>
        <w:t>贝叶斯优化使得探索复杂化学空间以快速获得优化条件成为可能。通过利用这种机器学习技术，开发了一种自主电化学流动平台，集成了液体处理机器人和在线分析。使用该平台，通过调整广泛的输入变量，优化了三种不同的电化学转化，以合成高功能化分子。</w:t>
      </w:r>
    </w:p>
    <w:p>
      <w:pPr>
        <w:spacing w:before="0" w:after="200" w:lineRule="auto" w:line="276"/>
      </w:pPr>
      <w:r>
        <w:rPr>
          <w:b/>
        </w:rPr>
        <w:t xml:space="preserve">Abstract (EN): </w:t>
      </w:r>
      <w:r>
        <w:t>Bayesian optimization enables the exploration of complex chemical spaces to obtain optimized conditions in an expedited fashion. By leveraging this machine learning technique, an autonomous electrochemical flow platform was developed, integrating a liquid handling robot and online analytics. Using this platform, three different electrochemical transformations toward the synthesis of densely functionalized molecules were optimized by tuning a wide range of input variables.</w:t>
      </w:r>
    </w:p>
    <w:p>
      <w:pPr>
        <w:spacing w:before="120" w:after="120"/>
      </w:pPr>
      <w:r>
        <w:rPr>
          <w:sz w:val="18"/>
        </w:rPr>
        <w:t>——————————————————————————————————————————————————————————————————————</w:t>
      </w:r>
    </w:p>
    <w:p>
      <w:pPr>
        <w:spacing w:before="160" w:after="40" w:line="240" w:lineRule="auto"/>
      </w:pPr>
      <w:r>
        <w:rPr>
          <w:b/>
        </w:rPr>
        <w:t xml:space="preserve">[420] </w:t>
      </w:r>
      <w:hyperlink r:id="rId1033">
        <w:r>
          <w:rPr>
            <w:color w:val="1155CC"/>
            <w:u w:val="single"/>
          </w:rPr>
          <w:t>功能性四足氧化锌：从合成和多物理学到先进应用</w:t>
        </w:r>
      </w:hyperlink>
    </w:p>
    <w:p>
      <w:pPr>
        <w:spacing w:before="0" w:after="80"/>
      </w:pPr>
      <w:r>
        <w:rPr>
          <w:i/>
          <w:sz w:val="20"/>
        </w:rPr>
        <w:t>EN: Functional tetrapodal zinc oxide: from synthesis and multiphysics to advanced applications</w:t>
      </w:r>
    </w:p>
    <w:p>
      <w:pPr>
        <w:spacing w:before="0" w:after="120"/>
      </w:pPr>
      <w:r>
        <w:rPr>
          <w:b/>
        </w:rPr>
        <w:t xml:space="preserve">Source: </w:t>
      </w:r>
      <w:r>
        <w:t>RSC - Chem. Soc. Rev. latest articles</w:t>
      </w:r>
      <w:r>
        <w:t xml:space="preserve">    </w:t>
      </w:r>
      <w:r>
        <w:rPr>
          <w:b/>
        </w:rPr>
        <w:t xml:space="preserve">Pub date: </w:t>
      </w:r>
      <w:r>
        <w:t>2026-03-19 00:00:00+00:00</w:t>
      </w:r>
    </w:p>
    <w:p>
      <w:pPr>
        <w:spacing w:before="0" w:after="120"/>
      </w:pPr>
      <w:r>
        <w:rPr>
          <w:b/>
        </w:rPr>
        <w:t xml:space="preserve">Notes: </w:t>
      </w:r>
      <w:r>
        <w:t>abstract_source=rsc_html</w:t>
      </w:r>
    </w:p>
    <w:p>
      <w:pPr>
        <w:spacing w:before="0" w:after="80" w:lineRule="auto" w:line="276"/>
      </w:pPr>
      <w:r>
        <w:rPr>
          <w:b/>
        </w:rPr>
        <w:t xml:space="preserve">摘要（ZH）: </w:t>
      </w:r>
      <w:r>
        <w:t>四足氧化锌（T-ZnO）代表了一种独特的ZnO结构，其特征是一个中心核和四个四面体排列的单晶臂。除了作为传统颗粒的角色外，T-ZnO越来越被认为是一个微观构建块，其三维几何形状决定了紧密耦合的多物理特性。本综述批判性地审视了T-ZnO在多个长度尺度上的结构生命周期。我们评估了可扩展的合成方法和竞争的热力学模型，这些模型控制着早期阶段的成核，随后对结构-性能关系进行了系统分析。结构-性能相关性从晶格的原子尺度，通过单个四足颗粒的微观尺度，到宏观尺度进行探讨。</w:t>
      </w:r>
    </w:p>
    <w:p>
      <w:pPr>
        <w:spacing w:before="0" w:after="200" w:lineRule="auto" w:line="276"/>
      </w:pPr>
      <w:r>
        <w:rPr>
          <w:b/>
        </w:rPr>
        <w:t xml:space="preserve">Abstract (EN): </w:t>
      </w:r>
      <w:r>
        <w:t>Tetrapodal zinc oxide (T-ZnO) represents a distinctive ZnO architecture, characterized by a central core and four tetrahedrally arranged monocrystalline arms. Beyond its role as a conventional particle, T-ZnO is increasingly recognized as a microscopic building block whose three-dimensional geometry governs tightly coupled multiphysics properties. This review critically examines the structural lifecycle of T-ZnO across multiple length scales. We evaluate scalable synthesis methodologies and competing thermodynamic models governing early-stage nucleation, followed by a systematic analysis of structure–property relationships. Structure–property correlations are addressed from the atomic scale of the crystal lattice, through the microscopic scale of individual tetrapodal particles, to the macroscopic aggregation of tetrapods into functional networks. Across these scales, the tetrapodal morphology dictates properties like mechanics, piezoelectricity, and optoelectronics via diverse and often competing effects. These properties are typically intertwined, producing physical coupling that generates both performance synergies and fundamental design trade-offs. The utility of this architecture is demonstrated in two principal domains: first, as an active functional particle network leveraging geometric stress concentration and percolation effects for applications such as advanced sensing; and second, as a sacrificial structural template for the fabrication of ultralight, highly porous aeromaterials that decouple the architectural advantages of the network from the intrinsic chemical limitations of ZnO. Ultimately, advancing T-ZnO from empirical optimization to rational technological deployment requires predictive multiphysics computational frameworks capable of guiding the design of its complex functionality.</w:t>
      </w:r>
    </w:p>
    <w:p>
      <w:pPr>
        <w:spacing w:before="120" w:after="120"/>
      </w:pPr>
      <w:r>
        <w:rPr>
          <w:sz w:val="18"/>
        </w:rPr>
        <w:t>——————————————————————————————————————————————————————————————————————</w:t>
      </w:r>
    </w:p>
    <w:p>
      <w:pPr>
        <w:spacing w:before="160" w:after="40" w:line="240" w:lineRule="auto"/>
      </w:pPr>
      <w:r>
        <w:rPr>
          <w:b/>
        </w:rPr>
        <w:t xml:space="preserve">[421] </w:t>
      </w:r>
      <w:hyperlink r:id="rId1034">
        <w:r>
          <w:rPr>
            <w:color w:val="1155CC"/>
            <w:u w:val="single"/>
          </w:rPr>
          <w:t>《Project Hail Mary》电影构建了令人眼花缭乱的新世界——并以科学为基础</w:t>
        </w:r>
      </w:hyperlink>
    </w:p>
    <w:p>
      <w:pPr>
        <w:spacing w:before="0" w:after="80"/>
      </w:pPr>
      <w:r>
        <w:rPr>
          <w:i/>
          <w:sz w:val="20"/>
        </w:rPr>
        <w:t>EN: Project Hail Mary film builds dazzling new worlds — and grounds them in science</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35">
        <w:r>
          <w:rPr>
            <w:color w:val="1155CC"/>
            <w:u w:val="single"/>
          </w:rPr>
          <w:t>10.1038/d41586-026-00870-9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[422] </w:t>
      </w:r>
      <w:hyperlink r:id="rId1036">
        <w:r>
          <w:rPr>
            <w:color w:val="1155CC"/>
            <w:u w:val="single"/>
          </w:rPr>
          <w:t>微纳表面工程和性能调控：从黑硅中获得的先进材料应用见解</w:t>
        </w:r>
      </w:hyperlink>
    </w:p>
    <w:p>
      <w:pPr>
        <w:spacing w:before="0" w:after="80"/>
      </w:pPr>
      <w:r>
        <w:rPr>
          <w:i/>
          <w:sz w:val="20"/>
        </w:rPr>
        <w:t>EN: Micro–nano surface engineering and property modulation: insights from black silicon for advanced material applications</w:t>
      </w:r>
    </w:p>
    <w:p>
      <w:pPr>
        <w:spacing w:before="0" w:after="120"/>
      </w:pPr>
      <w:r>
        <w:rPr>
          <w:b/>
        </w:rPr>
        <w:t xml:space="preserve">Source: </w:t>
      </w:r>
      <w:r>
        <w:t>RSC - Chem. Soc. Rev. latest articles</w:t>
      </w:r>
      <w:r>
        <w:t xml:space="preserve">    </w:t>
      </w:r>
      <w:r>
        <w:rPr>
          <w:b/>
        </w:rPr>
        <w:t xml:space="preserve">Pub date: </w:t>
      </w:r>
      <w:r>
        <w:t>2026-03-19 00:00:00+00:00</w:t>
      </w:r>
    </w:p>
    <w:p>
      <w:pPr>
        <w:spacing w:before="0" w:after="120"/>
      </w:pPr>
      <w:r>
        <w:rPr>
          <w:b/>
        </w:rPr>
        <w:t xml:space="preserve">Notes: </w:t>
      </w:r>
      <w:r>
        <w:t>abstract_source=rsc_html</w:t>
      </w:r>
    </w:p>
    <w:p>
      <w:pPr>
        <w:spacing w:before="0" w:after="80" w:lineRule="auto" w:line="276"/>
      </w:pPr>
      <w:r>
        <w:rPr>
          <w:b/>
        </w:rPr>
        <w:t xml:space="preserve">摘要（ZH）: </w:t>
      </w:r>
      <w:r>
        <w:t>微纳制造技术的进步使得材料表面的精确修改成为可能，从而出现了独特的物理和化学特性，以满足多样化的应用需求。黑硅是一种与CMOS技术兼容的研究透彻的材料，为探索微纳表面形态的整体特性提供了一个优秀的模型。本综述系统地研究了五种主流合成方法制备的黑硅形态，深入分析了其潜在机制以及关键参数对表面形态的影响。除了结构特征外，本综述还讨论了表面化学键的形成及其在调节表面能、润湿性和电性能中的作用。</w:t>
      </w:r>
    </w:p>
    <w:p>
      <w:pPr>
        <w:spacing w:before="0" w:after="200" w:lineRule="auto" w:line="276"/>
      </w:pPr>
      <w:r>
        <w:rPr>
          <w:b/>
        </w:rPr>
        <w:t xml:space="preserve">Abstract (EN): </w:t>
      </w:r>
      <w:r>
        <w:t>The advancement of micro–nano fabrication techniques has enabled the precise modification of material surfaces, allowing for unique physical and chemical properties to emerge, catering to diverse application requirements. Black silicon, a well-studied material compatible with CMOS technology, provides an excellent model for exploring the overall properties of micro–nano surface morphologies. This review systematically investigates the morphology fabricated by five mainstream synthesis methods for black silicon, offering an in-depth analysis of the underlying mechanisms and the impact of key parameters on surface morphology. In addition to structural features, this review discusses the formation of surface chemical bonds and their roles in modulating surface energy, wettability, and electronic passivation. Through this exploration, we examine how specific morphologies yield distinct physical and chemical properties that drive a wide range of applications, from photodetection to sensing and biomedical technologies. Key challenges of black silicon are discussed, including cost, mass production, and defect control, etc. This review aims to serve as a roadmap for researchers, guiding further advancements not only in black silicon but also in the broader field of nanomaterials, paving the way for breakthroughs across various domains of modern nanotechnology.</w:t>
      </w:r>
    </w:p>
    <w:p>
      <w:pPr>
        <w:spacing w:before="120" w:after="120"/>
      </w:pPr>
      <w:r>
        <w:rPr>
          <w:sz w:val="18"/>
        </w:rPr>
        <w:t>——————————————————————————————————————————————————————————————————————</w:t>
      </w:r>
    </w:p>
    <w:p>
      <w:pPr>
        <w:spacing w:before="160" w:after="40" w:line="240" w:lineRule="auto"/>
      </w:pPr>
      <w:r>
        <w:rPr>
          <w:b/>
        </w:rPr>
        <w:t xml:space="preserve">[423] </w:t>
      </w:r>
      <w:hyperlink r:id="rId1037">
        <w:r>
          <w:rPr>
            <w:color w:val="1155CC"/>
            <w:u w:val="single"/>
          </w:rPr>
          <w:t>用于异质催化反应性的端到端框架</w:t>
        </w:r>
      </w:hyperlink>
    </w:p>
    <w:p>
      <w:pPr>
        <w:spacing w:before="0" w:after="80"/>
      </w:pPr>
      <w:r>
        <w:rPr>
          <w:i/>
          <w:sz w:val="20"/>
        </w:rPr>
        <w:t>EN: An end-to-end framework for reactivity in heterogeneous catalysis</w:t>
      </w:r>
    </w:p>
    <w:p>
      <w:pPr>
        <w:spacing w:before="0" w:after="120"/>
      </w:pPr>
      <w:r>
        <w:rPr>
          <w:b/>
        </w:rPr>
        <w:t xml:space="preserve">Source: </w:t>
      </w:r>
      <w:r>
        <w:t>Nature Chemical Engineering</w:t>
      </w:r>
      <w:r>
        <w:t xml:space="preserve">    </w:t>
      </w:r>
      <w:r>
        <w:rPr>
          <w:b/>
        </w:rPr>
        <w:t xml:space="preserve">Pub date: </w:t>
      </w:r>
      <w:r>
        <w:t>2026-03-19 00:00:00+00:00</w:t>
      </w:r>
      <w:r>
        <w:t xml:space="preserve">    </w:t>
      </w:r>
      <w:r>
        <w:rPr>
          <w:b/>
        </w:rPr>
        <w:t xml:space="preserve">DOI: </w:t>
      </w:r>
      <w:hyperlink r:id="rId1038">
        <w:r>
          <w:rPr>
            <w:color w:val="1155CC"/>
            <w:u w:val="single"/>
          </w:rPr>
          <w:t>10.1038/s44286-026-00361-8</w:t>
        </w:r>
      </w:hyperlink>
    </w:p>
    <w:p>
      <w:pPr>
        <w:spacing w:before="0" w:after="120"/>
      </w:pPr>
      <w:r>
        <w:rPr>
          <w:b/>
        </w:rPr>
        <w:t xml:space="preserve">Notes: </w:t>
      </w:r>
      <w:r>
        <w:t>abstract_source=nature_html</w:t>
      </w:r>
    </w:p>
    <w:p>
      <w:pPr>
        <w:spacing w:before="0" w:after="80" w:lineRule="auto" w:line="276"/>
      </w:pPr>
      <w:r>
        <w:rPr>
          <w:b/>
        </w:rPr>
        <w:t xml:space="preserve">摘要（ZH）: </w:t>
      </w:r>
      <w:r>
        <w:t>催化过程的合理化依赖于对驱动反应物转化为产物的竞争反应机制的基本理解。反应网络的基本步骤列表是基于化学直觉提出的，并通过密度泛函理论进行评估。这种方法受限于网络的规模，并忽视了替代路径。在此，我们提出了催化自动反应评估器（CARE），这是一个用于多相催化的灵活端到端框架，由（1）基于规则的反应网络生成器，（2）由最先进的机器学习模型驱动的热力学和动力学参数评估器，以及（3）快速微动力学求解器组成。CARE再现了甲醇分解的实验活性趋势，识别出选择性</w:t>
      </w:r>
    </w:p>
    <w:p>
      <w:pPr>
        <w:spacing w:before="0" w:after="200" w:lineRule="auto" w:line="276"/>
      </w:pPr>
      <w:r>
        <w:rPr>
          <w:b/>
        </w:rPr>
        <w:t xml:space="preserve">Abstract (EN): </w:t>
      </w:r>
      <w:r>
        <w:t>The rationalization of catalytic processes relies on the fundamental understanding of competing reaction mechanisms driving reactants to products. The list of elementary steps composing the reaction networks is proposed based on chemical intuition and evaluated via density functional theory. This approach is limited by the size of the network and disregards alternative paths. Here we present the Catalytic Automated Reaction Evaluator (CARE), a flexible end-to-end framework for heterogeneous catalysis composed of (1) a rule-based reaction network generator, (2) a thermodynamic and kinetic parameter evaluator powered by state-of-the-art machine learning models and (3) a fast microkinetic solver. CARE reproduces the experimental activity trends in methanol decomposition, identifies the selectivity to C3 products in CO2 electroreduction and generates the Fischer–Tropsch synthesis mechanism including 370,000 reactions reaching C6 products. This comprehensive framework enables the exploration of thermal and electrocatalytic reactions previously not amenable to atomistic simulations.</w:t>
      </w:r>
    </w:p>
    <w:p>
      <w:pPr>
        <w:spacing w:before="120" w:after="120"/>
      </w:pPr>
      <w:r>
        <w:rPr>
          <w:sz w:val="18"/>
        </w:rPr>
        <w:t>——————————————————————————————————————————————————————————————————————</w:t>
      </w:r>
    </w:p>
    <w:p>
      <w:pPr>
        <w:spacing w:before="160" w:after="40" w:line="240" w:lineRule="auto"/>
      </w:pPr>
      <w:r>
        <w:rPr>
          <w:b/>
        </w:rPr>
        <w:t xml:space="preserve">[424] </w:t>
      </w:r>
      <w:hyperlink r:id="rId1039">
        <w:r>
          <w:rPr>
            <w:color w:val="1155CC"/>
            <w:u w:val="single"/>
          </w:rPr>
          <w:t>由光诱导极化子驱动的多尺度相成核在体积变化材料中的研究</w:t>
        </w:r>
      </w:hyperlink>
    </w:p>
    <w:p>
      <w:pPr>
        <w:spacing w:before="0" w:after="80"/>
      </w:pPr>
      <w:r>
        <w:rPr>
          <w:i/>
          <w:sz w:val="20"/>
        </w:rPr>
        <w:t>EN: Multiscale phase nucleation driven by photoinduced polarons in a volume-changing material</w:t>
      </w:r>
    </w:p>
    <w:p>
      <w:pPr>
        <w:spacing w:before="0" w:after="120"/>
      </w:pPr>
      <w:r>
        <w:rPr>
          <w:b/>
        </w:rPr>
        <w:t xml:space="preserve">Source: </w:t>
      </w:r>
      <w:r>
        <w:t>Nature Materials</w:t>
      </w:r>
      <w:r>
        <w:t xml:space="preserve">    </w:t>
      </w:r>
      <w:r>
        <w:rPr>
          <w:b/>
        </w:rPr>
        <w:t xml:space="preserve">Pub date: </w:t>
      </w:r>
      <w:r>
        <w:t>2026-03-19 00:00:00+00:00</w:t>
      </w:r>
      <w:r>
        <w:t xml:space="preserve">    </w:t>
      </w:r>
      <w:r>
        <w:rPr>
          <w:b/>
        </w:rPr>
        <w:t xml:space="preserve">DOI: </w:t>
      </w:r>
      <w:hyperlink r:id="rId1040">
        <w:r>
          <w:rPr>
            <w:color w:val="1155CC"/>
            <w:u w:val="single"/>
          </w:rPr>
          <w:t>10.1038/s41563-026-02521-w</w:t>
        </w:r>
      </w:hyperlink>
    </w:p>
    <w:p>
      <w:pPr>
        <w:spacing w:before="0" w:after="120"/>
      </w:pPr>
      <w:r>
        <w:rPr>
          <w:b/>
        </w:rPr>
        <w:t xml:space="preserve">Notes: </w:t>
      </w:r>
      <w:r>
        <w:t>abstract_source=nature_html</w:t>
      </w:r>
    </w:p>
    <w:p>
      <w:pPr>
        <w:spacing w:before="0" w:after="80" w:lineRule="auto" w:line="276"/>
      </w:pPr>
      <w:r>
        <w:rPr>
          <w:b/>
        </w:rPr>
        <w:t xml:space="preserve">摘要（ZH）: </w:t>
      </w:r>
      <w:r>
        <w:t>通过光对功能材料进行超快控制是开发光电子器件的关键。然而，微观光诱导激发如何演变为宏观相变的机制仍然知之甚少，部分原因是隔离多尺度电子和结构动力学的实验挑战。在此，我们使用飞秒X射线技术跟踪导致铁弹性电荷转移普鲁士蓝类似物宏观转变的非平衡动力学。实验数据表明了一系列现象。初始电子激发在50飞秒内导致反向Jahn–Teller畸变，在200飞秒内引起金属间电荷转移极化子。极化子产生显著的晶格应变并触发相成核</w:t>
      </w:r>
    </w:p>
    <w:p>
      <w:pPr>
        <w:spacing w:before="0" w:after="200" w:lineRule="auto" w:line="276"/>
      </w:pPr>
      <w:r>
        <w:rPr>
          <w:b/>
        </w:rPr>
        <w:t xml:space="preserve">Abstract (EN): </w:t>
      </w:r>
      <w:r>
        <w:t>Ultrafast control of functional materials by light is key for developing optoelectronic devices. Still, the mechanisms by which microscopic photoinduced excitations evolve into a macroscopic phase transformation remain poorly understood, partly due to the experimental challenges of isolating multiscale electronic and structural dynamics. Here we use femtosecond X-ray techniques to track the non-equilibrium dynamics leading to macroscopic transformation in a ferroelastic charge-transfer Prussian blue analogue. The experimental data evidence a sequence of phenomena. The initial electronic excitation leads to reverse Jahn–Teller distortion within 50 fs, causing intermetallic charge-transfer polarons within 200 fs. Polarons generate considerable lattice strain and trigger phase nucleation within 60 ps. This elastically driven cooperativity, launched by the photoinduced polarons, offers an efficient route to the generation and stabilization of photoinduced phases in many volume-changing materials.</w:t>
      </w:r>
    </w:p>
    <w:p>
      <w:pPr>
        <w:spacing w:before="120" w:after="120"/>
      </w:pPr>
      <w:r>
        <w:rPr>
          <w:sz w:val="18"/>
        </w:rPr>
        <w:t>——————————————————————————————————————————————————————————————————————</w:t>
      </w:r>
    </w:p>
    <w:p>
      <w:pPr>
        <w:spacing w:before="160" w:after="40" w:line="240" w:lineRule="auto"/>
      </w:pPr>
      <w:r>
        <w:rPr>
          <w:b/>
        </w:rPr>
        <w:t xml:space="preserve">[425] </w:t>
      </w:r>
      <w:hyperlink r:id="rId1041">
        <w:r>
          <w:rPr>
            <w:color w:val="1155CC"/>
            <w:u w:val="single"/>
          </w:rPr>
          <w:t>分子复合物中相干自旋的光学检测核磁共振</w:t>
        </w:r>
      </w:hyperlink>
    </w:p>
    <w:p>
      <w:pPr>
        <w:spacing w:before="0" w:after="80"/>
      </w:pPr>
      <w:r>
        <w:rPr>
          <w:i/>
          <w:sz w:val="20"/>
        </w:rPr>
        <w:t>EN: Optically detected nuclear magnetic resonance of coherent spins in a molecular complex</w:t>
      </w:r>
    </w:p>
    <w:p>
      <w:pPr>
        <w:spacing w:before="0" w:after="120"/>
      </w:pPr>
      <w:r>
        <w:rPr>
          <w:b/>
        </w:rPr>
        <w:t xml:space="preserve">Source: </w:t>
      </w:r>
      <w:r>
        <w:t>Nature Materials</w:t>
      </w:r>
      <w:r>
        <w:t xml:space="preserve">    </w:t>
      </w:r>
      <w:r>
        <w:rPr>
          <w:b/>
        </w:rPr>
        <w:t xml:space="preserve">Pub date: </w:t>
      </w:r>
      <w:r>
        <w:t>2026-03-19 00:00:00+00:00</w:t>
      </w:r>
      <w:r>
        <w:t xml:space="preserve">    </w:t>
      </w:r>
      <w:r>
        <w:rPr>
          <w:b/>
        </w:rPr>
        <w:t xml:space="preserve">DOI: </w:t>
      </w:r>
      <w:hyperlink r:id="rId1042">
        <w:r>
          <w:rPr>
            <w:color w:val="1155CC"/>
            <w:u w:val="single"/>
          </w:rPr>
          <w:t>10.1038/s41563-026-02539-0</w:t>
        </w:r>
      </w:hyperlink>
    </w:p>
    <w:p>
      <w:pPr>
        <w:spacing w:before="0" w:after="120"/>
      </w:pPr>
      <w:r>
        <w:rPr>
          <w:b/>
        </w:rPr>
        <w:t xml:space="preserve">Notes: </w:t>
      </w:r>
      <w:r>
        <w:t>abstract_source=nature_html</w:t>
      </w:r>
    </w:p>
    <w:p>
      <w:pPr>
        <w:spacing w:before="0" w:after="80" w:lineRule="auto" w:line="276"/>
      </w:pPr>
      <w:r>
        <w:rPr>
          <w:b/>
        </w:rPr>
        <w:t xml:space="preserve">摘要（ZH）: </w:t>
      </w:r>
      <w:r>
        <w:t>核磁共振是一种强大的工具，应用范围从化学分析到量子信息处理。实现分子核自旋的光学初始化和检测带来了新的机会——包括在低磁场下改进核磁共振信号、灵敏度达到单分子水平以及完全访问用于量子技术的原子精确分子结构。在此，我们报告了在一种基于铕的分子晶体中对相干控制的核自旋的光学读出。通过利用超窄光学跃迁，我们实现了核自旋态的光学初始化和检测。通过射频驱动，我们解决了两个核四极共振，其特征是窄的非均匀线宽</w:t>
      </w:r>
    </w:p>
    <w:p>
      <w:pPr>
        <w:spacing w:before="0" w:after="200" w:lineRule="auto" w:line="276"/>
      </w:pPr>
      <w:r>
        <w:rPr>
          <w:b/>
        </w:rPr>
        <w:t xml:space="preserve">Abstract (EN): </w:t>
      </w:r>
      <w:r>
        <w:t>Nuclear magnetic resonance is a powerful tool for applications ranging from chemical analysis to quantum information processing. Achieving optical initialization and detection of molecular nuclear spins promises new opportunities—including improved nuclear magnetic resonance signals at low magnetic field, sensitivity down to the single-molecule level and full access to atomically precise molecular architectures for quantum technologies. Here we report the optical read-out of coherently controlled nuclear spins in a europium-based molecular crystal. By harnessing ultranarrow optical transitions, we achieve the optical initialization and detection of nuclear spin states. Through radio-frequency driving, we address two nuclear quadrupole resonances, characterized by narrow inhomogeneous linewidths and a distinct correlation with the optical transition frequency. We implement Rabi oscillations, spin echo and dynamical decoupling techniques, achieving nuclear spin quantum coherence with a lifetime of up to 2 ms. These results highlight the capabilities of optically detected nuclear magnetic resonance and underscore the promise of molecular nuclear spins for quantum information processing.</w:t>
      </w:r>
    </w:p>
    <w:p>
      <w:pPr>
        <w:spacing w:before="120" w:after="120"/>
      </w:pPr>
      <w:r>
        <w:rPr>
          <w:sz w:val="18"/>
        </w:rPr>
        <w:t>——————————————————————————————————————————————————————————————————————</w:t>
      </w:r>
    </w:p>
    <w:p>
      <w:pPr>
        <w:spacing w:before="160" w:after="40" w:line="240" w:lineRule="auto"/>
      </w:pPr>
      <w:r>
        <w:rPr>
          <w:b/>
        </w:rPr>
        <w:t xml:space="preserve">[426] </w:t>
      </w:r>
      <w:hyperlink r:id="rId1043">
        <w:r>
          <w:rPr>
            <w:color w:val="1155CC"/>
            <w:u w:val="single"/>
          </w:rPr>
          <w:t>基于水凝胶的离子电子储层启用的神经形态假肢系统</w:t>
        </w:r>
      </w:hyperlink>
    </w:p>
    <w:p>
      <w:pPr>
        <w:spacing w:before="0" w:after="80"/>
      </w:pPr>
      <w:r>
        <w:rPr>
          <w:i/>
          <w:sz w:val="20"/>
        </w:rPr>
        <w:t>EN: A hydrogel-based iontronic-reservoir-enabled neuromorphic prosthetic system</w:t>
      </w:r>
    </w:p>
    <w:p>
      <w:pPr>
        <w:spacing w:before="0" w:after="120"/>
      </w:pPr>
      <w:r>
        <w:rPr>
          <w:b/>
        </w:rPr>
        <w:t xml:space="preserve">Source: </w:t>
      </w:r>
      <w:r>
        <w:t>Nature Materials</w:t>
      </w:r>
      <w:r>
        <w:t xml:space="preserve">    </w:t>
      </w:r>
      <w:r>
        <w:rPr>
          <w:b/>
        </w:rPr>
        <w:t xml:space="preserve">Pub date: </w:t>
      </w:r>
      <w:r>
        <w:t>2026-03-19 00:00:00+00:00</w:t>
      </w:r>
      <w:r>
        <w:t xml:space="preserve">    </w:t>
      </w:r>
      <w:r>
        <w:rPr>
          <w:b/>
        </w:rPr>
        <w:t xml:space="preserve">DOI: </w:t>
      </w:r>
      <w:hyperlink r:id="rId1044">
        <w:r>
          <w:rPr>
            <w:color w:val="1155CC"/>
            <w:u w:val="single"/>
          </w:rPr>
          <w:t>10.1038/s41563-026-02542-5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[427] </w:t>
      </w:r>
      <w:hyperlink r:id="rId1045">
        <w:r>
          <w:rPr>
            <w:color w:val="1155CC"/>
            <w:u w:val="single"/>
          </w:rPr>
          <w:t>通过三维光子质量涡旋工程实现的等离子体狄拉克涡旋激光器</w:t>
        </w:r>
      </w:hyperlink>
    </w:p>
    <w:p>
      <w:pPr>
        <w:spacing w:before="0" w:after="80"/>
      </w:pPr>
      <w:r>
        <w:rPr>
          <w:i/>
          <w:sz w:val="20"/>
        </w:rPr>
        <w:t>EN: Plasmonic Dirac-vortex lasers via three-dimensional photonic mass vortices engineering</w:t>
      </w:r>
    </w:p>
    <w:p>
      <w:pPr>
        <w:spacing w:before="0" w:after="120"/>
      </w:pPr>
      <w:r>
        <w:rPr>
          <w:b/>
        </w:rPr>
        <w:t xml:space="preserve">Source: </w:t>
      </w:r>
      <w:r>
        <w:t>Nature Communications</w:t>
      </w:r>
      <w:r>
        <w:t xml:space="preserve">    </w:t>
      </w:r>
      <w:r>
        <w:rPr>
          <w:b/>
        </w:rPr>
        <w:t xml:space="preserve">Pub date: </w:t>
      </w:r>
      <w:r>
        <w:t>2026-03-19 00:00:00+00:00</w:t>
      </w:r>
      <w:r>
        <w:t xml:space="preserve">    </w:t>
      </w:r>
      <w:r>
        <w:rPr>
          <w:b/>
        </w:rPr>
        <w:t xml:space="preserve">DOI: </w:t>
      </w:r>
      <w:hyperlink r:id="rId1046">
        <w:r>
          <w:rPr>
            <w:color w:val="1155CC"/>
            <w:u w:val="single"/>
          </w:rPr>
          <w:t>10.1038/s41467-026-70833-1</w:t>
        </w:r>
      </w:hyperlink>
    </w:p>
    <w:p>
      <w:pPr>
        <w:spacing w:before="0" w:after="120"/>
      </w:pPr>
      <w:r>
        <w:rPr>
          <w:b/>
        </w:rPr>
        <w:t xml:space="preserve">Notes: </w:t>
      </w:r>
      <w:r>
        <w:t>abstract_source=nature_html</w:t>
      </w:r>
    </w:p>
    <w:p>
      <w:pPr>
        <w:spacing w:before="0" w:after="80" w:lineRule="auto" w:line="276"/>
      </w:pPr>
      <w:r>
        <w:rPr>
          <w:b/>
        </w:rPr>
        <w:t xml:space="preserve">摘要（ZH）: </w:t>
      </w:r>
      <w:r>
        <w:t>拓扑光子晶体为操控光提供了一个强大的平台。然而，由于晶格能够提供的空间对称性数量有限，它们在实现多样的远场光束轮廓和偏振状态方面的灵活性受到限制。在此，我们通过在三维参数空间中设计光子质量涡旋，展示了具有受控偏振和强度分布的等离子体Dirac涡旋激光器。我们设计了由铝纳米颗粒的蜂窝状晶格组成的等离子体Dirac涡旋腔，其中通过以角度缠绕配置排列失真的单元格来实现光子质量涡旋。通过操控纳米颗粒的径向和方位位移以及它们的大小，作为系统的第三维度，我们预测</w:t>
      </w:r>
    </w:p>
    <w:p>
      <w:pPr>
        <w:spacing w:before="0" w:after="200" w:lineRule="auto" w:line="276"/>
      </w:pPr>
      <w:r>
        <w:rPr>
          <w:b/>
        </w:rPr>
        <w:t xml:space="preserve">Abstract (EN): </w:t>
      </w:r>
      <w:r>
        <w:t>Topological photonic crystals provide a powerful platform for manipulating light. However, their flexibility in realizing diverse far-field beam profiles and polarization states is limited by the number of spatial symmetries lattices can provide. Here, we demonstrate plasmonic Dirac-vortex lasers with controlled polarization and intensity distributions by engineering photonic mass vortices in a three-dimensional parameter space. We design plasmonic Dirac-vortex cavities consisting of honeycomb lattices of aluminum nanoparticles, where photonic mass vortices are achieved by arranging distorted unit cells in an angular winding configuration. By manipulating the radial and azimuthal displacements of the nanoparticles as well as their size, taken as the third dimension of the system, we predict far-field radiation with spatially programmable polarization states and asymmetric intensity distributions. Experimentally, this is achieved by integrating organic dye molecules within the plasmonic Dirac-vortex cavities. Our work establishes a paradigm for multi-dimensional mass-enabled cavity engineering, which offers flexibility in sculpting exotic photonic states with broad implications for photonic circuits, quantum devices, and bosonic systems.</w:t>
      </w:r>
    </w:p>
    <w:p>
      <w:pPr>
        <w:spacing w:before="120" w:after="120"/>
      </w:pPr>
      <w:r>
        <w:rPr>
          <w:sz w:val="18"/>
        </w:rPr>
        <w:t>——————————————————————————————————————————————————————————————————————</w:t>
      </w:r>
    </w:p>
    <w:p>
      <w:pPr>
        <w:spacing w:before="160" w:after="40" w:line="240" w:lineRule="auto"/>
      </w:pPr>
      <w:r>
        <w:rPr>
          <w:b/>
        </w:rPr>
        <w:t xml:space="preserve">[428] </w:t>
      </w:r>
      <w:hyperlink r:id="rId1047">
        <w:r>
          <w:rPr>
            <w:color w:val="1155CC"/>
            <w:u w:val="single"/>
          </w:rPr>
          <w:t>富含钴位点和硫空位的超小MoSx纳米片的边缘工程用于多环芳烃加氢</w:t>
        </w:r>
      </w:hyperlink>
    </w:p>
    <w:p>
      <w:pPr>
        <w:spacing w:before="0" w:after="80"/>
      </w:pPr>
      <w:r>
        <w:rPr>
          <w:i/>
          <w:sz w:val="20"/>
        </w:rPr>
        <w:t>EN: Edge engineering of ultrasmall MoSx nanosheets with rich Co sites and S vacancies for polyaromatic hydrogenation</w:t>
      </w:r>
    </w:p>
    <w:p>
      <w:pPr>
        <w:spacing w:before="0" w:after="120"/>
      </w:pPr>
      <w:r>
        <w:rPr>
          <w:b/>
        </w:rPr>
        <w:t xml:space="preserve">Source: </w:t>
      </w:r>
      <w:r>
        <w:t>Chem</w:t>
      </w:r>
      <w:r>
        <w:t xml:space="preserve">    </w:t>
      </w:r>
      <w:r>
        <w:rPr>
          <w:b/>
        </w:rPr>
        <w:t xml:space="preserve">Pub date: </w:t>
      </w:r>
      <w:r>
        <w:t>2026-03-19 00:00:00+00:00</w:t>
      </w:r>
      <w:r>
        <w:t xml:space="preserve">    </w:t>
      </w:r>
      <w:r>
        <w:rPr>
          <w:b/>
        </w:rPr>
        <w:t xml:space="preserve">DOI: </w:t>
      </w:r>
      <w:hyperlink r:id="rId1048">
        <w:r>
          <w:rPr>
            <w:color w:val="1155CC"/>
            <w:u w:val="single"/>
          </w:rPr>
          <w:t>10.1016/j.chempr.2026.102963</w:t>
        </w:r>
      </w:hyperlink>
    </w:p>
    <w:p>
      <w:pPr>
        <w:spacing w:before="0" w:after="120"/>
      </w:pPr>
      <w:r>
        <w:rPr>
          <w:b/>
        </w:rPr>
        <w:t xml:space="preserve">Notes: </w:t>
      </w:r>
      <w:r>
        <w:t>abstract_source=rss_cell</w:t>
      </w:r>
    </w:p>
    <w:p>
      <w:pPr>
        <w:spacing w:before="0" w:after="80" w:lineRule="auto" w:line="276"/>
      </w:pPr>
      <w:r>
        <w:rPr>
          <w:b/>
        </w:rPr>
        <w:t xml:space="preserve">摘要（ZH）: </w:t>
      </w:r>
      <w:r>
        <w:t>我们报告了具有一到三层、横向尺寸为3–6 nm、边缘易于剥离且富含钴位点和硫空位的MoSx纳米片的原位合成。合成的催化剂在多环芳烃的加氢反应中位列最佳非贵金属催化剂之列。</w:t>
      </w:r>
    </w:p>
    <w:p>
      <w:pPr>
        <w:spacing w:before="0" w:after="200" w:lineRule="auto" w:line="276"/>
      </w:pPr>
      <w:r>
        <w:rPr>
          <w:b/>
        </w:rPr>
        <w:t xml:space="preserve">Abstract (EN): </w:t>
      </w:r>
      <w:r>
        <w:t>We report the in situ synthesis of MoSx nanosheets with one to three layers, lateral sizes of 3–6 nm, and readily cleavable edges with abundant Co sites and S vacancies. The synthesized catalysts rank among the best non-precious metals for the hydrogenation of polyaromatics.</w:t>
      </w:r>
    </w:p>
    <w:p>
      <w:pPr>
        <w:spacing w:before="120" w:after="120"/>
      </w:pPr>
      <w:r>
        <w:rPr>
          <w:sz w:val="18"/>
        </w:rPr>
        <w:t>——————————————————————————————————————————————————————————————————————</w:t>
      </w:r>
    </w:p>
    <w:p>
      <w:pPr>
        <w:spacing w:before="160" w:after="40" w:line="240" w:lineRule="auto"/>
      </w:pPr>
      <w:r>
        <w:rPr>
          <w:b/>
        </w:rPr>
        <w:t xml:space="preserve">[429] </w:t>
      </w:r>
      <w:hyperlink r:id="rId1049">
        <w:r>
          <w:rPr>
            <w:color w:val="1155CC"/>
            <w:u w:val="single"/>
          </w:rPr>
          <w:t>重塑数论的数学家获得了著名的阿贝尔奖</w:t>
        </w:r>
      </w:hyperlink>
    </w:p>
    <w:p>
      <w:pPr>
        <w:spacing w:before="0" w:after="80"/>
      </w:pPr>
      <w:r>
        <w:rPr>
          <w:i/>
          <w:sz w:val="20"/>
        </w:rPr>
        <w:t>EN: Mathematician who reshaped number theory wins prestigious Abel prize</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50">
        <w:r>
          <w:rPr>
            <w:color w:val="1155CC"/>
            <w:u w:val="single"/>
          </w:rPr>
          <w:t>10.1038/d41586-026-00819-y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[430] </w:t>
      </w:r>
      <w:hyperlink r:id="rId1051">
        <w:r>
          <w:rPr>
            <w:color w:val="1155CC"/>
            <w:u w:val="single"/>
          </w:rPr>
          <w:t>一缕清新的空气：通过照片解决乌兰巴托的污染问题</w:t>
        </w:r>
      </w:hyperlink>
    </w:p>
    <w:p>
      <w:pPr>
        <w:spacing w:before="0" w:after="80"/>
      </w:pPr>
      <w:r>
        <w:rPr>
          <w:i/>
          <w:sz w:val="20"/>
        </w:rPr>
        <w:t>EN: A breath of fresh air: solving Ulaanbaatar’s pollution issues — in photos</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52">
        <w:r>
          <w:rPr>
            <w:color w:val="1155CC"/>
            <w:u w:val="single"/>
          </w:rPr>
          <w:t>10.1038/d41586-026-00712-8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[431] </w:t>
      </w:r>
      <w:hyperlink r:id="rId1053">
        <w:r>
          <w:rPr>
            <w:color w:val="1155CC"/>
            <w:u w:val="single"/>
          </w:rPr>
          <w:t>更接近有效、一致和安全的癌症治疗诊断</w:t>
        </w:r>
      </w:hyperlink>
    </w:p>
    <w:p>
      <w:pPr>
        <w:spacing w:before="0" w:after="80"/>
      </w:pPr>
      <w:r>
        <w:rPr>
          <w:i/>
          <w:sz w:val="20"/>
        </w:rPr>
        <w:t>EN: A step closer to effective, consistent and safe cancer theranostics</w:t>
      </w:r>
    </w:p>
    <w:p>
      <w:pPr>
        <w:spacing w:before="0" w:after="120"/>
      </w:pPr>
      <w:r>
        <w:rPr>
          <w:b/>
        </w:rPr>
        <w:t xml:space="preserve">Source: </w:t>
      </w:r>
      <w:r>
        <w:t>Nature Reviews Materials</w:t>
      </w:r>
      <w:r>
        <w:t xml:space="preserve">    </w:t>
      </w:r>
      <w:r>
        <w:rPr>
          <w:b/>
        </w:rPr>
        <w:t xml:space="preserve">Pub date: </w:t>
      </w:r>
      <w:r>
        <w:t>2026-03-19 00:00:00+00:00</w:t>
      </w:r>
      <w:r>
        <w:t xml:space="preserve">    </w:t>
      </w:r>
      <w:r>
        <w:rPr>
          <w:b/>
        </w:rPr>
        <w:t xml:space="preserve">DOI: </w:t>
      </w:r>
      <w:hyperlink r:id="rId1054">
        <w:r>
          <w:rPr>
            <w:color w:val="1155CC"/>
            <w:u w:val="single"/>
          </w:rPr>
          <w:t>10.1038/s41578-026-00913-7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[432] </w:t>
      </w:r>
      <w:hyperlink r:id="rId1055">
        <w:r>
          <w:rPr>
            <w:color w:val="1155CC"/>
            <w:u w:val="single"/>
          </w:rPr>
          <w:t>掩盖的线粒体进入细胞以治疗小鼠疾病</w:t>
        </w:r>
      </w:hyperlink>
    </w:p>
    <w:p>
      <w:pPr>
        <w:spacing w:before="0" w:after="80"/>
      </w:pPr>
      <w:r>
        <w:rPr>
          <w:i/>
          <w:sz w:val="20"/>
        </w:rPr>
        <w:t>EN: Masked mitochondria slip into cells to treat disease in mice</w:t>
      </w:r>
    </w:p>
    <w:p>
      <w:pPr>
        <w:spacing w:before="0" w:after="120"/>
      </w:pPr>
      <w:r>
        <w:rPr>
          <w:b/>
        </w:rPr>
        <w:t xml:space="preserve">Source: </w:t>
      </w:r>
      <w:r>
        <w:t>Nature</w:t>
      </w:r>
      <w:r>
        <w:t xml:space="preserve">    </w:t>
      </w:r>
      <w:r>
        <w:rPr>
          <w:b/>
        </w:rPr>
        <w:t xml:space="preserve">Pub date: </w:t>
      </w:r>
      <w:r>
        <w:t>2026-03-19 00:00:00+00:00</w:t>
      </w:r>
      <w:r>
        <w:t xml:space="preserve">    </w:t>
      </w:r>
      <w:r>
        <w:rPr>
          <w:b/>
        </w:rPr>
        <w:t xml:space="preserve">DOI: </w:t>
      </w:r>
      <w:hyperlink r:id="rId1056">
        <w:r>
          <w:rPr>
            <w:color w:val="1155CC"/>
            <w:u w:val="single"/>
          </w:rPr>
          <w:t>10.1038/d41586-026-00869-2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[433] </w:t>
      </w:r>
      <w:hyperlink r:id="rId1057">
        <w:r>
          <w:rPr>
            <w:color w:val="1155CC"/>
            <w:u w:val="single"/>
          </w:rPr>
          <w:t>探索液冷数据中心的需求响应潜力</w:t>
        </w:r>
      </w:hyperlink>
    </w:p>
    <w:p>
      <w:pPr>
        <w:spacing w:before="0" w:after="80"/>
      </w:pPr>
      <w:r>
        <w:rPr>
          <w:i/>
          <w:sz w:val="20"/>
        </w:rPr>
        <w:t>EN: Exploring the Demand Response Potential of Liquid-Cooled Data Centers</w:t>
      </w:r>
    </w:p>
    <w:p>
      <w:pPr>
        <w:spacing w:before="0" w:after="120"/>
      </w:pPr>
      <w:r>
        <w:rPr>
          <w:b/>
        </w:rPr>
        <w:t xml:space="preserve">Source: </w:t>
      </w:r>
      <w:r>
        <w:t>ScienceDirect Publication: Applied Energy</w:t>
      </w:r>
      <w:r>
        <w:t xml:space="preserve">    </w:t>
      </w:r>
      <w:r>
        <w:rPr>
          <w:b/>
        </w:rPr>
        <w:t xml:space="preserve">Pub date: </w:t>
      </w:r>
      <w:r>
        <w:t>2026-03-19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[434] </w:t>
      </w:r>
      <w:hyperlink r:id="rId1058">
        <w:r>
          <w:rPr>
            <w:color w:val="1155CC"/>
            <w:u w:val="single"/>
          </w:rPr>
          <w:t>中国未完成的建筑已造成大量搁浅资产，带来可观的资源和社会经济成本</w:t>
        </w:r>
      </w:hyperlink>
    </w:p>
    <w:p>
      <w:pPr>
        <w:spacing w:before="0" w:after="80"/>
      </w:pPr>
      <w:r>
        <w:rPr>
          <w:i/>
          <w:sz w:val="20"/>
        </w:rPr>
        <w:t>EN: China’s unfinished buildings have created stranded assets with substantial resource and socioeconomic costs</w:t>
      </w:r>
    </w:p>
    <w:p>
      <w:pPr>
        <w:spacing w:before="0" w:after="120"/>
      </w:pPr>
      <w:r>
        <w:rPr>
          <w:b/>
        </w:rPr>
        <w:t xml:space="preserve">Source: </w:t>
      </w:r>
      <w:r>
        <w:t>One Earth</w:t>
      </w:r>
      <w:r>
        <w:t xml:space="preserve">    </w:t>
      </w:r>
      <w:r>
        <w:rPr>
          <w:b/>
        </w:rPr>
        <w:t xml:space="preserve">Pub date: </w:t>
      </w:r>
      <w:r>
        <w:t>2026-03-19 00:00:00+00:00</w:t>
      </w:r>
      <w:r>
        <w:t xml:space="preserve">    </w:t>
      </w:r>
      <w:r>
        <w:rPr>
          <w:b/>
        </w:rPr>
        <w:t xml:space="preserve">DOI: </w:t>
      </w:r>
      <w:hyperlink r:id="rId1059">
        <w:r>
          <w:rPr>
            <w:color w:val="1155CC"/>
            <w:u w:val="single"/>
          </w:rPr>
          <w:t>10.1016/j.oneear.2026.101649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[435] </w:t>
      </w:r>
      <w:hyperlink r:id="rId1060">
        <w:r>
          <w:rPr>
            <w:color w:val="1155CC"/>
            <w:u w:val="single"/>
          </w:rPr>
          <w:t>区块链和双重拍卖在可信且高效的自愿碳市场中的应用</w:t>
        </w:r>
      </w:hyperlink>
    </w:p>
    <w:p>
      <w:pPr>
        <w:spacing w:before="0" w:after="80"/>
      </w:pPr>
      <w:r>
        <w:rPr>
          <w:i/>
          <w:sz w:val="20"/>
        </w:rPr>
        <w:t>EN: Blockchain and double auction for credible and efficient voluntary carbon market</w:t>
      </w:r>
    </w:p>
    <w:p>
      <w:pPr>
        <w:spacing w:before="0" w:after="120"/>
      </w:pPr>
      <w:r>
        <w:rPr>
          <w:b/>
        </w:rPr>
        <w:t xml:space="preserve">Source: </w:t>
      </w:r>
      <w:r>
        <w:t>ScienceDirect Publication: Applied Energy</w:t>
      </w:r>
      <w:r>
        <w:t xml:space="preserve">    </w:t>
      </w:r>
      <w:r>
        <w:rPr>
          <w:b/>
        </w:rPr>
        <w:t xml:space="preserve">Pub date: </w:t>
      </w:r>
      <w:r>
        <w:t>2026-03-19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[436] </w:t>
      </w:r>
      <w:hyperlink r:id="rId1061">
        <w:r>
          <w:rPr>
            <w:color w:val="1155CC"/>
            <w:u w:val="single"/>
          </w:rPr>
          <w:t>从第一性原理看BiVO4光催化：电子结构、晶面各向异性和界面工程</w:t>
        </w:r>
      </w:hyperlink>
    </w:p>
    <w:p>
      <w:pPr>
        <w:spacing w:before="0" w:after="80"/>
      </w:pPr>
      <w:r>
        <w:rPr>
          <w:i/>
          <w:sz w:val="20"/>
        </w:rPr>
        <w:t>EN: First-principles perspectives on BiVO4 photocatalysis: electronic structure, facet anisotropy, and interface engineering</w:t>
      </w:r>
    </w:p>
    <w:p>
      <w:pPr>
        <w:spacing w:before="0" w:after="120"/>
      </w:pPr>
      <w:r>
        <w:rPr>
          <w:b/>
        </w:rPr>
        <w:t xml:space="preserve">Source: </w:t>
      </w:r>
      <w:r>
        <w:t>ScienceDirect Publication: Applied Energy</w:t>
      </w:r>
      <w:r>
        <w:t xml:space="preserve">    </w:t>
      </w:r>
      <w:r>
        <w:rPr>
          <w:b/>
        </w:rPr>
        <w:t xml:space="preserve">Pub date: </w:t>
      </w:r>
      <w:r>
        <w:t>2026-03-19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[437] </w:t>
      </w:r>
      <w:hyperlink r:id="rId1062">
        <w:r>
          <w:rPr>
            <w:color w:val="1155CC"/>
            <w:u w:val="single"/>
          </w:rPr>
          <w:t>吸收不对称因子的增强：揭示手性二维钙钛矿合成调控的基于数据驱动的方法</w:t>
        </w:r>
      </w:hyperlink>
    </w:p>
    <w:p>
      <w:pPr>
        <w:spacing w:before="0" w:after="80"/>
      </w:pPr>
      <w:r>
        <w:rPr>
          <w:i/>
          <w:sz w:val="20"/>
        </w:rPr>
        <w:t>EN: Absorption dissymmetry factor enhancement: A data-driven approach to unravel the synthesis knobs of chiral 2D perovskites</w:t>
      </w:r>
    </w:p>
    <w:p>
      <w:pPr>
        <w:spacing w:before="0" w:after="120"/>
      </w:pPr>
      <w:r>
        <w:rPr>
          <w:b/>
        </w:rPr>
        <w:t xml:space="preserve">Source: </w:t>
      </w:r>
      <w:r>
        <w:t>Matter</w:t>
      </w:r>
      <w:r>
        <w:t xml:space="preserve">    </w:t>
      </w:r>
      <w:r>
        <w:rPr>
          <w:b/>
        </w:rPr>
        <w:t xml:space="preserve">Pub date: </w:t>
      </w:r>
      <w:r>
        <w:t>2026-03-19 00:00:00+00:00</w:t>
      </w:r>
      <w:r>
        <w:t xml:space="preserve">    </w:t>
      </w:r>
      <w:r>
        <w:rPr>
          <w:b/>
        </w:rPr>
        <w:t xml:space="preserve">DOI: </w:t>
      </w:r>
      <w:hyperlink r:id="rId1063">
        <w:r>
          <w:rPr>
            <w:color w:val="1155CC"/>
            <w:u w:val="single"/>
          </w:rPr>
          <w:t>10.1016/j.matt.2026.102676</w:t>
        </w:r>
      </w:hyperlink>
    </w:p>
    <w:p>
      <w:pPr>
        <w:spacing w:before="0" w:after="120"/>
      </w:pPr>
      <w:r>
        <w:rPr>
          <w:b/>
        </w:rPr>
        <w:t xml:space="preserve">Notes: </w:t>
      </w:r>
      <w:r>
        <w:t>abstract_source=rss_cell</w:t>
      </w:r>
    </w:p>
    <w:p>
      <w:pPr>
        <w:spacing w:before="0" w:after="80" w:lineRule="auto" w:line="276"/>
      </w:pPr>
      <w:r>
        <w:rPr>
          <w:b/>
        </w:rPr>
        <w:t xml:space="preserve">摘要（ZH）: </w:t>
      </w:r>
      <w:r>
        <w:t>手性钙钛矿对于下一代基于自旋的电子设备至关重要，但其光学性能仍然难以控制。该研究采用统计分析和机器学习来解码控制其手性光学响应的复杂合成“旋钮”。通过识别溶剂选择、温度和薄膜厚度为关键因素，作者提供了一种数据驱动的策略来优化材料性能。这一策略为未来技术中高性能手性材料的合理设计奠定了基础。</w:t>
      </w:r>
    </w:p>
    <w:p>
      <w:pPr>
        <w:spacing w:before="0" w:after="200" w:lineRule="auto" w:line="276"/>
      </w:pPr>
      <w:r>
        <w:rPr>
          <w:b/>
        </w:rPr>
        <w:t xml:space="preserve">Abstract (EN): </w:t>
      </w:r>
      <w:r>
        <w:t>Chiral perovskites are essential for next-generation, spin-based electronics, yet their optical performance remains difficult to control. This work employs statistical analysis and machine learning to decode the complex synthesis “knobs” that govern their chiroptical response. By identifying solvent choice, temperature, and film thickness as critical factors, the authors provide a data-driven strategy to optimize material properties. This strategy establishes a path toward the rational design of high-performance chiral materials for future technology.</w:t>
      </w:r>
    </w:p>
    <w:p>
      <w:pPr>
        <w:spacing w:before="120" w:after="120"/>
      </w:pPr>
      <w:r>
        <w:rPr>
          <w:sz w:val="18"/>
        </w:rPr>
        <w:t>——————————————————————————————————————————————————————————————————————</w:t>
      </w:r>
    </w:p>
    <w:p>
      <w:pPr>
        <w:spacing w:before="160" w:after="40" w:line="240" w:lineRule="auto"/>
      </w:pPr>
      <w:r>
        <w:rPr>
          <w:b/>
        </w:rPr>
        <w:t xml:space="preserve">[438] </w:t>
      </w:r>
      <w:hyperlink r:id="rId1064">
        <w:r>
          <w:rPr>
            <w:color w:val="1155CC"/>
            <w:u w:val="single"/>
          </w:rPr>
          <w:t>通过埋入界面异质结工程构建反向电场实现高性能钙钛矿X射线探测器</w:t>
        </w:r>
      </w:hyperlink>
    </w:p>
    <w:p>
      <w:pPr>
        <w:spacing w:before="0" w:after="80"/>
      </w:pPr>
      <w:r>
        <w:rPr>
          <w:i/>
          <w:sz w:val="20"/>
        </w:rPr>
        <w:t>EN: Constructing reverse electric field by buried interfacial heterojunction engineering enables high-performance perovskite X-ray detectors</w:t>
      </w:r>
    </w:p>
    <w:p>
      <w:pPr>
        <w:spacing w:before="0" w:after="120"/>
      </w:pPr>
      <w:r>
        <w:rPr>
          <w:b/>
        </w:rPr>
        <w:t xml:space="preserve">Source: </w:t>
      </w:r>
      <w:r>
        <w:t>Matter</w:t>
      </w:r>
      <w:r>
        <w:t xml:space="preserve">    </w:t>
      </w:r>
      <w:r>
        <w:rPr>
          <w:b/>
        </w:rPr>
        <w:t xml:space="preserve">Pub date: </w:t>
      </w:r>
      <w:r>
        <w:t>2026-03-19 00:00:00+00:00</w:t>
      </w:r>
      <w:r>
        <w:t xml:space="preserve">    </w:t>
      </w:r>
      <w:r>
        <w:rPr>
          <w:b/>
        </w:rPr>
        <w:t xml:space="preserve">DOI: </w:t>
      </w:r>
      <w:hyperlink r:id="rId1065">
        <w:r>
          <w:rPr>
            <w:color w:val="1155CC"/>
            <w:u w:val="single"/>
          </w:rPr>
          <w:t>10.1016/j.matt.2026.102677</w:t>
        </w:r>
      </w:hyperlink>
    </w:p>
    <w:p>
      <w:pPr>
        <w:spacing w:before="0" w:after="120"/>
      </w:pPr>
      <w:r>
        <w:rPr>
          <w:b/>
        </w:rPr>
        <w:t xml:space="preserve">Notes: </w:t>
      </w:r>
      <w:r>
        <w:t>abstract_source=rss_cell</w:t>
      </w:r>
    </w:p>
    <w:p>
      <w:pPr>
        <w:spacing w:before="0" w:after="80" w:lineRule="auto" w:line="276"/>
      </w:pPr>
      <w:r>
        <w:rPr>
          <w:b/>
        </w:rPr>
        <w:t xml:space="preserve">摘要（ZH）: </w:t>
      </w:r>
      <w:r>
        <w:t>在埋藏界面处设计的1D/3D钙钛矿异质结能够有效抑制离子迁移，同时提供高效的载流子提取。由此产生的X射线探测器实现了9.5 nGyairs-1的低检测限，并在超过100 Gyair的辐射剂量下稳定运行，性能优于大多数采用浆料刮涂法制备的MAPbI3厚膜X射线探测器。</w:t>
      </w:r>
    </w:p>
    <w:p>
      <w:pPr>
        <w:spacing w:before="0" w:after="200" w:lineRule="auto" w:line="276"/>
      </w:pPr>
      <w:r>
        <w:rPr>
          <w:b/>
        </w:rPr>
        <w:t xml:space="preserve">Abstract (EN): </w:t>
      </w:r>
      <w:r>
        <w:t>A 1D/3D perovskite heterojunction engineered at the buried interface enables effective suppression of ion migration while providing efficient carrier extraction. The resulting X-ray detector achieves a low detection limit of 9.5 nGyairs-1 and stable operation under radiation doses over 100 Gyair, outperforming most reported MAPbI3 thick film X-ray detectors fabricated by slurry blade-coating method.</w:t>
      </w:r>
    </w:p>
    <w:p>
      <w:pPr>
        <w:spacing w:before="120" w:after="120"/>
      </w:pPr>
      <w:r>
        <w:rPr>
          <w:sz w:val="18"/>
        </w:rPr>
        <w:t>——————————————————————————————————————————————————————————————————————</w:t>
      </w:r>
    </w:p>
    <w:p>
      <w:pPr>
        <w:spacing w:before="160" w:after="40" w:line="240" w:lineRule="auto"/>
      </w:pPr>
      <w:r>
        <w:rPr>
          <w:b/>
        </w:rPr>
        <w:t xml:space="preserve">[439] </w:t>
      </w:r>
      <w:hyperlink r:id="rId1066">
        <w:r>
          <w:rPr>
            <w:color w:val="1155CC"/>
            <w:u w:val="single"/>
          </w:rPr>
          <w:t>在不同库存核算方法下采购清洁电力声明的影响</w:t>
        </w:r>
      </w:hyperlink>
    </w:p>
    <w:p>
      <w:pPr>
        <w:spacing w:before="0" w:after="80"/>
      </w:pPr>
      <w:r>
        <w:rPr>
          <w:i/>
          <w:sz w:val="20"/>
        </w:rPr>
        <w:t>EN: Impacts from procuring clean electricity claims under different inventory accounting methods</w:t>
      </w:r>
    </w:p>
    <w:p>
      <w:pPr>
        <w:spacing w:before="0" w:after="120"/>
      </w:pPr>
      <w:r>
        <w:rPr>
          <w:b/>
        </w:rPr>
        <w:t xml:space="preserve">Source: </w:t>
      </w:r>
      <w:r>
        <w:t>Joule</w:t>
      </w:r>
      <w:r>
        <w:t xml:space="preserve">    </w:t>
      </w:r>
      <w:r>
        <w:rPr>
          <w:b/>
        </w:rPr>
        <w:t xml:space="preserve">Pub date: </w:t>
      </w:r>
      <w:r>
        <w:t>2026-03-19 00:00:00+00:00</w:t>
      </w:r>
      <w:r>
        <w:t xml:space="preserve">    </w:t>
      </w:r>
      <w:r>
        <w:rPr>
          <w:b/>
        </w:rPr>
        <w:t xml:space="preserve">DOI: </w:t>
      </w:r>
      <w:hyperlink r:id="rId1067">
        <w:r>
          <w:rPr>
            <w:color w:val="1155CC"/>
            <w:u w:val="single"/>
          </w:rPr>
          <w:t>10.1016/j.joule.2026.102349</w:t>
        </w:r>
      </w:hyperlink>
    </w:p>
    <w:p>
      <w:pPr>
        <w:spacing w:before="0" w:after="120"/>
      </w:pPr>
      <w:r>
        <w:rPr>
          <w:b/>
        </w:rPr>
        <w:t xml:space="preserve">Notes: </w:t>
      </w:r>
      <w:r>
        <w:t>abstract_source=rss_cell</w:t>
      </w:r>
    </w:p>
    <w:p>
      <w:pPr>
        <w:spacing w:before="0" w:after="80" w:lineRule="auto" w:line="276"/>
      </w:pPr>
      <w:r>
        <w:rPr>
          <w:b/>
        </w:rPr>
        <w:t xml:space="preserve">摘要（ZH）: </w:t>
      </w:r>
      <w:r>
        <w:t>本文描述了在不同库存核算方法下采购清洁电力声明的影响。它展示了如何通过转向时空匹配要求来增加影响，同时仍然不能保证声明对应于清洁发电的同等增加。</w:t>
      </w:r>
    </w:p>
    <w:p>
      <w:pPr>
        <w:spacing w:before="0" w:after="200" w:lineRule="auto" w:line="276"/>
      </w:pPr>
      <w:r>
        <w:rPr>
          <w:b/>
        </w:rPr>
        <w:t xml:space="preserve">Abstract (EN): </w:t>
      </w:r>
      <w:r>
        <w:t>This paper characterizes the impacts of procuring clean electricity claims under different inventory accounting methods. It shows how a move to spatiotemporal matching requirements can increase impact, while still not guaranteeing that claims correspond to an equal increase in clean generation.</w:t>
      </w:r>
    </w:p>
    <w:p>
      <w:pPr>
        <w:spacing w:before="120" w:after="120"/>
      </w:pPr>
      <w:r>
        <w:rPr>
          <w:sz w:val="18"/>
        </w:rPr>
        <w:t>——————————————————————————————————————————————————————————————————————</w:t>
      </w:r>
    </w:p>
    <w:p>
      <w:pPr>
        <w:spacing w:before="160" w:after="40" w:line="240" w:lineRule="auto"/>
      </w:pPr>
      <w:r>
        <w:rPr>
          <w:b/>
        </w:rPr>
        <w:t xml:space="preserve">[440] </w:t>
      </w:r>
      <w:hyperlink r:id="rId1068">
        <w:r>
          <w:rPr>
            <w:color w:val="1155CC"/>
            <w:u w:val="single"/>
          </w:rPr>
          <w:t>在分子异质结构单原子催化剂中工程化空间电子桥以实现氧还原</w:t>
        </w:r>
      </w:hyperlink>
    </w:p>
    <w:p>
      <w:pPr>
        <w:spacing w:before="0" w:after="80"/>
      </w:pPr>
      <w:r>
        <w:rPr>
          <w:i/>
          <w:sz w:val="20"/>
        </w:rPr>
        <w:t>EN: Engineering Spatial Electron Bridge in Molecular Heterostructure Single-Atom Catalyst for Oxygen Electroreduction</w:t>
      </w:r>
    </w:p>
    <w:p>
      <w:pPr>
        <w:spacing w:before="0" w:after="120"/>
      </w:pPr>
      <w:r>
        <w:rPr>
          <w:b/>
        </w:rPr>
        <w:t xml:space="preserve">Source: </w:t>
      </w:r>
      <w:r>
        <w:t>RSC - Energy Environ. Sci. latest articles</w:t>
      </w:r>
      <w:r>
        <w:t xml:space="preserve">    </w:t>
      </w:r>
      <w:r>
        <w:rPr>
          <w:b/>
        </w:rPr>
        <w:t xml:space="preserve">Pub date: </w:t>
      </w:r>
      <w:r>
        <w:t>2026-03-19 00:00:00+00:00</w:t>
      </w:r>
    </w:p>
    <w:p>
      <w:pPr>
        <w:spacing w:before="0" w:after="120"/>
      </w:pPr>
      <w:r>
        <w:rPr>
          <w:b/>
        </w:rPr>
        <w:t xml:space="preserve">Notes: </w:t>
      </w:r>
      <w:r>
        <w:t>abstract_source=rsc_html</w:t>
      </w:r>
    </w:p>
    <w:p>
      <w:pPr>
        <w:spacing w:before="0" w:after="80" w:lineRule="auto" w:line="276"/>
      </w:pPr>
      <w:r>
        <w:rPr>
          <w:b/>
        </w:rPr>
        <w:t xml:space="preserve">摘要（ZH）: </w:t>
      </w:r>
      <w:r>
        <w:t>分子单原子催化剂（SACs）提供可调节和定义明确的活性位点，使其成为探索氧还原反应（ORR）基本概念的理想模型系统。然而，高效的分子SACs仍然受到易聚集、活性位点的平面对称性、氧中间体的吸附/解吸不佳以及导电性差的困扰。在此，我们提出空间电子桥工程作为一种通用策略，以破坏Fe-N4基团的平面构型，调节电子结构，并增强界面耦合。通过双描述符（ΔG*OH和（ΔG*O-ΔG*OH））分析，将活性与理论过电位相关联，我们系统地解码了对称性破坏的X-Fe-N4（X=O, S, N）位点的结构-活性关系。</w:t>
      </w:r>
    </w:p>
    <w:p>
      <w:pPr>
        <w:spacing w:before="0" w:after="200" w:lineRule="auto" w:line="276"/>
      </w:pPr>
      <w:r>
        <w:rPr>
          <w:b/>
        </w:rPr>
        <w:t xml:space="preserve">Abstract (EN): </w:t>
      </w:r>
      <w:r>
        <w:t>Molecular single-atom catalysts (SACs) offer tunable and well-defined active sites, rendering them ideal model systems to explore fundamental concepts in oxygen reduction reaction (ORR). However, the high-efficiency molecular SACs are still plagued by easy aggregation, planar symmetry of active sites, suboptimal adsorption/desorption of oxygen intermediates, and poor conductivity. Herein, we propose spatial electron bridge engineering as a universal strategy to disrupt the planar configuration of Fe-N4 moieties, modulate electronic structure, and enhance interfacial coupling. Through dual-descriptor (ΔG*OH and (ΔG*O-ΔG*OH)) analysis correlating activity with theoretical overpotentials, we systematically decode structureactivity relationships in symmetry-broken X-Fe-N4 (X=O, S, N) sites. Molecular heterostructure SACs are constructed by tethering iron pyridinic hexaazacyclophane macrocycle (Fe(Phen)2) to electron bridges (phenol, thiophenol, pyridine) functionalized carbon nanotubes (CNT), forming precisely controlled CNT-X-Fe architectures. Combined spectroscopic studies and DFT calculations reveal that the phenol bridge triggers a low-to-medium spin state transition via electron bridgeto-metal charge transfer, facilitating rapid electron shuttling between Fe(Phen)2 and CNT. This optimizes the Fe d-band center occupancy and enhances antibonding orbital hybridization, yielding the best ORR performance. This work establishes spatial electron bridges as orbital-coupling hubs bridging quantum-level d-p hybridization to macroscopic catalytic performance, offering a universal design framework for molecularly precise electrocatalysts.</w:t>
      </w:r>
    </w:p>
    <w:p>
      <w:pPr>
        <w:spacing w:before="120" w:after="120"/>
      </w:pPr>
      <w:r>
        <w:rPr>
          <w:sz w:val="18"/>
        </w:rPr>
        <w:t>——————————————————————————————————————————————————————————————————————</w:t>
      </w:r>
    </w:p>
    <w:p>
      <w:pPr>
        <w:spacing w:before="160" w:after="40" w:line="240" w:lineRule="auto"/>
      </w:pPr>
      <w:r>
        <w:rPr>
          <w:b/>
        </w:rPr>
        <w:t xml:space="preserve">[441] </w:t>
      </w:r>
      <w:hyperlink r:id="rId1069">
        <w:r>
          <w:rPr>
            <w:color w:val="1155CC"/>
            <w:u w:val="single"/>
          </w:rPr>
          <w:t>使用G4-配体基蛋白降解靶向嵌合体降解染色质中的G-四链体结合蛋白</w:t>
        </w:r>
      </w:hyperlink>
    </w:p>
    <w:p>
      <w:pPr>
        <w:spacing w:before="0" w:after="80"/>
      </w:pPr>
      <w:r>
        <w:rPr>
          <w:i/>
          <w:sz w:val="20"/>
        </w:rPr>
        <w:t>EN: Degradation of G-quadruplex-binding proteins in chromatin using G4-ligand-based proteolysis-targeting chimeras</w:t>
      </w:r>
    </w:p>
    <w:p>
      <w:pPr>
        <w:spacing w:before="0" w:after="120"/>
      </w:pPr>
      <w:r>
        <w:rPr>
          <w:b/>
        </w:rPr>
        <w:t xml:space="preserve">Source: </w:t>
      </w:r>
      <w:r>
        <w:t>Nature Chemistry</w:t>
      </w:r>
      <w:r>
        <w:t xml:space="preserve">    </w:t>
      </w:r>
      <w:r>
        <w:rPr>
          <w:b/>
        </w:rPr>
        <w:t xml:space="preserve">Pub date: </w:t>
      </w:r>
      <w:r>
        <w:t>2026-03-19 00:00:00+00:00</w:t>
      </w:r>
      <w:r>
        <w:t xml:space="preserve">    </w:t>
      </w:r>
      <w:r>
        <w:rPr>
          <w:b/>
        </w:rPr>
        <w:t xml:space="preserve">DOI: </w:t>
      </w:r>
      <w:hyperlink r:id="rId1070">
        <w:r>
          <w:rPr>
            <w:color w:val="1155CC"/>
            <w:u w:val="single"/>
          </w:rPr>
          <w:t>10.1038/s41557-026-02111-y</w:t>
        </w:r>
      </w:hyperlink>
    </w:p>
    <w:p>
      <w:pPr>
        <w:spacing w:before="0" w:after="120"/>
      </w:pPr>
      <w:r>
        <w:rPr>
          <w:b/>
        </w:rPr>
        <w:t xml:space="preserve">Notes: </w:t>
      </w:r>
      <w:r>
        <w:t>abstract_source=nature_html</w:t>
      </w:r>
    </w:p>
    <w:p>
      <w:pPr>
        <w:spacing w:before="0" w:after="80" w:lineRule="auto" w:line="276"/>
      </w:pPr>
      <w:r>
        <w:rPr>
          <w:b/>
        </w:rPr>
        <w:t xml:space="preserve">摘要（ZH）: </w:t>
      </w:r>
      <w:r>
        <w:t>靶向蛋白降解可以干预与疾病相关的蛋白质的功能，但目前大多数方法依赖于蛋白质靶标的直接配体结合，限制了其对难以选择性结合的蛋白质的适用性。在此，我们提出一种概念上独特的方法来降解与DNA G-四联体（G4）二级结构相关的蛋白质，这些结构存在于染色质环境中。G4是非典型的核酸结构，形成于开放染色质中转录活跃基因的调控区域，并在癌症状态中丰富。尽管许多蛋白质识别或调节G4结构，但在其天然染色质环境中选择性靶向G4结合蛋白质具有挑战性。我们的双功能分子是蛋白水解靶向嵌合体，能够结合天然</w:t>
      </w:r>
    </w:p>
    <w:p>
      <w:pPr>
        <w:spacing w:before="0" w:after="200" w:lineRule="auto" w:line="276"/>
      </w:pPr>
      <w:r>
        <w:rPr>
          <w:b/>
        </w:rPr>
        <w:t xml:space="preserve">Abstract (EN): </w:t>
      </w:r>
      <w:r>
        <w:t>Targeted protein degradation can intervene with the function of disease-related proteins, but most current approaches rely on direct ligand engagement of a protein target, limiting their applicability to proteins that are difficult to bind selectively. Here we present a conceptually unique approach to degrade proteins associated with DNA G-quadruplex (G4) secondary structures in a chromatin context. G4s are non-canonical nucleic acid structures that form at regulatory regions of transcriptionally active genes in open chromatin, and are abundant in cancer states. Although many proteins recognize or regulate G4 structures, selectively targeting G4-binding proteins in their native chromatin environment is challenging. Our bifunctional molecules are proteolysis-targeting chimeras that bind naturally occurring G4s, recruit E3 ubiquitin ligases and degrade G4-specific transcription factors and chromatin remodellers such as FUS, SMARCA4 and ATRX. These proteins are important therapeutic targets that play crucial roles in transcription regulation and DNA repair. Our approach has the potential to be exploited in a therapeutic strategy to target diseases characterized by aberrant G4 activity, such as cancers.</w:t>
      </w:r>
    </w:p>
    <w:p>
      <w:pPr>
        <w:spacing w:before="120" w:after="120"/>
      </w:pPr>
      <w:r>
        <w:rPr>
          <w:sz w:val="18"/>
        </w:rPr>
        <w:t>——————————————————————————————————————————————————————————————————————</w:t>
      </w:r>
    </w:p>
    <w:p>
      <w:pPr>
        <w:spacing w:before="160" w:after="40" w:line="240" w:lineRule="auto"/>
      </w:pPr>
      <w:r>
        <w:rPr>
          <w:b/>
        </w:rPr>
        <w:t xml:space="preserve">[442] </w:t>
      </w:r>
      <w:hyperlink r:id="rId1071">
        <w:r>
          <w:rPr>
            <w:color w:val="1155CC"/>
            <w:u w:val="single"/>
          </w:rPr>
          <w:t>扩展化学空间的多样性</w:t>
        </w:r>
      </w:hyperlink>
    </w:p>
    <w:p>
      <w:pPr>
        <w:spacing w:before="0" w:after="80"/>
      </w:pPr>
      <w:r>
        <w:rPr>
          <w:i/>
          <w:sz w:val="20"/>
        </w:rPr>
        <w:t>EN: Expanding diversity in chemical space</w:t>
      </w:r>
    </w:p>
    <w:p>
      <w:pPr>
        <w:spacing w:before="0" w:after="120"/>
      </w:pPr>
      <w:r>
        <w:rPr>
          <w:b/>
        </w:rPr>
        <w:t xml:space="preserve">Source: </w:t>
      </w:r>
      <w:r>
        <w:t>Nature Chemistry</w:t>
      </w:r>
      <w:r>
        <w:t xml:space="preserve">    </w:t>
      </w:r>
      <w:r>
        <w:rPr>
          <w:b/>
        </w:rPr>
        <w:t xml:space="preserve">Pub date: </w:t>
      </w:r>
      <w:r>
        <w:t>2026-03-19 00:00:00+00:00</w:t>
      </w:r>
      <w:r>
        <w:t xml:space="preserve">    </w:t>
      </w:r>
      <w:r>
        <w:rPr>
          <w:b/>
        </w:rPr>
        <w:t xml:space="preserve">DOI: </w:t>
      </w:r>
      <w:hyperlink r:id="rId1072">
        <w:r>
          <w:rPr>
            <w:color w:val="1155CC"/>
            <w:u w:val="single"/>
          </w:rPr>
          <w:t>10.1038/s41557-026-02105-w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1073">
        <w:r>
          <w:rPr>
            <w:color w:val="1155CC"/>
            <w:u w:val="single"/>
          </w:rPr>
          <w:t>量子密钥分发系统的黑箱渗透测试</w:t>
        </w:r>
      </w:hyperlink>
    </w:p>
    <w:p>
      <w:pPr>
        <w:spacing w:before="0" w:after="80"/>
      </w:pPr>
      <w:r>
        <w:rPr>
          <w:i/>
          <w:sz w:val="20"/>
        </w:rPr>
        <w:t>EN: Penetration testing of quantum key distribution system as a black box</w:t>
      </w:r>
    </w:p>
    <w:p>
      <w:pPr>
        <w:spacing w:before="0" w:after="120"/>
      </w:pPr>
      <w:r>
        <w:rPr>
          <w:b/>
        </w:rPr>
        <w:t xml:space="preserve">Source: </w:t>
      </w:r>
      <w:r>
        <w:t>National Science Review Advance Access</w:t>
      </w:r>
      <w:r>
        <w:t xml:space="preserve">    </w:t>
      </w:r>
      <w:r>
        <w:rPr>
          <w:b/>
        </w:rPr>
        <w:t xml:space="preserve">Pub date: </w:t>
      </w:r>
      <w:r>
        <w:t>2026-03-19 00:00:00+00:00</w:t>
      </w:r>
      <w:r>
        <w:t xml:space="preserve">    </w:t>
      </w:r>
      <w:r>
        <w:rPr>
          <w:b/>
        </w:rPr>
        <w:t xml:space="preserve">DOI: </w:t>
      </w:r>
      <w:hyperlink r:id="rId1074">
        <w:r>
          <w:rPr>
            <w:color w:val="1155CC"/>
            <w:u w:val="single"/>
          </w:rPr>
          <w:t>10.1093/nsr/nwag174</w:t>
        </w:r>
      </w:hyperlink>
    </w:p>
    <w:p>
      <w:pPr>
        <w:spacing w:before="0" w:after="120"/>
      </w:pPr>
      <w:r>
        <w:rPr>
          <w:b/>
        </w:rPr>
        <w:t xml:space="preserve">Notes: </w:t>
      </w:r>
      <w:r>
        <w:t>abstract_source=rss_oup</w:t>
      </w:r>
    </w:p>
    <w:p>
      <w:pPr>
        <w:spacing w:before="0" w:after="80" w:lineRule="auto" w:line="276"/>
      </w:pPr>
      <w:r>
        <w:rPr>
          <w:b/>
        </w:rPr>
        <w:t xml:space="preserve">摘要（ZH）: </w:t>
      </w:r>
      <w:r>
        <w:t>量子密钥分发（QKD）在远程各方之间建立共享密钥，并在理论上被证明是不可破解的。不幸的是，QKD的实际实现存在设备缺陷，导致安全漏洞。这些大多数是在白盒测试场景中验证的，当人们可以访问系统硬件进行分析时。在这里，我们在QKD系统上实现了自动化渗透测试，作为一个黑盒，仅使用其公共通信线路和有限的操作手册。我们的实现解析了在经典通信线路中传输的信息，并在量子通信线路中切换光学延迟。这使得它能够在QKD系统的校准过程中篡改探测器门的时间设置，并被动窃听。</w:t>
      </w:r>
    </w:p>
    <w:p>
      <w:pPr>
        <w:spacing w:before="0" w:after="200" w:lineRule="auto" w:line="276"/>
      </w:pPr>
      <w:r>
        <w:rPr>
          <w:b/>
        </w:rPr>
        <w:t xml:space="preserve">Abstract (EN): </w:t>
      </w:r>
      <w:r>
        <w:t>Quantum key distribution (QKD) establishes a shared secret between remote parties and is proven unbreakable in theory. Unfortunately, practical implementations of QKD have device imperfections leading to security vulnerabilities. Most of these have been verified in a white-box testing scenario, when one has access to the system hardware for its analysis. Here we implement an automated penetration testing on a QKD system as a black box, using only its public communication lines and limited operator’s manual. Our implementation parses information transmitted in the classical communication line and toggles an optical delay in the quantum communication line. This allows it to tamper with timing settings of detector gates in the QKD system during its calibration procedure and passively eavesdrop 98.97% of the sifted key. The entire testing is fully automated and takes minutes to begin the eavesdropping. Our work paves the way for automated penetration testing of QKD installations as security verification.</w:t>
      </w:r>
    </w:p>
    <w:p>
      <w:pPr>
        <w:spacing w:before="120" w:after="120"/>
      </w:pPr>
      <w:r>
        <w:rPr>
          <w:sz w:val="18"/>
        </w:rPr>
        <w:t>——————————————————————————————————————————————————————————————————————</w:t>
      </w:r>
    </w:p>
    <w:p>
      <w:pPr>
        <w:spacing w:before="160" w:after="40" w:line="240" w:lineRule="auto"/>
      </w:pPr>
      <w:r>
        <w:rPr>
          <w:b/>
        </w:rPr>
        <w:t xml:space="preserve">[444] </w:t>
      </w:r>
      <w:hyperlink r:id="rId1075">
        <w:r>
          <w:rPr>
            <w:color w:val="1155CC"/>
            <w:u w:val="single"/>
          </w:rPr>
          <w:t>二维氢键有机框架中的电荷转移诱导嵌套反铁磁性</w:t>
        </w:r>
      </w:hyperlink>
    </w:p>
    <w:p>
      <w:pPr>
        <w:spacing w:before="0" w:after="80"/>
      </w:pPr>
      <w:r>
        <w:rPr>
          <w:i/>
          <w:sz w:val="20"/>
        </w:rPr>
        <w:t>EN: Charge-transfer induced nesting antiferromagnetism in two-dimensional hydrogen-bonded organic frameworks</w:t>
      </w:r>
    </w:p>
    <w:p>
      <w:pPr>
        <w:spacing w:before="0" w:after="120"/>
      </w:pPr>
      <w:r>
        <w:rPr>
          <w:b/>
        </w:rPr>
        <w:t xml:space="preserve">Source: </w:t>
      </w:r>
      <w:r>
        <w:t>National Science Review Advance Access</w:t>
      </w:r>
      <w:r>
        <w:t xml:space="preserve">    </w:t>
      </w:r>
      <w:r>
        <w:rPr>
          <w:b/>
        </w:rPr>
        <w:t xml:space="preserve">Pub date: </w:t>
      </w:r>
      <w:r>
        <w:t>2026-03-19 00:00:00+00:00</w:t>
      </w:r>
      <w:r>
        <w:t xml:space="preserve">    </w:t>
      </w:r>
      <w:r>
        <w:rPr>
          <w:b/>
        </w:rPr>
        <w:t xml:space="preserve">DOI: </w:t>
      </w:r>
      <w:hyperlink r:id="rId1076">
        <w:r>
          <w:rPr>
            <w:color w:val="1155CC"/>
            <w:u w:val="single"/>
          </w:rPr>
          <w:t>10.1093/nsr/nwag176</w:t>
        </w:r>
      </w:hyperlink>
    </w:p>
    <w:p>
      <w:pPr>
        <w:spacing w:before="0" w:after="120"/>
      </w:pPr>
      <w:r>
        <w:rPr>
          <w:b/>
        </w:rPr>
        <w:t xml:space="preserve">Notes: </w:t>
      </w:r>
      <w:r>
        <w:t>abstract_source=rss_oup</w:t>
      </w:r>
    </w:p>
    <w:p>
      <w:pPr>
        <w:spacing w:before="0" w:after="80" w:lineRule="auto" w:line="276"/>
      </w:pPr>
      <w:r>
        <w:rPr>
          <w:b/>
        </w:rPr>
        <w:t xml:space="preserve">摘要（ZH）: </w:t>
      </w:r>
      <w:r>
        <w:t>非相对论自旋分裂（NRSS）反铁磁体（AFMs）由于其优势，如避免由强自旋轨道耦合引起的自旋去相干和没有杂散磁场，已成为反铁磁自旋电子学领域的研究重点。Γ分裂反铁磁体是NRSS AFMs的一个独特类别，特征是在布里渊区的Γ点处整体自旋分裂。迄今为止，它们的实现仅限于少数无机材料。分子框架由于其多样的配体类型和对称性，是实现多种奇异性质和可调性的有前途的平台。在此，我们提出可以通过嵌套蜂窝和Kagome晶格在二维氢键有机框架（HOFs）中实现Γ分裂AFMs。在这些“嵌套”中，</w:t>
      </w:r>
    </w:p>
    <w:p>
      <w:pPr>
        <w:spacing w:before="0" w:after="200" w:lineRule="auto" w:line="276"/>
      </w:pPr>
      <w:r>
        <w:rPr>
          <w:b/>
        </w:rPr>
        <w:t xml:space="preserve">Abstract (EN): </w:t>
      </w:r>
      <w:r>
        <w:t>Nonrelativistic spin-splitting (NRSS) antiferromagnets (AFMs) have become a research focus in the field of antiferromagnetic spintronics due to their advantages such as avoiding spin dephasing caused by strong spin-orbital coupling and having no stray magnetic fields. Γ-split antiferromagnets are a distinct class of NRSS AFMs, featuring overall spin splitting specifically at the Brillouin zone’s Γ point. To date, their realization has been confined to a handful of inorganic materials. Molecular frameworks are a promising platform for achieving multiple exotic properties and tunability due to their diverse ligand types and symmetries. Herein, we propose that Γ-split AFMs can be realized in 2D hydrogen-bonded organic frameworks (HOFs) via nesting honeycomb and Kagome lattices. In these ‘nesting-AFMs’, each sublattice is ferromagnetic with opposite spin polarization, constructed separately using donor and acceptor molecules. Density functional theory calculations confirm that five designed nesting HOFs are nesting-AFMs. Importantly, the ferromagnetic ordering of each sublattice originates from charge transfer between hydrogen-bond-connected donors and acceptors. This work provides a practical strategy to design novel low-dimensional molecule-based NRSS AFMs for antiferromagnetic spintronics.</w:t>
      </w:r>
    </w:p>
    <w:p>
      <w:pPr>
        <w:spacing w:before="120" w:after="120"/>
      </w:pPr>
      <w:r>
        <w:rPr>
          <w:sz w:val="18"/>
        </w:rPr>
        <w:t>——————————————————————————————————————————————————————————————————————</w:t>
      </w:r>
    </w:p>
    <w:p>
      <w:pPr>
        <w:spacing w:before="160" w:after="40" w:line="240" w:lineRule="auto"/>
      </w:pPr>
      <w:r>
        <w:rPr>
          <w:b/>
        </w:rPr>
        <w:t xml:space="preserve">[445] </w:t>
      </w:r>
      <w:hyperlink r:id="rId1077">
        <w:r>
          <w:rPr>
            <w:color w:val="1155CC"/>
            <w:u w:val="single"/>
          </w:rPr>
          <w:t>用于类脑计算的氢化钙钛矿</w:t>
        </w:r>
      </w:hyperlink>
    </w:p>
    <w:p>
      <w:pPr>
        <w:spacing w:before="0" w:after="80"/>
      </w:pPr>
      <w:r>
        <w:rPr>
          <w:i/>
          <w:sz w:val="20"/>
        </w:rPr>
        <w:t>EN: Hydrogenated perovskite for brain-inspired computing</w:t>
      </w:r>
    </w:p>
    <w:p>
      <w:pPr>
        <w:spacing w:before="0" w:after="120"/>
      </w:pPr>
      <w:r>
        <w:rPr>
          <w:b/>
        </w:rPr>
        <w:t xml:space="preserve">Source: </w:t>
      </w:r>
      <w:r>
        <w:t>Nature Nanotechnology</w:t>
      </w:r>
      <w:r>
        <w:t xml:space="preserve">    </w:t>
      </w:r>
      <w:r>
        <w:rPr>
          <w:b/>
        </w:rPr>
        <w:t xml:space="preserve">Pub date: </w:t>
      </w:r>
      <w:r>
        <w:t>2026-03-19 00:00:00+00:00</w:t>
      </w:r>
      <w:r>
        <w:t xml:space="preserve">    </w:t>
      </w:r>
      <w:r>
        <w:rPr>
          <w:b/>
        </w:rPr>
        <w:t xml:space="preserve">DOI: </w:t>
      </w:r>
      <w:hyperlink r:id="rId1078">
        <w:r>
          <w:rPr>
            <w:color w:val="1155CC"/>
            <w:u w:val="single"/>
          </w:rPr>
          <w:t>10.1038/s41565-026-02137-w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[446] </w:t>
      </w:r>
      <w:hyperlink r:id="rId1079">
        <w:r>
          <w:rPr>
            <w:color w:val="1155CC"/>
            <w:u w:val="single"/>
          </w:rPr>
          <w:t>自私的“调整”损害科学</w:t>
        </w:r>
      </w:hyperlink>
    </w:p>
    <w:p>
      <w:pPr>
        <w:spacing w:before="0" w:after="80"/>
      </w:pPr>
      <w:r>
        <w:rPr>
          <w:i/>
          <w:sz w:val="20"/>
        </w:rPr>
        <w:t>EN: Self-serving “tweaks” hurt science</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80">
        <w:r>
          <w:rPr>
            <w:color w:val="1155CC"/>
            <w:u w:val="single"/>
          </w:rPr>
          <w:t>10.1126/science.aef2215</w:t>
        </w:r>
      </w:hyperlink>
    </w:p>
    <w:p>
      <w:pPr>
        <w:spacing w:before="0" w:after="120"/>
      </w:pPr>
      <w:r>
        <w:rPr>
          <w:b/>
        </w:rPr>
        <w:t xml:space="preserve">Notes: </w:t>
      </w:r>
      <w:r>
        <w:t>abstract_source=crossref</w:t>
      </w:r>
    </w:p>
    <w:p>
      <w:pPr>
        <w:spacing w:before="0" w:after="80" w:lineRule="auto" w:line="276"/>
      </w:pPr>
      <w:r>
        <w:rPr>
          <w:b/>
        </w:rPr>
        <w:t xml:space="preserve">摘要（ZH）: </w:t>
      </w:r>
      <w:r>
        <w:t>一对社会科学家认为，看似无害的研究决策可能损害科学的可信度</w:t>
      </w:r>
    </w:p>
    <w:p>
      <w:pPr>
        <w:spacing w:before="0" w:after="200" w:lineRule="auto" w:line="276"/>
      </w:pPr>
      <w:r>
        <w:rPr>
          <w:b/>
        </w:rPr>
        <w:t xml:space="preserve">Abstract (EN): </w:t>
      </w:r>
      <w:r>
        <w:t>Seemingly innocuous research decisions can harm scientific credibility, argue a pair of social scientists</w:t>
      </w:r>
    </w:p>
    <w:p>
      <w:pPr>
        <w:spacing w:before="120" w:after="120"/>
      </w:pPr>
      <w:r>
        <w:rPr>
          <w:sz w:val="18"/>
        </w:rPr>
        <w:t>——————————————————————————————————————————————————————————————————————</w:t>
      </w:r>
    </w:p>
    <w:p>
      <w:pPr>
        <w:spacing w:before="160" w:after="40" w:line="240" w:lineRule="auto"/>
      </w:pPr>
      <w:r>
        <w:rPr>
          <w:b/>
        </w:rPr>
        <w:t xml:space="preserve">[447] </w:t>
      </w:r>
      <w:hyperlink r:id="rId1081">
        <w:r>
          <w:rPr>
            <w:color w:val="1155CC"/>
            <w:u w:val="single"/>
          </w:rPr>
          <w:t>填补美国在科学政策机构的空白</w:t>
        </w:r>
      </w:hyperlink>
    </w:p>
    <w:p>
      <w:pPr>
        <w:spacing w:before="0" w:after="80"/>
      </w:pPr>
      <w:r>
        <w:rPr>
          <w:i/>
          <w:sz w:val="20"/>
        </w:rPr>
        <w:t>EN: Filling the US gap at science-policy bodies</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82">
        <w:r>
          <w:rPr>
            <w:color w:val="1155CC"/>
            <w:u w:val="single"/>
          </w:rPr>
          <w:t>10.1126/science.aef5027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[448] </w:t>
      </w:r>
      <w:hyperlink r:id="rId1083">
        <w:r>
          <w:rPr>
            <w:color w:val="1155CC"/>
            <w:u w:val="single"/>
          </w:rPr>
          <w:t>国际会议必须包括中国</w:t>
        </w:r>
      </w:hyperlink>
    </w:p>
    <w:p>
      <w:pPr>
        <w:spacing w:before="0" w:after="80"/>
      </w:pPr>
      <w:r>
        <w:rPr>
          <w:i/>
          <w:sz w:val="20"/>
        </w:rPr>
        <w:t>EN: International conferences must include China</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84">
        <w:r>
          <w:rPr>
            <w:color w:val="1155CC"/>
            <w:u w:val="single"/>
          </w:rPr>
          <w:t>10.1126/science.aef5164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[449] </w:t>
      </w:r>
      <w:hyperlink r:id="rId1085">
        <w:r>
          <w:rPr>
            <w:color w:val="1155CC"/>
            <w:u w:val="single"/>
          </w:rPr>
          <w:t>野火：对水安全的日益增长的威胁</w:t>
        </w:r>
      </w:hyperlink>
    </w:p>
    <w:p>
      <w:pPr>
        <w:spacing w:before="0" w:after="80"/>
      </w:pPr>
      <w:r>
        <w:rPr>
          <w:i/>
          <w:sz w:val="20"/>
        </w:rPr>
        <w:t>EN: Wildfire: A growing threat to water security</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86">
        <w:r>
          <w:rPr>
            <w:color w:val="1155CC"/>
            <w:u w:val="single"/>
          </w:rPr>
          <w:t>10.1126/science.aef6813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[450] </w:t>
      </w:r>
      <w:hyperlink r:id="rId1087">
        <w:r>
          <w:rPr>
            <w:color w:val="1155CC"/>
            <w:u w:val="single"/>
          </w:rPr>
          <w:t>重叠电流可以调节深层大脑</w:t>
        </w:r>
      </w:hyperlink>
    </w:p>
    <w:p>
      <w:pPr>
        <w:spacing w:before="0" w:after="80"/>
      </w:pPr>
      <w:r>
        <w:rPr>
          <w:i/>
          <w:sz w:val="20"/>
        </w:rPr>
        <w:t>EN: Overlapping currents can tune the deep brain</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88">
        <w:r>
          <w:rPr>
            <w:color w:val="1155CC"/>
            <w:u w:val="single"/>
          </w:rPr>
          <w:t>10.1126/science.aeh2953</w:t>
        </w:r>
      </w:hyperlink>
    </w:p>
    <w:p>
      <w:pPr>
        <w:spacing w:before="0" w:after="120"/>
      </w:pPr>
      <w:r>
        <w:rPr>
          <w:b/>
        </w:rPr>
        <w:t xml:space="preserve">Notes: </w:t>
      </w:r>
      <w:r>
        <w:t>abstract_source=crossref</w:t>
      </w:r>
    </w:p>
    <w:p>
      <w:pPr>
        <w:spacing w:before="0" w:after="80" w:lineRule="auto" w:line="276"/>
      </w:pPr>
      <w:r>
        <w:rPr>
          <w:b/>
        </w:rPr>
        <w:t xml:space="preserve">摘要（ZH）: </w:t>
      </w:r>
      <w:r>
        <w:t>人体研究测试在癫痫和其他疾病中的非侵入性“时间干扰”刺激</w:t>
      </w:r>
    </w:p>
    <w:p>
      <w:pPr>
        <w:spacing w:before="0" w:after="200" w:lineRule="auto" w:line="276"/>
      </w:pPr>
      <w:r>
        <w:rPr>
          <w:b/>
        </w:rPr>
        <w:t xml:space="preserve">Abstract (EN): </w:t>
      </w:r>
      <w:r>
        <w:t>Human studies test noninvasive “temporal interference” stimulation in epilepsy and other diseases</w:t>
      </w:r>
    </w:p>
    <w:p>
      <w:pPr>
        <w:spacing w:before="120" w:after="120"/>
      </w:pPr>
      <w:r>
        <w:rPr>
          <w:sz w:val="18"/>
        </w:rPr>
        <w:t>——————————————————————————————————————————————————————————————————————</w:t>
      </w:r>
    </w:p>
    <w:p>
      <w:pPr>
        <w:spacing w:before="160" w:after="40" w:line="240" w:lineRule="auto"/>
      </w:pPr>
      <w:r>
        <w:rPr>
          <w:b/>
        </w:rPr>
        <w:t xml:space="preserve">[451] </w:t>
      </w:r>
      <w:hyperlink r:id="rId1089">
        <w:r>
          <w:rPr>
            <w:color w:val="1155CC"/>
            <w:u w:val="single"/>
          </w:rPr>
          <w:t>研究安全政策需要明确的指导方针</w:t>
        </w:r>
      </w:hyperlink>
    </w:p>
    <w:p>
      <w:pPr>
        <w:spacing w:before="0" w:after="80"/>
      </w:pPr>
      <w:r>
        <w:rPr>
          <w:i/>
          <w:sz w:val="20"/>
        </w:rPr>
        <w:t>EN: Research security policy needs clear guidelines</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90">
        <w:r>
          <w:rPr>
            <w:color w:val="1155CC"/>
            <w:u w:val="single"/>
          </w:rPr>
          <w:t>10.1126/science.aef7935</w:t>
        </w:r>
      </w:hyperlink>
    </w:p>
    <w:p>
      <w:pPr>
        <w:spacing w:before="0" w:after="120"/>
      </w:pPr>
      <w:r>
        <w:rPr>
          <w:b/>
        </w:rPr>
        <w:t xml:space="preserve">Notes: </w:t>
      </w:r>
      <w:r>
        <w:t>abstract_source=crossref</w:t>
      </w:r>
    </w:p>
    <w:p>
      <w:pPr>
        <w:spacing w:before="0" w:after="80" w:lineRule="auto" w:line="276"/>
      </w:pPr>
      <w:r>
        <w:rPr>
          <w:b/>
        </w:rPr>
        <w:t xml:space="preserve">摘要（ZH）: </w:t>
      </w:r>
      <w:r>
        <w:t>各国正在制定研究安全政策，以应对地缘政治变化，保护其国家利益。然而，政府在施加披露要求和威胁惩罚的同时，对可能引发报复的跨境合作的广泛灰色地带几乎没有提供指导。研究人员中弥漫着一种寒意。如果科学界不采取行动，结果将是在全球挑战需要合作的时刻出现科学的分裂。这既不利于安全，也不利于创新。</w:t>
      </w:r>
    </w:p>
    <w:p>
      <w:pPr>
        <w:spacing w:before="0" w:after="200" w:lineRule="auto" w:line="276"/>
      </w:pPr>
      <w:r>
        <w:rPr>
          <w:b/>
        </w:rPr>
        <w:t xml:space="preserve">Abstract (EN): </w:t>
      </w:r>
      <w:r>
        <w:t>Research security policies are emerging across nations seeking to protect their national interests in response to geopolitical shifts. Yet governments impose disclosure requirements and threaten penalties while offering little guidance on the vast gray zone of cross-border collaborations that could invite retribution. A chill sets in among researchers. If the community does not act, the result will be scientific fragmentation at a moment when global challenges demand cooperation. That serves neither security nor innovation.</w:t>
      </w:r>
    </w:p>
    <w:p>
      <w:pPr>
        <w:spacing w:before="120" w:after="120"/>
      </w:pPr>
      <w:r>
        <w:rPr>
          <w:sz w:val="18"/>
        </w:rPr>
        <w:t>——————————————————————————————————————————————————————————————————————</w:t>
      </w:r>
    </w:p>
    <w:p>
      <w:pPr>
        <w:spacing w:before="160" w:after="40" w:line="240" w:lineRule="auto"/>
      </w:pPr>
      <w:r>
        <w:rPr>
          <w:b/>
        </w:rPr>
        <w:t xml:space="preserve">[452] </w:t>
      </w:r>
      <w:hyperlink r:id="rId1091">
        <w:r>
          <w:rPr>
            <w:color w:val="1155CC"/>
            <w:u w:val="single"/>
          </w:rPr>
          <w:t>发现导致静电现象的隐藏罪魁祸首</w:t>
        </w:r>
      </w:hyperlink>
    </w:p>
    <w:p>
      <w:pPr>
        <w:spacing w:before="0" w:after="80"/>
      </w:pPr>
      <w:r>
        <w:rPr>
          <w:i/>
          <w:sz w:val="20"/>
        </w:rPr>
        <w:t>EN: Hidden culprit found for puzzling static electricity</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92">
        <w:r>
          <w:rPr>
            <w:color w:val="1155CC"/>
            <w:u w:val="single"/>
          </w:rPr>
          <w:t>10.1126/science.aeh2959</w:t>
        </w:r>
      </w:hyperlink>
    </w:p>
    <w:p>
      <w:pPr>
        <w:spacing w:before="0" w:after="120"/>
      </w:pPr>
      <w:r>
        <w:rPr>
          <w:b/>
        </w:rPr>
        <w:t xml:space="preserve">Notes: </w:t>
      </w:r>
      <w:r>
        <w:t>abstract_source=crossref</w:t>
      </w:r>
    </w:p>
    <w:p>
      <w:pPr>
        <w:spacing w:before="0" w:after="80" w:lineRule="auto" w:line="276"/>
      </w:pPr>
      <w:r>
        <w:rPr>
          <w:b/>
        </w:rPr>
        <w:t xml:space="preserve">摘要（ZH）: </w:t>
      </w:r>
      <w:r>
        <w:t>表面污染痕迹决定了相同材料如何交换电荷</w:t>
      </w:r>
    </w:p>
    <w:p>
      <w:pPr>
        <w:spacing w:before="0" w:after="200" w:lineRule="auto" w:line="276"/>
      </w:pPr>
      <w:r>
        <w:rPr>
          <w:b/>
        </w:rPr>
        <w:t xml:space="preserve">Abstract (EN): </w:t>
      </w:r>
      <w:r>
        <w:t>Trace surface contamination determines how identical materials exchange charge</w:t>
      </w:r>
    </w:p>
    <w:p>
      <w:pPr>
        <w:spacing w:before="120" w:after="120"/>
      </w:pPr>
      <w:r>
        <w:rPr>
          <w:sz w:val="18"/>
        </w:rPr>
        <w:t>——————————————————————————————————————————————————————————————————————</w:t>
      </w:r>
    </w:p>
    <w:p>
      <w:pPr>
        <w:spacing w:before="160" w:after="40" w:line="240" w:lineRule="auto"/>
      </w:pPr>
      <w:r>
        <w:rPr>
          <w:b/>
        </w:rPr>
        <w:t xml:space="preserve">[453] </w:t>
      </w:r>
      <w:hyperlink r:id="rId1093">
        <w:r>
          <w:rPr>
            <w:color w:val="1155CC"/>
            <w:u w:val="single"/>
          </w:rPr>
          <w:t>能源部实验室拥抱Genesis AI推动</w:t>
        </w:r>
      </w:hyperlink>
    </w:p>
    <w:p>
      <w:pPr>
        <w:spacing w:before="0" w:after="80"/>
      </w:pPr>
      <w:r>
        <w:rPr>
          <w:i/>
          <w:sz w:val="20"/>
        </w:rPr>
        <w:t>EN: Department of Energy labs embrace Genesis AI push</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94">
        <w:r>
          <w:rPr>
            <w:color w:val="1155CC"/>
            <w:u w:val="single"/>
          </w:rPr>
          <w:t>10.1126/science.aeh2955</w:t>
        </w:r>
      </w:hyperlink>
    </w:p>
    <w:p>
      <w:pPr>
        <w:spacing w:before="0" w:after="120"/>
      </w:pPr>
      <w:r>
        <w:rPr>
          <w:b/>
        </w:rPr>
        <w:t xml:space="preserve">Notes: </w:t>
      </w:r>
      <w:r>
        <w:t>abstract_source=crossref</w:t>
      </w:r>
    </w:p>
    <w:p>
      <w:pPr>
        <w:spacing w:before="0" w:after="80" w:lineRule="auto" w:line="276"/>
      </w:pPr>
      <w:r>
        <w:rPr>
          <w:b/>
        </w:rPr>
        <w:t xml:space="preserve">摘要（ZH）: </w:t>
      </w:r>
      <w:r>
        <w:t>他们庞大的设施、数据流和计算资源与AI自然契合</w:t>
      </w:r>
    </w:p>
    <w:p>
      <w:pPr>
        <w:spacing w:before="0" w:after="200" w:lineRule="auto" w:line="276"/>
      </w:pPr>
      <w:r>
        <w:rPr>
          <w:b/>
        </w:rPr>
        <w:t xml:space="preserve">Abstract (EN): </w:t>
      </w:r>
      <w:r>
        <w:t>Their huge facilities, data flows, and computing resources are a natural fit for AI</w:t>
      </w:r>
    </w:p>
    <w:p>
      <w:pPr>
        <w:spacing w:before="120" w:after="120"/>
      </w:pPr>
      <w:r>
        <w:rPr>
          <w:sz w:val="18"/>
        </w:rPr>
        <w:t>——————————————————————————————————————————————————————————————————————</w:t>
      </w:r>
    </w:p>
    <w:p>
      <w:pPr>
        <w:spacing w:before="160" w:after="40" w:line="240" w:lineRule="auto"/>
      </w:pPr>
      <w:r>
        <w:rPr>
          <w:b/>
        </w:rPr>
        <w:t xml:space="preserve">[454] </w:t>
      </w:r>
      <w:hyperlink r:id="rId1095">
        <w:r>
          <w:rPr>
            <w:color w:val="1155CC"/>
            <w:u w:val="single"/>
          </w:rPr>
          <w:t>中国要求提供传统医学注射的证据</w:t>
        </w:r>
      </w:hyperlink>
    </w:p>
    <w:p>
      <w:pPr>
        <w:spacing w:before="0" w:after="80"/>
      </w:pPr>
      <w:r>
        <w:rPr>
          <w:i/>
          <w:sz w:val="20"/>
        </w:rPr>
        <w:t>EN: China demands evidence for traditional medicine injections</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96">
        <w:r>
          <w:rPr>
            <w:color w:val="1155CC"/>
            <w:u w:val="single"/>
          </w:rPr>
          <w:t>10.1126/science.aeh2958</w:t>
        </w:r>
      </w:hyperlink>
    </w:p>
    <w:p>
      <w:pPr>
        <w:spacing w:before="0" w:after="120"/>
      </w:pPr>
      <w:r>
        <w:rPr>
          <w:b/>
        </w:rPr>
        <w:t xml:space="preserve">Notes: </w:t>
      </w:r>
      <w:r>
        <w:t>abstract_source=crossref</w:t>
      </w:r>
    </w:p>
    <w:p>
      <w:pPr>
        <w:spacing w:before="0" w:after="80" w:lineRule="auto" w:line="276"/>
      </w:pPr>
      <w:r>
        <w:rPr>
          <w:b/>
        </w:rPr>
        <w:t xml:space="preserve">摘要（ZH）: </w:t>
      </w:r>
      <w:r>
        <w:t>新法规要求制造商提供功效和安全数据，或撤回其产品</w:t>
      </w:r>
    </w:p>
    <w:p>
      <w:pPr>
        <w:spacing w:before="0" w:after="200" w:lineRule="auto" w:line="276"/>
      </w:pPr>
      <w:r>
        <w:rPr>
          <w:b/>
        </w:rPr>
        <w:t xml:space="preserve">Abstract (EN): </w:t>
      </w:r>
      <w:r>
        <w:t>New regulations ask manufacturers to provide efficacy and safety data—or withdraw their products</w:t>
      </w:r>
    </w:p>
    <w:p>
      <w:pPr>
        <w:spacing w:before="120" w:after="120"/>
      </w:pPr>
      <w:r>
        <w:rPr>
          <w:sz w:val="18"/>
        </w:rPr>
        <w:t>——————————————————————————————————————————————————————————————————————</w:t>
      </w:r>
    </w:p>
    <w:p>
      <w:pPr>
        <w:spacing w:before="160" w:after="40" w:line="240" w:lineRule="auto"/>
      </w:pPr>
      <w:r>
        <w:rPr>
          <w:b/>
        </w:rPr>
        <w:t xml:space="preserve">[455] </w:t>
      </w:r>
      <w:hyperlink r:id="rId1097">
        <w:r>
          <w:rPr>
            <w:color w:val="1155CC"/>
            <w:u w:val="single"/>
          </w:rPr>
          <w:t>大麻（以及其他药物）的正确时间表尚不存在</w:t>
        </w:r>
      </w:hyperlink>
    </w:p>
    <w:p>
      <w:pPr>
        <w:spacing w:before="0" w:after="80"/>
      </w:pPr>
      <w:r>
        <w:rPr>
          <w:i/>
          <w:sz w:val="20"/>
        </w:rPr>
        <w:t>EN: The right schedule for marijuana (among other drugs) does not yet exist</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098">
        <w:r>
          <w:rPr>
            <w:color w:val="1155CC"/>
            <w:u w:val="single"/>
          </w:rPr>
          <w:t>10.1126/science.aec5633</w:t>
        </w:r>
      </w:hyperlink>
    </w:p>
    <w:p>
      <w:pPr>
        <w:spacing w:before="0" w:after="120"/>
      </w:pPr>
      <w:r>
        <w:rPr>
          <w:b/>
        </w:rPr>
        <w:t xml:space="preserve">Notes: </w:t>
      </w:r>
      <w:r>
        <w:t>abstract_source=crossref</w:t>
      </w:r>
    </w:p>
    <w:p>
      <w:pPr>
        <w:spacing w:before="0" w:after="80" w:lineRule="auto" w:line="276"/>
      </w:pPr>
      <w:r>
        <w:rPr>
          <w:b/>
        </w:rPr>
        <w:t xml:space="preserve">摘要（ZH）: </w:t>
      </w:r>
      <w:r>
        <w:t>根据美国法律和国际条约，药物分类是一个多项选择问题，其中最佳答案通常不是一个选项</w:t>
      </w:r>
    </w:p>
    <w:p>
      <w:pPr>
        <w:spacing w:before="0" w:after="200" w:lineRule="auto" w:line="276"/>
      </w:pPr>
      <w:r>
        <w:rPr>
          <w:b/>
        </w:rPr>
        <w:t xml:space="preserve">Abstract (EN): </w:t>
      </w:r>
      <w:r>
        <w:t>Under US law and international treaties, drug scheduling is a multiple-choice problem for which the answer that would often be best is not an option</w:t>
      </w:r>
    </w:p>
    <w:p>
      <w:pPr>
        <w:spacing w:before="120" w:after="120"/>
      </w:pPr>
      <w:r>
        <w:rPr>
          <w:sz w:val="18"/>
        </w:rPr>
        <w:t>——————————————————————————————————————————————————————————————————————</w:t>
      </w:r>
    </w:p>
    <w:p>
      <w:pPr>
        <w:spacing w:before="160" w:after="40" w:line="240" w:lineRule="auto"/>
      </w:pPr>
      <w:r>
        <w:rPr>
          <w:b/>
        </w:rPr>
        <w:t xml:space="preserve">[456] </w:t>
      </w:r>
      <w:hyperlink r:id="rId1099">
        <w:r>
          <w:rPr>
            <w:color w:val="1155CC"/>
            <w:u w:val="single"/>
          </w:rPr>
          <w:t>美国切断与世卫组织癌症研究部门的联系</w:t>
        </w:r>
      </w:hyperlink>
    </w:p>
    <w:p>
      <w:pPr>
        <w:spacing w:before="0" w:after="80"/>
      </w:pPr>
      <w:r>
        <w:rPr>
          <w:i/>
          <w:sz w:val="20"/>
        </w:rPr>
        <w:t>EN: United States cuts ties with WHO’s cancer research arm</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00">
        <w:r>
          <w:rPr>
            <w:color w:val="1155CC"/>
            <w:u w:val="single"/>
          </w:rPr>
          <w:t>10.1126/science.aeh2960</w:t>
        </w:r>
      </w:hyperlink>
    </w:p>
    <w:p>
      <w:pPr>
        <w:spacing w:before="0" w:after="120"/>
      </w:pPr>
      <w:r>
        <w:rPr>
          <w:b/>
        </w:rPr>
        <w:t xml:space="preserve">Notes: </w:t>
      </w:r>
      <w:r>
        <w:t>abstract_source=crossref</w:t>
      </w:r>
    </w:p>
    <w:p>
      <w:pPr>
        <w:spacing w:before="0" w:after="80" w:lineRule="auto" w:line="276"/>
      </w:pPr>
      <w:r>
        <w:rPr>
          <w:b/>
        </w:rPr>
        <w:t xml:space="preserve">摘要（ZH）: </w:t>
      </w:r>
      <w:r>
        <w:t>有影响力的机构可能会失去研究项目、合作以及部分年度预算</w:t>
      </w:r>
    </w:p>
    <w:p>
      <w:pPr>
        <w:spacing w:before="0" w:after="200" w:lineRule="auto" w:line="276"/>
      </w:pPr>
      <w:r>
        <w:rPr>
          <w:b/>
        </w:rPr>
        <w:t xml:space="preserve">Abstract (EN): </w:t>
      </w:r>
      <w:r>
        <w:t>Influential agency may lose research projects, collaborations, and part of its annual budget</w:t>
      </w:r>
    </w:p>
    <w:p>
      <w:pPr>
        <w:spacing w:before="120" w:after="120"/>
      </w:pPr>
      <w:r>
        <w:rPr>
          <w:sz w:val="18"/>
        </w:rPr>
        <w:t>——————————————————————————————————————————————————————————————————————</w:t>
      </w:r>
    </w:p>
    <w:p>
      <w:pPr>
        <w:spacing w:before="160" w:after="40" w:line="240" w:lineRule="auto"/>
      </w:pPr>
      <w:r>
        <w:rPr>
          <w:b/>
        </w:rPr>
        <w:t xml:space="preserve">[457] </w:t>
      </w:r>
      <w:hyperlink r:id="rId1101">
        <w:r>
          <w:rPr>
            <w:color w:val="1155CC"/>
            <w:u w:val="single"/>
          </w:rPr>
          <w:t>关于关键早期美国遗址的辩论爆发</w:t>
        </w:r>
      </w:hyperlink>
    </w:p>
    <w:p>
      <w:pPr>
        <w:spacing w:before="0" w:after="80"/>
      </w:pPr>
      <w:r>
        <w:rPr>
          <w:i/>
          <w:sz w:val="20"/>
        </w:rPr>
        <w:t>EN: Debate explodes over key early American site</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02">
        <w:r>
          <w:rPr>
            <w:color w:val="1155CC"/>
            <w:u w:val="single"/>
          </w:rPr>
          <w:t>10.1126/science.aeh2956</w:t>
        </w:r>
      </w:hyperlink>
    </w:p>
    <w:p>
      <w:pPr>
        <w:spacing w:before="0" w:after="120"/>
      </w:pPr>
      <w:r>
        <w:rPr>
          <w:b/>
        </w:rPr>
        <w:t xml:space="preserve">Notes: </w:t>
      </w:r>
      <w:r>
        <w:t>abstract_source=crossref</w:t>
      </w:r>
    </w:p>
    <w:p>
      <w:pPr>
        <w:spacing w:before="0" w:after="80" w:lineRule="auto" w:line="276"/>
      </w:pPr>
      <w:r>
        <w:rPr>
          <w:b/>
        </w:rPr>
        <w:t xml:space="preserve">摘要（ZH）: </w:t>
      </w:r>
      <w:r>
        <w:t>一项新的研究对智利南部蒙特维德遗址的前克洛维斯时代提出了挑战</w:t>
      </w:r>
    </w:p>
    <w:p>
      <w:pPr>
        <w:spacing w:before="0" w:after="200" w:lineRule="auto" w:line="276"/>
      </w:pPr>
      <w:r>
        <w:rPr>
          <w:b/>
        </w:rPr>
        <w:t xml:space="preserve">Abstract (EN): </w:t>
      </w:r>
      <w:r>
        <w:t>A new study challenges pre-Clovis age for Monte Verde site in southern Chile</w:t>
      </w:r>
    </w:p>
    <w:p>
      <w:pPr>
        <w:spacing w:before="120" w:after="120"/>
      </w:pPr>
      <w:r>
        <w:rPr>
          <w:sz w:val="18"/>
        </w:rPr>
        <w:t>——————————————————————————————————————————————————————————————————————</w:t>
      </w:r>
    </w:p>
    <w:p>
      <w:pPr>
        <w:spacing w:before="160" w:after="40" w:line="240" w:lineRule="auto"/>
      </w:pPr>
      <w:r>
        <w:rPr>
          <w:b/>
        </w:rPr>
        <w:t xml:space="preserve">[458] </w:t>
      </w:r>
      <w:hyperlink r:id="rId1103">
        <w:r>
          <w:rPr>
            <w:color w:val="1155CC"/>
            <w:u w:val="single"/>
          </w:rPr>
          <w:t>基因进入善恶花园</w:t>
        </w:r>
      </w:hyperlink>
    </w:p>
    <w:p>
      <w:pPr>
        <w:spacing w:before="0" w:after="80"/>
      </w:pPr>
      <w:r>
        <w:rPr>
          <w:i/>
          <w:sz w:val="20"/>
        </w:rPr>
        <w:t>EN: Genes enter the garden of good and evil</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04">
        <w:r>
          <w:rPr>
            <w:color w:val="1155CC"/>
            <w:u w:val="single"/>
          </w:rPr>
          <w:t>10.1126/science.aef2245</w:t>
        </w:r>
      </w:hyperlink>
    </w:p>
    <w:p>
      <w:pPr>
        <w:spacing w:before="0" w:after="120"/>
      </w:pPr>
      <w:r>
        <w:rPr>
          <w:b/>
        </w:rPr>
        <w:t xml:space="preserve">Notes: </w:t>
      </w:r>
      <w:r>
        <w:t>abstract_source=crossref</w:t>
      </w:r>
    </w:p>
    <w:p>
      <w:pPr>
        <w:spacing w:before="0" w:after="80" w:lineRule="auto" w:line="276"/>
      </w:pPr>
      <w:r>
        <w:rPr>
          <w:b/>
        </w:rPr>
        <w:t xml:space="preserve">摘要（ZH）: </w:t>
      </w:r>
      <w:r>
        <w:t>一位遗传学家面对我们如何看待自由意志、性格和不当行为的问题</w:t>
      </w:r>
    </w:p>
    <w:p>
      <w:pPr>
        <w:spacing w:before="0" w:after="200" w:lineRule="auto" w:line="276"/>
      </w:pPr>
      <w:r>
        <w:rPr>
          <w:b/>
        </w:rPr>
        <w:t xml:space="preserve">Abstract (EN): </w:t>
      </w:r>
      <w:r>
        <w:t>A geneticist confronts how we think about free will, character, and wrongdoing</w:t>
      </w:r>
    </w:p>
    <w:p>
      <w:pPr>
        <w:spacing w:before="120" w:after="120"/>
      </w:pPr>
      <w:r>
        <w:rPr>
          <w:sz w:val="18"/>
        </w:rPr>
        <w:t>——————————————————————————————————————————————————————————————————————</w:t>
      </w:r>
    </w:p>
    <w:p>
      <w:pPr>
        <w:spacing w:before="160" w:after="40" w:line="240" w:lineRule="auto"/>
      </w:pPr>
      <w:r>
        <w:rPr>
          <w:b/>
        </w:rPr>
        <w:t xml:space="preserve">[459] </w:t>
      </w:r>
      <w:hyperlink r:id="rId1105">
        <w:r>
          <w:rPr>
            <w:color w:val="1155CC"/>
            <w:u w:val="single"/>
          </w:rPr>
          <w:t>实验性瘫痪疗法在巴西引发争议</w:t>
        </w:r>
      </w:hyperlink>
    </w:p>
    <w:p>
      <w:pPr>
        <w:spacing w:before="0" w:after="80"/>
      </w:pPr>
      <w:r>
        <w:rPr>
          <w:i/>
          <w:sz w:val="20"/>
        </w:rPr>
        <w:t>EN: Experimental paralysis therapy sparks debate in Brazil</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06">
        <w:r>
          <w:rPr>
            <w:color w:val="1155CC"/>
            <w:u w:val="single"/>
          </w:rPr>
          <w:t>10.1126/science.aeh2954</w:t>
        </w:r>
      </w:hyperlink>
    </w:p>
    <w:p>
      <w:pPr>
        <w:spacing w:before="0" w:after="120"/>
      </w:pPr>
      <w:r>
        <w:rPr>
          <w:b/>
        </w:rPr>
        <w:t xml:space="preserve">Notes: </w:t>
      </w:r>
      <w:r>
        <w:t>abstract_source=crossref</w:t>
      </w:r>
    </w:p>
    <w:p>
      <w:pPr>
        <w:spacing w:before="0" w:after="80" w:lineRule="auto" w:line="276"/>
      </w:pPr>
      <w:r>
        <w:rPr>
          <w:b/>
        </w:rPr>
        <w:t xml:space="preserve">摘要（ZH）: </w:t>
      </w:r>
      <w:r>
        <w:t>脊髓损伤患者正在争相获得注射机会，但研究人员表示证据薄弱</w:t>
      </w:r>
    </w:p>
    <w:p>
      <w:pPr>
        <w:spacing w:before="0" w:after="200" w:lineRule="auto" w:line="276"/>
      </w:pPr>
      <w:r>
        <w:rPr>
          <w:b/>
        </w:rPr>
        <w:t xml:space="preserve">Abstract (EN): </w:t>
      </w:r>
      <w:r>
        <w:t>Spinal cord injury patients are scrambling for access to the injection, but researchers say evidence is weak</w:t>
      </w:r>
    </w:p>
    <w:p>
      <w:pPr>
        <w:spacing w:before="120" w:after="120"/>
      </w:pPr>
      <w:r>
        <w:rPr>
          <w:sz w:val="18"/>
        </w:rPr>
        <w:t>——————————————————————————————————————————————————————————————————————</w:t>
      </w:r>
    </w:p>
    <w:p>
      <w:pPr>
        <w:spacing w:before="160" w:after="40" w:line="240" w:lineRule="auto"/>
      </w:pPr>
      <w:r>
        <w:rPr>
          <w:b/>
        </w:rPr>
        <w:t xml:space="preserve">[460] </w:t>
      </w:r>
      <w:hyperlink r:id="rId1107">
        <w:r>
          <w:rPr>
            <w:color w:val="1155CC"/>
            <w:u w:val="single"/>
          </w:rPr>
          <w:t>重置串联microRNA156使水稻实现多年生营养生长</w:t>
        </w:r>
      </w:hyperlink>
    </w:p>
    <w:p>
      <w:pPr>
        <w:spacing w:before="0" w:after="80"/>
      </w:pPr>
      <w:r>
        <w:rPr>
          <w:i/>
          <w:sz w:val="20"/>
        </w:rPr>
        <w:t>EN: Resetting of a tandem microRNA156 enables vegetative perennial growth in rice</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08">
        <w:r>
          <w:rPr>
            <w:color w:val="1155CC"/>
            <w:u w:val="single"/>
          </w:rPr>
          <w:t>10.1126/science.adv2188</w:t>
        </w:r>
      </w:hyperlink>
    </w:p>
    <w:p>
      <w:pPr>
        <w:spacing w:before="0" w:after="120"/>
      </w:pPr>
      <w:r>
        <w:rPr>
          <w:b/>
        </w:rPr>
        <w:t xml:space="preserve">Notes: </w:t>
      </w:r>
      <w:r>
        <w:t>abstract_source=crossref</w:t>
      </w:r>
    </w:p>
    <w:p>
      <w:pPr>
        <w:spacing w:before="0" w:after="80" w:lineRule="auto" w:line="276"/>
      </w:pPr>
      <w:r>
        <w:rPr>
          <w:b/>
        </w:rPr>
        <w:t xml:space="preserve">摘要（ZH）: </w:t>
      </w:r>
      <w:r>
        <w:t>一年生栽培稻是从多年生野生稻驯化而来的，但多年生生长习性的遗传机制仍不清楚。利用野生稻和栽培稻的导入系，我们鉴定了</w:t>
      </w:r>
      <w:r>
        <w:t xml:space="preserve"> </w:t>
      </w:r>
      <w:r>
        <w:t>Endless Branches and Tillers</w:t>
      </w:r>
      <w:r>
        <w:t xml:space="preserve"> </w:t>
      </w:r>
      <w:r>
        <w:t>(</w:t>
      </w:r>
      <w:r>
        <w:t xml:space="preserve"> </w:t>
      </w:r>
      <w:r>
        <w:t>EBT1</w:t>
      </w:r>
      <w:r>
        <w:t xml:space="preserve"> </w:t>
      </w:r>
      <w:r>
        <w:t>) 位点，该位点由串联的 microRNA156 基因 (</w:t>
      </w:r>
      <w:r>
        <w:t xml:space="preserve"> </w:t>
      </w:r>
      <w:r>
        <w:t>MIR156BC</w:t>
      </w:r>
      <w:r>
        <w:t xml:space="preserve"> </w:t>
      </w:r>
      <w:r>
        <w:t>) 组成。该位点负责花序逆转和营养繁殖，有助于野生稻的多年生生长。野生稻等位基因</w:t>
      </w:r>
      <w:r>
        <w:t xml:space="preserve"> </w:t>
      </w:r>
      <w:r>
        <w:t>EBT1</w:t>
      </w:r>
      <w:r>
        <w:t xml:space="preserve"> </w:t>
      </w:r>
      <w:r>
        <w:t>W1943</w:t>
      </w:r>
      <w:r>
        <w:t xml:space="preserve"> </w:t>
      </w:r>
      <w:r>
        <w:t>表现出更高的染色质可及性和更低水平的抑制性组蛋白标记 H3K27me3，以重置</w:t>
      </w:r>
      <w:r>
        <w:t xml:space="preserve"> </w:t>
      </w:r>
      <w:r>
        <w:t>MIR156BC</w:t>
      </w:r>
      <w:r>
        <w:t xml:space="preserve"> </w:t>
      </w:r>
      <w:r>
        <w:t>表达</w:t>
      </w:r>
    </w:p>
    <w:p>
      <w:pPr>
        <w:spacing w:before="0" w:after="200" w:lineRule="auto" w:line="276"/>
      </w:pPr>
      <w:r>
        <w:rPr>
          <w:b/>
        </w:rPr>
        <w:t xml:space="preserve">Abstract (EN): </w:t>
      </w:r>
      <w:r>
        <w:t>Annual cultivated rice was domesticated from perennial wild rice, yet the genetic mechanism of perennial growth habit remains unclear. Using introgression lines of wild and cultivated rice, we identified the</w:t>
      </w:r>
      <w:r>
        <w:t xml:space="preserve"> </w:t>
      </w:r>
      <w:r>
        <w:t>Endless Branches and Tillers</w:t>
      </w:r>
      <w:r>
        <w:t xml:space="preserve"> </w:t>
      </w:r>
      <w:r>
        <w:t>(</w:t>
      </w:r>
      <w:r>
        <w:t xml:space="preserve"> </w:t>
      </w:r>
      <w:r>
        <w:t>EBT1</w:t>
      </w:r>
      <w:r>
        <w:t xml:space="preserve"> </w:t>
      </w:r>
      <w:r>
        <w:t>) locus, comprising tandem microRNA156 genes (</w:t>
      </w:r>
      <w:r>
        <w:t xml:space="preserve"> </w:t>
      </w:r>
      <w:r>
        <w:t>MIR156BC</w:t>
      </w:r>
      <w:r>
        <w:t xml:space="preserve"> </w:t>
      </w:r>
      <w:r>
        <w:t>). This locus is responsible for floral reversion and vegetative propagation contributing to perennial growth in wild rice. The wild rice allele</w:t>
      </w:r>
      <w:r>
        <w:t xml:space="preserve"> </w:t>
      </w:r>
      <w:r>
        <w:t>EBT1</w:t>
      </w:r>
      <w:r>
        <w:t xml:space="preserve"> </w:t>
      </w:r>
      <w:r>
        <w:t>W1943</w:t>
      </w:r>
      <w:r>
        <w:t xml:space="preserve"> </w:t>
      </w:r>
      <w:r>
        <w:t>exhibits higher chromatin accessibility and lower levels of the repressive histone mark H3K27me3 to reset</w:t>
      </w:r>
      <w:r>
        <w:t xml:space="preserve"> </w:t>
      </w:r>
      <w:r>
        <w:t>MIR156BC</w:t>
      </w:r>
      <w:r>
        <w:t xml:space="preserve"> </w:t>
      </w:r>
      <w:r>
        <w:t>expression in tiller buds compared with the cultivated allele. Additionally, we introgressed</w:t>
      </w:r>
      <w:r>
        <w:t xml:space="preserve"> </w:t>
      </w:r>
      <w:r>
        <w:t>EBT1</w:t>
      </w:r>
      <w:r>
        <w:t xml:space="preserve"> </w:t>
      </w:r>
      <w:r>
        <w:t>and prostrate growth genes</w:t>
      </w:r>
      <w:r>
        <w:t xml:space="preserve"> </w:t>
      </w:r>
      <w:r>
        <w:t>PROG1</w:t>
      </w:r>
      <w:r>
        <w:t xml:space="preserve"> </w:t>
      </w:r>
      <w:r>
        <w:t>and</w:t>
      </w:r>
      <w:r>
        <w:t xml:space="preserve"> </w:t>
      </w:r>
      <w:r>
        <w:t>TIG1</w:t>
      </w:r>
      <w:r>
        <w:t xml:space="preserve"> </w:t>
      </w:r>
      <w:r>
        <w:t>to generate recombinant lines exhibiting a robust perennial habit. Our findings pave the way for developing sustainable perennial rice cultivars in the future.</w:t>
      </w:r>
    </w:p>
    <w:p>
      <w:pPr>
        <w:spacing w:before="120" w:after="120"/>
      </w:pPr>
      <w:r>
        <w:rPr>
          <w:sz w:val="18"/>
        </w:rPr>
        <w:t>——————————————————————————————————————————————————————————————————————</w:t>
      </w:r>
    </w:p>
    <w:p>
      <w:pPr>
        <w:spacing w:before="160" w:after="40" w:line="240" w:lineRule="auto"/>
      </w:pPr>
      <w:r>
        <w:rPr>
          <w:b/>
        </w:rPr>
        <w:t xml:space="preserve">[461] </w:t>
      </w:r>
      <w:hyperlink r:id="rId1109">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10">
        <w:r>
          <w:rPr>
            <w:color w:val="1155CC"/>
            <w:u w:val="single"/>
          </w:rPr>
          <w:t>10.1126/science.aeh2593</w:t>
        </w:r>
      </w:hyperlink>
    </w:p>
    <w:p>
      <w:pPr>
        <w:spacing w:before="0" w:after="120"/>
      </w:pPr>
      <w:r>
        <w:rPr>
          <w:b/>
        </w:rPr>
        <w:t xml:space="preserve">Notes: </w:t>
      </w:r>
      <w:r>
        <w:t>abstract_source=crossref</w:t>
      </w:r>
    </w:p>
    <w:p>
      <w:pPr>
        <w:spacing w:before="0" w:after="80" w:lineRule="auto" w:line="276"/>
      </w:pPr>
      <w:r>
        <w:rPr>
          <w:b/>
        </w:rPr>
        <w:t xml:space="preserve">摘要（ZH）: </w:t>
      </w:r>
      <w:r>
        <w:t>来自科学期刊家族的亮点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[462] </w:t>
      </w:r>
      <w:hyperlink r:id="rId1111">
        <w:r>
          <w:rPr>
            <w:color w:val="1155CC"/>
            <w:u w:val="single"/>
          </w:rPr>
          <w:t>宿主来源的硝酸盐促进大肠杆菌吲哚的产生以推动慢性肾病进展</w:t>
        </w:r>
      </w:hyperlink>
    </w:p>
    <w:p>
      <w:pPr>
        <w:spacing w:before="0" w:after="80"/>
      </w:pPr>
      <w:r>
        <w:rPr>
          <w:i/>
          <w:sz w:val="20"/>
        </w:rPr>
        <w:t>EN: Host-derived nitrate fuels indole production by Escherichia coli to drive chronic kidney disease progression</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12">
        <w:r>
          <w:rPr>
            <w:color w:val="1155CC"/>
            <w:u w:val="single"/>
          </w:rPr>
          <w:t>10.1126/science.ady5217</w:t>
        </w:r>
      </w:hyperlink>
    </w:p>
    <w:p>
      <w:pPr>
        <w:spacing w:before="0" w:after="120"/>
      </w:pPr>
      <w:r>
        <w:rPr>
          <w:b/>
        </w:rPr>
        <w:t xml:space="preserve">Notes: </w:t>
      </w:r>
      <w:r>
        <w:t>abstract_source=crossref</w:t>
      </w:r>
    </w:p>
    <w:p>
      <w:pPr>
        <w:spacing w:before="0" w:after="80" w:lineRule="auto" w:line="276"/>
      </w:pPr>
      <w:r>
        <w:rPr>
          <w:b/>
        </w:rPr>
        <w:t xml:space="preserve">摘要（ZH）: </w:t>
      </w:r>
      <w:r>
        <w:t>慢性肾病（CKD）与粪便中肠杆菌科（Enterobacteriaceae）的丰度增加有关，但这种变化的生态驱动因素及其对疾病进展的影响仍不清楚。尿毒症毒素吲哚硫酸盐由肝脏中微生物群衍生的吲哚产生。在腺嘌呤诱导的CKD小鼠中，我们发现吲哚硫酸盐的清除受损提高了编码诱导型一氧化氮合酶（iNOS）的基因的粘膜表达。由此导致的腔内硝酸盐水平升高通过硝酸盐呼吸促进了大肠杆菌（Escherichia coli）的生长。CKD患者的粪便微生物群在厌氧培养期间产生的吲哚比健康对照组的粪便多，但仅在存在硝酸盐的情况下</w:t>
      </w:r>
    </w:p>
    <w:p>
      <w:pPr>
        <w:spacing w:before="0" w:after="200" w:lineRule="auto" w:line="276"/>
      </w:pPr>
      <w:r>
        <w:rPr>
          <w:b/>
        </w:rPr>
        <w:t xml:space="preserve">Abstract (EN): </w:t>
      </w:r>
      <w:r>
        <w:t>Chronic kidney disease (CKD) is linked to an elevated fecal abundance of</w:t>
      </w:r>
      <w:r>
        <w:t xml:space="preserve"> </w:t>
      </w:r>
      <w:r>
        <w:t>Enterobacteriaceae</w:t>
      </w:r>
      <w:r>
        <w:t xml:space="preserve"> </w:t>
      </w:r>
      <w:r>
        <w:t>, but the ecological drivers of this shift and its impact on disease progression remain unclear. The uremic toxin indoxyl sulfate is produced from microbiota-derived indole in the liver. Here, we found that in mice with adenine-induced CKD, impaired clearance of indoxyl sulfate elevated mucosal expression of the gene encoding inducible nitric oxide synthase (iNOS). The resulting rise in luminal nitrate levels promoted</w:t>
      </w:r>
      <w:r>
        <w:t xml:space="preserve"> </w:t>
      </w:r>
      <w:r>
        <w:t>Escherichia coli</w:t>
      </w:r>
      <w:r>
        <w:t xml:space="preserve"> </w:t>
      </w:r>
      <w:r>
        <w:t>growth by means of nitrate respiration. Fecal microbiota from CKD patients generated more indole than feces of healthy controls during anaerobic culture, but only in the presence of nitrate. Nitrate enhanced indole production by</w:t>
      </w:r>
      <w:r>
        <w:t xml:space="preserve"> </w:t>
      </w:r>
      <w:r>
        <w:t>E. coli</w:t>
      </w:r>
      <w:r>
        <w:t xml:space="preserve"> </w:t>
      </w:r>
      <w:r>
        <w:t>, thereby worsening renal pathology in CKD mice, which was mitigated by iNOS inhibition.</w:t>
      </w:r>
    </w:p>
    <w:p>
      <w:pPr>
        <w:spacing w:before="120" w:after="120"/>
      </w:pPr>
      <w:r>
        <w:rPr>
          <w:sz w:val="18"/>
        </w:rPr>
        <w:t>——————————————————————————————————————————————————————————————————————</w:t>
      </w:r>
    </w:p>
    <w:p>
      <w:pPr>
        <w:spacing w:before="160" w:after="40" w:line="240" w:lineRule="auto"/>
      </w:pPr>
      <w:r>
        <w:rPr>
          <w:b/>
        </w:rPr>
        <w:t xml:space="preserve">[463] </w:t>
      </w:r>
      <w:hyperlink r:id="rId1113">
        <w:r>
          <w:rPr>
            <w:color w:val="1155CC"/>
            <w:u w:val="single"/>
          </w:rPr>
          <w:t>古地磁检测相对板块运动和3.5 Ga时不常见的核心发电机反转</w:t>
        </w:r>
      </w:hyperlink>
    </w:p>
    <w:p>
      <w:pPr>
        <w:spacing w:before="0" w:after="80"/>
      </w:pPr>
      <w:r>
        <w:rPr>
          <w:i/>
          <w:sz w:val="20"/>
        </w:rPr>
        <w:t>EN: Paleomagnetic detection of relative plate motions and an infrequently reversing core dynamo at 3.5 Ga</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14">
        <w:r>
          <w:rPr>
            <w:color w:val="1155CC"/>
            <w:u w:val="single"/>
          </w:rPr>
          <w:t>10.1126/science.adw9250</w:t>
        </w:r>
      </w:hyperlink>
    </w:p>
    <w:p>
      <w:pPr>
        <w:spacing w:before="0" w:after="120"/>
      </w:pPr>
      <w:r>
        <w:rPr>
          <w:b/>
        </w:rPr>
        <w:t xml:space="preserve">Notes: </w:t>
      </w:r>
      <w:r>
        <w:t>abstract_source=crossref</w:t>
      </w:r>
    </w:p>
    <w:p>
      <w:pPr>
        <w:spacing w:before="0" w:after="80" w:lineRule="auto" w:line="276"/>
      </w:pPr>
      <w:r>
        <w:rPr>
          <w:b/>
        </w:rPr>
        <w:t xml:space="preserve">摘要（ZH）: </w:t>
      </w:r>
      <w:r>
        <w:t>早期地球是否具有活动的岩石圈和板块构造仍有争议。我们提供了古地磁数据，量化了约34.8亿年前（Ga）岩石圈块体之间的差异运动。这表现为47−35+69度</w:t>
      </w:r>
    </w:p>
    <w:p>
      <w:pPr>
        <w:spacing w:before="0" w:after="200" w:lineRule="auto" w:line="276"/>
      </w:pPr>
      <w:r>
        <w:rPr>
          <w:b/>
        </w:rPr>
        <w:t xml:space="preserve">Abstract (EN): </w:t>
      </w:r>
      <w:r>
        <w:t>Whether early Earth had a mobile lithosphere and plate tectonics is debated. We present paleomagnetic data quantifying differential motion between lithospheric blocks at ~3.48 billion years ago (Ga). This manifested as</w:t>
      </w:r>
      <w:r>
        <w:t xml:space="preserve"> </w:t>
      </w:r>
      <w:r>
        <w:rPr>
          <w:vertAlign w:val="subscript"/>
        </w:rPr>
        <w:t>47</w:t>
      </w:r>
      <w:r>
        <w:t xml:space="preserve"> </w:t>
      </w:r>
      <w:r>
        <w:t>−</w:t>
      </w:r>
      <w:r>
        <w:rPr>
          <w:vertAlign w:val="subscript"/>
        </w:rPr>
        <w:t>35</w:t>
      </w:r>
      <w:r>
        <w:t xml:space="preserve"> </w:t>
      </w:r>
      <w:r>
        <w:t>+</w:t>
      </w:r>
      <w:r>
        <w:rPr>
          <w:vertAlign w:val="subscript"/>
        </w:rPr>
        <w:t>69</w:t>
      </w:r>
      <w:r>
        <w:t xml:space="preserve"> </w:t>
      </w:r>
      <w:r>
        <w:t>centimeters per year latitudinal motion of the East Pilbara Craton (Western Australia) across high latitudes, whereas the Barberton Greenstone Belt (South Africa) was stationary at low latitudes. Comparison of this plate motion with candidate analogs suggests either rapid collisional plate tectonics (i.e., an “active-lid”) or an episodically mobile lithosphere. We also document the oldest known geomagnetic reversal at ~3.46 Ga, consistent with an axial dipolar dynamo that reversed less frequently than today’s. The existence and rates of these surface and core geophysical phenomena provide geodynamic context to Earth’s early geophysical and biological evolution.</w:t>
      </w:r>
    </w:p>
    <w:p>
      <w:pPr>
        <w:spacing w:before="120" w:after="120"/>
      </w:pPr>
      <w:r>
        <w:rPr>
          <w:sz w:val="18"/>
        </w:rPr>
        <w:t>——————————————————————————————————————————————————————————————————————</w:t>
      </w:r>
    </w:p>
    <w:p>
      <w:pPr>
        <w:spacing w:before="160" w:after="40" w:line="240" w:lineRule="auto"/>
      </w:pPr>
      <w:r>
        <w:rPr>
          <w:b/>
        </w:rPr>
        <w:t xml:space="preserve">[464] </w:t>
      </w:r>
      <w:hyperlink r:id="rId1115">
        <w:r>
          <w:rPr>
            <w:color w:val="1155CC"/>
            <w:u w:val="single"/>
          </w:rPr>
          <w:t>Mouna Maroun的教育</w:t>
        </w:r>
      </w:hyperlink>
    </w:p>
    <w:p>
      <w:pPr>
        <w:spacing w:before="0" w:after="80"/>
      </w:pPr>
      <w:r>
        <w:rPr>
          <w:i/>
          <w:sz w:val="20"/>
        </w:rPr>
        <w:t>EN: The education of Mouna Maroun</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16">
        <w:r>
          <w:rPr>
            <w:color w:val="1155CC"/>
            <w:u w:val="single"/>
          </w:rPr>
          <w:t>10.1126/science.aeh2595</w:t>
        </w:r>
      </w:hyperlink>
    </w:p>
    <w:p>
      <w:pPr>
        <w:spacing w:before="0" w:after="120"/>
      </w:pPr>
      <w:r>
        <w:rPr>
          <w:b/>
        </w:rPr>
        <w:t xml:space="preserve">Notes: </w:t>
      </w:r>
      <w:r>
        <w:t>abstract_source=crossref</w:t>
      </w:r>
    </w:p>
    <w:p>
      <w:pPr>
        <w:spacing w:before="0" w:after="80" w:lineRule="auto" w:line="276"/>
      </w:pPr>
      <w:r>
        <w:rPr>
          <w:b/>
        </w:rPr>
        <w:t xml:space="preserve">摘要（ZH）: </w:t>
      </w:r>
      <w:r>
        <w:t>一位阿拉伯神经科学家正在引导一所顶尖的以色列大学度过动荡时期。她学到了一些艰难的教训</w:t>
      </w:r>
    </w:p>
    <w:p>
      <w:pPr>
        <w:spacing w:before="0" w:after="200" w:lineRule="auto" w:line="276"/>
      </w:pPr>
      <w:r>
        <w:rPr>
          <w:b/>
        </w:rPr>
        <w:t xml:space="preserve">Abstract (EN): </w:t>
      </w:r>
      <w:r>
        <w:t>An Arab neuroscientist is steering a top Israeli university through tumultuous times. She’s learned some hard lessons</w:t>
      </w:r>
    </w:p>
    <w:p>
      <w:pPr>
        <w:spacing w:before="120" w:after="120"/>
      </w:pPr>
      <w:r>
        <w:rPr>
          <w:sz w:val="18"/>
        </w:rPr>
        <w:t>——————————————————————————————————————————————————————————————————————</w:t>
      </w:r>
    </w:p>
    <w:p>
      <w:pPr>
        <w:spacing w:before="160" w:after="40" w:line="240" w:lineRule="auto"/>
      </w:pPr>
      <w:r>
        <w:rPr>
          <w:b/>
        </w:rPr>
        <w:t xml:space="preserve">[465] </w:t>
      </w:r>
      <w:hyperlink r:id="rId1117">
        <w:r>
          <w:rPr>
            <w:color w:val="1155CC"/>
            <w:u w:val="single"/>
          </w:rPr>
          <w:t>一个神经免疫回路将压力与皮肤炎症联系起来</w:t>
        </w:r>
      </w:hyperlink>
    </w:p>
    <w:p>
      <w:pPr>
        <w:spacing w:before="0" w:after="80"/>
      </w:pPr>
      <w:r>
        <w:rPr>
          <w:i/>
          <w:sz w:val="20"/>
        </w:rPr>
        <w:t>EN: A neuroimmune circuit links stress to skin inflammation</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18">
        <w:r>
          <w:rPr>
            <w:color w:val="1155CC"/>
            <w:u w:val="single"/>
          </w:rPr>
          <w:t>10.1126/science.aef7718</w:t>
        </w:r>
      </w:hyperlink>
    </w:p>
    <w:p>
      <w:pPr>
        <w:spacing w:before="0" w:after="120"/>
      </w:pPr>
      <w:r>
        <w:rPr>
          <w:b/>
        </w:rPr>
        <w:t xml:space="preserve">Notes: </w:t>
      </w:r>
      <w:r>
        <w:t>abstract_source=crossref</w:t>
      </w:r>
    </w:p>
    <w:p>
      <w:pPr>
        <w:spacing w:before="0" w:after="80" w:lineRule="auto" w:line="276"/>
      </w:pPr>
      <w:r>
        <w:rPr>
          <w:b/>
        </w:rPr>
        <w:t xml:space="preserve">摘要（ZH）: </w:t>
      </w:r>
      <w:r>
        <w:t>交感神经元在压力期间激活嗜酸性粒细胞，加重特应性皮炎的爆发</w:t>
      </w:r>
    </w:p>
    <w:p>
      <w:pPr>
        <w:spacing w:before="0" w:after="200" w:lineRule="auto" w:line="276"/>
      </w:pPr>
      <w:r>
        <w:rPr>
          <w:b/>
        </w:rPr>
        <w:t xml:space="preserve">Abstract (EN): </w:t>
      </w:r>
      <w:r>
        <w:t>Sympathetic neurons activate eosinophils during stress to worsen atopic dermatitis flare-ups</w:t>
      </w:r>
    </w:p>
    <w:p>
      <w:pPr>
        <w:spacing w:before="120" w:after="120"/>
      </w:pPr>
      <w:r>
        <w:rPr>
          <w:sz w:val="18"/>
        </w:rPr>
        <w:t>——————————————————————————————————————————————————————————————————————</w:t>
      </w:r>
    </w:p>
    <w:p>
      <w:pPr>
        <w:spacing w:before="160" w:after="40" w:line="240" w:lineRule="auto"/>
      </w:pPr>
      <w:r>
        <w:rPr>
          <w:b/>
        </w:rPr>
        <w:t xml:space="preserve">[466] </w:t>
      </w:r>
      <w:hyperlink r:id="rId1119">
        <w:r>
          <w:rPr>
            <w:color w:val="1155CC"/>
            <w:u w:val="single"/>
          </w:rPr>
          <w:t>跨时间的疼痛</w:t>
        </w:r>
      </w:hyperlink>
    </w:p>
    <w:p>
      <w:pPr>
        <w:spacing w:before="0" w:after="80"/>
      </w:pPr>
      <w:r>
        <w:rPr>
          <w:i/>
          <w:sz w:val="20"/>
        </w:rPr>
        <w:t>EN: Pain across time</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20">
        <w:r>
          <w:rPr>
            <w:color w:val="1155CC"/>
            <w:u w:val="single"/>
          </w:rPr>
          <w:t>10.1126/science.aeg1907</w:t>
        </w:r>
      </w:hyperlink>
    </w:p>
    <w:p>
      <w:pPr>
        <w:spacing w:before="0" w:after="120"/>
      </w:pPr>
      <w:r>
        <w:rPr>
          <w:b/>
        </w:rPr>
        <w:t xml:space="preserve">Notes: </w:t>
      </w:r>
      <w:r>
        <w:t>abstract_source=crossref</w:t>
      </w:r>
    </w:p>
    <w:p>
      <w:pPr>
        <w:spacing w:before="0" w:after="80" w:lineRule="auto" w:line="276"/>
      </w:pPr>
      <w:r>
        <w:rPr>
          <w:b/>
        </w:rPr>
        <w:t xml:space="preserve">摘要（ZH）: </w:t>
      </w:r>
      <w:r>
        <w:t>两个大脑回路促进慢性疼痛与时间之间的相互作用</w:t>
      </w:r>
    </w:p>
    <w:p>
      <w:pPr>
        <w:spacing w:before="0" w:after="200" w:lineRule="auto" w:line="276"/>
      </w:pPr>
      <w:r>
        <w:rPr>
          <w:b/>
        </w:rPr>
        <w:t xml:space="preserve">Abstract (EN): </w:t>
      </w:r>
      <w:r>
        <w:t>Two brain circuits facilitate the interaction between chronic pain and time</w:t>
      </w:r>
    </w:p>
    <w:p>
      <w:pPr>
        <w:spacing w:before="120" w:after="120"/>
      </w:pPr>
      <w:r>
        <w:rPr>
          <w:sz w:val="18"/>
        </w:rPr>
        <w:t>——————————————————————————————————————————————————————————————————————</w:t>
      </w:r>
    </w:p>
    <w:p>
      <w:pPr>
        <w:spacing w:before="160" w:after="40" w:line="240" w:lineRule="auto"/>
      </w:pPr>
      <w:r>
        <w:rPr>
          <w:b/>
        </w:rPr>
        <w:t xml:space="preserve">[467] </w:t>
      </w:r>
      <w:hyperlink r:id="rId1121">
        <w:r>
          <w:rPr>
            <w:color w:val="1155CC"/>
            <w:u w:val="single"/>
          </w:rPr>
          <w:t>人类的晚期出现</w:t>
        </w:r>
      </w:hyperlink>
    </w:p>
    <w:p>
      <w:pPr>
        <w:spacing w:before="0" w:after="80"/>
      </w:pPr>
      <w:r>
        <w:rPr>
          <w:i/>
          <w:sz w:val="20"/>
        </w:rPr>
        <w:t>EN: A later debut for humans</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22">
        <w:r>
          <w:rPr>
            <w:color w:val="1155CC"/>
            <w:u w:val="single"/>
          </w:rPr>
          <w:t>10.1126/science.aef9954</w:t>
        </w:r>
      </w:hyperlink>
    </w:p>
    <w:p>
      <w:pPr>
        <w:spacing w:before="0" w:after="120"/>
      </w:pPr>
      <w:r>
        <w:rPr>
          <w:b/>
        </w:rPr>
        <w:t xml:space="preserve">Notes: </w:t>
      </w:r>
      <w:r>
        <w:t>abstract_source=crossref</w:t>
      </w:r>
    </w:p>
    <w:p>
      <w:pPr>
        <w:spacing w:before="0" w:after="80" w:lineRule="auto" w:line="276"/>
      </w:pPr>
      <w:r>
        <w:rPr>
          <w:b/>
        </w:rPr>
        <w:t xml:space="preserve">摘要（ZH）: </w:t>
      </w:r>
      <w:r>
        <w:t>地层分析重新设定了人类到达智利蒙特维德的时间</w:t>
      </w:r>
    </w:p>
    <w:p>
      <w:pPr>
        <w:spacing w:before="0" w:after="200" w:lineRule="auto" w:line="276"/>
      </w:pPr>
      <w:r>
        <w:rPr>
          <w:b/>
        </w:rPr>
        <w:t xml:space="preserve">Abstract (EN): </w:t>
      </w:r>
      <w:r>
        <w:t>Stratigraphic analysis resets the time of human arrival in Monte Verde, Chile</w:t>
      </w:r>
    </w:p>
    <w:p>
      <w:pPr>
        <w:spacing w:before="120" w:after="120"/>
      </w:pPr>
      <w:r>
        <w:rPr>
          <w:sz w:val="18"/>
        </w:rPr>
        <w:t>——————————————————————————————————————————————————————————————————————</w:t>
      </w:r>
    </w:p>
    <w:p>
      <w:pPr>
        <w:spacing w:before="160" w:after="40" w:line="240" w:lineRule="auto"/>
      </w:pPr>
      <w:r>
        <w:rPr>
          <w:b/>
        </w:rPr>
        <w:t xml:space="preserve">[468] </w:t>
      </w:r>
      <w:hyperlink r:id="rId1123">
        <w:r>
          <w:rPr>
            <w:color w:val="1155CC"/>
            <w:u w:val="single"/>
          </w:rPr>
          <w:t>古代岩石揭示早期板块运动</w:t>
        </w:r>
      </w:hyperlink>
    </w:p>
    <w:p>
      <w:pPr>
        <w:spacing w:before="0" w:after="80"/>
      </w:pPr>
      <w:r>
        <w:rPr>
          <w:i/>
          <w:sz w:val="20"/>
        </w:rPr>
        <w:t>EN: Ancient rocks reveal early plate motions</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24">
        <w:r>
          <w:rPr>
            <w:color w:val="1155CC"/>
            <w:u w:val="single"/>
          </w:rPr>
          <w:t>10.1126/science.aef5648</w:t>
        </w:r>
      </w:hyperlink>
    </w:p>
    <w:p>
      <w:pPr>
        <w:spacing w:before="0" w:after="120"/>
      </w:pPr>
      <w:r>
        <w:rPr>
          <w:b/>
        </w:rPr>
        <w:t xml:space="preserve">Notes: </w:t>
      </w:r>
      <w:r>
        <w:t>abstract_source=crossref</w:t>
      </w:r>
    </w:p>
    <w:p>
      <w:pPr>
        <w:spacing w:before="0" w:after="80" w:lineRule="auto" w:line="276"/>
      </w:pPr>
      <w:r>
        <w:rPr>
          <w:b/>
        </w:rPr>
        <w:t xml:space="preserve">摘要（ZH）: </w:t>
      </w:r>
      <w:r>
        <w:t>35亿年前，地球的构造板块运动多变，并且拥有强大而稳定的磁场</w:t>
      </w:r>
    </w:p>
    <w:p>
      <w:pPr>
        <w:spacing w:before="0" w:after="200" w:lineRule="auto" w:line="276"/>
      </w:pPr>
      <w:r>
        <w:rPr>
          <w:b/>
        </w:rPr>
        <w:t xml:space="preserve">Abstract (EN): </w:t>
      </w:r>
      <w:r>
        <w:t>Earth had variable tectonic plate motions and a strong, stable magnetic field 3.5 billion years ago</w:t>
      </w:r>
    </w:p>
    <w:p>
      <w:pPr>
        <w:spacing w:before="120" w:after="120"/>
      </w:pPr>
      <w:r>
        <w:rPr>
          <w:sz w:val="18"/>
        </w:rPr>
        <w:t>——————————————————————————————————————————————————————————————————————</w:t>
      </w:r>
    </w:p>
    <w:p>
      <w:pPr>
        <w:spacing w:before="160" w:after="40" w:line="240" w:lineRule="auto"/>
      </w:pPr>
      <w:r>
        <w:rPr>
          <w:b/>
        </w:rPr>
        <w:t xml:space="preserve">[469] </w:t>
      </w:r>
      <w:hyperlink r:id="rId1125">
        <w:r>
          <w:rPr>
            <w:color w:val="1155CC"/>
            <w:u w:val="single"/>
          </w:rPr>
          <w:t>具有扭曲的强光发射</w:t>
        </w:r>
      </w:hyperlink>
    </w:p>
    <w:p>
      <w:pPr>
        <w:spacing w:before="0" w:after="80"/>
      </w:pPr>
      <w:r>
        <w:rPr>
          <w:i/>
          <w:sz w:val="20"/>
        </w:rPr>
        <w:t>EN: Strong light emission with a twist</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26">
        <w:r>
          <w:rPr>
            <w:color w:val="1155CC"/>
            <w:u w:val="single"/>
          </w:rPr>
          <w:t>10.1126/science.aef9532</w:t>
        </w:r>
      </w:hyperlink>
    </w:p>
    <w:p>
      <w:pPr>
        <w:spacing w:before="0" w:after="120"/>
      </w:pPr>
      <w:r>
        <w:rPr>
          <w:b/>
        </w:rPr>
        <w:t xml:space="preserve">Notes: </w:t>
      </w:r>
      <w:r>
        <w:t>abstract_source=crossref</w:t>
      </w:r>
    </w:p>
    <w:p>
      <w:pPr>
        <w:spacing w:before="0" w:after="80" w:lineRule="auto" w:line="276"/>
      </w:pPr>
      <w:r>
        <w:rPr>
          <w:b/>
        </w:rPr>
        <w:t xml:space="preserve">摘要（ZH）: </w:t>
      </w:r>
      <w:r>
        <w:t>氮化硼片层堆叠可以排列以发射深紫外光</w:t>
      </w:r>
    </w:p>
    <w:p>
      <w:pPr>
        <w:spacing w:before="0" w:after="200" w:lineRule="auto" w:line="276"/>
      </w:pPr>
      <w:r>
        <w:rPr>
          <w:b/>
        </w:rPr>
        <w:t xml:space="preserve">Abstract (EN): </w:t>
      </w:r>
      <w:r>
        <w:t>Stacks of boron nitride sheets can be arranged to emit deep ultraviolet light</w:t>
      </w:r>
    </w:p>
    <w:p>
      <w:pPr>
        <w:spacing w:before="120" w:after="120"/>
      </w:pPr>
      <w:r>
        <w:rPr>
          <w:sz w:val="18"/>
        </w:rPr>
        <w:t>——————————————————————————————————————————————————————————————————————</w:t>
      </w:r>
    </w:p>
    <w:p>
      <w:pPr>
        <w:spacing w:before="160" w:after="40" w:line="240" w:lineRule="auto"/>
      </w:pPr>
      <w:r>
        <w:rPr>
          <w:b/>
        </w:rPr>
        <w:t xml:space="preserve">[470] </w:t>
      </w:r>
      <w:hyperlink r:id="rId1127">
        <w:r>
          <w:rPr>
            <w:color w:val="1155CC"/>
            <w:u w:val="single"/>
          </w:rPr>
          <w:t>当科学变得个人化</w:t>
        </w:r>
      </w:hyperlink>
    </w:p>
    <w:p>
      <w:pPr>
        <w:spacing w:before="0" w:after="80"/>
      </w:pPr>
      <w:r>
        <w:rPr>
          <w:i/>
          <w:sz w:val="20"/>
        </w:rPr>
        <w:t>EN: When science becomes personal</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28">
        <w:r>
          <w:rPr>
            <w:color w:val="1155CC"/>
            <w:u w:val="single"/>
          </w:rPr>
          <w:t>10.1126/science.aeh2025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[471] </w:t>
      </w:r>
      <w:hyperlink r:id="rId1129">
        <w:r>
          <w:rPr>
            <w:color w:val="1155CC"/>
            <w:u w:val="single"/>
          </w:rPr>
          <w:t>瑞典原始森林的碳储量高于次生森林</w:t>
        </w:r>
      </w:hyperlink>
    </w:p>
    <w:p>
      <w:pPr>
        <w:spacing w:before="0" w:after="80"/>
      </w:pPr>
      <w:r>
        <w:rPr>
          <w:i/>
          <w:sz w:val="20"/>
        </w:rPr>
        <w:t>EN: Higher carbon storage in primary than secondary boreal forests in Sweden</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30">
        <w:r>
          <w:rPr>
            <w:color w:val="1155CC"/>
            <w:u w:val="single"/>
          </w:rPr>
          <w:t>10.1126/science.adz8554</w:t>
        </w:r>
      </w:hyperlink>
    </w:p>
    <w:p>
      <w:pPr>
        <w:spacing w:before="0" w:after="120"/>
      </w:pPr>
      <w:r>
        <w:rPr>
          <w:b/>
        </w:rPr>
        <w:t xml:space="preserve">Notes: </w:t>
      </w:r>
      <w:r>
        <w:t>abstract_source=crossref</w:t>
      </w:r>
    </w:p>
    <w:p>
      <w:pPr>
        <w:spacing w:before="0" w:after="80" w:lineRule="auto" w:line="276"/>
      </w:pPr>
      <w:r>
        <w:rPr>
          <w:b/>
        </w:rPr>
        <w:t xml:space="preserve">摘要（ZH）: </w:t>
      </w:r>
      <w:r>
        <w:t>针叶林提供了相当可观的全球陆地碳储存和吸收，但它们正迅速转变为管理的次生林，对生态系统碳储存的影响尚未得到充分量化。我们在此展示了瑞典原始森林碳储存的广泛测绘和实地清查数据，并使用多种方法表明，原始森林在植被、枯木、土壤和采伐木材产品中储存的碳比管理的次生林多约72%（不同方法间为70%至74%）。土壤既是最大的碳储存库，也是这两种森林类型之间最大的差异。原始森林与管理次生林之间的总碳储存差异比之前的估计大2.7到8.0倍。我们的结果挑战了过去的估计</w:t>
      </w:r>
    </w:p>
    <w:p>
      <w:pPr>
        <w:spacing w:before="0" w:after="200" w:lineRule="auto" w:line="276"/>
      </w:pPr>
      <w:r>
        <w:rPr>
          <w:b/>
        </w:rPr>
        <w:t xml:space="preserve">Abstract (EN): </w:t>
      </w:r>
      <w:r>
        <w:t>Boreal forests provide considerable global land carbon storage and uptake, but they are being rapidly transformed to managed secondary forests, with poorly quantified implications for ecosystem carbon storage. Here we present data from extensive mapping and field inventories of carbon storage in primary forests in Sweden and use multiple methods to show that primary forests store ~72% (70 to 74% across methods) more carbon than managed secondary forests in vegetation, deadwood, soils, and harvested wood products combined. Soils constitute both the largest carbon store and the largest difference between these forest types. The total carbon storage difference between primary and managed secondary forests is 2.7 to 8.0 times larger than previous estimates. Our results challenge estimated past and future contributions of boreal forest management to atmospheric carbon dioxide concentrations.</w:t>
      </w:r>
    </w:p>
    <w:p>
      <w:pPr>
        <w:spacing w:before="120" w:after="120"/>
      </w:pPr>
      <w:r>
        <w:rPr>
          <w:sz w:val="18"/>
        </w:rPr>
        <w:t>——————————————————————————————————————————————————————————————————————</w:t>
      </w:r>
    </w:p>
    <w:p>
      <w:pPr>
        <w:spacing w:before="160" w:after="40" w:line="240" w:lineRule="auto"/>
      </w:pPr>
      <w:r>
        <w:rPr>
          <w:b/>
        </w:rPr>
        <w:t xml:space="preserve">[472] </w:t>
      </w:r>
      <w:hyperlink r:id="rId1131">
        <w:r>
          <w:rPr>
            <w:color w:val="1155CC"/>
            <w:u w:val="single"/>
          </w:rPr>
          <w:t>交感神经-嗜酸性粒细胞轴协调心理压力加剧皮肤炎症</w:t>
        </w:r>
      </w:hyperlink>
    </w:p>
    <w:p>
      <w:pPr>
        <w:spacing w:before="0" w:after="80"/>
      </w:pPr>
      <w:r>
        <w:rPr>
          <w:i/>
          <w:sz w:val="20"/>
        </w:rPr>
        <w:t>EN: A sympathetic-eosinophil axis orchestrates psychological stress to exacerbate skin inflammation</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32">
        <w:r>
          <w:rPr>
            <w:color w:val="1155CC"/>
            <w:u w:val="single"/>
          </w:rPr>
          <w:t>10.1126/science.adv5974</w:t>
        </w:r>
      </w:hyperlink>
    </w:p>
    <w:p>
      <w:pPr>
        <w:spacing w:before="0" w:after="120"/>
      </w:pPr>
      <w:r>
        <w:rPr>
          <w:b/>
        </w:rPr>
        <w:t xml:space="preserve">Notes: </w:t>
      </w:r>
      <w:r>
        <w:t>abstract_source=crossref</w:t>
      </w:r>
    </w:p>
    <w:p>
      <w:pPr>
        <w:spacing w:before="0" w:after="80" w:lineRule="auto" w:line="276"/>
      </w:pPr>
      <w:r>
        <w:rPr>
          <w:b/>
        </w:rPr>
        <w:t xml:space="preserve">摘要（ZH）: </w:t>
      </w:r>
      <w:r>
        <w:t>心理压力被认为会加剧皮炎，但将压力与免疫过程联系起来的神经生物学机制仍不清楚。我们在小鼠中识别出一组特定的prodynorphin阳性（Pdyn</w:t>
      </w:r>
      <w:r>
        <w:t xml:space="preserve"> </w:t>
      </w:r>
      <w:r>
        <w:t>+</w:t>
      </w:r>
      <w:r>
        <w:t xml:space="preserve"> </w:t>
      </w:r>
      <w:r>
        <w:t>）去甲肾上腺素能交感神经元，这些神经元专门支配有毛皮肤，通过嗜酸性粒细胞依赖的方式介导压力诱导的皮肤炎症加剧。Pdyn</w:t>
      </w:r>
      <w:r>
        <w:t xml:space="preserve"> </w:t>
      </w:r>
      <w:r>
        <w:t>+</w:t>
      </w:r>
      <w:r>
        <w:t xml:space="preserve"> </w:t>
      </w:r>
      <w:r>
        <w:t>交感神经元或嗜酸性粒细胞的基因消融减轻了特应性皮炎样小鼠中压力引发的炎症恶化，而这些神经元的光遗传激活通过嗜酸性粒细胞引发炎症。Pdyn</w:t>
      </w:r>
      <w:r>
        <w:t xml:space="preserve"> </w:t>
      </w:r>
      <w:r>
        <w:t>+</w:t>
      </w:r>
      <w:r>
        <w:t xml:space="preserve"> </w:t>
      </w:r>
      <w:r>
        <w:t>交感神经元通过C招募嗜酸性粒细胞</w:t>
      </w:r>
    </w:p>
    <w:p>
      <w:pPr>
        <w:spacing w:before="0" w:after="200" w:lineRule="auto" w:line="276"/>
      </w:pPr>
      <w:r>
        <w:rPr>
          <w:b/>
        </w:rPr>
        <w:t xml:space="preserve">Abstract (EN): </w:t>
      </w:r>
      <w:r>
        <w:t>Psychological stress is believed to exacerbate dermatitis, yet the neurobiological mechanisms linking stress to immune processes remain elusive. We identified a subset of prodynorphin-positive (Pdyn</w:t>
      </w:r>
      <w:r>
        <w:t xml:space="preserve"> </w:t>
      </w:r>
      <w:r>
        <w:t>+</w:t>
      </w:r>
      <w:r>
        <w:t xml:space="preserve"> </w:t>
      </w:r>
      <w:r>
        <w:t>) noradrenergic sympathetic neurons in mice that specifically innervate hairy skin, mediating stress-induced exacerbation of skin inflammation in an eosinophil-dependent manner. Genetic ablation of Pdyn</w:t>
      </w:r>
      <w:r>
        <w:t xml:space="preserve"> </w:t>
      </w:r>
      <w:r>
        <w:t>+</w:t>
      </w:r>
      <w:r>
        <w:t xml:space="preserve"> </w:t>
      </w:r>
      <w:r>
        <w:t>sympathetic neurons or eosinophils mitigated stress-evoked worsening of inflammation in atopic dermatitis–like mice, whereas optogenetic activation of these neurons precipitated inflammation through eosinophils. Pdyn</w:t>
      </w:r>
      <w:r>
        <w:t xml:space="preserve"> </w:t>
      </w:r>
      <w:r>
        <w:t>+</w:t>
      </w:r>
      <w:r>
        <w:t xml:space="preserve"> </w:t>
      </w:r>
      <w:r>
        <w:t>sympathetic neurons recruited eosinophils through the CCL11-CCR3 axis and activated them through the adrenergic receptor beta2 (Adrb2) in inflamed skin. Our findings reveal a neuroimmunological mechanism underlying psychological stress–induced exacerbation of dermatitis, emphasizing the Pdyn</w:t>
      </w:r>
      <w:r>
        <w:t xml:space="preserve"> </w:t>
      </w:r>
      <w:r>
        <w:t>+</w:t>
      </w:r>
      <w:r>
        <w:t xml:space="preserve"> </w:t>
      </w:r>
      <w:r>
        <w:t>sympathetic-eosinophil axis as a crucial interface between the brain and skin inflammation, with potential therapeutic implications.</w:t>
      </w:r>
    </w:p>
    <w:p>
      <w:pPr>
        <w:spacing w:before="120" w:after="120"/>
      </w:pPr>
      <w:r>
        <w:rPr>
          <w:sz w:val="18"/>
        </w:rPr>
        <w:t>——————————————————————————————————————————————————————————————————————</w:t>
      </w:r>
    </w:p>
    <w:p>
      <w:pPr>
        <w:spacing w:before="160" w:after="40" w:line="240" w:lineRule="auto"/>
      </w:pPr>
      <w:r>
        <w:rPr>
          <w:b/>
        </w:rPr>
        <w:t xml:space="preserve">[473] </w:t>
      </w:r>
      <w:hyperlink r:id="rId1133">
        <w:r>
          <w:rPr>
            <w:color w:val="1155CC"/>
            <w:u w:val="single"/>
          </w:rPr>
          <w:t>蒙特维尔德的中全新世年代挑战了人类殖民南美洲的时间线</w:t>
        </w:r>
      </w:hyperlink>
    </w:p>
    <w:p>
      <w:pPr>
        <w:spacing w:before="0" w:after="80"/>
      </w:pPr>
      <w:r>
        <w:rPr>
          <w:i/>
          <w:sz w:val="20"/>
        </w:rPr>
        <w:t>EN: A mid-Holocene age for Monte Verde challenges the timeline of human colonization of South America</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34">
        <w:r>
          <w:rPr>
            <w:color w:val="1155CC"/>
            <w:u w:val="single"/>
          </w:rPr>
          <w:t>10.1126/science.adw9217</w:t>
        </w:r>
      </w:hyperlink>
    </w:p>
    <w:p>
      <w:pPr>
        <w:spacing w:before="0" w:after="120"/>
      </w:pPr>
      <w:r>
        <w:rPr>
          <w:b/>
        </w:rPr>
        <w:t xml:space="preserve">Notes: </w:t>
      </w:r>
      <w:r>
        <w:t>abstract_source=crossref</w:t>
      </w:r>
    </w:p>
    <w:p>
      <w:pPr>
        <w:spacing w:before="0" w:after="80" w:lineRule="auto" w:line="276"/>
      </w:pPr>
      <w:r>
        <w:rPr>
          <w:b/>
        </w:rPr>
        <w:t xml:space="preserve">摘要（ZH）: </w:t>
      </w:r>
      <w:r>
        <w:t>我们对南美洲人类殖民时间的理解一直以智利的Monte Verde II遗址为基础，该遗址据报道可追溯到约14,500年前（B.P.），被认为是最可靠的前Clovis考古遗址之一。我们报告了自最初发掘以来近50年来对Monte Verde的首次独立调查。我们认为，来自冲积暴露的放射性碳和发光日期，结合识别出一个年代为11,000年前的火山灰层位于考古成分下方，表明Monte Verde不可能早于中全新世（8,200至4,200年前）。随着殖民不再以Monte Verde为锚，我们修订的年表支持人类到达的更近期日期</w:t>
      </w:r>
    </w:p>
    <w:p>
      <w:pPr>
        <w:spacing w:before="0" w:after="200" w:lineRule="auto" w:line="276"/>
      </w:pPr>
      <w:r>
        <w:rPr>
          <w:b/>
        </w:rPr>
        <w:t xml:space="preserve">Abstract (EN): </w:t>
      </w:r>
      <w:r>
        <w:t>Our understanding of the timing of the human colonization of South America has been anchored by the Monte Verde II site in Chile, reported to date to ~14,500 years before the present (B.P.) and regarded as one of the most secure pre-Clovis archeological sites. We report the first independent investigation of Monte Verde in the nearly 50 years since initial excavations. We argue that radiocarbon and luminescence dates from alluvial exposures, in combination with the identification of a tephra dated to 11,000 years B.P. stratigraphically underlying the archaeological component, suggest that Monte Verde cannot be older than the Middle Holocene (8200 to 4200 years B.P.). With colonization no longer anchored by Monte Verde, our revised chronology supports a more recent date of human arrival to South America.</w:t>
      </w:r>
    </w:p>
    <w:p>
      <w:pPr>
        <w:spacing w:before="120" w:after="120"/>
      </w:pPr>
      <w:r>
        <w:rPr>
          <w:sz w:val="18"/>
        </w:rPr>
        <w:t>——————————————————————————————————————————————————————————————————————</w:t>
      </w:r>
    </w:p>
    <w:p>
      <w:pPr>
        <w:spacing w:before="160" w:after="40" w:line="240" w:lineRule="auto"/>
      </w:pPr>
      <w:r>
        <w:rPr>
          <w:b/>
        </w:rPr>
        <w:t xml:space="preserve">[474] </w:t>
      </w:r>
      <w:hyperlink r:id="rId1135">
        <w:r>
          <w:rPr>
            <w:color w:val="1155CC"/>
            <w:u w:val="single"/>
          </w:rPr>
          <w:t>通过金属氢化物选择实现交叉和分支选择性烯基化</w:t>
        </w:r>
      </w:hyperlink>
    </w:p>
    <w:p>
      <w:pPr>
        <w:spacing w:before="0" w:after="80"/>
      </w:pPr>
      <w:r>
        <w:rPr>
          <w:i/>
          <w:sz w:val="20"/>
        </w:rPr>
        <w:t>EN: Cross- and branched-selective hydroalkenylation by metal hydride selection</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36">
        <w:r>
          <w:rPr>
            <w:color w:val="1155CC"/>
            <w:u w:val="single"/>
          </w:rPr>
          <w:t>10.1126/science.aeb2389</w:t>
        </w:r>
      </w:hyperlink>
    </w:p>
    <w:p>
      <w:pPr>
        <w:spacing w:before="0" w:after="120"/>
      </w:pPr>
      <w:r>
        <w:rPr>
          <w:b/>
        </w:rPr>
        <w:t xml:space="preserve">Notes: </w:t>
      </w:r>
      <w:r>
        <w:t>abstract_source=crossref</w:t>
      </w:r>
    </w:p>
    <w:p>
      <w:pPr>
        <w:spacing w:before="0" w:after="80" w:lineRule="auto" w:line="276"/>
      </w:pPr>
      <w:r>
        <w:rPr>
          <w:b/>
        </w:rPr>
        <w:t xml:space="preserve">摘要（ZH）: </w:t>
      </w:r>
      <w:r>
        <w:t>沿碳链控制分支点的放置是材料、农用化学品和药物合成中的核心能力。金属氢化物氢原子转移（MHAT）到烯烃代表了一种有价值的基本步骤，因为它可以直接从丰富的α-烯烃获得支链产物。MHAT催化还可以与次级过渡金属催化循环结合，否则会产生非支链（线性）产物。然而，MHAT中使用的氢化试剂并不总是能区分MHAT催化剂和次级金属，导致金属氢化物的混合物，因此产生混合产物。在这项工作中，我们展示了一种鲁替啶酸和锰的组合，这是一种弱还原剂，在存在的情况下选择性地产生钴氢化物</w:t>
      </w:r>
    </w:p>
    <w:p>
      <w:pPr>
        <w:spacing w:before="0" w:after="200" w:lineRule="auto" w:line="276"/>
      </w:pPr>
      <w:r>
        <w:rPr>
          <w:b/>
        </w:rPr>
        <w:t xml:space="preserve">Abstract (EN): </w:t>
      </w:r>
      <w:r>
        <w:t>Controlled placement of branch points along carbon chains is a core capability in the synthesis of materials, agrochemicals, and pharmaceuticals. Metal hydride hydrogen atom transfer (MHAT) to alkenes represents a valuable elementary step because it accesses branched products directly from abundant α-olefins. MHAT catalysis can also be coupled to secondary transition metal catalytic cycles that would otherwise deliver nonbranched (linear) products. However, the hydridic reagents used in MHAT do not always discriminate between the MHAT catalyst and the secondary metal, leading to mixtures of metal hydrides and, therefore, mixtures of products. In this work, we show that a combination of a lutidinium acid and manganese, a weak reductant, selectively generates cobalt hydrides in the presence of a nickel catalyst. We applied these conditions to a cross-selective alkene-alkene coupling that produces valuable branched materials with exquisite selectivity.</w:t>
      </w:r>
    </w:p>
    <w:p>
      <w:pPr>
        <w:spacing w:before="120" w:after="120"/>
      </w:pPr>
      <w:r>
        <w:rPr>
          <w:sz w:val="18"/>
        </w:rPr>
        <w:t>——————————————————————————————————————————————————————————————————————</w:t>
      </w:r>
    </w:p>
    <w:p>
      <w:pPr>
        <w:spacing w:before="160" w:after="40" w:line="240" w:lineRule="auto"/>
      </w:pPr>
      <w:r>
        <w:rPr>
          <w:b/>
        </w:rPr>
        <w:t xml:space="preserve">[475] </w:t>
      </w:r>
      <w:hyperlink r:id="rId1137">
        <w:r>
          <w:rPr>
            <w:color w:val="1155CC"/>
            <w:u w:val="single"/>
          </w:rPr>
          <w:t>人类与其他动物共享声学偏好</w:t>
        </w:r>
      </w:hyperlink>
    </w:p>
    <w:p>
      <w:pPr>
        <w:spacing w:before="0" w:after="80"/>
      </w:pPr>
      <w:r>
        <w:rPr>
          <w:i/>
          <w:sz w:val="20"/>
        </w:rPr>
        <w:t>EN: Humans share acoustic preferences with other animals</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38">
        <w:r>
          <w:rPr>
            <w:color w:val="1155CC"/>
            <w:u w:val="single"/>
          </w:rPr>
          <w:t>10.1126/science.aea1202</w:t>
        </w:r>
      </w:hyperlink>
    </w:p>
    <w:p>
      <w:pPr>
        <w:spacing w:before="0" w:after="120"/>
      </w:pPr>
      <w:r>
        <w:rPr>
          <w:b/>
        </w:rPr>
        <w:t xml:space="preserve">Notes: </w:t>
      </w:r>
      <w:r>
        <w:t>abstract_source=crossref</w:t>
      </w:r>
    </w:p>
    <w:p>
      <w:pPr>
        <w:spacing w:before="0" w:after="80" w:lineRule="auto" w:line="276"/>
      </w:pPr>
      <w:r>
        <w:rPr>
          <w:b/>
        </w:rPr>
        <w:t xml:space="preserve">摘要（ZH）: </w:t>
      </w:r>
      <w:r>
        <w:t>许多动物会产生求偶声音，接收者对某些声音的偏好高于其他声音。共同的祖先和趋同进化可能在物种间产生相似的偏好，并支持达尔文的猜想，即某些动物“对美的品味几乎与我们相同”。在这项研究中，我们展示了人类与一系列动物共享声学偏好，人类偏好的强度与其他动物的偏好相关，并且当与动物意见一致时，人类反应更快。此外，我们发现对装饰性、祖先性和低频声音的偏好一致性最高。人类的音乐聆听体验与偏好相关。这些结果与认为加工偏见塑造声学偏好的理论一致，</w:t>
      </w:r>
    </w:p>
    <w:p>
      <w:pPr>
        <w:spacing w:before="0" w:after="200" w:lineRule="auto" w:line="276"/>
      </w:pPr>
      <w:r>
        <w:rPr>
          <w:b/>
        </w:rPr>
        <w:t xml:space="preserve">Abstract (EN): </w:t>
      </w:r>
      <w:r>
        <w:t>Many animals produce courtship sounds, and receivers prefer some sounds over others. Shared ancestry and convergent evolution may generate similarities in preference across species and underlie Darwin’s conjecture that some animals “have nearly the same taste for the beautiful as we have.” In this study, we show that humans share acoustic preferences with a range of animals, that the strength of human preferences correlates with that in other animals, and that humans respond faster when in agreement with animals. Furthermore, we found greatest agreement in preference for adorned, ancestral, and lower-frequency sounds. Humans’ music listening experience was associated with preferences. These results are consistent with theories arguing that biases in processing sculpt acoustic preferences, and they confirm Darwin’s century-old hunch about the conservation of aesthetics in nature.</w:t>
      </w:r>
    </w:p>
    <w:p>
      <w:pPr>
        <w:spacing w:before="120" w:after="120"/>
      </w:pPr>
      <w:r>
        <w:rPr>
          <w:sz w:val="18"/>
        </w:rPr>
        <w:t>——————————————————————————————————————————————————————————————————————</w:t>
      </w:r>
    </w:p>
    <w:p>
      <w:pPr>
        <w:spacing w:before="160" w:after="40" w:line="240" w:lineRule="auto"/>
      </w:pPr>
      <w:r>
        <w:rPr>
          <w:b/>
        </w:rPr>
        <w:t xml:space="preserve">[476] </w:t>
      </w:r>
      <w:hyperlink r:id="rId1139">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2026-03-19 06:00:06+00:00</w:t>
      </w:r>
      <w:r>
        <w:t xml:space="preserve">    </w:t>
      </w:r>
      <w:r>
        <w:rPr>
          <w:b/>
        </w:rPr>
        <w:t xml:space="preserve">DOI: </w:t>
      </w:r>
      <w:hyperlink r:id="rId1140">
        <w:r>
          <w:rPr>
            <w:color w:val="1155CC"/>
            <w:u w:val="single"/>
          </w:rPr>
          <w:t>10.1126/science.aeh2594</w:t>
        </w:r>
      </w:hyperlink>
    </w:p>
    <w:p>
      <w:pPr>
        <w:spacing w:before="0" w:after="120"/>
      </w:pPr>
      <w:r>
        <w:rPr>
          <w:b/>
        </w:rPr>
        <w:t xml:space="preserve">Notes: </w:t>
      </w:r>
      <w:r>
        <w:t>abstract_source=crossref</w:t>
      </w:r>
    </w:p>
    <w:p>
      <w:pPr>
        <w:spacing w:before="0" w:after="80" w:lineRule="auto" w:line="276"/>
      </w:pPr>
      <w:r>
        <w:rPr>
          <w:b/>
        </w:rPr>
        <w:t xml:space="preserve">摘要（ZH）: </w:t>
      </w:r>
      <w:r>
        <w:t>编辑从当前科学文献中精选的内容</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[477] </w:t>
      </w:r>
      <w:hyperlink r:id="rId1141">
        <w:r>
          <w:rPr>
            <w:color w:val="1155CC"/>
            <w:u w:val="single"/>
          </w:rPr>
          <w:t>通过综合结构生物学揭示RIPK1纤维高阶结构的原子级架构和组装机制</w:t>
        </w:r>
      </w:hyperlink>
    </w:p>
    <w:p>
      <w:pPr>
        <w:spacing w:before="0" w:after="80"/>
      </w:pPr>
      <w:r>
        <w:rPr>
          <w:i/>
          <w:sz w:val="20"/>
        </w:rPr>
        <w:t>EN: Atomic-level architecture and assembly mechanism of high-order structures of RIPK1 fibril revealed by integrated structural biology</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42">
        <w:r>
          <w:rPr>
            <w:color w:val="1155CC"/>
            <w:u w:val="single"/>
          </w:rPr>
          <w:t>10.1073/pnas.2529157123</w:t>
        </w:r>
      </w:hyperlink>
    </w:p>
    <w:p>
      <w:pPr>
        <w:spacing w:before="0" w:after="120"/>
      </w:pPr>
      <w:r>
        <w:rPr>
          <w:b/>
        </w:rPr>
        <w:t xml:space="preserve">Notes: </w:t>
      </w:r>
      <w:r>
        <w:t>abstract_source=crossref</w:t>
      </w:r>
    </w:p>
    <w:p>
      <w:pPr>
        <w:spacing w:before="0" w:after="80" w:lineRule="auto" w:line="276"/>
      </w:pPr>
      <w:r>
        <w:rPr>
          <w:b/>
        </w:rPr>
        <w:t xml:space="preserve">摘要（ZH）: </w:t>
      </w:r>
      <w:r>
        <w:t>受体相互作用丝氨酸/苏氨酸蛋白激酶1（RIPK1）通过RHIM结构域介导的淀粉样纤维形成调节细胞死亡途径。虽然淀粉样纤维通常以单一丝状存在，但我们发现了一种更高阶的结构——小鼠RIPK1（mRIPK1）纤维网络——在略微酸性条件下通过mRIPK1纤维自组装成四边形/六边形晶格形成。通过结合固态NMR、透射电子显微镜、原子力显微镜、X射线衍射、冷冻电子断层扫描和分子动力学模拟的综合方法，我们阐明了该网络的原子结构和组装机制。在本研究中，固态NMR分析表明mRIPK1纤维核心采用N形平行β-片层结构</w:t>
      </w:r>
    </w:p>
    <w:p>
      <w:pPr>
        <w:spacing w:before="0" w:after="200" w:lineRule="auto" w:line="276"/>
      </w:pPr>
      <w:r>
        <w:rPr>
          <w:b/>
        </w:rPr>
        <w:t xml:space="preserve">Abstract (EN): </w:t>
      </w:r>
      <w:r>
        <w:t>Receptor-interacting serine/threonine-protein kinase 1 (RIPK1) regulates cell death pathways through RHIM domain–mediated amyloid fibril formation. While amyloid fibrils typically exist as single filaments, we identified a higher-order architecture—the mouse RIPK1 (mRIPK1) fibril network—formed by the self-assembly of mRIPK1 fibrils into quadrilateral/hexagonal lattices under slightly acidic conditions. Using an integrative approach combining solid-state NMR, transmission electron microscopy, atomic force microscopy, X-ray diffraction, Cryo–electron tomography, and molecular dynamics simulations, we elucidated the atomic structure and assembly mechanism of this network. In this study, solid-state NMR analysis demonstrates that the mRIPK1 fibril core adopts an N-shaped parallel β-sheet conformation, with dynamic regions flanking the fibril core that likely participate in network formation. We propose that the electrostatic interactions between fibril core edge residues D516-K519 or D537-K519 are essential for the network formation, with proper positioning and exposure for interaction determined by the fibril structure and the length of the dynamic flexible domain, particularly the periodic twist of the fibril. Site-directed mutagenesis confirms the critical role of these edge residues in maintaining network integrity. This study presents an atomic model of a higher-order assembly formed by naturally occurring amyloid fibrils, offers fundamental insights into hierarchical fibril assembly, and establishes a framework for designing engineered amyloid-based materials.</w:t>
      </w:r>
    </w:p>
    <w:p>
      <w:pPr>
        <w:spacing w:before="120" w:after="120"/>
      </w:pPr>
      <w:r>
        <w:rPr>
          <w:sz w:val="18"/>
        </w:rPr>
        <w:t>——————————————————————————————————————————————————————————————————————</w:t>
      </w:r>
    </w:p>
    <w:p>
      <w:pPr>
        <w:spacing w:before="160" w:after="40" w:line="240" w:lineRule="auto"/>
      </w:pPr>
      <w:r>
        <w:rPr>
          <w:b/>
        </w:rPr>
        <w:t xml:space="preserve">[478] </w:t>
      </w:r>
      <w:hyperlink r:id="rId1143">
        <w:r>
          <w:rPr>
            <w:color w:val="1155CC"/>
            <w:u w:val="single"/>
          </w:rPr>
          <w:t>跨连接组的神经元中线粒体的空间和形态组织</w:t>
        </w:r>
      </w:hyperlink>
    </w:p>
    <w:p>
      <w:pPr>
        <w:spacing w:before="0" w:after="80"/>
      </w:pPr>
      <w:r>
        <w:rPr>
          <w:i/>
          <w:sz w:val="20"/>
        </w:rPr>
        <w:t>EN: Spatial and morphological organization of mitochondria in neurons across a connectome</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44">
        <w:r>
          <w:rPr>
            <w:color w:val="1155CC"/>
            <w:u w:val="single"/>
          </w:rPr>
          <w:t>10.1126/science.ads6674</w:t>
        </w:r>
      </w:hyperlink>
    </w:p>
    <w:p>
      <w:pPr>
        <w:spacing w:before="0" w:after="120"/>
      </w:pPr>
      <w:r>
        <w:rPr>
          <w:b/>
        </w:rPr>
        <w:t xml:space="preserve">Notes: </w:t>
      </w:r>
      <w:r>
        <w:t>abstract_source=crossref</w:t>
      </w:r>
    </w:p>
    <w:p>
      <w:pPr>
        <w:spacing w:before="0" w:after="80" w:lineRule="auto" w:line="276"/>
      </w:pPr>
      <w:r>
        <w:rPr>
          <w:b/>
        </w:rPr>
        <w:t xml:space="preserve">摘要（ZH）: </w:t>
      </w:r>
      <w:r>
        <w:t>神经元功能依赖于线粒体，但关于它们在神经元中的组织知之甚少。使用电子显微镜</w:t>
      </w:r>
      <w:r>
        <w:t xml:space="preserve"> </w:t>
      </w:r>
      <w:r>
        <w:t>果蝇</w:t>
      </w:r>
      <w:r>
        <w:t xml:space="preserve"> </w:t>
      </w:r>
      <w:r>
        <w:t>连接组，我们揭示了数十万个线粒体在数千个神经元中的形态和定位的定量规则。我们发现线粒体的形态特征特定于细胞和神经递质类型，这为识别神经元提供了指纹。线粒体相对于突触和结构特征以2至3微米的精度定位，不同神经元类型和区室之间存在系统性差异。线粒体定位与区域活动和突触后目标相关。对小鼠视觉皮层连接组的分析</w:t>
      </w:r>
    </w:p>
    <w:p>
      <w:pPr>
        <w:spacing w:before="0" w:after="200" w:lineRule="auto" w:line="276"/>
      </w:pPr>
      <w:r>
        <w:rPr>
          <w:b/>
        </w:rPr>
        <w:t xml:space="preserve">Abstract (EN): </w:t>
      </w:r>
      <w:r>
        <w:t>Neuronal function depends on mitochondria, but little is known about their organization across neurons. Using an electron microscopy</w:t>
      </w:r>
      <w:r>
        <w:t xml:space="preserve"> </w:t>
      </w:r>
      <w:r>
        <w:t>Drosophila</w:t>
      </w:r>
      <w:r>
        <w:t xml:space="preserve"> </w:t>
      </w:r>
      <w:r>
        <w:t>connectome, we uncovered quantitative rules governing the morphology and positioning of hundreds of thousands of mitochondria across thousands of neurons. We discovered that mitochondrial morphological features are specific to cell and neurotransmitter type, which provides fingerprints to identify neurons. Mitochondria are positioned with 2- to 3-micrometer precision relative to synaptic and structural features, with systematic differences across neuron types and compartments. Mitochondrial localization correlates with regional activity and postsynaptic targets. Analysis of a mouse visual cortex connectome confirms cell type–specific morphology and identifies partially divergent positioning rules. These results establish mitochondria as circuit-embedded organelles whose distribution links subcellular architecture to brain connectivity.</w:t>
      </w:r>
    </w:p>
    <w:p>
      <w:pPr>
        <w:spacing w:before="120" w:after="120"/>
      </w:pPr>
      <w:r>
        <w:rPr>
          <w:sz w:val="18"/>
        </w:rPr>
        <w:t>——————————————————————————————————————————————————————————————————————</w:t>
      </w:r>
    </w:p>
    <w:p>
      <w:pPr>
        <w:spacing w:before="160" w:after="40" w:line="240" w:lineRule="auto"/>
      </w:pPr>
      <w:r>
        <w:rPr>
          <w:b/>
        </w:rPr>
        <w:t xml:space="preserve">[479] </w:t>
      </w:r>
      <w:hyperlink r:id="rId1145">
        <w:r>
          <w:rPr>
            <w:color w:val="1155CC"/>
            <w:u w:val="single"/>
          </w:rPr>
          <w:t>《从太空绘制的南极洲复杂中尺度景观》研究文章的勘误</w:t>
        </w:r>
      </w:hyperlink>
    </w:p>
    <w:p>
      <w:pPr>
        <w:spacing w:before="0" w:after="80"/>
      </w:pPr>
      <w:r>
        <w:rPr>
          <w:i/>
          <w:sz w:val="20"/>
        </w:rPr>
        <w:t>EN: Erratum for the Research Article “Complex mesoscale landscapes beneath Antarctica mapped from space”</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46">
        <w:r>
          <w:rPr>
            <w:color w:val="1155CC"/>
            <w:u w:val="single"/>
          </w:rPr>
          <w:t>10.1126/science.aeh0795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[480] </w:t>
      </w:r>
      <w:hyperlink r:id="rId1147">
        <w:r>
          <w:rPr>
            <w:color w:val="1155CC"/>
            <w:u w:val="single"/>
          </w:rPr>
          <w:t>转谷氨酰胺酶2的交联活性在突触核蛋白病模型中驱动α-突触核蛋白病理</w:t>
        </w:r>
      </w:hyperlink>
    </w:p>
    <w:p>
      <w:pPr>
        <w:spacing w:before="0" w:after="80"/>
      </w:pPr>
      <w:r>
        <w:rPr>
          <w:i/>
          <w:sz w:val="20"/>
        </w:rPr>
        <w:t>EN: The cross-linking activity of transglutaminase 2 drives α-Synuclein pathology in synucleinopathy models</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48">
        <w:r>
          <w:rPr>
            <w:color w:val="1155CC"/>
            <w:u w:val="single"/>
          </w:rPr>
          <w:t>10.1073/pnas.2517886123</w:t>
        </w:r>
      </w:hyperlink>
    </w:p>
    <w:p>
      <w:pPr>
        <w:spacing w:before="0" w:after="120"/>
      </w:pPr>
      <w:r>
        <w:rPr>
          <w:b/>
        </w:rPr>
        <w:t xml:space="preserve">Notes: </w:t>
      </w:r>
      <w:r>
        <w:t>abstract_source=crossref</w:t>
      </w:r>
    </w:p>
    <w:p>
      <w:pPr>
        <w:spacing w:before="0" w:after="80" w:lineRule="auto" w:line="276"/>
      </w:pPr>
      <w:r>
        <w:rPr>
          <w:b/>
        </w:rPr>
        <w:t xml:space="preserve">摘要（ZH）: </w:t>
      </w:r>
      <w:r>
        <w:t>转谷氨酰胺酶2（TG2）与包括帕金森病（PD）和路易体痴呆在内的突触核蛋白病有关，因为它在体外促进α-突触核蛋白（α-Syn）聚集，并且在人体死后大脑的路易体中检测到其活性。此外，TG2过表达加剧了双转基因小鼠中α-Syn的毒性，而TG2缺失减轻了α-Syn转基因小鼠的表型。考虑到TG2是一种多域和多功能蛋白，本研究旨在确认TG2的转酰胺酶活性特异性驱动其在突触核蛋白病中的致病作用。我们生成了表达催化失活的W241A突变体TG2的转基因小鼠，并将其与TG2过表达和TG2敲除小鼠进行比较，使用α-Syn</w:t>
      </w:r>
    </w:p>
    <w:p>
      <w:pPr>
        <w:spacing w:before="0" w:after="200" w:lineRule="auto" w:line="276"/>
      </w:pPr>
      <w:r>
        <w:rPr>
          <w:b/>
        </w:rPr>
        <w:t xml:space="preserve">Abstract (EN): </w:t>
      </w:r>
      <w:r>
        <w:t>Transglutaminase 2 (TG2) is implicated in synucleinopathies including Parkinson’s disease (PD) and dementia with Lewy bodies, as it promotes α-Synuclein (α-Syn) aggregation in vitro, and evidence for its activity is detected in Lewy bodies in human postmortem brains. Additionally, TG2 overexpression exacerbates α-Syn toxicity in double transgenic mice, while TG2 deletion mitigates the phenotype of α-Syn transgenic mice. Considering that TG2 is a multidomain and multifunctional protein, the present study was carried out to confirm that the transamidase activity of TG2 specifically drives its pathogenetic role in synucleinopathies. We generated transgenic mice expressing a catalytically inactive W241A mutant TG2 and compared them with TG2-overexpressing and TG2 knockout mice using the α-Syn preformed fibril (PFF) model. We also examined double transgenic mice coexpressing human α-Syn with either wild-type TG2 or mutant TG2, alongside α-Syn single transgenic controls. 6 mo post–PFF injection, or at 6 mo of age in the double transgenic lines, the exacerbation of the behavioral and neuropathological phenotype seen with TG2 overexpression was lost with mutant TG2 overexpression in both models. Parallel findings were replicated in PD patient induced pluripotent stem cell-derived dopaminergic neurons. These findings indicate that the cross-linking activity of TG2 plays a pivotal role in α-Syn aggregation and toxicity, underscoring its significance as a therapeutic target in synucleinopathies.</w:t>
      </w:r>
    </w:p>
    <w:p>
      <w:pPr>
        <w:spacing w:before="120" w:after="120"/>
      </w:pPr>
      <w:r>
        <w:rPr>
          <w:sz w:val="18"/>
        </w:rPr>
        <w:t>——————————————————————————————————————————————————————————————————————</w:t>
      </w:r>
    </w:p>
    <w:p>
      <w:pPr>
        <w:spacing w:before="160" w:after="40" w:line="240" w:lineRule="auto"/>
      </w:pPr>
      <w:r>
        <w:rPr>
          <w:b/>
        </w:rPr>
        <w:t xml:space="preserve">[481] </w:t>
      </w:r>
      <w:hyperlink r:id="rId1149">
        <w:r>
          <w:rPr>
            <w:color w:val="1155CC"/>
            <w:u w:val="single"/>
          </w:rPr>
          <w:t>具有屏幕印刷胆甾液晶弹性体的动态防伪和可调激光</w:t>
        </w:r>
      </w:hyperlink>
    </w:p>
    <w:p>
      <w:pPr>
        <w:spacing w:before="0" w:after="80"/>
      </w:pPr>
      <w:r>
        <w:rPr>
          <w:i/>
          <w:sz w:val="20"/>
        </w:rPr>
        <w:t>EN: Dynamic anticounterfeiting and tunable lasing with screen-printed cholesteric liquid crystal elastomers</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50">
        <w:r>
          <w:rPr>
            <w:color w:val="1155CC"/>
            <w:u w:val="single"/>
          </w:rPr>
          <w:t>10.1073/pnas.2535645123</w:t>
        </w:r>
      </w:hyperlink>
    </w:p>
    <w:p>
      <w:pPr>
        <w:spacing w:before="0" w:after="120"/>
      </w:pPr>
      <w:r>
        <w:rPr>
          <w:b/>
        </w:rPr>
        <w:t xml:space="preserve">Notes: </w:t>
      </w:r>
      <w:r>
        <w:t>abstract_source=crossref</w:t>
      </w:r>
    </w:p>
    <w:p>
      <w:pPr>
        <w:spacing w:before="0" w:after="80" w:lineRule="auto" w:line="276"/>
      </w:pPr>
      <w:r>
        <w:rPr>
          <w:b/>
        </w:rPr>
        <w:t xml:space="preserve">摘要（ZH）: </w:t>
      </w:r>
      <w:r>
        <w:t>结构色在防伪、显示和智能涂层中具有重要的应用价值，因为它们具有高稳定性、环保性和动态光学响应潜力。然而，传统的光子晶体制造策略（如光刻和喷墨打印）存在诸多限制，包括高掩模成本、喷嘴堵塞、晶格缺陷以及生产规模化的困难。本研究介绍了一种创新的丝网印刷技术，通过胆甾液晶弹性体（CLCEs）实现高保真和多色结构色图案化，克服了控制介观螺旋结构排列和确保光子带隙空间均匀性的关键挑战。关键在于手性螺旋超结构</w:t>
      </w:r>
    </w:p>
    <w:p>
      <w:pPr>
        <w:spacing w:before="0" w:after="200" w:lineRule="auto" w:line="276"/>
      </w:pPr>
      <w:r>
        <w:rPr>
          <w:b/>
        </w:rPr>
        <w:t xml:space="preserve">Abstract (EN): </w:t>
      </w:r>
      <w:r>
        <w:t>Structural colors hold significant application value in anticounterfeiting, displays, and smart coatings due to their high stability, eco-friendliness, and dynamic optical response potential. However, conventional fabrication strategies for photonic crystals—such as photolithography and inkjet printing—suffer from limitations including high mask costs, nozzle clogging, lattice defects, and difficulties in scaling production. This study introduces an innovative screen-printing technique to achieve high-fidelity and multicolor structural color patterning based on cholesteric liquid crystal elastomers (CLCEs), overcoming key challenges in controlling the alignment of mesoscopic helical structures and ensuring spatial homogeneity of the photonic bandgap. Crucially, the chiral helical superstructure of CLCEs was investigated, revealing its decisive role in governing the circular polarization properties of the reflected light. The printed patterns exhibit dynamic optical behaviors, including viewing-angle-dependent color shifts, inherent selective circularly polarized reflection dictated by the handedness of the helix, and reversible mechanochromic responses under strain. Furthermore, integration of photochromic spiropyran enables multistimulus-responsive color and fluorescence switching under light and thermal stimuli, as well as ultraviolet-tunable (645 to 685 nm) random lasing emission. This work demonstrates that screen-printed CLCEs, with their excellent substrate compatibility and scalability, constitute a promising platform for next-generation anticounterfeiting labels, smart packaging, and flexible photonic devices.</w:t>
      </w:r>
    </w:p>
    <w:p>
      <w:pPr>
        <w:spacing w:before="120" w:after="120"/>
      </w:pPr>
      <w:r>
        <w:rPr>
          <w:sz w:val="18"/>
        </w:rPr>
        <w:t>——————————————————————————————————————————————————————————————————————</w:t>
      </w:r>
    </w:p>
    <w:p>
      <w:pPr>
        <w:spacing w:before="160" w:after="40" w:line="240" w:lineRule="auto"/>
      </w:pPr>
      <w:r>
        <w:rPr>
          <w:b/>
        </w:rPr>
        <w:t xml:space="preserve">[482] </w:t>
      </w:r>
      <w:hyperlink r:id="rId1151">
        <w:r>
          <w:rPr>
            <w:color w:val="1155CC"/>
            <w:u w:val="single"/>
          </w:rPr>
          <w:t>Tim-3靶向疫苗克服肿瘤免疫抑制并减少对cDC1的依赖以引发强效抗肿瘤免疫</w:t>
        </w:r>
      </w:hyperlink>
    </w:p>
    <w:p>
      <w:pPr>
        <w:spacing w:before="0" w:after="80"/>
      </w:pPr>
      <w:r>
        <w:rPr>
          <w:i/>
          <w:sz w:val="20"/>
        </w:rPr>
        <w:t>EN: Tim-3-targeted vaccines overcome tumor immunosuppression and reduce cDC1 dependence to elicit potent anti-tumor immunity</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52">
        <w:r>
          <w:rPr>
            <w:color w:val="1155CC"/>
            <w:u w:val="single"/>
          </w:rPr>
          <w:t>10.1073/pnas.2518080123</w:t>
        </w:r>
      </w:hyperlink>
    </w:p>
    <w:p>
      <w:pPr>
        <w:spacing w:before="0" w:after="120"/>
      </w:pPr>
      <w:r>
        <w:rPr>
          <w:b/>
        </w:rPr>
        <w:t xml:space="preserve">Notes: </w:t>
      </w:r>
      <w:r>
        <w:t>abstract_source=crossref</w:t>
      </w:r>
    </w:p>
    <w:p>
      <w:pPr>
        <w:spacing w:before="0" w:after="80" w:lineRule="auto" w:line="276"/>
      </w:pPr>
      <w:r>
        <w:rPr>
          <w:b/>
        </w:rPr>
        <w:t xml:space="preserve">摘要（ZH）: </w:t>
      </w:r>
      <w:r>
        <w:t>传统的1型树突状细胞（cDC1s）专门用于交叉呈递肿瘤抗原并决定免疫疗法的疗效，包括免疫检查点阻断和过继细胞疗法。然而，它们的稀有性和肿瘤诱导的功能障碍严重限制了CD8 T细胞的启动，并成为治疗效果的主要瓶颈。虽然诸如抗DEC-205介导的抗原递送和Flt3L驱动的DC扩增等策略可以增强宿主DC功能，但它们对功能性cDC1s的依赖仍然是一个重要的限制。我们开发了Tim-3靶向疫苗，通过将肿瘤抗原或新抗原与抗Tim-3抗体结合。这些疫苗将抗原递送到cDC1s和cDC2s，并引发了强大、持久的CD8 T细胞反应。值得注意的是，Tim-3靶向疫苗</w:t>
      </w:r>
    </w:p>
    <w:p>
      <w:pPr>
        <w:spacing w:before="0" w:after="200" w:lineRule="auto" w:line="276"/>
      </w:pPr>
      <w:r>
        <w:rPr>
          <w:b/>
        </w:rPr>
        <w:t xml:space="preserve">Abstract (EN): </w:t>
      </w:r>
      <w:r>
        <w:t>Conventional type 1 dendritic cells (cDC1s) are specialized for cross-presenting tumor antigens and determining the efficacy of immunotherapies, including immune checkpoint blockade and adoptive cell therapy. However, their rarity and tumor-induced dysfunction severely limit CD8 T cell priming and represent a central bottleneck to therapeutic efficacy. While strategies such as anti–DEC-205-mediated antigen delivery and Flt3L-driven DC expansion can enhance host DC function, their reliance on functional cDC1s remains a significant constraint. We developed Tim-3-targeted vaccines by conjugating tumor antigens or neoantigens to anti–Tim-3 antibodies. These vaccines delivered antigens to both cDC1s and cDC2s, and elicited robust, durable CD8 T cell responses. Remarkably, Tim-3-targeted vaccines endowed cDC2s with efficient cross-presentation capacity that matched that of cDC1s. In tumor-bearing mice or in CD11c-β-catenin</w:t>
      </w:r>
      <w:r>
        <w:t xml:space="preserve"> </w:t>
      </w:r>
      <w:r>
        <w:t>active</w:t>
      </w:r>
      <w:r>
        <w:t xml:space="preserve"> </w:t>
      </w:r>
      <w:r>
        <w:t>mice, which model β-catenin-driven DC dysfunction, Tim-3-targeted vaccination restored cross-priming and counteracted tumor- and DC-mediated immunosuppression. In Batf3</w:t>
      </w:r>
      <w:r>
        <w:t xml:space="preserve"> </w:t>
      </w:r>
      <w:r>
        <w:t>−/−</w:t>
      </w:r>
      <w:r>
        <w:t>mice lacking cDC1s, anti-Tim-3-based vaccines still elicited significant CD8 T cell cross-priming and tumor control—albeit both were reduced compared to wild-type mice— demonstrating that cDC1s contribute to but are not essential for Tim-3-targeted vaccine–induced CD8 T cell priming and anti-tumor efficacy. Strikingly, a single dose of anti-Tim-3–neoantigen vaccination eradicated large established MC38 tumors in a CD8 T cell–dependent manner. Together, these data identify Tim-3-targeted vaccines as a next-generation cancer vaccine platform that broadens DC engagement, reduces reliance on cDC1s, and overcomes tumor- and DC-mediated immunosuppression, addressing key limitations of current DC-based cancer vaccines.</w:t>
      </w:r>
    </w:p>
    <w:p>
      <w:pPr>
        <w:spacing w:before="120" w:after="120"/>
      </w:pPr>
      <w:r>
        <w:rPr>
          <w:sz w:val="18"/>
        </w:rPr>
        <w:t>——————————————————————————————————————————————————————————————————————</w:t>
      </w:r>
    </w:p>
    <w:p>
      <w:pPr>
        <w:spacing w:before="160" w:after="40" w:line="240" w:lineRule="auto"/>
      </w:pPr>
      <w:r>
        <w:rPr>
          <w:b/>
        </w:rPr>
        <w:t xml:space="preserve">[483] </w:t>
      </w:r>
      <w:hyperlink r:id="rId1153">
        <w:r>
          <w:rPr>
            <w:color w:val="1155CC"/>
            <w:u w:val="single"/>
          </w:rPr>
          <w:t>作为认知架构的适应性景观的完整性</w:t>
        </w:r>
      </w:hyperlink>
    </w:p>
    <w:p>
      <w:pPr>
        <w:spacing w:before="0" w:after="80"/>
      </w:pPr>
      <w:r>
        <w:rPr>
          <w:i/>
          <w:sz w:val="20"/>
        </w:rPr>
        <w:t>EN: Completeness as a fitness landscape for cognitive architectures</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54">
        <w:r>
          <w:rPr>
            <w:color w:val="1155CC"/>
            <w:u w:val="single"/>
          </w:rPr>
          <w:t>10.1073/pnas.2603605123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[484] </w:t>
      </w:r>
      <w:hyperlink r:id="rId1155">
        <w:r>
          <w:rPr>
            <w:color w:val="1155CC"/>
            <w:u w:val="single"/>
          </w:rPr>
          <w:t>《社交媒体推送算法如何影响选举活动中的态度和行为？》研究文章的勘误</w:t>
        </w:r>
      </w:hyperlink>
    </w:p>
    <w:p>
      <w:pPr>
        <w:spacing w:before="0" w:after="80"/>
      </w:pPr>
      <w:r>
        <w:rPr>
          <w:i/>
          <w:sz w:val="20"/>
        </w:rPr>
        <w:t>EN: Erratum for the Research Article “How do social media feed algorithms affect attitudes and behavior in an election campaign?”</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56">
        <w:r>
          <w:rPr>
            <w:color w:val="1155CC"/>
            <w:u w:val="single"/>
          </w:rPr>
          <w:t>10.1126/science.aeh2575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[485] </w:t>
      </w:r>
      <w:hyperlink r:id="rId1157">
        <w:r>
          <w:rPr>
            <w:color w:val="1155CC"/>
            <w:u w:val="single"/>
          </w:rPr>
          <w:t>SUN5形成规则的蛋白质晶格以加强精子头尾连接</w:t>
        </w:r>
      </w:hyperlink>
    </w:p>
    <w:p>
      <w:pPr>
        <w:spacing w:before="0" w:after="80"/>
      </w:pPr>
      <w:r>
        <w:rPr>
          <w:i/>
          <w:sz w:val="20"/>
        </w:rPr>
        <w:t>EN: SUN5 forms a regular protein lattice reinforcing the sperm head–tail junction</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58">
        <w:r>
          <w:rPr>
            <w:color w:val="1155CC"/>
            <w:u w:val="single"/>
          </w:rPr>
          <w:t>10.1073/pnas.2520626123</w:t>
        </w:r>
      </w:hyperlink>
    </w:p>
    <w:p>
      <w:pPr>
        <w:spacing w:before="0" w:after="120"/>
      </w:pPr>
      <w:r>
        <w:rPr>
          <w:b/>
        </w:rPr>
        <w:t xml:space="preserve">Notes: </w:t>
      </w:r>
      <w:r>
        <w:t>abstract_source=crossref</w:t>
      </w:r>
    </w:p>
    <w:p>
      <w:pPr>
        <w:spacing w:before="0" w:after="80" w:lineRule="auto" w:line="276"/>
      </w:pPr>
      <w:r>
        <w:rPr>
          <w:b/>
        </w:rPr>
        <w:t xml:space="preserve">摘要（ZH）: </w:t>
      </w:r>
      <w:r>
        <w:t>精子强烈依赖其流线型形态来成功受精卵子。一个导致不育的显著形态缺陷例子是无头精子综合症，这是一种罕见但严重的情况，导致精子头部和尾部的分离。该综合症最常见的遗传原因之一是核-细胞骨架连接（LINC）复合体成分SUN5的突变。LINC复合体通常位于核膜中，即包围细胞核的双层膜，在此处它们在细胞核和细胞质之间建立物理桥梁。这种定位使它们能够将机械信号从细胞质传递到细胞核，并调节核形态。在精子中，LINC复合体对于多种形态变化至关重要。</w:t>
      </w:r>
    </w:p>
    <w:p>
      <w:pPr>
        <w:spacing w:before="0" w:after="200" w:lineRule="auto" w:line="276"/>
      </w:pPr>
      <w:r>
        <w:rPr>
          <w:b/>
        </w:rPr>
        <w:t xml:space="preserve">Abstract (EN): </w:t>
      </w:r>
      <w:r>
        <w:t>Spermatozoa strongly rely on their streamlined morphology to successfully fertilize an oocyte. A striking example of a morphological defect resulting in infertility is acephalic spermatozoa syndrome, a rare but severe condition leading to detachment of the sperm head and tail. Among the most common genetic causes for this syndrome are mutations in the linker of nucleo- and cytoskeleton (LINC) complex component SUN5. LINC complexes typically reside in the nuclear envelope, the double-membrane surrounding the nucleus, where they establish a physical bridge between nucleus and cytoplasm. This localization allows them to transduce mechanical signals from the cytoplasm to the nucleus and to regulate nuclear morphology. In sperm, LINC complexes are essential for a multitude of morphological changes during sperm development, including the reshaping of the nucleus and establishing a stable head–tail junction. Here, using superresolution fluorescence microscopy, we find that sperm-specific SUN5 localizes to the base of the head in human, mouse, and boar sperm. By applying in situ cryoelectron tomography, we find an extensive hexagonal lattice in the nuclear envelope in this region. This lattice appears to maintain a consistent close apposition between the inner and outer nuclear membranes (ONM). Further structural analysis supports a model in which LINC complexes form this lattice by laterally interacting at the ONM. Overall, this study sheds light on nuclear envelope organization in the highly streamlined sperm cell, providing a structural basis for uniform nuclear envelope spacing maintained by a LINC lattice and rationalizing the disruptive effects of SUN5 mutations.</w:t>
      </w:r>
    </w:p>
    <w:p>
      <w:pPr>
        <w:spacing w:before="120" w:after="120"/>
      </w:pPr>
      <w:r>
        <w:rPr>
          <w:sz w:val="18"/>
        </w:rPr>
        <w:t>——————————————————————————————————————————————————————————————————————</w:t>
      </w:r>
    </w:p>
    <w:p>
      <w:pPr>
        <w:spacing w:before="160" w:after="40" w:line="240" w:lineRule="auto"/>
      </w:pPr>
      <w:r>
        <w:rPr>
          <w:b/>
        </w:rPr>
        <w:t xml:space="preserve">[486] </w:t>
      </w:r>
      <w:hyperlink r:id="rId1159">
        <w:r>
          <w:rPr>
            <w:color w:val="1155CC"/>
            <w:u w:val="single"/>
          </w:rPr>
          <w:t>CHKA–PML自噬检查点使肿瘤能够逃避谷氨酰胺饥饿</w:t>
        </w:r>
      </w:hyperlink>
    </w:p>
    <w:p>
      <w:pPr>
        <w:spacing w:before="0" w:after="80"/>
      </w:pPr>
      <w:r>
        <w:rPr>
          <w:i/>
          <w:sz w:val="20"/>
        </w:rPr>
        <w:t>EN: A CHKA–PML autophagy checkpoint enables tumors to evade glutamine starvation</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60">
        <w:r>
          <w:rPr>
            <w:color w:val="1155CC"/>
            <w:u w:val="single"/>
          </w:rPr>
          <w:t>10.1073/pnas.2523253123</w:t>
        </w:r>
      </w:hyperlink>
    </w:p>
    <w:p>
      <w:pPr>
        <w:spacing w:before="0" w:after="120"/>
      </w:pPr>
      <w:r>
        <w:rPr>
          <w:b/>
        </w:rPr>
        <w:t xml:space="preserve">Notes: </w:t>
      </w:r>
      <w:r>
        <w:t>abstract_source=crossref</w:t>
      </w:r>
    </w:p>
    <w:p>
      <w:pPr>
        <w:spacing w:before="0" w:after="80" w:lineRule="auto" w:line="276"/>
      </w:pPr>
      <w:r>
        <w:rPr>
          <w:b/>
        </w:rPr>
        <w:t xml:space="preserve">摘要（ZH）: </w:t>
      </w:r>
      <w:r>
        <w:t>谷氨酰胺代谢对于肿瘤细胞增殖和生物合成至关重要。然而，实体肿瘤常常面临慢性谷氨酰胺缺乏，其潜在的适应机制仍未完全理解。在此，我们展示了谷氨酰胺稀缺上调了胆碱激酶α（CHKA），其单体化增强了其非经典蛋白激酶活性。CHKA在酪氨酸339位磷酸化早幼粒细胞白血病（PML），促进其细胞质定位。值得注意的是，这反映了PML活性的特定隔室转换：虽然核PML通过小泛素样修饰物（SUMO）-泛素级联促进蛋白质降解，细胞质PML则相反地阻止降解。具体而言，细胞质PML随后诱导WD重复域磷酸肌醇的SUMO化</w:t>
      </w:r>
    </w:p>
    <w:p>
      <w:pPr>
        <w:spacing w:before="0" w:after="200" w:lineRule="auto" w:line="276"/>
      </w:pPr>
      <w:r>
        <w:rPr>
          <w:b/>
        </w:rPr>
        <w:t xml:space="preserve">Abstract (EN): </w:t>
      </w:r>
      <w:r>
        <w:t>Glutamine metabolism is essential for tumor cell proliferation and biosynthesis. However, solid tumors often face chronic glutamine deprivation, and the underlying adaptive mechanisms remain incompletely understood. Here, we show that glutamine scarcity upregulates choline kinase alpha (CHKA), whose monomerization enhances its noncanonical protein kinase activity. CHKA phosphorylates promyelocytic leukemia (PML) at tyrosine 339, promoting its cytoplasmic localization. Notably, this reflects a compartment-specific switch in PML activity: while nuclear PML facilitates protein degradation through Small Ubiquitin-like Modifier (SUMO)-ubiquitin cascades, cytoplasmic PML acts oppositely to block degradation. Specifically, cytoplasmic PML then induces SUMOylation of WD Repeat Domain Phosphoinositide-Interacting Protein 2 (WIPI2) at lysines 281 and 283, thereby blocking HUWE1-mediated ubiquitination and proteasomal degradation. Stabilized WIPI2 increases autophagic flux, supporting tumor cell survival under metabolic stress. This study identifies a critical CHKA–PML–WIPI2 axis mediating adaptation to glutamine deprivation, providing insight into metabolic plasticity and a potential therapeutic target for glutamine-dependent cancers.</w:t>
      </w:r>
    </w:p>
    <w:p>
      <w:pPr>
        <w:spacing w:before="120" w:after="120"/>
      </w:pPr>
      <w:r>
        <w:rPr>
          <w:sz w:val="18"/>
        </w:rPr>
        <w:t>——————————————————————————————————————————————————————————————————————</w:t>
      </w:r>
    </w:p>
    <w:p>
      <w:pPr>
        <w:spacing w:before="160" w:after="40" w:line="240" w:lineRule="auto"/>
      </w:pPr>
      <w:r>
        <w:rPr>
          <w:b/>
        </w:rPr>
        <w:t xml:space="preserve">[487] </w:t>
      </w:r>
      <w:hyperlink r:id="rId1161">
        <w:r>
          <w:rPr>
            <w:color w:val="1155CC"/>
            <w:u w:val="single"/>
          </w:rPr>
          <w:t>通过人中性粒细胞-血管内皮细胞相互作用阐明炎症解决的强效促解决介质</w:t>
        </w:r>
      </w:hyperlink>
    </w:p>
    <w:p>
      <w:pPr>
        <w:spacing w:before="0" w:after="80"/>
      </w:pPr>
      <w:r>
        <w:rPr>
          <w:i/>
          <w:sz w:val="20"/>
        </w:rPr>
        <w:t>EN: Elucidation of a potent pro-resolving mediator of inflammation resolution via human neutrophil–vascular endothelial cell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62">
        <w:r>
          <w:rPr>
            <w:color w:val="1155CC"/>
            <w:u w:val="single"/>
          </w:rPr>
          <w:t>10.1073/pnas.2530022123</w:t>
        </w:r>
      </w:hyperlink>
    </w:p>
    <w:p>
      <w:pPr>
        <w:spacing w:before="0" w:after="120"/>
      </w:pPr>
      <w:r>
        <w:rPr>
          <w:b/>
        </w:rPr>
        <w:t xml:space="preserve">Notes: </w:t>
      </w:r>
      <w:r>
        <w:t>abstract_source=crossref</w:t>
      </w:r>
    </w:p>
    <w:p>
      <w:pPr>
        <w:spacing w:before="0" w:after="80" w:lineRule="auto" w:line="276"/>
      </w:pPr>
      <w:r>
        <w:rPr>
          <w:b/>
        </w:rPr>
        <w:t xml:space="preserve">摘要（ZH）: </w:t>
      </w:r>
      <w:r>
        <w:t>急性炎症反应是一个高度协调的程序化序列，使中性粒细胞能够从小静脉迁移到组织中。理想情况下，自限性，活跃的解决阶段产生专门的分子，刺激解决并防止过度中性粒细胞浸润造成的附带组织损伤。促解决分子的超家族被称为专门的促解决介质，包括必需的多不饱和脂肪酸衍生的脂氧素、解脂素、保护素和马列辛。鉴于白细胞和内皮细胞在炎症解决中的密切相互作用，我们研究了是否由与活化的血管内皮细胞共同孵育的人中性粒细胞生物合成携带促解决特性的独特生物活性分子</w:t>
      </w:r>
    </w:p>
    <w:p>
      <w:pPr>
        <w:spacing w:before="0" w:after="200" w:lineRule="auto" w:line="276"/>
      </w:pPr>
      <w:r>
        <w:rPr>
          <w:b/>
        </w:rPr>
        <w:t xml:space="preserve">Abstract (EN): </w:t>
      </w:r>
      <w:r>
        <w:t>The acute inflammatory response is a highly coordinated programmed sequence that enables neutrophils to transmigrate from venules into tissues. Ideally self-limited, the active resolution phase produces specialized molecules that stimulate resolution and prevent collateral tissue damage from excessive neutrophil infiltration. The superfamily of pro-resolving molecules is termed specialized pro-resolving mediators including the essential polyunsaturated fatty acid-derived lipoxins, resolvins, protectins, and maresins. Given the intimate interactions between leukocytes and endothelial cells in inflammation resolution, we investigated whether unique bioactive molecules carrying pro-resolution properties are biosynthesized by human neutrophils coincubated with activated vascular endothelial cells. Using metabololipidomics, we found that human coronary aortic valves from transplants contained 13-hydroxy-4Z,7Z,10Z,14E,16Z,19Z-docosahexaenoic acid (13-HDHA) and inflammatory eicosanoids. We report that human endothelial cells convert DHA to 13-HDHA which in turn is transformed by human neutrophils to a previously unknown bioactive product 4,13-dihydroxy-docosahexaenoic acid. This structure was established using physical properties including tandem-mass spectrometry, UV-analysis, and conversion of deuterated substrate. Biosynthesis of this product during neutrophil–endothelial coincubations involved bidirectional crosstalk between neutrophil 5-LOX and endothelial COX-2 as confirmed using isolated recombinant enzymes. The bioactive 4S,13R-dihydroxy-5E,7Z,10Z,14E,16Z,19Z-docosahexaenoic acid, also produced by M2-like macrophages and mononuclear cells, demonstrated potent nanomolar pro-resolving actions including, a) limiting neutrophil infiltration into mouse air pouch, b) reducing human neutrophil adherence to endothelial cells, c) protecting endothelial cell from senescence, and d) stimulating human macrophage efferocytosis of senescent red blood cells. These results provide evidence for a previously unknown pro-resolving pathway and molecule biosynthesized from DHA via cyclooxygenase-2–5-lipoxygenase during leukocyte crosstalk with the vasculature.</w:t>
      </w:r>
    </w:p>
    <w:p>
      <w:pPr>
        <w:spacing w:before="120" w:after="120"/>
      </w:pPr>
      <w:r>
        <w:rPr>
          <w:sz w:val="18"/>
        </w:rPr>
        <w:t>——————————————————————————————————————————————————————————————————————</w:t>
      </w:r>
    </w:p>
    <w:p>
      <w:pPr>
        <w:spacing w:before="160" w:after="40" w:line="240" w:lineRule="auto"/>
      </w:pPr>
      <w:r>
        <w:rPr>
          <w:b/>
        </w:rPr>
        <w:t xml:space="preserve">[488] </w:t>
      </w:r>
      <w:hyperlink r:id="rId1163">
        <w:r>
          <w:rPr>
            <w:color w:val="1155CC"/>
            <w:u w:val="single"/>
          </w:rPr>
          <w:t>磷富集不会扩大预测的CO2施肥效应对森林碳汇的影响</w:t>
        </w:r>
      </w:hyperlink>
    </w:p>
    <w:p>
      <w:pPr>
        <w:spacing w:before="0" w:after="80"/>
      </w:pPr>
      <w:r>
        <w:rPr>
          <w:i/>
          <w:sz w:val="20"/>
        </w:rPr>
        <w:t>EN: Phosphorus enrichment does not enlarge the predicted CO2 fertilization effect on forest carbon sequestration</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64">
        <w:r>
          <w:rPr>
            <w:color w:val="1155CC"/>
            <w:u w:val="single"/>
          </w:rPr>
          <w:t>10.1073/pnas.2516152123</w:t>
        </w:r>
      </w:hyperlink>
    </w:p>
    <w:p>
      <w:pPr>
        <w:spacing w:before="0" w:after="120"/>
      </w:pPr>
      <w:r>
        <w:rPr>
          <w:b/>
        </w:rPr>
        <w:t xml:space="preserve">Notes: </w:t>
      </w:r>
      <w:r>
        <w:t>abstract_source=crossref</w:t>
      </w:r>
    </w:p>
    <w:p>
      <w:pPr>
        <w:spacing w:before="0" w:after="80" w:lineRule="auto" w:line="276"/>
      </w:pPr>
      <w:r>
        <w:rPr>
          <w:b/>
        </w:rPr>
        <w:t xml:space="preserve">摘要（ZH）: </w:t>
      </w:r>
      <w:r>
        <w:t>营养限制森林在升高的CO</w:t>
      </w:r>
      <w:r>
        <w:rPr>
          <w:vertAlign w:val="subscript"/>
        </w:rPr>
        <w:t>2</w:t>
      </w:r>
      <w:r>
        <w:t>（eCO</w:t>
      </w:r>
      <w:r>
        <w:rPr>
          <w:vertAlign w:val="subscript"/>
        </w:rPr>
        <w:t>2</w:t>
      </w:r>
      <w:r>
        <w:t>）下增强碳（C）封存能力在C循环建模中仍是一个关键的不确定性。现有证据表明，低磷（P）生物有效性可能限制CO</w:t>
      </w:r>
      <w:r>
        <w:rPr>
          <w:vertAlign w:val="subscript"/>
        </w:rPr>
        <w:t>2</w:t>
      </w:r>
      <w:r>
        <w:t>对植物生长的施肥效应，但这种限制在适应P缺乏土壤的森林中调节生态系统对eCO</w:t>
      </w:r>
      <w:r>
        <w:rPr>
          <w:vertAlign w:val="subscript"/>
        </w:rPr>
        <w:t>2</w:t>
      </w:r>
      <w:r>
        <w:t>反应的程度仍然知之甚少。在此，使用八个P启用模型，我们模拟了P生物有效性与eCO</w:t>
      </w:r>
      <w:r>
        <w:rPr>
          <w:vertAlign w:val="subscript"/>
        </w:rPr>
        <w:t>2</w:t>
      </w:r>
      <w:r>
        <w:t>交互的大小和机制，模拟了生态系统规模的P富集</w:t>
      </w:r>
    </w:p>
    <w:p>
      <w:pPr>
        <w:spacing w:before="0" w:after="200" w:lineRule="auto" w:line="276"/>
      </w:pPr>
      <w:r>
        <w:rPr>
          <w:b/>
        </w:rPr>
        <w:t xml:space="preserve">Abstract (EN): </w:t>
      </w:r>
      <w:r>
        <w:t>The capacity of nutrient-limited forests to enhance carbon (C) sequestration under elevated CO</w:t>
      </w:r>
      <w:r>
        <w:rPr>
          <w:vertAlign w:val="subscript"/>
        </w:rPr>
        <w:t>2</w:t>
      </w:r>
      <w:r>
        <w:t>(eCO</w:t>
      </w:r>
      <w:r>
        <w:rPr>
          <w:vertAlign w:val="subscript"/>
        </w:rPr>
        <w:t>2</w:t>
      </w:r>
      <w:r>
        <w:t>) remains a critical uncertainty in C cycle modeling. While existing evidence suggests that low phosphorus (P) bioavailability may constrain CO</w:t>
      </w:r>
      <w:r>
        <w:rPr>
          <w:vertAlign w:val="subscript"/>
        </w:rPr>
        <w:t>2</w:t>
      </w:r>
      <w:r>
        <w:t>fertilization effects on plant growth, the extent to which this limitation modulates ecosystem responses to eCO</w:t>
      </w:r>
      <w:r>
        <w:rPr>
          <w:vertAlign w:val="subscript"/>
        </w:rPr>
        <w:t>2</w:t>
      </w:r>
      <w:r>
        <w:t>in forests adapted to P-deficient soils remains poorly understood. Here, using eight P-enabled models, we simulated the magnitudes and mechanisms through which P bioavailability interacts with eCO</w:t>
      </w:r>
      <w:r>
        <w:rPr>
          <w:vertAlign w:val="subscript"/>
        </w:rPr>
        <w:t>2</w:t>
      </w:r>
      <w:r>
        <w:t>, emulating an ecosystem-scale P enrichment experiment at a P-limited</w:t>
      </w:r>
      <w:r>
        <w:t xml:space="preserve"> </w:t>
      </w:r>
      <w:r>
        <w:t>Eucalyptus</w:t>
      </w:r>
      <w:r>
        <w:t xml:space="preserve"> </w:t>
      </w:r>
      <w:r>
        <w:t>forest undergoing long-term Free-Air CO</w:t>
      </w:r>
      <w:r>
        <w:rPr>
          <w:vertAlign w:val="subscript"/>
        </w:rPr>
        <w:t>2</w:t>
      </w:r>
      <w:r>
        <w:t>Enrichment. While models predicted pronounced P effects on tree growth, P enrichment unexpectedly did not increase the CO</w:t>
      </w:r>
      <w:r>
        <w:rPr>
          <w:vertAlign w:val="subscript"/>
        </w:rPr>
        <w:t>2</w:t>
      </w:r>
      <w:r>
        <w:t>effects on tree growth and ecosystem C sequestration. Models prioritized either CO</w:t>
      </w:r>
      <w:r>
        <w:rPr>
          <w:vertAlign w:val="subscript"/>
        </w:rPr>
        <w:t>2</w:t>
      </w:r>
      <w:r>
        <w:t>-driven or P-driven growth, but rarely both. This tradeoff emerged due to model-specific assumptions on 1) partitioning of the extra P in soil labile versus nonlabile pools; 2) plant photosynthetic acclimation to P deficiency; 3) C and nutrient use strategies regulating plant size and allocation; and 4) microbial-driven soil decomposition processes. By generating divergent yet biologically plausible outcomes, these predictions establish critical testable hypotheses for empirical research and highlight multiple P-related pathways that may influence the future land C sink.</w:t>
      </w:r>
    </w:p>
    <w:p>
      <w:pPr>
        <w:spacing w:before="120" w:after="120"/>
      </w:pPr>
      <w:r>
        <w:rPr>
          <w:sz w:val="18"/>
        </w:rPr>
        <w:t>——————————————————————————————————————————————————————————————————————</w:t>
      </w:r>
    </w:p>
    <w:p>
      <w:pPr>
        <w:spacing w:before="160" w:after="40" w:line="240" w:lineRule="auto"/>
      </w:pPr>
      <w:r>
        <w:rPr>
          <w:b/>
        </w:rPr>
        <w:t xml:space="preserve">[489] </w:t>
      </w:r>
      <w:hyperlink r:id="rId1165">
        <w:r>
          <w:rPr>
            <w:color w:val="1155CC"/>
            <w:u w:val="single"/>
          </w:rPr>
          <w:t>鸟类传播果实状山药珠芽：这是一种新的贝氏拟态形式吗？</w:t>
        </w:r>
      </w:hyperlink>
    </w:p>
    <w:p>
      <w:pPr>
        <w:spacing w:before="0" w:after="80"/>
      </w:pPr>
      <w:r>
        <w:rPr>
          <w:i/>
          <w:sz w:val="20"/>
        </w:rPr>
        <w:t>EN: Bird dispersal of fruit-like yam bulbils: Is this a new form of Batesian mimicry?</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66">
        <w:r>
          <w:rPr>
            <w:color w:val="1155CC"/>
            <w:u w:val="single"/>
          </w:rPr>
          <w:t>10.1073/pnas.2602471123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[490] </w:t>
      </w:r>
      <w:hyperlink r:id="rId1167">
        <w:r>
          <w:rPr>
            <w:color w:val="1155CC"/>
            <w:u w:val="single"/>
          </w:rPr>
          <w:t>张力完整结构和折纸的不变双重力学</w:t>
        </w:r>
      </w:hyperlink>
    </w:p>
    <w:p>
      <w:pPr>
        <w:spacing w:before="0" w:after="80"/>
      </w:pPr>
      <w:r>
        <w:rPr>
          <w:i/>
          <w:sz w:val="20"/>
        </w:rPr>
        <w:t>EN: Invariant dual mechanics of tensegrity and origami</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68">
        <w:r>
          <w:rPr>
            <w:color w:val="1155CC"/>
            <w:u w:val="single"/>
          </w:rPr>
          <w:t>10.1073/pnas.2519138123</w:t>
        </w:r>
      </w:hyperlink>
    </w:p>
    <w:p>
      <w:pPr>
        <w:spacing w:before="0" w:after="120"/>
      </w:pPr>
      <w:r>
        <w:rPr>
          <w:b/>
        </w:rPr>
        <w:t xml:space="preserve">Notes: </w:t>
      </w:r>
      <w:r>
        <w:t>abstract_source=crossref</w:t>
      </w:r>
    </w:p>
    <w:p>
      <w:pPr>
        <w:spacing w:before="0" w:after="80" w:lineRule="auto" w:line="276"/>
      </w:pPr>
      <w:r>
        <w:rPr>
          <w:b/>
        </w:rPr>
        <w:t xml:space="preserve">摘要（ZH）: </w:t>
      </w:r>
      <w:r>
        <w:t>静力学和运动学常被视为力学的交织分支。虚功原理表明了这种相互联系：对于处于静态平衡的系统，所有力在任何虚位移期间所做的总功必须等于零。在这项工作中，我们通过关注两个工程结构——张力完整性和折纸，使静力学和运动学之间的相互作用更加明确。具体来说，我们展示了张力完整性的自应力状态与折纸的微小机制之间的定量对偶关系。更重要的是，我们表明这种对偶性在对张力完整性和折纸配置应用非退化线性变换时保持不变。此外，我们建立了张力完整性的稳定性特性，par</w:t>
      </w:r>
    </w:p>
    <w:p>
      <w:pPr>
        <w:spacing w:before="0" w:after="200" w:lineRule="auto" w:line="276"/>
      </w:pPr>
      <w:r>
        <w:rPr>
          <w:b/>
        </w:rPr>
        <w:t xml:space="preserve">Abstract (EN): </w:t>
      </w:r>
      <w:r>
        <w:t>Statics and kinematics are often viewed as intertwined branches of mechanics. The principle of virtual work indicates this interconnection: For a system in static equilibrium, the total work performed by all forces during any virtual displacement must equal zero. In this work, we make the interplay between statics and kinematics more explicit by focusing on two engineering structures—tensegrity and origami. Specifically, we demonstrate a quantitative duality relationship between the states of self-stress of tensegrity and the infinitesimal mechanisms of origami. More importantly, we show that this duality remains invariant under nondegenerate linear transformations applied to the tensegrity and origami configurations. Furthermore, we establish that the stability property of tensegrity, particularly superstability, is preserved under such transformations. We apply the invariant duality theory to tensegrity and origami structures with prismatic and polyhedral geometries, illustrating its broad applicability. Such duality is also applicable to the fast generation of irregular, three-dimensional architected materials and structures.</w:t>
      </w:r>
    </w:p>
    <w:p>
      <w:pPr>
        <w:spacing w:before="120" w:after="120"/>
      </w:pPr>
      <w:r>
        <w:rPr>
          <w:sz w:val="18"/>
        </w:rPr>
        <w:t>——————————————————————————————————————————————————————————————————————</w:t>
      </w:r>
    </w:p>
    <w:p>
      <w:pPr>
        <w:spacing w:before="160" w:after="40" w:line="240" w:lineRule="auto"/>
      </w:pPr>
      <w:r>
        <w:rPr>
          <w:b/>
        </w:rPr>
        <w:t xml:space="preserve">[491] </w:t>
      </w:r>
      <w:hyperlink r:id="rId1169">
        <w:r>
          <w:rPr>
            <w:color w:val="1155CC"/>
            <w:u w:val="single"/>
          </w:rPr>
          <w:t>从慢性疼痛到抑郁：海马齿状回中神经发生驱动的小胶质细胞重塑</w:t>
        </w:r>
      </w:hyperlink>
    </w:p>
    <w:p>
      <w:pPr>
        <w:spacing w:before="0" w:after="80"/>
      </w:pPr>
      <w:r>
        <w:rPr>
          <w:i/>
          <w:sz w:val="20"/>
        </w:rPr>
        <w:t>EN: From chronic pain to depression: Neurogenesis-driven microglial remodeling in the hippocampal dentate gyrus</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70">
        <w:r>
          <w:rPr>
            <w:color w:val="1155CC"/>
            <w:u w:val="single"/>
          </w:rPr>
          <w:t>10.1126/science.aee6177</w:t>
        </w:r>
      </w:hyperlink>
    </w:p>
    <w:p>
      <w:pPr>
        <w:spacing w:before="0" w:after="120"/>
      </w:pPr>
      <w:r>
        <w:rPr>
          <w:b/>
        </w:rPr>
        <w:t xml:space="preserve">Notes: </w:t>
      </w:r>
      <w:r>
        <w:t>abstract_source=crossref</w:t>
      </w:r>
    </w:p>
    <w:p>
      <w:pPr>
        <w:spacing w:before="0" w:after="80" w:lineRule="auto" w:line="276"/>
      </w:pPr>
      <w:r>
        <w:rPr>
          <w:b/>
        </w:rPr>
        <w:t xml:space="preserve">摘要（ZH）: </w:t>
      </w:r>
      <w:r>
        <w:t>慢性疼痛常演变为抑郁和焦虑，但将感觉痛苦与情感功能障碍联系起来的机制仍不清楚。通过整合来自英国生物银行的人类神经影像学与啮齿动物模型，我们发现了双相海马重塑。海马体积在早期疼痛阶段增加，伴随认知的悖论性改善，但在合并抑郁时下降。在啮齿动物中，齿状回（DG）作为控制这一转变的枢纽：DG的损伤阻止了情感症状。DG活动的升高与新生神经元的过度活跃以及小胶质细胞的招募和重塑有关，导致电路失衡。而抑制新生神经元活动在牺牲认知的情况下缓解了情感病理，小胶质细胞的调节选择性地恢复了情感</w:t>
      </w:r>
    </w:p>
    <w:p>
      <w:pPr>
        <w:spacing w:before="0" w:after="200" w:lineRule="auto" w:line="276"/>
      </w:pPr>
      <w:r>
        <w:rPr>
          <w:b/>
        </w:rPr>
        <w:t xml:space="preserve">Abstract (EN): </w:t>
      </w:r>
      <w:r>
        <w:t>Chronic pain often evolves into depression and anxiety, yet mechanisms linking sensory distress to affective dysfunction remain unclear. Integrating human neuroimaging from the UK Biobank with a rodent model, we uncovered biphasic hippocampal remodeling. Hippocampal volume increased during early pain stages, with paradoxical cognitive improvements, but declined with comorbid depression. In rodents, the dentate gyrus (DG) acted as a hub governing this transition: Lesions of DG prevented affective symptoms. Elevated DG activity was linked to hyperactive newborn neurons and microglial recruitment and remodeling, leading to circuit imbalance. Whereas suppressing newborn neuron activity alleviated emotional pathology at the expense of cognition, microglial modulation selectively restored affective behavior without cognitive cost. These findings reveal microglia-mediated hippocampal remodeling as a key mechanism linking chronic pain to mood disorders.</w:t>
      </w:r>
    </w:p>
    <w:p>
      <w:pPr>
        <w:spacing w:before="120" w:after="120"/>
      </w:pPr>
      <w:r>
        <w:rPr>
          <w:sz w:val="18"/>
        </w:rPr>
        <w:t>——————————————————————————————————————————————————————————————————————</w:t>
      </w:r>
    </w:p>
    <w:p>
      <w:pPr>
        <w:spacing w:before="160" w:after="40" w:line="240" w:lineRule="auto"/>
      </w:pPr>
      <w:r>
        <w:rPr>
          <w:b/>
        </w:rPr>
        <w:t xml:space="preserve">[492] </w:t>
      </w:r>
      <w:hyperlink r:id="rId1171">
        <w:r>
          <w:rPr>
            <w:color w:val="1155CC"/>
            <w:u w:val="single"/>
          </w:rPr>
          <w:t>肠道微生物衍生的N-酰基丝氨酸酯类脂质塑造宿主餐后代谢稳态</w:t>
        </w:r>
      </w:hyperlink>
    </w:p>
    <w:p>
      <w:pPr>
        <w:spacing w:before="0" w:after="80"/>
      </w:pPr>
      <w:r>
        <w:rPr>
          <w:i/>
          <w:sz w:val="20"/>
        </w:rPr>
        <w:t>EN: Gut microbe–derived N-acyl serinol lipids shape host postprandial metabolic homeostasis</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72">
        <w:r>
          <w:rPr>
            <w:color w:val="1155CC"/>
            <w:u w:val="single"/>
          </w:rPr>
          <w:t>10.1073/pnas.2517314123</w:t>
        </w:r>
      </w:hyperlink>
    </w:p>
    <w:p>
      <w:pPr>
        <w:spacing w:before="0" w:after="120"/>
      </w:pPr>
      <w:r>
        <w:rPr>
          <w:b/>
        </w:rPr>
        <w:t xml:space="preserve">Notes: </w:t>
      </w:r>
      <w:r>
        <w:t>abstract_source=crossref</w:t>
      </w:r>
    </w:p>
    <w:p>
      <w:pPr>
        <w:spacing w:before="0" w:after="80" w:lineRule="auto" w:line="276"/>
      </w:pPr>
      <w:r>
        <w:rPr>
          <w:b/>
        </w:rPr>
        <w:t xml:space="preserve">摘要（ZH）: </w:t>
      </w:r>
      <w:r>
        <w:t>尽管有强有力的证据将肠道微生物群与代谢疾病联系起来，但将微生物群与食物的激素和代谢反应联系起来的机制尚不清楚。餐后，肠道细菌会产生一系列来源于细菌的小分子、蛋白质和脂质代谢物。将生理功能归因于特定的肠道微生物衍生代谢物对于理解饮食-微生物-宿主相互作用以及开发微生物群启发的疗法以改善人类健康至关重要。在此，我们研究了一类注释不充分的肠道微生物群衍生脂质，称为</w:t>
      </w:r>
      <w:r>
        <w:t xml:space="preserve"> </w:t>
      </w:r>
      <w:r>
        <w:t>N</w:t>
      </w:r>
      <w:r>
        <w:t xml:space="preserve"> </w:t>
      </w:r>
      <w:r>
        <w:t>-酰胺在餐后代谢生理中的作用。在此，我们展示了细菌生产和外源性提供</w:t>
      </w:r>
    </w:p>
    <w:p>
      <w:pPr>
        <w:spacing w:before="0" w:after="200" w:lineRule="auto" w:line="276"/>
      </w:pPr>
      <w:r>
        <w:rPr>
          <w:b/>
        </w:rPr>
        <w:t xml:space="preserve">Abstract (EN): </w:t>
      </w:r>
      <w:r>
        <w:t>Although strong evidence links the gut microbiome to metabolic disease, the mechanisms linking microbiota to hormonal and metabolic responses to food are not well understood. After a meal, gut bacteria produce a wide array of small molecule, protein, and lipid metabolites originating from bacterial sources. Attributing physiological function to select gut microbe–derived metabolites is critical to understanding diet–microbe–host interactions, and to developing microbiome-inspired therapies to improve human health. Here, we have investigated the role of a poorly annotated class of gut microbiome-derived lipids called</w:t>
      </w:r>
      <w:r>
        <w:t xml:space="preserve"> </w:t>
      </w:r>
      <w:r>
        <w:t>N</w:t>
      </w:r>
      <w:r>
        <w:t xml:space="preserve"> </w:t>
      </w:r>
      <w:r>
        <w:t>-acyl amides in postprandial metabolic physiology. Here, we show that both bacterial production and provision of exogenous</w:t>
      </w:r>
      <w:r>
        <w:t xml:space="preserve"> </w:t>
      </w:r>
      <w:r>
        <w:t>N</w:t>
      </w:r>
      <w:r>
        <w:t xml:space="preserve"> </w:t>
      </w:r>
      <w:r>
        <w:t>-acyl amides reorganize host hormone-driven metabolic transition after a meal. Moreover,</w:t>
      </w:r>
      <w:r>
        <w:t xml:space="preserve"> </w:t>
      </w:r>
      <w:r>
        <w:t>N</w:t>
      </w:r>
      <w:r>
        <w:t xml:space="preserve"> </w:t>
      </w:r>
      <w:r>
        <w:t>-acyl amides exert broad effects on the meal- and circadian-related reorganization of gene expression, metabolic hormones, and gut microbiome composition. Collectively, these results demonstrate that microbiota-derived</w:t>
      </w:r>
      <w:r>
        <w:t xml:space="preserve"> </w:t>
      </w:r>
      <w:r>
        <w:t>N</w:t>
      </w:r>
      <w:r>
        <w:t xml:space="preserve"> </w:t>
      </w:r>
      <w:r>
        <w:t>-acyl amides play a physiologic role in postprandial metabolic homeostasis in the host.</w:t>
      </w:r>
    </w:p>
    <w:p>
      <w:pPr>
        <w:spacing w:before="120" w:after="120"/>
      </w:pPr>
      <w:r>
        <w:rPr>
          <w:sz w:val="18"/>
        </w:rPr>
        <w:t>——————————————————————————————————————————————————————————————————————</w:t>
      </w:r>
    </w:p>
    <w:p>
      <w:pPr>
        <w:spacing w:before="160" w:after="40" w:line="240" w:lineRule="auto"/>
      </w:pPr>
      <w:r>
        <w:rPr>
          <w:b/>
        </w:rPr>
        <w:t xml:space="preserve">[493] </w:t>
      </w:r>
      <w:hyperlink r:id="rId1173">
        <w:r>
          <w:rPr>
            <w:color w:val="1155CC"/>
            <w:u w:val="single"/>
          </w:rPr>
          <w:t>下丘脑时钟控制昼夜节律性疼痛</w:t>
        </w:r>
      </w:hyperlink>
    </w:p>
    <w:p>
      <w:pPr>
        <w:spacing w:before="0" w:after="80"/>
      </w:pPr>
      <w:r>
        <w:rPr>
          <w:i/>
          <w:sz w:val="20"/>
        </w:rPr>
        <w:t>EN: Hypothalamic clock governs circadian pain</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74">
        <w:r>
          <w:rPr>
            <w:color w:val="1155CC"/>
            <w:u w:val="single"/>
          </w:rPr>
          <w:t>10.1126/science.ady6455</w:t>
        </w:r>
      </w:hyperlink>
    </w:p>
    <w:p>
      <w:pPr>
        <w:spacing w:before="0" w:after="120"/>
      </w:pPr>
      <w:r>
        <w:rPr>
          <w:b/>
        </w:rPr>
        <w:t xml:space="preserve">Notes: </w:t>
      </w:r>
      <w:r>
        <w:t>abstract_source=crossref</w:t>
      </w:r>
    </w:p>
    <w:p>
      <w:pPr>
        <w:spacing w:before="0" w:after="80" w:lineRule="auto" w:line="276"/>
      </w:pPr>
      <w:r>
        <w:rPr>
          <w:b/>
        </w:rPr>
        <w:t xml:space="preserve">摘要（ZH）: </w:t>
      </w:r>
      <w:r>
        <w:t>慢性疼痛在人类中表现出昼夜节律，但这种节律性背后的机制仍不清楚。在这里，我们发现了一种神经病理性疼痛小鼠模型中的痛觉阈值的每日振荡，这种振荡由下丘脑主时钟到下行镇痛系统的节律回路驱动。在白天（休息阶段），视交叉上核（SCN</w:t>
      </w:r>
      <w:r>
        <w:t xml:space="preserve"> </w:t>
      </w:r>
      <w:r>
        <w:t>VIP</w:t>
      </w:r>
      <w:r>
        <w:t xml:space="preserve"> </w:t>
      </w:r>
      <w:r>
        <w:t>）中较高的血管活性肠肽（VIP）神经元活动激活了一个涉及室旁核（PVN）和腹外侧导水管周围灰质（vlPAG）的信号通路，最终增加了痛觉敏感性。在夜间（活跃阶段），减少的SCN</w:t>
      </w:r>
      <w:r>
        <w:t xml:space="preserve"> </w:t>
      </w:r>
      <w:r>
        <w:t>VIP</w:t>
      </w:r>
      <w:r>
        <w:t xml:space="preserve"> </w:t>
      </w:r>
      <w:r>
        <w:t>神经元活动通过</w:t>
      </w:r>
    </w:p>
    <w:p>
      <w:pPr>
        <w:spacing w:before="0" w:after="200" w:lineRule="auto" w:line="276"/>
      </w:pPr>
      <w:r>
        <w:rPr>
          <w:b/>
        </w:rPr>
        <w:t xml:space="preserve">Abstract (EN): </w:t>
      </w:r>
      <w:r>
        <w:t>Chronic pain exhibits circadian rhythms in humans, but the mechanisms underlying such rhythmicity remain unclear. Here, we found daily oscillations in the nociceptive thresholds in a mouse model of neuropathic pain, driven by a rhythmic circuit from the master clock in the hypothalamus to the descending analgesia system. In the daytime (resting phase), higher vasoactive intestinal peptide (VIP) neuronal activity in suprachiasmatic nucleus (SCN</w:t>
      </w:r>
      <w:r>
        <w:t xml:space="preserve"> </w:t>
      </w:r>
      <w:r>
        <w:t>VIP</w:t>
      </w:r>
      <w:r>
        <w:t xml:space="preserve"> </w:t>
      </w:r>
      <w:r>
        <w:t>) activates a signaling pathway involving the paraventricular nucleus (PVN) and the ventrolateral periaqueductal gray (vlPAG), ultimately increasing nociceptive sensitivity. At night (active phase), reduced SCN</w:t>
      </w:r>
      <w:r>
        <w:t xml:space="preserve"> </w:t>
      </w:r>
      <w:r>
        <w:t>VIP</w:t>
      </w:r>
      <w:r>
        <w:t xml:space="preserve"> </w:t>
      </w:r>
      <w:r>
        <w:t>neuronal activity decreases pain sensitivity through this polysynaptic circuit. This study identified a circuit for regulating pain rhythmicity that might be targeted to improve chronic pain management.</w:t>
      </w:r>
    </w:p>
    <w:p>
      <w:pPr>
        <w:spacing w:before="120" w:after="120"/>
      </w:pPr>
      <w:r>
        <w:rPr>
          <w:sz w:val="18"/>
        </w:rPr>
        <w:t>——————————————————————————————————————————————————————————————————————</w:t>
      </w:r>
    </w:p>
    <w:p>
      <w:pPr>
        <w:spacing w:before="160" w:after="40" w:line="240" w:lineRule="auto"/>
      </w:pPr>
      <w:r>
        <w:rPr>
          <w:b/>
        </w:rPr>
        <w:t xml:space="preserve">[494] </w:t>
      </w:r>
      <w:hyperlink r:id="rId1175">
        <w:r>
          <w:rPr>
            <w:color w:val="1155CC"/>
            <w:u w:val="single"/>
          </w:rPr>
          <w:t>真核RNA聚合酶机制的活细胞单分子动力学</w:t>
        </w:r>
      </w:hyperlink>
    </w:p>
    <w:p>
      <w:pPr>
        <w:spacing w:before="0" w:after="80"/>
      </w:pPr>
      <w:r>
        <w:rPr>
          <w:i/>
          <w:sz w:val="20"/>
        </w:rPr>
        <w:t>EN: Live-cell single-molecule dynamics of eukaryotic RNA polymerase machineries</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76">
        <w:r>
          <w:rPr>
            <w:color w:val="1155CC"/>
            <w:u w:val="single"/>
          </w:rPr>
          <w:t>10.1126/science.ads0960</w:t>
        </w:r>
      </w:hyperlink>
    </w:p>
    <w:p>
      <w:pPr>
        <w:spacing w:before="0" w:after="120"/>
      </w:pPr>
      <w:r>
        <w:rPr>
          <w:b/>
        </w:rPr>
        <w:t xml:space="preserve">Notes: </w:t>
      </w:r>
      <w:r>
        <w:t>abstract_source=crossref</w:t>
      </w:r>
    </w:p>
    <w:p>
      <w:pPr>
        <w:spacing w:before="0" w:after="80" w:lineRule="auto" w:line="276"/>
      </w:pPr>
      <w:r>
        <w:rPr>
          <w:b/>
        </w:rPr>
        <w:t xml:space="preserve">摘要（ZH）: </w:t>
      </w:r>
      <w:r>
        <w:t>真核基因表达由RNA聚合酶（RNAPI、II和III）及相关因子协调，但其实时动态仍不清楚。使用活酵母中的单分子追踪，我们量化了涵盖三种RNAP机制的58种蛋白质的动力学。RNAPI和RNAPIII起始前复合物（PICs）参与长期的染色质相互作用，与短暂的RNAPII PICs形成对比。我们进一步报告了RNAPII相关因子的延伸、组蛋白修饰、C端结构域（CTD）修饰、RNA加工和终止的动力学。许多延伸因子显示出短暂而非持久的结合，表明与因子交换的动态相互作用，并允许潜在的调控事件的多样性。CTD截短减少U1小核</w:t>
      </w:r>
    </w:p>
    <w:p>
      <w:pPr>
        <w:spacing w:before="0" w:after="200" w:lineRule="auto" w:line="276"/>
      </w:pPr>
      <w:r>
        <w:rPr>
          <w:b/>
        </w:rPr>
        <w:t xml:space="preserve">Abstract (EN): </w:t>
      </w:r>
      <w:r>
        <w:t>Eukaryotic gene expression is orchestrated by RNA polymerases (RNAPI, II, and III) and associated factors, yet their real-time dynamics remain obscure. Using single-molecule tracking in living yeast, we quantified the kinetics of 58 proteins encompassing three RNAP machineries. RNAPI and RNAPIII preinitiation complexes (PICs) engage in long-lived chromatin interactions, contrasting with transient RNAPII PICs. We further report kinetics of RNAPII-associated factors for elongation, histone modification, C-terminal domain (CTD) modification, RNA processing, and termination. Many elongation factors show brief rather than persistent association, suggesting dynamic interactions with factor exchange and allowing a potential repertoire of regulatory events. CTD truncation reduces U1 small nuclear ribonucleoprotein residence time and intron retention in ribosomal protein genes, providing insights into cotranscriptional splicing. Our findings establish a framework of dynamic interactions of RNAP machineries.</w:t>
      </w:r>
    </w:p>
    <w:p>
      <w:pPr>
        <w:spacing w:before="120" w:after="120"/>
      </w:pPr>
      <w:r>
        <w:rPr>
          <w:sz w:val="18"/>
        </w:rPr>
        <w:t>——————————————————————————————————————————————————————————————————————</w:t>
      </w:r>
    </w:p>
    <w:p>
      <w:pPr>
        <w:spacing w:before="160" w:after="40" w:line="240" w:lineRule="auto"/>
      </w:pPr>
      <w:r>
        <w:rPr>
          <w:b/>
        </w:rPr>
        <w:t xml:space="preserve">[495] </w:t>
      </w:r>
      <w:hyperlink r:id="rId1177">
        <w:r>
          <w:rPr>
            <w:color w:val="1155CC"/>
            <w:u w:val="single"/>
          </w:rPr>
          <w:t>hBN莫尔量子阱中高效的深紫外发光</w:t>
        </w:r>
      </w:hyperlink>
    </w:p>
    <w:p>
      <w:pPr>
        <w:spacing w:before="0" w:after="80"/>
      </w:pPr>
      <w:r>
        <w:rPr>
          <w:i/>
          <w:sz w:val="20"/>
        </w:rPr>
        <w:t>EN: Highly efficient, deep-ultraviolet luminescence in hBN moiré quantum wells</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78">
        <w:r>
          <w:rPr>
            <w:color w:val="1155CC"/>
            <w:u w:val="single"/>
          </w:rPr>
          <w:t>10.1126/science.aeb2095</w:t>
        </w:r>
      </w:hyperlink>
    </w:p>
    <w:p>
      <w:pPr>
        <w:spacing w:before="0" w:after="120"/>
      </w:pPr>
      <w:r>
        <w:rPr>
          <w:b/>
        </w:rPr>
        <w:t xml:space="preserve">Notes: </w:t>
      </w:r>
      <w:r>
        <w:t>abstract_source=crossref</w:t>
      </w:r>
    </w:p>
    <w:p>
      <w:pPr>
        <w:spacing w:before="0" w:after="80" w:lineRule="auto" w:line="276"/>
      </w:pPr>
      <w:r>
        <w:rPr>
          <w:b/>
        </w:rPr>
        <w:t xml:space="preserve">摘要（ZH）: </w:t>
      </w:r>
      <w:r>
        <w:t>二维范德华（vdW）半导体的扭曲堆叠创造了莫尔超晶格，这为量子态及其光物质相互作用提供了前所未有的控制。我们证明了两个单晶体块的六方氮化硼（hBN）之间的简单扭曲界面在三维vdW结构中嵌入了莫尔量子阱（QWs）。hBN莫尔QWs在光激发和电注入下强烈限制电荷载流子。尽管它们具有间接带隙，但它们在215到240纳米的极端波长带中发出强烈的深紫外荧光，超过了最先进的传统铝镓氮化物（AlGaN）多重QWs的一个数量级。此外，扭曲角度控制</w:t>
      </w:r>
    </w:p>
    <w:p>
      <w:pPr>
        <w:spacing w:before="0" w:after="200" w:lineRule="auto" w:line="276"/>
      </w:pPr>
      <w:r>
        <w:rPr>
          <w:b/>
        </w:rPr>
        <w:t xml:space="preserve">Abstract (EN): </w:t>
      </w:r>
      <w:r>
        <w:t>Twisted stacking of two-dimensional van der Waals (vdW) semiconductors creates moiré superlattices, which provides unprecedented control over quantum states and their light-matter interactions. We demonstrate that a simple twist interface between two single-crystalline bulks of hexagonal boron nitride (hBN) creates moiré quantum wells (QWs) embedded in a three-dimensional vdW structure. hBN moiré QWs strongly confine charge carriers under both optical excitation and electrical injection. Despite their indirect bandgap, they emit intense deep-ultraviolet luminescence in the extreme wavelength bands from 215 to 240 nanometers, exceeding that of state-of-the-art conventional aluminum gallium nitride (AlGaN) multiple QWs by more than an order of magnitude. Furthermore, the twist angle control allows wide tunability of luminescence energy and efficiency in moiré QWs.</w:t>
      </w:r>
    </w:p>
    <w:p>
      <w:pPr>
        <w:spacing w:before="120" w:after="120"/>
      </w:pPr>
      <w:r>
        <w:rPr>
          <w:sz w:val="18"/>
        </w:rPr>
        <w:t>——————————————————————————————————————————————————————————————————————</w:t>
      </w:r>
    </w:p>
    <w:p>
      <w:pPr>
        <w:spacing w:before="160" w:after="40" w:line="240" w:lineRule="auto"/>
      </w:pPr>
      <w:r>
        <w:rPr>
          <w:b/>
        </w:rPr>
        <w:t xml:space="preserve">[496] </w:t>
      </w:r>
      <w:hyperlink r:id="rId1179">
        <w:r>
          <w:rPr>
            <w:color w:val="1155CC"/>
            <w:u w:val="single"/>
          </w:rPr>
          <w:t>磁图矩阵的幂：傅里叶谱、行走压缩及其应用</w:t>
        </w:r>
      </w:hyperlink>
    </w:p>
    <w:p>
      <w:pPr>
        <w:spacing w:before="0" w:after="80"/>
      </w:pPr>
      <w:r>
        <w:rPr>
          <w:i/>
          <w:sz w:val="20"/>
        </w:rPr>
        <w:t>EN: Powers of magnetic graph matrix: Fourier spectrum, walk compression, and applications</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80">
        <w:r>
          <w:rPr>
            <w:color w:val="1155CC"/>
            <w:u w:val="single"/>
          </w:rPr>
          <w:t>10.1073/pnas.2516664123</w:t>
        </w:r>
      </w:hyperlink>
    </w:p>
    <w:p>
      <w:pPr>
        <w:spacing w:before="0" w:after="120"/>
      </w:pPr>
      <w:r>
        <w:rPr>
          <w:b/>
        </w:rPr>
        <w:t xml:space="preserve">Notes: </w:t>
      </w:r>
      <w:r>
        <w:t>abstract_source=crossref</w:t>
      </w:r>
    </w:p>
    <w:p>
      <w:pPr>
        <w:spacing w:before="0" w:after="80" w:lineRule="auto" w:line="276"/>
      </w:pPr>
      <w:r>
        <w:rPr>
          <w:b/>
        </w:rPr>
        <w:t xml:space="preserve">摘要（ZH）: </w:t>
      </w:r>
      <w:r>
        <w:t>磁图最初是为模拟磁场下的量子系统而开发的，最近已成为分析复杂有向网络的强大框架。现有研究主要利用磁图矩阵的谱特性来研究全局和稳态网络特征。然而，它们在模拟局部非平衡行为（通常由矩阵幂描述）方面的能力仍然很少被探索。我们通过有向行走轮廓——按边反转次数索引的图行走计数，提出了磁图矩阵幂的组合解释。关键是，我们建立了行走轮廓与磁矩阵幂的傅里叶变换相对应的关系。该连接允许从磁矩阵幂中精确重建行走轮廓。</w:t>
      </w:r>
    </w:p>
    <w:p>
      <w:pPr>
        <w:spacing w:before="0" w:after="200" w:lineRule="auto" w:line="276"/>
      </w:pPr>
      <w:r>
        <w:rPr>
          <w:b/>
        </w:rPr>
        <w:t xml:space="preserve">Abstract (EN): </w:t>
      </w:r>
      <w:r>
        <w:t>Magnetic graphs, originally developed to model quantum systems under magnetic fields, have recently emerged as a powerful framework for analyzing complex directed networks. Existing research has primarily used the spectral properties of the magnetic graph matrix to study global and stationary network features. However, their capacity to model local, nonequilibrium behaviors, often described by matrix powers, remains largely unexplored. We present a combinatorial interpretation of the magnetic graph matrix powers through directed walk profiles—counts of graph walks indexed by the number of edge reversals. Crucially, we establish that walk profiles correspond to a Fourier transform of magnetic matrix powers. The connection allows exact reconstruction of walk profiles from magnetic matrix powers at multiple discrete potentials, and more importantly, an even smaller number of potentials often suffices for accurate approximate reconstruction in real networks. This shows the empirical compressibility of the information captured by the magnetic matrix. This fresh perspective suggests further applications; for example, we illustrate how powers of the magnetic matrix can identify frustrated directed cycles (e.g., feedforward loops) and can be effectively employed for link prediction by encoding local structural details in directed graphs.</w:t>
      </w:r>
    </w:p>
    <w:p>
      <w:pPr>
        <w:spacing w:before="120" w:after="120"/>
      </w:pPr>
      <w:r>
        <w:rPr>
          <w:sz w:val="18"/>
        </w:rPr>
        <w:t>——————————————————————————————————————————————————————————————————————</w:t>
      </w:r>
    </w:p>
    <w:p>
      <w:pPr>
        <w:spacing w:before="160" w:after="40" w:line="240" w:lineRule="auto"/>
      </w:pPr>
      <w:r>
        <w:rPr>
          <w:b/>
        </w:rPr>
        <w:t xml:space="preserve">[497] </w:t>
      </w:r>
      <w:hyperlink r:id="rId1181">
        <w:r>
          <w:rPr>
            <w:color w:val="1155CC"/>
            <w:u w:val="single"/>
          </w:rPr>
          <w:t>代理AI与下一次智能爆炸</w:t>
        </w:r>
      </w:hyperlink>
    </w:p>
    <w:p>
      <w:pPr>
        <w:spacing w:before="0" w:after="80"/>
      </w:pPr>
      <w:r>
        <w:rPr>
          <w:i/>
          <w:sz w:val="20"/>
        </w:rPr>
        <w:t>EN: Agentic AI and the next intelligence explosion</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82">
        <w:r>
          <w:rPr>
            <w:color w:val="1155CC"/>
            <w:u w:val="single"/>
          </w:rPr>
          <w:t>10.1126/science.aeg1895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[498] </w:t>
      </w:r>
      <w:hyperlink r:id="rId1183">
        <w:r>
          <w:rPr>
            <w:color w:val="1155CC"/>
            <w:u w:val="single"/>
          </w:rPr>
          <w:t>通过捕获键工程克服T细胞对肿瘤自身抗原的耐受</w:t>
        </w:r>
      </w:hyperlink>
    </w:p>
    <w:p>
      <w:pPr>
        <w:spacing w:before="0" w:after="80"/>
      </w:pPr>
      <w:r>
        <w:rPr>
          <w:i/>
          <w:sz w:val="20"/>
        </w:rPr>
        <w:t>EN: Overcoming T cell tolerance to tumor self-antigens through catch-bond engineering</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84">
        <w:r>
          <w:rPr>
            <w:color w:val="1155CC"/>
            <w:u w:val="single"/>
          </w:rPr>
          <w:t>10.1126/science.adx3162</w:t>
        </w:r>
      </w:hyperlink>
    </w:p>
    <w:p>
      <w:pPr>
        <w:spacing w:before="0" w:after="120"/>
      </w:pPr>
      <w:r>
        <w:rPr>
          <w:b/>
        </w:rPr>
        <w:t xml:space="preserve">Notes: </w:t>
      </w:r>
      <w:r>
        <w:t>abstract_source=crossref</w:t>
      </w:r>
    </w:p>
    <w:p>
      <w:pPr>
        <w:spacing w:before="0" w:after="80" w:lineRule="auto" w:line="276"/>
      </w:pPr>
      <w:r>
        <w:rPr>
          <w:b/>
        </w:rPr>
        <w:t xml:space="preserve">摘要（ZH）: </w:t>
      </w:r>
      <w:r>
        <w:t>由于中心耐受性，T细胞对肿瘤自身抗原的反应通常较弱，限制了其消除肿瘤的能力。我们利用机械力设计了一种对非突变肿瘤相关抗原（TAA）前列腺酸性磷酸酶（PAP）特异的弱反应性T细胞受体（TCR）。我们识别出一个捕获键“热点”，其突变通过增加TCR–pMHC（肽–主要组织相容性复合物）键的寿命来增强T细胞活性，同时保留生理亲和力和抗原精细特异性。表达这些工程化TCR的T细胞在肿瘤中表现出极大的扩增、效应表型和肿瘤消除。晶体结构和分子动力学模拟揭示了捕获键热点的单个氨基酸突变。</w:t>
      </w:r>
    </w:p>
    <w:p>
      <w:pPr>
        <w:spacing w:before="0" w:after="200" w:lineRule="auto" w:line="276"/>
      </w:pPr>
      <w:r>
        <w:rPr>
          <w:b/>
        </w:rPr>
        <w:t xml:space="preserve">Abstract (EN): </w:t>
      </w:r>
      <w:r>
        <w:t>T cells are often weakly responsive to tumor self-antigens because of central tolerance, constraining their ability to eliminate tumors. We exploited mechanical force to engineer a weakly reactive T cell receptor (TCR) specific for a nonmutated tumor-associated antigen (TAA), prostatic acid phosphatase (PAP). We identified a catch-bonding “hotspot” whose mutation enhanced T cell activity by increasing TCR–pMHC (peptide–major histocompatibility complex) bond lifetime while preserving physiological affinities and antigen fine specificities. T cells expressing these engineered TCRs showed vastly superior expansion in the tumor, effector phenotypes, and tumor elimination. Crystal structures and molecular dynamics simulations revealed a single amino acid mutation at the catch-bond hotspot primes the TCR for peptide interaction through water reorganization at the TCR-pMHC interface. Catch-bond engineering is a viable biophysically based strategy for transforming tolerized antitumor T cells into potent TCR–T cell therapy killers.</w:t>
      </w:r>
    </w:p>
    <w:p>
      <w:pPr>
        <w:spacing w:before="120" w:after="120"/>
      </w:pPr>
      <w:r>
        <w:rPr>
          <w:sz w:val="18"/>
        </w:rPr>
        <w:t>——————————————————————————————————————————————————————————————————————</w:t>
      </w:r>
    </w:p>
    <w:p>
      <w:pPr>
        <w:spacing w:before="160" w:after="40" w:line="240" w:lineRule="auto"/>
      </w:pPr>
      <w:r>
        <w:rPr>
          <w:b/>
        </w:rPr>
        <w:t xml:space="preserve">[499] </w:t>
      </w:r>
      <w:hyperlink r:id="rId1185">
        <w:r>
          <w:rPr>
            <w:color w:val="1155CC"/>
            <w:u w:val="single"/>
          </w:rPr>
          <w:t>回复Suetsugu和Johnson：鸟类传播浆果状山药珠芽在低接收者成本下与贝氏拟态一致</w:t>
        </w:r>
      </w:hyperlink>
    </w:p>
    <w:p>
      <w:pPr>
        <w:spacing w:before="0" w:after="80"/>
      </w:pPr>
      <w:r>
        <w:rPr>
          <w:i/>
          <w:sz w:val="20"/>
        </w:rPr>
        <w:t>EN: Reply to Suetsugu and Johnson: Bird dispersal of berry-like yam bulbils is consistent with Batesian mimicry under low receiver cost</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86">
        <w:r>
          <w:rPr>
            <w:color w:val="1155CC"/>
            <w:u w:val="single"/>
          </w:rPr>
          <w:t>10.1073/pnas.2604887123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[500] </w:t>
      </w:r>
      <w:hyperlink r:id="rId1187">
        <w:r>
          <w:rPr>
            <w:color w:val="1155CC"/>
            <w:u w:val="single"/>
          </w:rPr>
          <w:t>回复Sacco：作为进化优化结果的完整空间</w:t>
        </w:r>
      </w:hyperlink>
    </w:p>
    <w:p>
      <w:pPr>
        <w:spacing w:before="0" w:after="80"/>
      </w:pPr>
      <w:r>
        <w:rPr>
          <w:i/>
          <w:sz w:val="20"/>
        </w:rPr>
        <w:t>EN: Reply to Sacco: Complete spaces as outcomes of evolutionary optimization</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88">
        <w:r>
          <w:rPr>
            <w:color w:val="1155CC"/>
            <w:u w:val="single"/>
          </w:rPr>
          <w:t>10.1073/pnas.2605961123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[501] </w:t>
      </w:r>
      <w:hyperlink r:id="rId1189">
        <w:r>
          <w:rPr>
            <w:color w:val="1155CC"/>
            <w:u w:val="single"/>
          </w:rPr>
          <w:t>DNA编码的配方指导多阶段胶体组装</w:t>
        </w:r>
      </w:hyperlink>
    </w:p>
    <w:p>
      <w:pPr>
        <w:spacing w:before="0" w:after="80"/>
      </w:pPr>
      <w:r>
        <w:rPr>
          <w:i/>
          <w:sz w:val="20"/>
        </w:rPr>
        <w:t>EN: A DNA-encoded recipe to direct multistage colloidal assembly</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90">
        <w:r>
          <w:rPr>
            <w:color w:val="1155CC"/>
            <w:u w:val="single"/>
          </w:rPr>
          <w:t>10.1073/pnas.2527410123</w:t>
        </w:r>
      </w:hyperlink>
    </w:p>
    <w:p>
      <w:pPr>
        <w:spacing w:before="0" w:after="120"/>
      </w:pPr>
      <w:r>
        <w:rPr>
          <w:b/>
        </w:rPr>
        <w:t xml:space="preserve">Notes: </w:t>
      </w:r>
      <w:r>
        <w:t>abstract_source=crossref</w:t>
      </w:r>
    </w:p>
    <w:p>
      <w:pPr>
        <w:spacing w:before="0" w:after="80" w:lineRule="auto" w:line="276"/>
      </w:pPr>
      <w:r>
        <w:rPr>
          <w:b/>
        </w:rPr>
        <w:t xml:space="preserve">摘要（ZH）: </w:t>
      </w:r>
      <w:r>
        <w:t>在平衡自组装中，微观构建块根据其相互作用势自发地自组织成稳定结构，这限制了可访问的结构特征仅限于自由能景观中的全局最小值；它们通常在与构建块大小相当的长度尺度上是有序和周期性的。将组装过程与放能反应耦合将系统驱动出平衡，从而可以设计组装路径以靶向特定的动力学稳定状态，这原则上打开了一个广阔的设计空间，可以访问具有多种长度尺度特征的复杂结构。然而，如何具体靶向这些特征的问题仍未得到解答。在这里，我们探索这一点。</w:t>
      </w:r>
    </w:p>
    <w:p>
      <w:pPr>
        <w:spacing w:before="0" w:after="200" w:lineRule="auto" w:line="276"/>
      </w:pPr>
      <w:r>
        <w:rPr>
          <w:b/>
        </w:rPr>
        <w:t xml:space="preserve">Abstract (EN): </w:t>
      </w:r>
      <w:r>
        <w:t>In equilibrium self-assembly, microscopic building blocks spontaneously self-organize into stable structures as dictated by their interaction potentials, which limits the accessible structural features to those that correspond to global minima in free energy landscapes; they are often ordered and periodic on length scales comparable to the building block size. Coupling the assembly process to an exergonic reaction drives the system out of equilibrium so that an assembly pathway can be engineered to target a specific kinetically stabilized state, which in principle opens up a vast design space with access to diverse complex structures with features on multiple length scales. However, the question of how such features might be specifically targeted remains unanswered. Here, we explore this design space using a DNA-encoded recipe consisting of multiple biomolecular reactions that dictate the time-dependent binding strength and specificity of each type of subunit in the sample independently, which makes it possible to program an assembly pathway that leads to a kinetically trapped final state. With this kinetic control, we show that the same set of building blocks can form clusters with different final structures. These structures, with tunable core-shell compositions, have feature sizes much larger than the building block size and are governed by the DNA-encoded assembly kinetics. Tuning the timing of individual biomolecular reactions using DNA-encoded recipes offers the opportunity to independently regulate how the many interactions of a large set of coassembling components evolve over time, opening up the potential of creating morphogenesis-like assembly processes involving engineered species.</w:t>
      </w:r>
    </w:p>
    <w:p>
      <w:pPr>
        <w:spacing w:before="120" w:after="120"/>
      </w:pPr>
      <w:r>
        <w:rPr>
          <w:sz w:val="18"/>
        </w:rPr>
        <w:t>——————————————————————————————————————————————————————————————————————</w:t>
      </w:r>
    </w:p>
    <w:p>
      <w:pPr>
        <w:spacing w:before="160" w:after="40" w:line="240" w:lineRule="auto"/>
      </w:pPr>
      <w:r>
        <w:rPr>
          <w:b/>
        </w:rPr>
        <w:t xml:space="preserve">[502] </w:t>
      </w:r>
      <w:hyperlink r:id="rId1191">
        <w:r>
          <w:rPr>
            <w:color w:val="1155CC"/>
            <w:u w:val="single"/>
          </w:rPr>
          <w:t>自生脊髓兴奋性回路确保灵长类动物熟练的手部动作</w:t>
        </w:r>
      </w:hyperlink>
    </w:p>
    <w:p>
      <w:pPr>
        <w:spacing w:before="0" w:after="80"/>
      </w:pPr>
      <w:r>
        <w:rPr>
          <w:i/>
          <w:sz w:val="20"/>
        </w:rPr>
        <w:t>EN: Autogenic spinal excitatory circuit ensures skilled hand movements in primates</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92">
        <w:r>
          <w:rPr>
            <w:color w:val="1155CC"/>
            <w:u w:val="single"/>
          </w:rPr>
          <w:t>10.1073/pnas.2525051123</w:t>
        </w:r>
      </w:hyperlink>
    </w:p>
    <w:p>
      <w:pPr>
        <w:spacing w:before="0" w:after="120"/>
      </w:pPr>
      <w:r>
        <w:rPr>
          <w:b/>
        </w:rPr>
        <w:t xml:space="preserve">Notes: </w:t>
      </w:r>
      <w:r>
        <w:t>abstract_source=crossref</w:t>
      </w:r>
    </w:p>
    <w:p>
      <w:pPr>
        <w:spacing w:before="0" w:after="80" w:lineRule="auto" w:line="276"/>
      </w:pPr>
      <w:r>
        <w:rPr>
          <w:b/>
        </w:rPr>
        <w:t xml:space="preserve">摘要（ZH）: </w:t>
      </w:r>
      <w:r>
        <w:t>灵巧的手部动作是包括人类在内的灵长类动物的标志，需要复杂的运动计划和执行。基于灵巧控制的皮层基础，我们的研究发现脊髓兴奋性反射回路形成了一个关键的补充通路，对灵巧手部动作的计划和执行有重要贡献。通过结合实验方法与行为非人灵长类动物和预测模拟，我们识别出一组兴奋性脊髓中间神经元，它们在自愿腕部运动期间协调一个闭环的正反馈机制。该机制的特征是中间神经元尖峰与肌肉活动之间的双向互动，由运动神经元传出的信号和本体感受器介导。</w:t>
      </w:r>
    </w:p>
    <w:p>
      <w:pPr>
        <w:spacing w:before="0" w:after="200" w:lineRule="auto" w:line="276"/>
      </w:pPr>
      <w:r>
        <w:rPr>
          <w:b/>
        </w:rPr>
        <w:t xml:space="preserve">Abstract (EN): </w:t>
      </w:r>
      <w:r>
        <w:t>Skillful hand movements are a hallmark of primates, including humans, requiring sophisticated motor planning and execution. Building on the well-established cortical basis of dexterous control, our findings show that spinal excitatory reflex circuits form a critical complementary pathway that contributes substantially to the planning and execution of skillful hand movements. Using a combination of experimental approaches with behaving nonhuman primates and predictive simulation, we identified a group of excitatory spinal interneurons that orchestrate a closed-loop, positive feedback mechanism during voluntary wrist movements. This mechanism is characterized by a bidirectional interaction between interneuronal spiking and muscle activity, mediated by motoneuronal efferent signals and proprioceptive afferent signals from the same agonistic muscles. Furthermore, we demonstrate that the temporal profile of muscle activity during movement execution, including amplitude and duration, is predetermined during motor planning at the spinal interneurons, functioning as a force-feedback gain within the excitatory circuit. These findings suggest that autogenic, Ib spinal excitatory circuits play a predominant role in shaping overall muscle activation during motor execution, provided the proper reflex gain is preset by higher neural systems during motor planning. Together, our findings provide cellular-level evidence that spinal reflex loops operate in parallel with cortical mechanisms to support skilled voluntary movements in primates.</w:t>
      </w:r>
    </w:p>
    <w:p>
      <w:pPr>
        <w:spacing w:before="120" w:after="120"/>
      </w:pPr>
      <w:r>
        <w:rPr>
          <w:sz w:val="18"/>
        </w:rPr>
        <w:t>——————————————————————————————————————————————————————————————————————</w:t>
      </w:r>
    </w:p>
    <w:p>
      <w:pPr>
        <w:spacing w:before="160" w:after="40" w:line="240" w:lineRule="auto"/>
      </w:pPr>
      <w:r>
        <w:rPr>
          <w:b/>
        </w:rPr>
        <w:t xml:space="preserve">[503] </w:t>
      </w:r>
      <w:hyperlink r:id="rId1193">
        <w:r>
          <w:rPr>
            <w:color w:val="1155CC"/>
            <w:u w:val="single"/>
          </w:rPr>
          <w:t>通过进化保守的分子途径控制Platynereis的生长和寿命的光感受器</w:t>
        </w:r>
      </w:hyperlink>
    </w:p>
    <w:p>
      <w:pPr>
        <w:spacing w:before="0" w:after="80"/>
      </w:pPr>
      <w:r>
        <w:rPr>
          <w:i/>
          <w:sz w:val="20"/>
        </w:rPr>
        <w:t>EN: Photoreceptor control of Platynereis growth and lifespan via evolutionarily conserved molecular pathways</w:t>
      </w:r>
    </w:p>
    <w:p>
      <w:pPr>
        <w:spacing w:before="0" w:after="120"/>
      </w:pPr>
      <w:r>
        <w:rPr>
          <w:b/>
        </w:rPr>
        <w:t xml:space="preserve">Source: </w:t>
      </w:r>
      <w:r>
        <w:t>Proceedings of the National Academy of Sciences: Keyword search for query</w:t>
      </w:r>
      <w:r>
        <w:t xml:space="preserve">    </w:t>
      </w:r>
      <w:r>
        <w:rPr>
          <w:b/>
        </w:rPr>
        <w:t xml:space="preserve">Pub date: </w:t>
      </w:r>
      <w:r>
        <w:t>2026-03-19 07:00:00+00:00</w:t>
      </w:r>
      <w:r>
        <w:t xml:space="preserve">    </w:t>
      </w:r>
      <w:r>
        <w:rPr>
          <w:b/>
        </w:rPr>
        <w:t xml:space="preserve">DOI: </w:t>
      </w:r>
      <w:hyperlink r:id="rId1194">
        <w:r>
          <w:rPr>
            <w:color w:val="1155CC"/>
            <w:u w:val="single"/>
          </w:rPr>
          <w:t>10.1073/pnas.2514719123</w:t>
        </w:r>
      </w:hyperlink>
    </w:p>
    <w:p>
      <w:pPr>
        <w:spacing w:before="0" w:after="120"/>
      </w:pPr>
      <w:r>
        <w:rPr>
          <w:b/>
        </w:rPr>
        <w:t xml:space="preserve">Notes: </w:t>
      </w:r>
      <w:r>
        <w:t>abstract_source=crossref</w:t>
      </w:r>
    </w:p>
    <w:p>
      <w:pPr>
        <w:spacing w:before="0" w:after="80" w:lineRule="auto" w:line="276"/>
      </w:pPr>
      <w:r>
        <w:rPr>
          <w:b/>
        </w:rPr>
        <w:t xml:space="preserve">摘要（ZH）: </w:t>
      </w:r>
      <w:r>
        <w:t>自然光受到人类对地球影响的严重影响，但对光受体在视觉和节律过程之外的作用知之甚少，尽管它们的广泛存在。在这里，我们展示了海洋多毛虫中光受体隐色素（l-cry）的功能丧失显著增加了寿命和成年体型，类似于在恒定黑暗中饲养的野生型。定量转录组学揭示了对无脊椎动物和脊椎动物性发育和繁殖至关重要的激素因子在l-cry突变体中受到影响。这些包括nr0b1/2，dax-1的同源物。</w:t>
      </w:r>
    </w:p>
    <w:p>
      <w:pPr>
        <w:spacing w:before="0" w:after="200" w:lineRule="auto" w:line="276"/>
      </w:pPr>
      <w:r>
        <w:rPr>
          <w:b/>
        </w:rPr>
        <w:t xml:space="preserve">Abstract (EN): </w:t>
      </w:r>
      <w:r>
        <w:t>Natural light is severely affected by human impact on Earth, yet little is known about the roles light receptors have outside vision and rhythmic processes, despite their tremendously wide abundance. Here we show that loss-of-function of the</w:t>
      </w:r>
      <w:r>
        <w:t xml:space="preserve"> </w:t>
      </w:r>
      <w:r>
        <w:t>light-receptive cryptochrome</w:t>
      </w:r>
      <w:r>
        <w:t xml:space="preserve"> </w:t>
      </w:r>
      <w:r>
        <w:t>(</w:t>
      </w:r>
      <w:r>
        <w:t xml:space="preserve"> </w:t>
      </w:r>
      <w:r>
        <w:t>l-cry</w:t>
      </w:r>
      <w:r>
        <w:t xml:space="preserve"> </w:t>
      </w:r>
      <w:r>
        <w:t>) in marine bristleworms significantly increases lifespan and adult size, similarly to wild-types reared in constant darkness. Quantitative transcriptomics revealed hormonal players crucial for invertebrate and vertebrate sexual development and reproduction affected in</w:t>
      </w:r>
      <w:r>
        <w:t xml:space="preserve"> </w:t>
      </w:r>
      <w:r>
        <w:t>l-cry</w:t>
      </w:r>
      <w:r>
        <w:t xml:space="preserve"> </w:t>
      </w:r>
      <w:r>
        <w:t>mutants. These include</w:t>
      </w:r>
      <w:r>
        <w:t xml:space="preserve"> </w:t>
      </w:r>
      <w:r>
        <w:t>nr0b1/2</w:t>
      </w:r>
      <w:r>
        <w:t xml:space="preserve"> </w:t>
      </w:r>
      <w:r>
        <w:t>, ortholog of</w:t>
      </w:r>
      <w:r>
        <w:t xml:space="preserve"> </w:t>
      </w:r>
      <w:r>
        <w:t>dax-1</w:t>
      </w:r>
      <w:r>
        <w:t xml:space="preserve"> </w:t>
      </w:r>
      <w:r>
        <w:t>(</w:t>
      </w:r>
      <w:r>
        <w:t xml:space="preserve"> </w:t>
      </w:r>
      <w:r>
        <w:t>nr0b1</w:t>
      </w:r>
      <w:r>
        <w:t xml:space="preserve"> </w:t>
      </w:r>
      <w:r>
        <w:t>) and</w:t>
      </w:r>
      <w:r>
        <w:t xml:space="preserve"> </w:t>
      </w:r>
      <w:r>
        <w:t>shp</w:t>
      </w:r>
      <w:r>
        <w:t xml:space="preserve"> </w:t>
      </w:r>
      <w:r>
        <w:t>(</w:t>
      </w:r>
      <w:r>
        <w:t xml:space="preserve"> </w:t>
      </w:r>
      <w:r>
        <w:t>nr0b2</w:t>
      </w:r>
      <w:r>
        <w:t xml:space="preserve"> </w:t>
      </w:r>
      <w:r>
        <w:t>), long considered vertebrate novelties. Depending on moon-phase,</w:t>
      </w:r>
      <w:r>
        <w:t xml:space="preserve"> </w:t>
      </w:r>
      <w:r>
        <w:t>nr0b1/2</w:t>
      </w:r>
      <w:r>
        <w:t xml:space="preserve"> </w:t>
      </w:r>
      <w:r>
        <w:t>is up- or down-regulated in</w:t>
      </w:r>
      <w:r>
        <w:t xml:space="preserve"> </w:t>
      </w:r>
      <w:r>
        <w:t>l-cry</w:t>
      </w:r>
      <w:r>
        <w:t xml:space="preserve"> </w:t>
      </w:r>
      <w:r>
        <w:t>mutants. Matching the complex regulation, data consistent with loss of</w:t>
      </w:r>
      <w:r>
        <w:t xml:space="preserve"> </w:t>
      </w:r>
      <w:r>
        <w:t>nr0b1/2</w:t>
      </w:r>
      <w:r>
        <w:t xml:space="preserve"> </w:t>
      </w:r>
      <w:r>
        <w:t>function partially recapitulate</w:t>
      </w:r>
      <w:r>
        <w:t xml:space="preserve"> </w:t>
      </w:r>
      <w:r>
        <w:t>l-cry</w:t>
      </w:r>
      <w:r>
        <w:t xml:space="preserve"> </w:t>
      </w:r>
      <w:r>
        <w:t>phenotypes. Molecularly,</w:t>
      </w:r>
      <w:r>
        <w:t xml:space="preserve"> </w:t>
      </w:r>
      <w:r>
        <w:t>Platynereis</w:t>
      </w:r>
      <w:r>
        <w:t xml:space="preserve"> </w:t>
      </w:r>
      <w:r>
        <w:t>Nr0b1/2 affects steroidogenic and other endocrine pathways, nuclear receptor signaling, and transcription factor orthologs involved in sexual developmental, reproductive, and timing processes in other organisms. Thus, our study suggests profound and direct effects of light on adult animal life-time, likely at least in part via conserved endocrine pathways involved in sexual maturation and reproduction in annelids and vertebrates.</w:t>
      </w:r>
    </w:p>
    <w:p>
      <w:pPr>
        <w:spacing w:before="120" w:after="120"/>
      </w:pPr>
      <w:r>
        <w:rPr>
          <w:sz w:val="18"/>
        </w:rPr>
        <w:t>——————————————————————————————————————————————————————————————————————</w:t>
      </w:r>
    </w:p>
    <w:p>
      <w:pPr>
        <w:spacing w:before="160" w:after="40" w:line="240" w:lineRule="auto"/>
      </w:pPr>
      <w:r>
        <w:rPr>
          <w:b/>
        </w:rPr>
        <w:t xml:space="preserve">[504] </w:t>
      </w:r>
      <w:hyperlink r:id="rId1195">
        <w:r>
          <w:rPr>
            <w:color w:val="1155CC"/>
            <w:u w:val="single"/>
          </w:rPr>
          <w:t>共生菌驱动的血清素生产调节合成和病毒载体的体内递送</w:t>
        </w:r>
      </w:hyperlink>
    </w:p>
    <w:p>
      <w:pPr>
        <w:spacing w:before="0" w:after="80"/>
      </w:pPr>
      <w:r>
        <w:rPr>
          <w:i/>
          <w:sz w:val="20"/>
        </w:rPr>
        <w:t>EN: Commensal-driven serotonin production modulates in vivo delivery of synthetic and viral vectors</w:t>
      </w:r>
    </w:p>
    <w:p>
      <w:pPr>
        <w:spacing w:before="0" w:after="120"/>
      </w:pPr>
      <w:r>
        <w:rPr>
          <w:b/>
        </w:rPr>
        <w:t xml:space="preserve">Source: </w:t>
      </w:r>
      <w:r>
        <w:t>AAAS: Science: Table of Contents</w:t>
      </w:r>
      <w:r>
        <w:t xml:space="preserve">    </w:t>
      </w:r>
      <w:r>
        <w:rPr>
          <w:b/>
        </w:rPr>
        <w:t xml:space="preserve">Pub date: </w:t>
      </w:r>
      <w:r>
        <w:t>2026-03-19 07:00:00+00:00</w:t>
      </w:r>
      <w:r>
        <w:t xml:space="preserve">    </w:t>
      </w:r>
      <w:r>
        <w:rPr>
          <w:b/>
        </w:rPr>
        <w:t xml:space="preserve">DOI: </w:t>
      </w:r>
      <w:hyperlink r:id="rId1196">
        <w:r>
          <w:rPr>
            <w:color w:val="1155CC"/>
            <w:u w:val="single"/>
          </w:rPr>
          <w:t>10.1126/science.adu7686</w:t>
        </w:r>
      </w:hyperlink>
    </w:p>
    <w:p>
      <w:pPr>
        <w:spacing w:before="0" w:after="120"/>
      </w:pPr>
      <w:r>
        <w:rPr>
          <w:b/>
        </w:rPr>
        <w:t xml:space="preserve">Notes: </w:t>
      </w:r>
      <w:r>
        <w:t>abstract_source=crossref</w:t>
      </w:r>
    </w:p>
    <w:p>
      <w:pPr>
        <w:spacing w:before="0" w:after="80" w:lineRule="auto" w:line="276"/>
      </w:pPr>
      <w:r>
        <w:rPr>
          <w:b/>
        </w:rPr>
        <w:t xml:space="preserve">摘要（ZH）: </w:t>
      </w:r>
      <w:r>
        <w:t>体内递送系统（IDSs）旨在保护和运输治疗物，但其临床应用受到低递送效率的阻碍。我们发现肠道微生物群是IDS疗法疗效的关键调节者，破坏共生宿主相互作用显著提高药物和基因递送。肠上皮细胞感知微生物刺激并通过5-羟色胺产生远程激活库普弗细胞，从而驱动肝脏IDS清除。通过受体阻断或饮食干预暂时抑制5-羟色胺信号传导，减轻肝脏IDS清除并提高递送效率。这一策略在化疗和溶瘤病毒疗法中实现了超过三倍的治疗增强，并在体内基因治疗中实现了5到15倍的改善。</w:t>
      </w:r>
    </w:p>
    <w:p>
      <w:pPr>
        <w:spacing w:before="0" w:after="200" w:lineRule="auto" w:line="276"/>
      </w:pPr>
      <w:r>
        <w:rPr>
          <w:b/>
        </w:rPr>
        <w:t xml:space="preserve">Abstract (EN): </w:t>
      </w:r>
      <w:r>
        <w:t>In vivo delivery systems (IDSs) are designed to protect and transport therapeutics, but their clinical applications are hindered by low delivery efficiency. We identified gut microbiota as key regulators of efficacy of IDS-based therapies and that disrupting commensal-host interactions markedly improves drug and gene delivery. Intestinal epithelial cells sense microbial stimulation and remotely activate Kupffer cells through serotonin production, thereby driving hepatic IDS clearance. Transient suppression of serotonin signaling, through receptor blockade or dietary intervention, mitigates hepatic IDS clearance and improves delivery efficiency. This strategy yielded more than threefold therapeutic enhancement in chemotherapy and oncolytic virotherapy and 5- to 15-fold improvements in somatic genome editing and messenger RNA–based therapies. These findings reveal a gut-liver immune axis that can be therapeutically exploited to improve IDS-based cancer and gene therapies.</w:t>
      </w:r>
    </w:p>
    <w:p>
      <w:pPr>
        <w:spacing w:before="120" w:after="120"/>
      </w:pPr>
      <w:r>
        <w:rPr>
          <w:sz w:val="18"/>
        </w:rPr>
        <w:t>——————————————————————————————————————————————————————————————————————</w:t>
      </w:r>
    </w:p>
    <w:p>
      <w:pPr>
        <w:spacing w:before="160" w:after="40" w:line="240" w:lineRule="auto"/>
      </w:pPr>
      <w:r>
        <w:rPr>
          <w:b/>
        </w:rPr>
        <w:t xml:space="preserve">[505] </w:t>
      </w:r>
      <w:hyperlink r:id="rId1197">
        <w:r>
          <w:rPr>
            <w:color w:val="1155CC"/>
            <w:u w:val="single"/>
          </w:rPr>
          <w:t>[ASAP] 电解质结构决定水中盐系统中的甲酸盐氧化</w:t>
        </w:r>
      </w:hyperlink>
    </w:p>
    <w:p>
      <w:pPr>
        <w:spacing w:before="0" w:after="80"/>
      </w:pPr>
      <w:r>
        <w:rPr>
          <w:i/>
          <w:sz w:val="20"/>
        </w:rPr>
        <w:t>EN: [ASAP] Electrolyte Structure Governs Formate Oxidation in Water-in-Salt Systems</w:t>
      </w:r>
    </w:p>
    <w:p>
      <w:pPr>
        <w:spacing w:before="0" w:after="120"/>
      </w:pPr>
      <w:r>
        <w:rPr>
          <w:b/>
        </w:rPr>
        <w:t xml:space="preserve">Source: </w:t>
      </w:r>
      <w:r>
        <w:t>Journal of the American Chemical Society: Latest Articles (ACS Publications)</w:t>
      </w:r>
      <w:r>
        <w:t xml:space="preserve">    </w:t>
      </w:r>
      <w:r>
        <w:rPr>
          <w:b/>
        </w:rPr>
        <w:t xml:space="preserve">Pub date: </w:t>
      </w:r>
      <w:r>
        <w:t>2026-03-19 09:54:08+00:00</w:t>
      </w:r>
      <w:r>
        <w:t xml:space="preserve">    </w:t>
      </w:r>
      <w:r>
        <w:rPr>
          <w:b/>
        </w:rPr>
        <w:t xml:space="preserve">DOI: </w:t>
      </w:r>
      <w:hyperlink r:id="rId1198">
        <w:r>
          <w:rPr>
            <w:color w:val="1155CC"/>
            <w:u w:val="single"/>
          </w:rPr>
          <w:t>10.1021/jacs.5c19298</w:t>
        </w:r>
      </w:hyperlink>
    </w:p>
    <w:p>
      <w:pPr>
        <w:spacing w:before="0" w:after="120"/>
      </w:pPr>
      <w:r>
        <w:rPr>
          <w:b/>
        </w:rPr>
        <w:t xml:space="preserve">Notes: </w:t>
      </w:r>
      <w:r>
        <w:t>abstract_source=pubmed</w:t>
      </w:r>
    </w:p>
    <w:p>
      <w:pPr>
        <w:spacing w:before="0" w:after="80" w:lineRule="auto" w:line="276"/>
      </w:pPr>
      <w:r>
        <w:rPr>
          <w:b/>
        </w:rPr>
        <w:t xml:space="preserve">摘要（ZH）: </w:t>
      </w:r>
      <w:r>
        <w:t>我们通过在铂上进行甲酸盐氧化反应，将水中盐电解质中的反应物浓度与局部结构效应分离。首先，我们观察到甲酸盐氧化电流在高浓度时达到平台。利用分子动力学和核磁共振光谱，我们将这一观察归因于亲水性甲酸盐反应物的离子聚集，这降低了导电性并阻碍了反应物的传输。然后，我们证明可以通过引入一种破坏聚集并促进甲酸盐氧化电流进一步增加的混乱阴离子（高氯酸盐）来克服这一限制。然而，当过量引入高氯酸盐时，氢键网络被破坏，导致质子传输受阻、局部酸化和增强的CO中毒，正如</w:t>
      </w:r>
    </w:p>
    <w:p>
      <w:pPr>
        <w:spacing w:before="0" w:after="200" w:lineRule="auto" w:line="276"/>
      </w:pPr>
      <w:r>
        <w:rPr>
          <w:b/>
        </w:rPr>
        <w:t xml:space="preserve">Abstract (EN): </w:t>
      </w:r>
      <w:r>
        <w:t>We disentangle reactant concentration from local structural effects in water-in-salt electrolytes using the formate oxidation reaction on Pt. First, we observe that formate oxidation currents plateau at high concentrations. Using molecular dynamics and NMR spectroscopy, we attribute this observation to ion clustering of the kosmotropic formate reactant, which reduces conductivity and impedes reactant transport. Then, we demonstrate that this limitation can be overcome by introducing a chaotropic anion (perchlorate) that disrupts clustering and facilitates a further increase in formate oxidation currents. However, when perchlorate is introduced in excess, the hydrogen-bonding network is disrupted, which leads to hindered proton transport, local acidification, and enhanced CO poisoning, as evidenced by SEIRAS. Our findings demonstrate a direct link between bulk electrolyte structure and catalytic activity, which can be used to enhance catalytic performance at high reactant concentrations.</w:t>
      </w:r>
    </w:p>
    <w:p>
      <w:pPr>
        <w:spacing w:before="120" w:after="120"/>
      </w:pPr>
      <w:r>
        <w:rPr>
          <w:sz w:val="18"/>
        </w:rPr>
        <w:t>——————————————————————————————————————————————————————————————————————</w:t>
      </w:r>
    </w:p>
    <w:p>
      <w:pPr>
        <w:spacing w:before="160" w:after="40" w:line="240" w:lineRule="auto"/>
      </w:pPr>
      <w:r>
        <w:rPr>
          <w:b/>
        </w:rPr>
        <w:t xml:space="preserve">[506] </w:t>
      </w:r>
      <w:hyperlink r:id="rId1199">
        <w:r>
          <w:rPr>
            <w:color w:val="1155CC"/>
            <w:u w:val="single"/>
          </w:rPr>
          <w:t>[ASAP] 小麦秸秆细胞壁的本征结构：来自X射线散射和固态NMR的统一模型</w:t>
        </w:r>
      </w:hyperlink>
    </w:p>
    <w:p>
      <w:pPr>
        <w:spacing w:before="0" w:after="80"/>
      </w:pPr>
      <w:r>
        <w:rPr>
          <w:i/>
          <w:sz w:val="20"/>
        </w:rPr>
        <w:t>EN: [ASAP] Native Architecture of Wheat Straw Cell Walls: A Unified Model from X-ray Scattering and Solid-State NMR</w:t>
      </w:r>
    </w:p>
    <w:p>
      <w:pPr>
        <w:spacing w:before="0" w:after="120"/>
      </w:pPr>
      <w:r>
        <w:rPr>
          <w:b/>
        </w:rPr>
        <w:t xml:space="preserve">Source: </w:t>
      </w:r>
      <w:r>
        <w:t>Journal of the American Chemical Society: Latest Articles (ACS Publications)</w:t>
      </w:r>
      <w:r>
        <w:t xml:space="preserve">    </w:t>
      </w:r>
      <w:r>
        <w:rPr>
          <w:b/>
        </w:rPr>
        <w:t xml:space="preserve">Pub date: </w:t>
      </w:r>
      <w:r>
        <w:t>2026-03-19 10:23:39+00:00</w:t>
      </w:r>
      <w:r>
        <w:t xml:space="preserve">    </w:t>
      </w:r>
      <w:r>
        <w:rPr>
          <w:b/>
        </w:rPr>
        <w:t xml:space="preserve">DOI: </w:t>
      </w:r>
      <w:hyperlink r:id="rId1200">
        <w:r>
          <w:rPr>
            <w:color w:val="1155CC"/>
            <w:u w:val="single"/>
          </w:rPr>
          <w:t>10.1021/jacs.5c23116</w:t>
        </w:r>
      </w:hyperlink>
    </w:p>
    <w:p>
      <w:pPr>
        <w:spacing w:before="0" w:after="120"/>
      </w:pPr>
      <w:r>
        <w:rPr>
          <w:b/>
        </w:rPr>
        <w:t xml:space="preserve">Notes: </w:t>
      </w:r>
      <w:r>
        <w:t>abstract_source=pubmed</w:t>
      </w:r>
    </w:p>
    <w:p>
      <w:pPr>
        <w:spacing w:before="0" w:after="80" w:lineRule="auto" w:line="276"/>
      </w:pPr>
      <w:r>
        <w:rPr>
          <w:b/>
        </w:rPr>
        <w:t xml:space="preserve">摘要（ZH）: </w:t>
      </w:r>
      <w:r>
        <w:t>植物次生细胞壁构成了可再生生物质的主要储库，由纳米尺度上紧密堆积的纤维素、半纤维素和木质素组成。固态核磁共振光谱的最新进展和用于生物质表征的小角X射线散射的可用性导致了关于细胞壁组织的实验数据的积累，但尚无明确的结构模型同时满足X射线和核磁共振的观察。以小麦秸秆为模型系统，我们提出了一个与当前纤维素生物合成、X射线散射数据以及一维和二维13C固态核磁共振光谱知识一致的结构框架。在该模型中，18链基本纤丝平行排列并随机填充横截面。阿拉伯糖取代</w:t>
      </w:r>
    </w:p>
    <w:p>
      <w:pPr>
        <w:spacing w:before="0" w:after="200" w:lineRule="auto" w:line="276"/>
      </w:pPr>
      <w:r>
        <w:rPr>
          <w:b/>
        </w:rPr>
        <w:t xml:space="preserve">Abstract (EN): </w:t>
      </w:r>
      <w:r>
        <w:t>Plant secondary cell walls constitute the dominant reservoir of renewable biomass, comprising tightly packed cellulose, hemicellulose, and lignin at the nanoscale. Recent advances in solid-state NMR spectroscopy and the availability of small-angle X-ray scattering for biomass characterization have led to an accumulation of experimental data on cell wall organization, yet no explicit structure model has simultaneously satisfied both X-ray and NMR observations. Using wheat straw as a model system, we propose a structural framework consistent with current knowledge of cellulose biosynthesis, X-ray scattering data, and one- and two-dimensional 13C solid-state NMR spectra. In this model, 18-chain elementary fibrils align in parallel and populate the cross-section at random. Arabinose-substituted xylan shows no conformational dependence for cellulose-binding in wheat, and only a minor fraction of 2-fold xylan appears in close proximity to cellulose, unlike in Arabidopsis, where xylan is more tightly attached to the cellulose surface. While NMR data cannot unambiguously resolve the internal arrangement of the 18 glucan chains, X-ray scattering profiles uniquely constrain the fibril size and exclude the possibility of tight bundling in the intact walls. The specific interaction between the matrix polymers and the cellulose elementary fibrils must be reconsidered in light of the small interfibril spaces, which bring the matrix components into spatial proximity with cellulose even in the absence of attractive interactions. These findings provide fundamental molecular-level insight into cellulose fibril architecture and matrix-polymer interactions, resolving longstanding discrepancies between spectroscopic and scattering data and advancing our understanding of biopolymer assembly into structurally and functionally versatile lignocellulosic biomaterials.</w:t>
      </w:r>
    </w:p>
    <w:p>
      <w:pPr>
        <w:spacing w:before="120" w:after="120"/>
      </w:pPr>
      <w:r>
        <w:rPr>
          <w:sz w:val="18"/>
        </w:rPr>
        <w:t>——————————————————————————————————————————————————————————————————————</w:t>
      </w:r>
    </w:p>
    <w:p>
      <w:pPr>
        <w:spacing w:before="160" w:after="40" w:line="240" w:lineRule="auto"/>
      </w:pPr>
      <w:r>
        <w:rPr>
          <w:b/>
        </w:rPr>
        <w:t xml:space="preserve">[507] </w:t>
      </w:r>
      <w:hyperlink r:id="rId1201">
        <w:r>
          <w:rPr>
            <w:color w:val="1155CC"/>
            <w:u w:val="single"/>
          </w:rPr>
          <w:t>[ASAP] 揭示海水微滴在加速钢腐蚀中的作用</w:t>
        </w:r>
      </w:hyperlink>
    </w:p>
    <w:p>
      <w:pPr>
        <w:spacing w:before="0" w:after="80"/>
      </w:pPr>
      <w:r>
        <w:rPr>
          <w:i/>
          <w:sz w:val="20"/>
        </w:rPr>
        <w:t>EN: [ASAP] Unveiling the Role of Seawater Microdroplets in Accelerating Steel Corrosion</w:t>
      </w:r>
    </w:p>
    <w:p>
      <w:pPr>
        <w:spacing w:before="0" w:after="120"/>
      </w:pPr>
      <w:r>
        <w:rPr>
          <w:b/>
        </w:rPr>
        <w:t xml:space="preserve">Source: </w:t>
      </w:r>
      <w:r>
        <w:t>Journal of the American Chemical Society: Latest Articles (ACS Publications)</w:t>
      </w:r>
      <w:r>
        <w:t xml:space="preserve">    </w:t>
      </w:r>
      <w:r>
        <w:rPr>
          <w:b/>
        </w:rPr>
        <w:t xml:space="preserve">Pub date: </w:t>
      </w:r>
      <w:r>
        <w:t>2026-03-19 12:47:23+00:00</w:t>
      </w:r>
      <w:r>
        <w:t xml:space="preserve">    </w:t>
      </w:r>
      <w:r>
        <w:rPr>
          <w:b/>
        </w:rPr>
        <w:t xml:space="preserve">DOI: </w:t>
      </w:r>
      <w:hyperlink r:id="rId1202">
        <w:r>
          <w:rPr>
            <w:color w:val="1155CC"/>
            <w:u w:val="single"/>
          </w:rPr>
          <w:t>10.1021/jacs.5c20003</w:t>
        </w:r>
      </w:hyperlink>
    </w:p>
    <w:p>
      <w:pPr>
        <w:spacing w:before="0" w:after="120"/>
      </w:pPr>
      <w:r>
        <w:rPr>
          <w:b/>
        </w:rPr>
        <w:t xml:space="preserve">Notes: </w:t>
      </w:r>
      <w:r>
        <w:t>abstract_source=pubmed</w:t>
      </w:r>
    </w:p>
    <w:p>
      <w:pPr>
        <w:spacing w:before="0" w:after="80" w:lineRule="auto" w:line="276"/>
      </w:pPr>
      <w:r>
        <w:rPr>
          <w:b/>
        </w:rPr>
        <w:t xml:space="preserve">摘要（ZH）: </w:t>
      </w:r>
      <w:r>
        <w:t>在海洋环境中，飞溅引起的微滴是高度侵蚀性的腐蚀介质，其金属腐蚀速率比完全浸没区域高出数倍。虽然导致飞溅区腐蚀的宏观因素已被广泛研究，但海水微滴的化学反应性提供了一种以前未被充分认识的补充机制，进一步增强了腐蚀。在此，我们证明了微滴内活性自由基物质的自发生成显著加速了金属氧化。值得注意的是，NaCl微滴中碳钢的腐蚀速率比NaCl体积水中高出一个数量级以上。电子顺磁共振和荧光测定显示持续生成羟基自由基（·OH）和氢</w:t>
      </w:r>
    </w:p>
    <w:p>
      <w:pPr>
        <w:spacing w:before="0" w:after="200" w:lineRule="auto" w:line="276"/>
      </w:pPr>
      <w:r>
        <w:rPr>
          <w:b/>
        </w:rPr>
        <w:t xml:space="preserve">Abstract (EN): </w:t>
      </w:r>
      <w:r>
        <w:t>In marine environments, splash-induced microdroplets are highly aggressive corrosion media, producing metal corrosion rates several times higher than in fully immersed regions. While macroscopic factors contributing to splash-zone corrosion are well established, the chemical reactivity of seawater microdroplets provides a previously underappreciated complementary mechanism that further enhances corrosion. Here, we demonstrate that the spontaneous generation of reactive radical species within microdroplets significantly accelerates metal oxidation. Notably, the corrosion rate of carbon steel in NaCl microdroplets is over an order of magnitude higher than in NaCl bulk water. Electron paramagnetic resonance and fluorometric assays reveal sustained generation of hydroxyl radicals (·OH) and hydrogen peroxide (H2O2) in microdroplets, negligible in bulk. These species drive a two-stage acceleration: (i) surface ·OH initiates rapid Fe oxidation and (ii) H2O2 reacts with Fe2+ via a cyclic Fenton process, regenerating ·OH and forming an FeOOH layer. Time-of-flight secondary-ion mass spectrometry shows that high-salinity Cl- subsequently displaces FeOOH to form soluble FeOCl, exposing fresh metal and sustaining localized corrosion. This study highlights spontaneously generated reactive species in microdroplets as a key driver of splash zone corrosion, offering insights for radical-targeted protective coatings.</w:t>
      </w:r>
    </w:p>
    <w:p>
      <w:pPr>
        <w:spacing w:before="120" w:after="120"/>
      </w:pPr>
      <w:r>
        <w:rPr>
          <w:sz w:val="18"/>
        </w:rPr>
        <w:t>——————————————————————————————————————————————————————————————————————</w:t>
      </w:r>
    </w:p>
    <w:p>
      <w:pPr>
        <w:spacing w:before="160" w:after="40" w:line="240" w:lineRule="auto"/>
      </w:pPr>
      <w:r>
        <w:rPr>
          <w:b/>
        </w:rPr>
        <w:t xml:space="preserve">[508] </w:t>
      </w:r>
      <w:hyperlink r:id="rId1203">
        <w:r>
          <w:rPr>
            <w:color w:val="1155CC"/>
            <w:u w:val="single"/>
          </w:rPr>
          <w:t>[ASAP] 卤化物钙钛矿太阳能电池和LED中的缺陷钝化策略</w:t>
        </w:r>
      </w:hyperlink>
    </w:p>
    <w:p>
      <w:pPr>
        <w:spacing w:before="0" w:after="80"/>
      </w:pPr>
      <w:r>
        <w:rPr>
          <w:i/>
          <w:sz w:val="20"/>
        </w:rPr>
        <w:t>EN: [ASAP] Defect Passivation Strategies in Halide Perovskite Solar Cells and LEDs</w:t>
      </w:r>
    </w:p>
    <w:p>
      <w:pPr>
        <w:spacing w:before="0" w:after="120"/>
      </w:pPr>
      <w:r>
        <w:rPr>
          <w:b/>
        </w:rPr>
        <w:t xml:space="preserve">Source: </w:t>
      </w:r>
      <w:r>
        <w:t>ACS Energy Letters: Latest Articles (ACS Publications)</w:t>
      </w:r>
      <w:r>
        <w:t xml:space="preserve">    </w:t>
      </w:r>
      <w:r>
        <w:rPr>
          <w:b/>
        </w:rPr>
        <w:t xml:space="preserve">Pub date: </w:t>
      </w:r>
      <w:r>
        <w:t>2026-03-19 12:56:11+00:00</w:t>
      </w:r>
      <w:r>
        <w:t xml:space="preserve">    </w:t>
      </w:r>
      <w:r>
        <w:rPr>
          <w:b/>
        </w:rPr>
        <w:t xml:space="preserve">DOI: </w:t>
      </w:r>
      <w:hyperlink r:id="rId1204">
        <w:r>
          <w:rPr>
            <w:color w:val="1155CC"/>
            <w:u w:val="single"/>
          </w:rPr>
          <w:t>10.1021/acsenergylett.5c04238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1421526001825?dgcid=rss_sd_all" TargetMode="External"/><Relationship Id="rId10" Type="http://schemas.openxmlformats.org/officeDocument/2006/relationships/hyperlink" Target="https://advanced.onlinelibrary.wiley.com/doi/10.1002/adma.72755?af=R" TargetMode="External"/><Relationship Id="rId11" Type="http://schemas.openxmlformats.org/officeDocument/2006/relationships/hyperlink" Target="https://doi.org/10.1002/adma.72755" TargetMode="External"/><Relationship Id="rId12" Type="http://schemas.openxmlformats.org/officeDocument/2006/relationships/hyperlink" Target="http://dx.doi.org/10.1021/jacs.6c01306" TargetMode="External"/><Relationship Id="rId13" Type="http://schemas.openxmlformats.org/officeDocument/2006/relationships/hyperlink" Target="https://doi.org/10.1021/jacs.6c01306" TargetMode="External"/><Relationship Id="rId14" Type="http://schemas.openxmlformats.org/officeDocument/2006/relationships/hyperlink" Target="https://www.sciencedirect.com/science/article/pii/S0306261926003193?dgcid=rss_sd_all" TargetMode="External"/><Relationship Id="rId15" Type="http://schemas.openxmlformats.org/officeDocument/2006/relationships/hyperlink" Target="https://www.nature.com/articles/s41560-026-02010-z" TargetMode="External"/><Relationship Id="rId16" Type="http://schemas.openxmlformats.org/officeDocument/2006/relationships/hyperlink" Target="https://doi.org/10.1038/s41560-026-02010-z" TargetMode="External"/><Relationship Id="rId17" Type="http://schemas.openxmlformats.org/officeDocument/2006/relationships/hyperlink" Target="https://onlinelibrary.wiley.com/doi/10.1002/anie.3450174?af=R" TargetMode="External"/><Relationship Id="rId18" Type="http://schemas.openxmlformats.org/officeDocument/2006/relationships/hyperlink" Target="https://doi.org/10.1002/anie.3450174" TargetMode="External"/><Relationship Id="rId19" Type="http://schemas.openxmlformats.org/officeDocument/2006/relationships/hyperlink" Target="https://onlinelibrary.wiley.com/doi/10.1002/anie.8473744?af=R" TargetMode="External"/><Relationship Id="rId20" Type="http://schemas.openxmlformats.org/officeDocument/2006/relationships/hyperlink" Target="https://doi.org/10.1002/anie.8473744" TargetMode="External"/><Relationship Id="rId21" Type="http://schemas.openxmlformats.org/officeDocument/2006/relationships/hyperlink" Target="http://dx.doi.org/10.1021/acsenergylett.6c00419" TargetMode="External"/><Relationship Id="rId22" Type="http://schemas.openxmlformats.org/officeDocument/2006/relationships/hyperlink" Target="https://doi.org/10.1021/acsenergylett.6c00419" TargetMode="External"/><Relationship Id="rId23" Type="http://schemas.openxmlformats.org/officeDocument/2006/relationships/hyperlink" Target="http://dx.doi.org/10.1021/acsenergylett.6c00210" TargetMode="External"/><Relationship Id="rId24" Type="http://schemas.openxmlformats.org/officeDocument/2006/relationships/hyperlink" Target="https://doi.org/10.1021/acsenergylett.6c00210" TargetMode="External"/><Relationship Id="rId25" Type="http://schemas.openxmlformats.org/officeDocument/2006/relationships/hyperlink" Target="https://advanced.onlinelibrary.wiley.com/doi/10.1002/adma.72823?af=R" TargetMode="External"/><Relationship Id="rId26" Type="http://schemas.openxmlformats.org/officeDocument/2006/relationships/hyperlink" Target="https://doi.org/10.1002/adma.72823" TargetMode="External"/><Relationship Id="rId27" Type="http://schemas.openxmlformats.org/officeDocument/2006/relationships/hyperlink" Target="https://www.nature.com/articles/s41586-026-10385-y" TargetMode="External"/><Relationship Id="rId28" Type="http://schemas.openxmlformats.org/officeDocument/2006/relationships/hyperlink" Target="https://doi.org/10.1038/s41586-026-10385-y" TargetMode="External"/><Relationship Id="rId29" Type="http://schemas.openxmlformats.org/officeDocument/2006/relationships/hyperlink" Target="https://advanced.onlinelibrary.wiley.com/doi/10.1002/adma.202518808?af=R" TargetMode="External"/><Relationship Id="rId30" Type="http://schemas.openxmlformats.org/officeDocument/2006/relationships/hyperlink" Target="https://doi.org/10.1002/adma.202518808" TargetMode="External"/><Relationship Id="rId31" Type="http://schemas.openxmlformats.org/officeDocument/2006/relationships/hyperlink" Target="https://advanced.onlinelibrary.wiley.com/doi/10.1002/aenm.70834?af=R" TargetMode="External"/><Relationship Id="rId32" Type="http://schemas.openxmlformats.org/officeDocument/2006/relationships/hyperlink" Target="https://doi.org/10.1002/aenm.70834" TargetMode="External"/><Relationship Id="rId33" Type="http://schemas.openxmlformats.org/officeDocument/2006/relationships/hyperlink" Target="https://advanced.onlinelibrary.wiley.com/doi/10.1002/aenm.202506494?af=R" TargetMode="External"/><Relationship Id="rId34" Type="http://schemas.openxmlformats.org/officeDocument/2006/relationships/hyperlink" Target="https://doi.org/10.1002/aenm.202506494" TargetMode="External"/><Relationship Id="rId35" Type="http://schemas.openxmlformats.org/officeDocument/2006/relationships/hyperlink" Target="http://dx.doi.org/10.1021/jacs.6c02548" TargetMode="External"/><Relationship Id="rId36" Type="http://schemas.openxmlformats.org/officeDocument/2006/relationships/hyperlink" Target="https://doi.org/10.1021/jacs.6c02548" TargetMode="External"/><Relationship Id="rId37" Type="http://schemas.openxmlformats.org/officeDocument/2006/relationships/hyperlink" Target="https://www.nature.com/articles/s41586-026-10275-3" TargetMode="External"/><Relationship Id="rId38" Type="http://schemas.openxmlformats.org/officeDocument/2006/relationships/hyperlink" Target="https://doi.org/10.1038/s41586-026-10275-3" TargetMode="External"/><Relationship Id="rId39" Type="http://schemas.openxmlformats.org/officeDocument/2006/relationships/hyperlink" Target="https://advanced.onlinelibrary.wiley.com/doi/10.1002/aenm.202506804?af=R" TargetMode="External"/><Relationship Id="rId40" Type="http://schemas.openxmlformats.org/officeDocument/2006/relationships/hyperlink" Target="https://doi.org/10.1002/aenm.202506804" TargetMode="External"/><Relationship Id="rId41" Type="http://schemas.openxmlformats.org/officeDocument/2006/relationships/hyperlink" Target="http://dx.doi.org/10.1021/acsenergylett.5c04210" TargetMode="External"/><Relationship Id="rId42" Type="http://schemas.openxmlformats.org/officeDocument/2006/relationships/hyperlink" Target="https://doi.org/10.1021/acsenergylett.5c04210" TargetMode="External"/><Relationship Id="rId43" Type="http://schemas.openxmlformats.org/officeDocument/2006/relationships/hyperlink" Target="https://www.cell.com/joule/fulltext/S2542-4351(26)00029-2?rss=yes" TargetMode="External"/><Relationship Id="rId44" Type="http://schemas.openxmlformats.org/officeDocument/2006/relationships/hyperlink" Target="https://doi.org/10.1016/j.joule.2026.102345" TargetMode="External"/><Relationship Id="rId45" Type="http://schemas.openxmlformats.org/officeDocument/2006/relationships/hyperlink" Target="http://pubs.rsc.org/en/Content/ArticleLanding/2026/EE/D5EE07561K" TargetMode="External"/><Relationship Id="rId46" Type="http://schemas.openxmlformats.org/officeDocument/2006/relationships/hyperlink" Target="http://pubs.rsc.org/en/Content/ArticleLanding/2026/EE/D5EE07830J" TargetMode="External"/><Relationship Id="rId47" Type="http://schemas.openxmlformats.org/officeDocument/2006/relationships/hyperlink" Target="https://academic.oup.com/nsr/advance-article/doi/10.1093/nsr/nwag177/8528991?rss=1" TargetMode="External"/><Relationship Id="rId48" Type="http://schemas.openxmlformats.org/officeDocument/2006/relationships/hyperlink" Target="https://doi.org/10.1093/nsr/nwag177" TargetMode="External"/><Relationship Id="rId49" Type="http://schemas.openxmlformats.org/officeDocument/2006/relationships/hyperlink" Target="https://advanced.onlinelibrary.wiley.com/doi/10.1002/aenm.202505262?af=R" TargetMode="External"/><Relationship Id="rId50" Type="http://schemas.openxmlformats.org/officeDocument/2006/relationships/hyperlink" Target="https://doi.org/10.1002/aenm.202505262" TargetMode="External"/><Relationship Id="rId51" Type="http://schemas.openxmlformats.org/officeDocument/2006/relationships/hyperlink" Target="https://www.nature.com/articles/s41467-026-70616-8" TargetMode="External"/><Relationship Id="rId52" Type="http://schemas.openxmlformats.org/officeDocument/2006/relationships/hyperlink" Target="https://doi.org/10.1038/s41467-026-70616-8" TargetMode="External"/><Relationship Id="rId53" Type="http://schemas.openxmlformats.org/officeDocument/2006/relationships/hyperlink" Target="https://www.nature.com/articles/s41467-026-70800-w" TargetMode="External"/><Relationship Id="rId54" Type="http://schemas.openxmlformats.org/officeDocument/2006/relationships/hyperlink" Target="https://doi.org/10.1038/s41467-026-70800-w" TargetMode="External"/><Relationship Id="rId55" Type="http://schemas.openxmlformats.org/officeDocument/2006/relationships/hyperlink" Target="https://advanced.onlinelibrary.wiley.com/doi/10.1002/aenm.70842?af=R" TargetMode="External"/><Relationship Id="rId56" Type="http://schemas.openxmlformats.org/officeDocument/2006/relationships/hyperlink" Target="https://doi.org/10.1002/aenm.70842" TargetMode="External"/><Relationship Id="rId57" Type="http://schemas.openxmlformats.org/officeDocument/2006/relationships/hyperlink" Target="https://advanced.onlinelibrary.wiley.com/doi/10.1002/aenm.70803?af=R" TargetMode="External"/><Relationship Id="rId58" Type="http://schemas.openxmlformats.org/officeDocument/2006/relationships/hyperlink" Target="https://doi.org/10.1002/aenm.70803" TargetMode="External"/><Relationship Id="rId59" Type="http://schemas.openxmlformats.org/officeDocument/2006/relationships/hyperlink" Target="http://dx.doi.org/10.1021/jacs.5c16178" TargetMode="External"/><Relationship Id="rId60" Type="http://schemas.openxmlformats.org/officeDocument/2006/relationships/hyperlink" Target="https://doi.org/10.1021/jacs.5c16178" TargetMode="External"/><Relationship Id="rId61" Type="http://schemas.openxmlformats.org/officeDocument/2006/relationships/hyperlink" Target="https://onlinelibrary.wiley.com/doi/10.1002/anie.4505904?af=R" TargetMode="External"/><Relationship Id="rId62" Type="http://schemas.openxmlformats.org/officeDocument/2006/relationships/hyperlink" Target="https://doi.org/10.1002/anie.4505904" TargetMode="External"/><Relationship Id="rId63" Type="http://schemas.openxmlformats.org/officeDocument/2006/relationships/hyperlink" Target="https://onlinelibrary.wiley.com/doi/10.1002/anie.4518858?af=R" TargetMode="External"/><Relationship Id="rId64" Type="http://schemas.openxmlformats.org/officeDocument/2006/relationships/hyperlink" Target="https://doi.org/10.1002/anie.4518858" TargetMode="External"/><Relationship Id="rId65" Type="http://schemas.openxmlformats.org/officeDocument/2006/relationships/hyperlink" Target="https://academic.oup.com/nsr/advance-article/doi/10.1093/nsr/nwag165/8526392?rss=1" TargetMode="External"/><Relationship Id="rId66" Type="http://schemas.openxmlformats.org/officeDocument/2006/relationships/hyperlink" Target="https://doi.org/10.1093/nsr/nwag165" TargetMode="External"/><Relationship Id="rId67" Type="http://schemas.openxmlformats.org/officeDocument/2006/relationships/hyperlink" Target="https://advanced.onlinelibrary.wiley.com/doi/10.1002/aenm.70848?af=R" TargetMode="External"/><Relationship Id="rId68" Type="http://schemas.openxmlformats.org/officeDocument/2006/relationships/hyperlink" Target="https://doi.org/10.1002/aenm.70848" TargetMode="External"/><Relationship Id="rId69" Type="http://schemas.openxmlformats.org/officeDocument/2006/relationships/hyperlink" Target="https://advanced.onlinelibrary.wiley.com/doi/10.1002/aenm.202506432?af=R" TargetMode="External"/><Relationship Id="rId70" Type="http://schemas.openxmlformats.org/officeDocument/2006/relationships/hyperlink" Target="https://doi.org/10.1002/aenm.202506432" TargetMode="External"/><Relationship Id="rId71" Type="http://schemas.openxmlformats.org/officeDocument/2006/relationships/hyperlink" Target="https://onlinelibrary.wiley.com/doi/10.1002/anie.3957939?af=R" TargetMode="External"/><Relationship Id="rId72" Type="http://schemas.openxmlformats.org/officeDocument/2006/relationships/hyperlink" Target="https://doi.org/10.1002/anie.3957939" TargetMode="External"/><Relationship Id="rId73" Type="http://schemas.openxmlformats.org/officeDocument/2006/relationships/hyperlink" Target="https://www.sciencedirect.com/science/article/pii/S0306261926003399?dgcid=rss_sd_all" TargetMode="External"/><Relationship Id="rId74" Type="http://schemas.openxmlformats.org/officeDocument/2006/relationships/hyperlink" Target="https://advanced.onlinelibrary.wiley.com/doi/10.1002/adma.72851?af=R" TargetMode="External"/><Relationship Id="rId75" Type="http://schemas.openxmlformats.org/officeDocument/2006/relationships/hyperlink" Target="https://doi.org/10.1002/adma.72851" TargetMode="External"/><Relationship Id="rId76" Type="http://schemas.openxmlformats.org/officeDocument/2006/relationships/hyperlink" Target="https://advanced.onlinelibrary.wiley.com/doi/10.1002/adma.202520303?af=R" TargetMode="External"/><Relationship Id="rId77" Type="http://schemas.openxmlformats.org/officeDocument/2006/relationships/hyperlink" Target="https://doi.org/10.1002/adma.202520303" TargetMode="External"/><Relationship Id="rId78" Type="http://schemas.openxmlformats.org/officeDocument/2006/relationships/hyperlink" Target="http://dx.doi.org/10.1021/acsenergylett.6c00417" TargetMode="External"/><Relationship Id="rId79" Type="http://schemas.openxmlformats.org/officeDocument/2006/relationships/hyperlink" Target="https://doi.org/10.1021/acsenergylett.6c00417" TargetMode="External"/><Relationship Id="rId80" Type="http://schemas.openxmlformats.org/officeDocument/2006/relationships/hyperlink" Target="http://dx.doi.org/10.1021/jacs.5c23270" TargetMode="External"/><Relationship Id="rId81" Type="http://schemas.openxmlformats.org/officeDocument/2006/relationships/hyperlink" Target="https://doi.org/10.1021/jacs.5c23270" TargetMode="External"/><Relationship Id="rId82" Type="http://schemas.openxmlformats.org/officeDocument/2006/relationships/hyperlink" Target="https://academic.oup.com/nsr/advance-article/doi/10.1093/nsr/nwag180/8528979?rss=1" TargetMode="External"/><Relationship Id="rId83" Type="http://schemas.openxmlformats.org/officeDocument/2006/relationships/hyperlink" Target="https://doi.org/10.1093/nsr/nwag180" TargetMode="External"/><Relationship Id="rId84" Type="http://schemas.openxmlformats.org/officeDocument/2006/relationships/hyperlink" Target="http://dx.doi.org/10.1021/jacs.6c00236" TargetMode="External"/><Relationship Id="rId85" Type="http://schemas.openxmlformats.org/officeDocument/2006/relationships/hyperlink" Target="https://doi.org/10.1021/jacs.6c00236" TargetMode="External"/><Relationship Id="rId86" Type="http://schemas.openxmlformats.org/officeDocument/2006/relationships/hyperlink" Target="https://www.sciencedirect.com/science/article/pii/S0306261926003417?dgcid=rss_sd_all" TargetMode="External"/><Relationship Id="rId87" Type="http://schemas.openxmlformats.org/officeDocument/2006/relationships/hyperlink" Target="https://www.sciencedirect.com/science/article/pii/S0306261926003405?dgcid=rss_sd_all" TargetMode="External"/><Relationship Id="rId88" Type="http://schemas.openxmlformats.org/officeDocument/2006/relationships/hyperlink" Target="https://advanced.onlinelibrary.wiley.com/doi/10.1002/aenm.70831?af=R" TargetMode="External"/><Relationship Id="rId89" Type="http://schemas.openxmlformats.org/officeDocument/2006/relationships/hyperlink" Target="https://doi.org/10.1002/aenm.70831" TargetMode="External"/><Relationship Id="rId90" Type="http://schemas.openxmlformats.org/officeDocument/2006/relationships/hyperlink" Target="http://pubs.rsc.org/en/Content/ArticleLanding/2026/EE/D5EE07230A" TargetMode="External"/><Relationship Id="rId91" Type="http://schemas.openxmlformats.org/officeDocument/2006/relationships/hyperlink" Target="https://advanced.onlinelibrary.wiley.com/doi/10.1002/adma.72783?af=R" TargetMode="External"/><Relationship Id="rId92" Type="http://schemas.openxmlformats.org/officeDocument/2006/relationships/hyperlink" Target="https://doi.org/10.1002/adma.72783" TargetMode="External"/><Relationship Id="rId93" Type="http://schemas.openxmlformats.org/officeDocument/2006/relationships/hyperlink" Target="https://advanced.onlinelibrary.wiley.com/doi/10.1002/aenm.70845?af=R" TargetMode="External"/><Relationship Id="rId94" Type="http://schemas.openxmlformats.org/officeDocument/2006/relationships/hyperlink" Target="https://doi.org/10.1002/aenm.70845" TargetMode="External"/><Relationship Id="rId95" Type="http://schemas.openxmlformats.org/officeDocument/2006/relationships/hyperlink" Target="https://advanced.onlinelibrary.wiley.com/doi/10.1002/aenm.202506688?af=R" TargetMode="External"/><Relationship Id="rId96" Type="http://schemas.openxmlformats.org/officeDocument/2006/relationships/hyperlink" Target="https://doi.org/10.1002/aenm.202506688" TargetMode="External"/><Relationship Id="rId97" Type="http://schemas.openxmlformats.org/officeDocument/2006/relationships/hyperlink" Target="https://www.cell.com/joule/fulltext/S2542-4351(26)00006-1?rss=yes" TargetMode="External"/><Relationship Id="rId98" Type="http://schemas.openxmlformats.org/officeDocument/2006/relationships/hyperlink" Target="https://doi.org/10.1016/j.joule.2026.102322" TargetMode="External"/><Relationship Id="rId99" Type="http://schemas.openxmlformats.org/officeDocument/2006/relationships/hyperlink" Target="http://dx.doi.org/10.1021/jacs.5c21643" TargetMode="External"/><Relationship Id="rId100" Type="http://schemas.openxmlformats.org/officeDocument/2006/relationships/hyperlink" Target="https://doi.org/10.1021/jacs.5c21643" TargetMode="External"/><Relationship Id="rId101" Type="http://schemas.openxmlformats.org/officeDocument/2006/relationships/hyperlink" Target="http://dx.doi.org/10.1021/jacs.5c21030" TargetMode="External"/><Relationship Id="rId102" Type="http://schemas.openxmlformats.org/officeDocument/2006/relationships/hyperlink" Target="https://doi.org/10.1021/jacs.5c21030" TargetMode="External"/><Relationship Id="rId103" Type="http://schemas.openxmlformats.org/officeDocument/2006/relationships/hyperlink" Target="http://dx.doi.org/10.1021/acsenergylett.5c03902" TargetMode="External"/><Relationship Id="rId104" Type="http://schemas.openxmlformats.org/officeDocument/2006/relationships/hyperlink" Target="https://doi.org/10.1021/acsenergylett.5c03902" TargetMode="External"/><Relationship Id="rId105" Type="http://schemas.openxmlformats.org/officeDocument/2006/relationships/hyperlink" Target="https://www.cell.com/matter/fulltext/S2590-2385(26)00079-2?rss=yes" TargetMode="External"/><Relationship Id="rId106" Type="http://schemas.openxmlformats.org/officeDocument/2006/relationships/hyperlink" Target="https://doi.org/10.1016/j.matt.2026.102716" TargetMode="External"/><Relationship Id="rId107" Type="http://schemas.openxmlformats.org/officeDocument/2006/relationships/hyperlink" Target="https://advanced.onlinelibrary.wiley.com/doi/10.1002/aenm.202506748?af=R" TargetMode="External"/><Relationship Id="rId108" Type="http://schemas.openxmlformats.org/officeDocument/2006/relationships/hyperlink" Target="https://doi.org/10.1002/aenm.202506748" TargetMode="External"/><Relationship Id="rId109" Type="http://schemas.openxmlformats.org/officeDocument/2006/relationships/hyperlink" Target="http://dx.doi.org/10.1021/jacs.5c20920" TargetMode="External"/><Relationship Id="rId110" Type="http://schemas.openxmlformats.org/officeDocument/2006/relationships/hyperlink" Target="https://doi.org/10.1021/jacs.5c20920" TargetMode="External"/><Relationship Id="rId111" Type="http://schemas.openxmlformats.org/officeDocument/2006/relationships/hyperlink" Target="https://www.nature.com/articles/s41586-026-10402-0" TargetMode="External"/><Relationship Id="rId112" Type="http://schemas.openxmlformats.org/officeDocument/2006/relationships/hyperlink" Target="https://doi.org/10.1038/s41586-026-10402-0" TargetMode="External"/><Relationship Id="rId113" Type="http://schemas.openxmlformats.org/officeDocument/2006/relationships/hyperlink" Target="http://pubs.rsc.org/en/Content/ArticleLanding/2026/EE/D6EE00038J" TargetMode="External"/><Relationship Id="rId114" Type="http://schemas.openxmlformats.org/officeDocument/2006/relationships/hyperlink" Target="https://www.cell.com/joule/fulltext/S2542-4351(26)00035-8?rss=yes" TargetMode="External"/><Relationship Id="rId115" Type="http://schemas.openxmlformats.org/officeDocument/2006/relationships/hyperlink" Target="https://doi.org/10.1016/j.joule.2026.102351" TargetMode="External"/><Relationship Id="rId116" Type="http://schemas.openxmlformats.org/officeDocument/2006/relationships/hyperlink" Target="http://pubs.rsc.org/en/Content/ArticleLanding/2026/EE/D6EE00449K" TargetMode="External"/><Relationship Id="rId117" Type="http://schemas.openxmlformats.org/officeDocument/2006/relationships/hyperlink" Target="https://advanced.onlinelibrary.wiley.com/doi/10.1002/adma.72819?af=R" TargetMode="External"/><Relationship Id="rId118" Type="http://schemas.openxmlformats.org/officeDocument/2006/relationships/hyperlink" Target="https://doi.org/10.1002/adma.72819" TargetMode="External"/><Relationship Id="rId119" Type="http://schemas.openxmlformats.org/officeDocument/2006/relationships/hyperlink" Target="https://advanced.onlinelibrary.wiley.com/doi/10.1002/aenm.70844?af=R" TargetMode="External"/><Relationship Id="rId120" Type="http://schemas.openxmlformats.org/officeDocument/2006/relationships/hyperlink" Target="https://doi.org/10.1002/aenm.70844" TargetMode="External"/><Relationship Id="rId121" Type="http://schemas.openxmlformats.org/officeDocument/2006/relationships/hyperlink" Target="https://advanced.onlinelibrary.wiley.com/doi/10.1002/adma.72669?af=R" TargetMode="External"/><Relationship Id="rId122" Type="http://schemas.openxmlformats.org/officeDocument/2006/relationships/hyperlink" Target="https://doi.org/10.1002/adma.72669" TargetMode="External"/><Relationship Id="rId123" Type="http://schemas.openxmlformats.org/officeDocument/2006/relationships/hyperlink" Target="https://onlinelibrary.wiley.com/doi/10.1002/anie.6979216?af=R" TargetMode="External"/><Relationship Id="rId124" Type="http://schemas.openxmlformats.org/officeDocument/2006/relationships/hyperlink" Target="https://doi.org/10.1002/anie.6979216" TargetMode="External"/><Relationship Id="rId125" Type="http://schemas.openxmlformats.org/officeDocument/2006/relationships/hyperlink" Target="http://dx.doi.org/10.1021/jacs.6c00012" TargetMode="External"/><Relationship Id="rId126" Type="http://schemas.openxmlformats.org/officeDocument/2006/relationships/hyperlink" Target="https://doi.org/10.1021/jacs.6c00012" TargetMode="External"/><Relationship Id="rId127" Type="http://schemas.openxmlformats.org/officeDocument/2006/relationships/hyperlink" Target="http://dx.doi.org/10.1021/acs.chemrev.5c00494" TargetMode="External"/><Relationship Id="rId128" Type="http://schemas.openxmlformats.org/officeDocument/2006/relationships/hyperlink" Target="https://doi.org/10.1021/acs.chemrev.5c00494" TargetMode="External"/><Relationship Id="rId129" Type="http://schemas.openxmlformats.org/officeDocument/2006/relationships/hyperlink" Target="https://www.nature.com/articles/s44359-026-00161-6" TargetMode="External"/><Relationship Id="rId130" Type="http://schemas.openxmlformats.org/officeDocument/2006/relationships/hyperlink" Target="https://doi.org/10.1038/s44359-026-00161-6" TargetMode="External"/><Relationship Id="rId131" Type="http://schemas.openxmlformats.org/officeDocument/2006/relationships/hyperlink" Target="https://advanced.onlinelibrary.wiley.com/doi/10.1002/aenm.202506777?af=R" TargetMode="External"/><Relationship Id="rId132" Type="http://schemas.openxmlformats.org/officeDocument/2006/relationships/hyperlink" Target="https://doi.org/10.1002/aenm.202506777" TargetMode="External"/><Relationship Id="rId133" Type="http://schemas.openxmlformats.org/officeDocument/2006/relationships/hyperlink" Target="http://dx.doi.org/10.1021/acsenergylett.6c00411" TargetMode="External"/><Relationship Id="rId134" Type="http://schemas.openxmlformats.org/officeDocument/2006/relationships/hyperlink" Target="https://doi.org/10.1021/acsenergylett.6c00411" TargetMode="External"/><Relationship Id="rId135" Type="http://schemas.openxmlformats.org/officeDocument/2006/relationships/hyperlink" Target="https://www.sciencedirect.com/science/article/pii/S0306261926003533?dgcid=rss_sd_all" TargetMode="External"/><Relationship Id="rId136" Type="http://schemas.openxmlformats.org/officeDocument/2006/relationships/hyperlink" Target="https://academic.oup.com/nsr/advance-article/doi/10.1093/nsr/nwag164/8523997?rss=1" TargetMode="External"/><Relationship Id="rId137" Type="http://schemas.openxmlformats.org/officeDocument/2006/relationships/hyperlink" Target="https://doi.org/10.1093/nsr/nwag164" TargetMode="External"/><Relationship Id="rId138" Type="http://schemas.openxmlformats.org/officeDocument/2006/relationships/hyperlink" Target="https://www.sciencedirect.com/science/article/pii/S0306261926003119?dgcid=rss_sd_all" TargetMode="External"/><Relationship Id="rId139" Type="http://schemas.openxmlformats.org/officeDocument/2006/relationships/hyperlink" Target="https://www.cell.com/matter/fulltext/S2590-2385(26)00077-9?rss=yes" TargetMode="External"/><Relationship Id="rId140" Type="http://schemas.openxmlformats.org/officeDocument/2006/relationships/hyperlink" Target="https://doi.org/10.1016/j.matt.2026.102714" TargetMode="External"/><Relationship Id="rId141" Type="http://schemas.openxmlformats.org/officeDocument/2006/relationships/hyperlink" Target="https://advanced.onlinelibrary.wiley.com/doi/10.1002/aenm.202506006?af=R" TargetMode="External"/><Relationship Id="rId142" Type="http://schemas.openxmlformats.org/officeDocument/2006/relationships/hyperlink" Target="https://doi.org/10.1002/aenm.202506006" TargetMode="External"/><Relationship Id="rId143" Type="http://schemas.openxmlformats.org/officeDocument/2006/relationships/hyperlink" Target="https://advanced.onlinelibrary.wiley.com/doi/10.1002/aenm.70835?af=R" TargetMode="External"/><Relationship Id="rId144" Type="http://schemas.openxmlformats.org/officeDocument/2006/relationships/hyperlink" Target="https://doi.org/10.1002/aenm.70835" TargetMode="External"/><Relationship Id="rId145" Type="http://schemas.openxmlformats.org/officeDocument/2006/relationships/hyperlink" Target="https://www.sciencedirect.com/science/article/pii/S0306261926003727?dgcid=rss_sd_all" TargetMode="External"/><Relationship Id="rId146" Type="http://schemas.openxmlformats.org/officeDocument/2006/relationships/hyperlink" Target="http://dx.doi.org/10.1021/jacs.6c00021" TargetMode="External"/><Relationship Id="rId147" Type="http://schemas.openxmlformats.org/officeDocument/2006/relationships/hyperlink" Target="https://doi.org/10.1021/jacs.6c00021" TargetMode="External"/><Relationship Id="rId148" Type="http://schemas.openxmlformats.org/officeDocument/2006/relationships/hyperlink" Target="http://dx.doi.org/10.1021/acsenergylett.6c00453" TargetMode="External"/><Relationship Id="rId149" Type="http://schemas.openxmlformats.org/officeDocument/2006/relationships/hyperlink" Target="https://doi.org/10.1021/acsenergylett.6c00453" TargetMode="External"/><Relationship Id="rId150" Type="http://schemas.openxmlformats.org/officeDocument/2006/relationships/hyperlink" Target="https://www.sciencedirect.com/science/article/pii/S0306261926002849?dgcid=rss_sd_all" TargetMode="External"/><Relationship Id="rId151" Type="http://schemas.openxmlformats.org/officeDocument/2006/relationships/hyperlink" Target="http://dx.doi.org/10.1021/jacs.6c02279" TargetMode="External"/><Relationship Id="rId152" Type="http://schemas.openxmlformats.org/officeDocument/2006/relationships/hyperlink" Target="https://doi.org/10.1021/jacs.6c02279" TargetMode="External"/><Relationship Id="rId153" Type="http://schemas.openxmlformats.org/officeDocument/2006/relationships/hyperlink" Target="https://www.nature.com/articles/s41467-026-70793-6" TargetMode="External"/><Relationship Id="rId154" Type="http://schemas.openxmlformats.org/officeDocument/2006/relationships/hyperlink" Target="https://doi.org/10.1038/s41467-026-70793-6" TargetMode="External"/><Relationship Id="rId155" Type="http://schemas.openxmlformats.org/officeDocument/2006/relationships/hyperlink" Target="https://www.sciencedirect.com/science/article/pii/S0306261926003132?dgcid=rss_sd_all" TargetMode="External"/><Relationship Id="rId156" Type="http://schemas.openxmlformats.org/officeDocument/2006/relationships/hyperlink" Target="https://advanced.onlinelibrary.wiley.com/doi/10.1002/adma.202516934?af=R" TargetMode="External"/><Relationship Id="rId157" Type="http://schemas.openxmlformats.org/officeDocument/2006/relationships/hyperlink" Target="https://doi.org/10.1002/adma.202516934" TargetMode="External"/><Relationship Id="rId158" Type="http://schemas.openxmlformats.org/officeDocument/2006/relationships/hyperlink" Target="https://www.science.org/doi/abs/10.1126/sciadv.aea9094?af=R" TargetMode="External"/><Relationship Id="rId159" Type="http://schemas.openxmlformats.org/officeDocument/2006/relationships/hyperlink" Target="https://doi.org/10.1126/sciadv.aea9094" TargetMode="External"/><Relationship Id="rId160" Type="http://schemas.openxmlformats.org/officeDocument/2006/relationships/hyperlink" Target="https://advanced.onlinelibrary.wiley.com/doi/10.1002/aenm.70853?af=R" TargetMode="External"/><Relationship Id="rId161" Type="http://schemas.openxmlformats.org/officeDocument/2006/relationships/hyperlink" Target="https://doi.org/10.1002/aenm.70853" TargetMode="External"/><Relationship Id="rId162" Type="http://schemas.openxmlformats.org/officeDocument/2006/relationships/hyperlink" Target="https://onlinelibrary.wiley.com/doi/10.1002/anie.4172130?af=R" TargetMode="External"/><Relationship Id="rId163" Type="http://schemas.openxmlformats.org/officeDocument/2006/relationships/hyperlink" Target="https://doi.org/10.1002/anie.4172130" TargetMode="External"/><Relationship Id="rId164" Type="http://schemas.openxmlformats.org/officeDocument/2006/relationships/hyperlink" Target="https://www.sciencedirect.com/science/article/pii/S0306261926003752?dgcid=rss_sd_all" TargetMode="External"/><Relationship Id="rId165" Type="http://schemas.openxmlformats.org/officeDocument/2006/relationships/hyperlink" Target="https://www.sciencedirect.com/science/article/pii/S0306261926003363?dgcid=rss_sd_all" TargetMode="External"/><Relationship Id="rId166" Type="http://schemas.openxmlformats.org/officeDocument/2006/relationships/hyperlink" Target="https://www.nature.com/articles/d41586-026-00877-2" TargetMode="External"/><Relationship Id="rId167" Type="http://schemas.openxmlformats.org/officeDocument/2006/relationships/hyperlink" Target="https://doi.org/10.1038/d41586-026-00877-2" TargetMode="External"/><Relationship Id="rId168" Type="http://schemas.openxmlformats.org/officeDocument/2006/relationships/hyperlink" Target="https://www.sciencedirect.com/science/article/pii/S0306261926003053?dgcid=rss_sd_all" TargetMode="External"/><Relationship Id="rId169" Type="http://schemas.openxmlformats.org/officeDocument/2006/relationships/hyperlink" Target="https://www.sciencedirect.com/science/article/pii/S0306261926002850?dgcid=rss_sd_all" TargetMode="External"/><Relationship Id="rId170" Type="http://schemas.openxmlformats.org/officeDocument/2006/relationships/hyperlink" Target="https://www.sciencedirect.com/science/article/pii/S030626192600320X?dgcid=rss_sd_all" TargetMode="External"/><Relationship Id="rId171" Type="http://schemas.openxmlformats.org/officeDocument/2006/relationships/hyperlink" Target="https://www.sciencedirect.com/science/article/pii/S0306261926002795?dgcid=rss_sd_all" TargetMode="External"/><Relationship Id="rId172" Type="http://schemas.openxmlformats.org/officeDocument/2006/relationships/hyperlink" Target="http://dx.doi.org/10.1021/jacs.5c17025" TargetMode="External"/><Relationship Id="rId173" Type="http://schemas.openxmlformats.org/officeDocument/2006/relationships/hyperlink" Target="https://doi.org/10.1021/jacs.5c17025" TargetMode="External"/><Relationship Id="rId174" Type="http://schemas.openxmlformats.org/officeDocument/2006/relationships/hyperlink" Target="https://www.sciencedirect.com/science/article/pii/S0301421526001850?dgcid=rss_sd_all" TargetMode="External"/><Relationship Id="rId175" Type="http://schemas.openxmlformats.org/officeDocument/2006/relationships/hyperlink" Target="https://www.sciencedirect.com/science/article/pii/S0306261926003211?dgcid=rss_sd_all" TargetMode="External"/><Relationship Id="rId176" Type="http://schemas.openxmlformats.org/officeDocument/2006/relationships/hyperlink" Target="https://www.sciencedirect.com/science/article/pii/S0306261926003120?dgcid=rss_sd_all" TargetMode="External"/><Relationship Id="rId177" Type="http://schemas.openxmlformats.org/officeDocument/2006/relationships/hyperlink" Target="https://www.sciencedirect.com/science/article/pii/S0306261926003181?dgcid=rss_sd_all" TargetMode="External"/><Relationship Id="rId178" Type="http://schemas.openxmlformats.org/officeDocument/2006/relationships/hyperlink" Target="http://dx.doi.org/10.1021/jacs.6c01112" TargetMode="External"/><Relationship Id="rId179" Type="http://schemas.openxmlformats.org/officeDocument/2006/relationships/hyperlink" Target="https://doi.org/10.1021/jacs.6c01112" TargetMode="External"/><Relationship Id="rId180" Type="http://schemas.openxmlformats.org/officeDocument/2006/relationships/hyperlink" Target="http://dx.doi.org/10.1021/jacs.5c18832" TargetMode="External"/><Relationship Id="rId181" Type="http://schemas.openxmlformats.org/officeDocument/2006/relationships/hyperlink" Target="https://doi.org/10.1021/jacs.5c18832" TargetMode="External"/><Relationship Id="rId182" Type="http://schemas.openxmlformats.org/officeDocument/2006/relationships/hyperlink" Target="https://www.sciencedirect.com/science/article/pii/S0306261926003430?dgcid=rss_sd_all" TargetMode="External"/><Relationship Id="rId183" Type="http://schemas.openxmlformats.org/officeDocument/2006/relationships/hyperlink" Target="https://advanced.onlinelibrary.wiley.com/doi/10.1002/aenm.70847?af=R" TargetMode="External"/><Relationship Id="rId184" Type="http://schemas.openxmlformats.org/officeDocument/2006/relationships/hyperlink" Target="https://doi.org/10.1002/aenm.70847" TargetMode="External"/><Relationship Id="rId185" Type="http://schemas.openxmlformats.org/officeDocument/2006/relationships/hyperlink" Target="https://onlinelibrary.wiley.com/doi/10.1002/anie.6937994?af=R" TargetMode="External"/><Relationship Id="rId186" Type="http://schemas.openxmlformats.org/officeDocument/2006/relationships/hyperlink" Target="https://doi.org/10.1002/anie.6937994" TargetMode="External"/><Relationship Id="rId187" Type="http://schemas.openxmlformats.org/officeDocument/2006/relationships/hyperlink" Target="https://www.sciencedirect.com/science/article/pii/S0306261926003326?dgcid=rss_sd_all" TargetMode="External"/><Relationship Id="rId188" Type="http://schemas.openxmlformats.org/officeDocument/2006/relationships/hyperlink" Target="https://www.sciencedirect.com/science/article/pii/S0306261926002953?dgcid=rss_sd_all" TargetMode="External"/><Relationship Id="rId189" Type="http://schemas.openxmlformats.org/officeDocument/2006/relationships/hyperlink" Target="https://www.sciencedirect.com/science/article/pii/S0306261926003077?dgcid=rss_sd_all" TargetMode="External"/><Relationship Id="rId190" Type="http://schemas.openxmlformats.org/officeDocument/2006/relationships/hyperlink" Target="https://www.sciencedirect.com/science/article/pii/S0306261926002837?dgcid=rss_sd_all" TargetMode="External"/><Relationship Id="rId191" Type="http://schemas.openxmlformats.org/officeDocument/2006/relationships/hyperlink" Target="https://www.sciencedirect.com/science/article/pii/S0306261926003004?dgcid=rss_sd_all" TargetMode="External"/><Relationship Id="rId192" Type="http://schemas.openxmlformats.org/officeDocument/2006/relationships/hyperlink" Target="https://www.sciencedirect.com/science/article/pii/S0301421526001473?dgcid=rss_sd_all" TargetMode="External"/><Relationship Id="rId193" Type="http://schemas.openxmlformats.org/officeDocument/2006/relationships/hyperlink" Target="https://www.science.org/doi/abs/10.1126/sciadv.adx7784?af=R" TargetMode="External"/><Relationship Id="rId194" Type="http://schemas.openxmlformats.org/officeDocument/2006/relationships/hyperlink" Target="https://doi.org/10.1126/sciadv.adx7784" TargetMode="External"/><Relationship Id="rId195" Type="http://schemas.openxmlformats.org/officeDocument/2006/relationships/hyperlink" Target="https://www.sciencedirect.com/science/article/pii/S0306261926003065?dgcid=rss_sd_all" TargetMode="External"/><Relationship Id="rId196" Type="http://schemas.openxmlformats.org/officeDocument/2006/relationships/hyperlink" Target="http://dx.doi.org/10.1021/jacs.5c20888" TargetMode="External"/><Relationship Id="rId197" Type="http://schemas.openxmlformats.org/officeDocument/2006/relationships/hyperlink" Target="https://doi.org/10.1021/jacs.5c20888" TargetMode="External"/><Relationship Id="rId198" Type="http://schemas.openxmlformats.org/officeDocument/2006/relationships/hyperlink" Target="https://advanced.onlinelibrary.wiley.com/doi/10.1002/aenm.202504508?af=R" TargetMode="External"/><Relationship Id="rId199" Type="http://schemas.openxmlformats.org/officeDocument/2006/relationships/hyperlink" Target="https://doi.org/10.1002/aenm.202504508" TargetMode="External"/><Relationship Id="rId200" Type="http://schemas.openxmlformats.org/officeDocument/2006/relationships/hyperlink" Target="https://onlinelibrary.wiley.com/doi/10.1002/anie.2079917?af=R" TargetMode="External"/><Relationship Id="rId201" Type="http://schemas.openxmlformats.org/officeDocument/2006/relationships/hyperlink" Target="https://doi.org/10.1002/anie.2079917" TargetMode="External"/><Relationship Id="rId202" Type="http://schemas.openxmlformats.org/officeDocument/2006/relationships/hyperlink" Target="https://onlinelibrary.wiley.com/doi/10.1002/anie.3951875?af=R" TargetMode="External"/><Relationship Id="rId203" Type="http://schemas.openxmlformats.org/officeDocument/2006/relationships/hyperlink" Target="https://doi.org/10.1002/anie.3951875" TargetMode="External"/><Relationship Id="rId204" Type="http://schemas.openxmlformats.org/officeDocument/2006/relationships/hyperlink" Target="https://www.science.org/doi/abs/10.1126/sciadv.aeb4957?af=R" TargetMode="External"/><Relationship Id="rId205" Type="http://schemas.openxmlformats.org/officeDocument/2006/relationships/hyperlink" Target="https://doi.org/10.1126/sciadv.aeb4957" TargetMode="External"/><Relationship Id="rId206" Type="http://schemas.openxmlformats.org/officeDocument/2006/relationships/hyperlink" Target="http://dx.doi.org/10.1021/jacs.5c20974" TargetMode="External"/><Relationship Id="rId207" Type="http://schemas.openxmlformats.org/officeDocument/2006/relationships/hyperlink" Target="https://doi.org/10.1021/jacs.5c20974" TargetMode="External"/><Relationship Id="rId208" Type="http://schemas.openxmlformats.org/officeDocument/2006/relationships/hyperlink" Target="http://dx.doi.org/10.1021/acsenergylett.5c04265" TargetMode="External"/><Relationship Id="rId209" Type="http://schemas.openxmlformats.org/officeDocument/2006/relationships/hyperlink" Target="https://doi.org/10.1021/acsenergylett.5c04265" TargetMode="External"/><Relationship Id="rId210" Type="http://schemas.openxmlformats.org/officeDocument/2006/relationships/hyperlink" Target="http://dx.doi.org/10.1021/jacs.5c15056" TargetMode="External"/><Relationship Id="rId211" Type="http://schemas.openxmlformats.org/officeDocument/2006/relationships/hyperlink" Target="https://doi.org/10.1021/jacs.5c15056" TargetMode="External"/><Relationship Id="rId212" Type="http://schemas.openxmlformats.org/officeDocument/2006/relationships/hyperlink" Target="http://dx.doi.org/10.1021/jacs.6c02917" TargetMode="External"/><Relationship Id="rId213" Type="http://schemas.openxmlformats.org/officeDocument/2006/relationships/hyperlink" Target="https://doi.org/10.1021/jacs.6c02917" TargetMode="External"/><Relationship Id="rId214" Type="http://schemas.openxmlformats.org/officeDocument/2006/relationships/hyperlink" Target="https://www.cell.com/chem/fulltext/S2451-9294(26)00021-5?rss=yes" TargetMode="External"/><Relationship Id="rId215" Type="http://schemas.openxmlformats.org/officeDocument/2006/relationships/hyperlink" Target="https://doi.org/10.1016/j.chempr.2026.102955" TargetMode="External"/><Relationship Id="rId216" Type="http://schemas.openxmlformats.org/officeDocument/2006/relationships/hyperlink" Target="https://www.nature.com/articles/s41893-026-01785-z" TargetMode="External"/><Relationship Id="rId217" Type="http://schemas.openxmlformats.org/officeDocument/2006/relationships/hyperlink" Target="https://doi.org/10.1038/s41893-026-01785-z" TargetMode="External"/><Relationship Id="rId218" Type="http://schemas.openxmlformats.org/officeDocument/2006/relationships/hyperlink" Target="http://dx.doi.org/10.1021/jacs.5c14646" TargetMode="External"/><Relationship Id="rId219" Type="http://schemas.openxmlformats.org/officeDocument/2006/relationships/hyperlink" Target="https://doi.org/10.1021/jacs.5c14646" TargetMode="External"/><Relationship Id="rId220" Type="http://schemas.openxmlformats.org/officeDocument/2006/relationships/hyperlink" Target="https://www.sciencedirect.com/science/article/pii/S0306261926003429?dgcid=rss_sd_all" TargetMode="External"/><Relationship Id="rId221" Type="http://schemas.openxmlformats.org/officeDocument/2006/relationships/hyperlink" Target="https://advanced.onlinelibrary.wiley.com/doi/10.1002/adma.202519931?af=R" TargetMode="External"/><Relationship Id="rId222" Type="http://schemas.openxmlformats.org/officeDocument/2006/relationships/hyperlink" Target="https://doi.org/10.1002/adma.202519931" TargetMode="External"/><Relationship Id="rId223" Type="http://schemas.openxmlformats.org/officeDocument/2006/relationships/hyperlink" Target="https://onlinelibrary.wiley.com/doi/10.1002/anie.202525705?af=R" TargetMode="External"/><Relationship Id="rId224" Type="http://schemas.openxmlformats.org/officeDocument/2006/relationships/hyperlink" Target="https://doi.org/10.1002/anie.202525705" TargetMode="External"/><Relationship Id="rId225" Type="http://schemas.openxmlformats.org/officeDocument/2006/relationships/hyperlink" Target="https://www.sciencedirect.com/science/article/pii/S0306261926002928?dgcid=rss_sd_all" TargetMode="External"/><Relationship Id="rId226" Type="http://schemas.openxmlformats.org/officeDocument/2006/relationships/hyperlink" Target="https://www.sciencedirect.com/science/article/pii/S0301421526001667?dgcid=rss_sd_all" TargetMode="External"/><Relationship Id="rId227" Type="http://schemas.openxmlformats.org/officeDocument/2006/relationships/hyperlink" Target="https://academic.oup.com/nsr/advance-article/doi/10.1093/nsr/nwag162/8523999?rss=1" TargetMode="External"/><Relationship Id="rId228" Type="http://schemas.openxmlformats.org/officeDocument/2006/relationships/hyperlink" Target="https://doi.org/10.1093/nsr/nwag162" TargetMode="External"/><Relationship Id="rId229" Type="http://schemas.openxmlformats.org/officeDocument/2006/relationships/hyperlink" Target="https://academic.oup.com/nsr/advance-article/doi/10.1093/nsr/nwag163/8523991?rss=1" TargetMode="External"/><Relationship Id="rId230" Type="http://schemas.openxmlformats.org/officeDocument/2006/relationships/hyperlink" Target="https://doi.org/10.1093/nsr/nwag163" TargetMode="External"/><Relationship Id="rId231" Type="http://schemas.openxmlformats.org/officeDocument/2006/relationships/hyperlink" Target="https://academic.oup.com/nsr/advance-article/doi/10.1093/nsr/nwag161/8524004?rss=1" TargetMode="External"/><Relationship Id="rId232" Type="http://schemas.openxmlformats.org/officeDocument/2006/relationships/hyperlink" Target="https://doi.org/10.1093/nsr/nwag161" TargetMode="External"/><Relationship Id="rId233" Type="http://schemas.openxmlformats.org/officeDocument/2006/relationships/hyperlink" Target="https://www.nature.com/articles/d41586-026-00814-3" TargetMode="External"/><Relationship Id="rId234" Type="http://schemas.openxmlformats.org/officeDocument/2006/relationships/hyperlink" Target="https://doi.org/10.1038/d41586-026-00814-3" TargetMode="External"/><Relationship Id="rId235" Type="http://schemas.openxmlformats.org/officeDocument/2006/relationships/hyperlink" Target="https://www.sciencedirect.com/science/article/pii/S0306261926002990?dgcid=rss_sd_all" TargetMode="External"/><Relationship Id="rId236" Type="http://schemas.openxmlformats.org/officeDocument/2006/relationships/hyperlink" Target="https://www.sciencedirect.com/science/article/pii/S0306261926003107?dgcid=rss_sd_all" TargetMode="External"/><Relationship Id="rId237" Type="http://schemas.openxmlformats.org/officeDocument/2006/relationships/hyperlink" Target="https://www.sciencedirect.com/science/article/pii/S030626192600317X?dgcid=rss_sd_all" TargetMode="External"/><Relationship Id="rId238" Type="http://schemas.openxmlformats.org/officeDocument/2006/relationships/hyperlink" Target="https://www.sciencedirect.com/science/article/pii/S0306261926003016?dgcid=rss_sd_all" TargetMode="External"/><Relationship Id="rId239" Type="http://schemas.openxmlformats.org/officeDocument/2006/relationships/hyperlink" Target="https://www.sciencedirect.com/science/article/pii/S0301421526001588?dgcid=rss_sd_all" TargetMode="External"/><Relationship Id="rId240" Type="http://schemas.openxmlformats.org/officeDocument/2006/relationships/hyperlink" Target="https://www.sciencedirect.com/science/article/pii/S0306261926003028?dgcid=rss_sd_all" TargetMode="External"/><Relationship Id="rId241" Type="http://schemas.openxmlformats.org/officeDocument/2006/relationships/hyperlink" Target="https://www.sciencedirect.com/science/article/pii/S0306261926003090?dgcid=rss_sd_all" TargetMode="External"/><Relationship Id="rId242" Type="http://schemas.openxmlformats.org/officeDocument/2006/relationships/hyperlink" Target="https://www.sciencedirect.com/science/article/pii/S0306261926003168?dgcid=rss_sd_all" TargetMode="External"/><Relationship Id="rId243" Type="http://schemas.openxmlformats.org/officeDocument/2006/relationships/hyperlink" Target="https://www.sciencedirect.com/science/article/pii/S0306261926001984?dgcid=rss_sd_all" TargetMode="External"/><Relationship Id="rId244" Type="http://schemas.openxmlformats.org/officeDocument/2006/relationships/hyperlink" Target="https://www.sciencedirect.com/science/article/pii/S0306261926002862?dgcid=rss_sd_all" TargetMode="External"/><Relationship Id="rId245" Type="http://schemas.openxmlformats.org/officeDocument/2006/relationships/hyperlink" Target="https://www.sciencedirect.com/science/article/pii/S0306261926002904?dgcid=rss_sd_all" TargetMode="External"/><Relationship Id="rId246" Type="http://schemas.openxmlformats.org/officeDocument/2006/relationships/hyperlink" Target="https://www.sciencedirect.com/science/article/pii/S0301421526001643?dgcid=rss_sd_all" TargetMode="External"/><Relationship Id="rId247" Type="http://schemas.openxmlformats.org/officeDocument/2006/relationships/hyperlink" Target="https://www.sciencedirect.com/science/article/pii/S0301421526001813?dgcid=rss_sd_all" TargetMode="External"/><Relationship Id="rId248" Type="http://schemas.openxmlformats.org/officeDocument/2006/relationships/hyperlink" Target="https://www.sciencedirect.com/science/article/pii/S0306261926003089?dgcid=rss_sd_all" TargetMode="External"/><Relationship Id="rId249" Type="http://schemas.openxmlformats.org/officeDocument/2006/relationships/hyperlink" Target="https://onlinelibrary.wiley.com/doi/10.1002/anie.6443787?af=R" TargetMode="External"/><Relationship Id="rId250" Type="http://schemas.openxmlformats.org/officeDocument/2006/relationships/hyperlink" Target="https://doi.org/10.1002/anie.6443787" TargetMode="External"/><Relationship Id="rId251" Type="http://schemas.openxmlformats.org/officeDocument/2006/relationships/hyperlink" Target="https://onlinelibrary.wiley.com/doi/10.1002/anie.8159257?af=R" TargetMode="External"/><Relationship Id="rId252" Type="http://schemas.openxmlformats.org/officeDocument/2006/relationships/hyperlink" Target="https://doi.org/10.1002/anie.8159257" TargetMode="External"/><Relationship Id="rId253" Type="http://schemas.openxmlformats.org/officeDocument/2006/relationships/hyperlink" Target="https://onlinelibrary.wiley.com/doi/10.1002/anie.202600001?af=R" TargetMode="External"/><Relationship Id="rId254" Type="http://schemas.openxmlformats.org/officeDocument/2006/relationships/hyperlink" Target="https://doi.org/10.1002/anie.202600001" TargetMode="External"/><Relationship Id="rId255" Type="http://schemas.openxmlformats.org/officeDocument/2006/relationships/hyperlink" Target="https://onlinelibrary.wiley.com/doi/10.1002/anie.202525302?af=R" TargetMode="External"/><Relationship Id="rId256" Type="http://schemas.openxmlformats.org/officeDocument/2006/relationships/hyperlink" Target="https://doi.org/10.1002/anie.202525302" TargetMode="External"/><Relationship Id="rId257" Type="http://schemas.openxmlformats.org/officeDocument/2006/relationships/hyperlink" Target="https://advanced.onlinelibrary.wiley.com/doi/10.1002/adma.202519832?af=R" TargetMode="External"/><Relationship Id="rId258" Type="http://schemas.openxmlformats.org/officeDocument/2006/relationships/hyperlink" Target="https://doi.org/10.1002/adma.202519832" TargetMode="External"/><Relationship Id="rId259" Type="http://schemas.openxmlformats.org/officeDocument/2006/relationships/hyperlink" Target="https://onlinelibrary.wiley.com/doi/10.1002/anie.202524676?af=R" TargetMode="External"/><Relationship Id="rId260" Type="http://schemas.openxmlformats.org/officeDocument/2006/relationships/hyperlink" Target="https://doi.org/10.1002/anie.202524676" TargetMode="External"/><Relationship Id="rId261" Type="http://schemas.openxmlformats.org/officeDocument/2006/relationships/hyperlink" Target="https://onlinelibrary.wiley.com/doi/10.1002/anie.2655960?af=R" TargetMode="External"/><Relationship Id="rId262" Type="http://schemas.openxmlformats.org/officeDocument/2006/relationships/hyperlink" Target="https://doi.org/10.1002/anie.2655960" TargetMode="External"/><Relationship Id="rId263" Type="http://schemas.openxmlformats.org/officeDocument/2006/relationships/hyperlink" Target="https://advanced.onlinelibrary.wiley.com/doi/10.1002/adma.202521046?af=R" TargetMode="External"/><Relationship Id="rId264" Type="http://schemas.openxmlformats.org/officeDocument/2006/relationships/hyperlink" Target="https://doi.org/10.1002/adma.202521046" TargetMode="External"/><Relationship Id="rId265" Type="http://schemas.openxmlformats.org/officeDocument/2006/relationships/hyperlink" Target="https://advanced.onlinelibrary.wiley.com/doi/10.1002/adma.202520432?af=R" TargetMode="External"/><Relationship Id="rId266" Type="http://schemas.openxmlformats.org/officeDocument/2006/relationships/hyperlink" Target="https://doi.org/10.1002/adma.202520432" TargetMode="External"/><Relationship Id="rId267" Type="http://schemas.openxmlformats.org/officeDocument/2006/relationships/hyperlink" Target="https://advanced.onlinelibrary.wiley.com/doi/10.1002/adma.202520085?af=R" TargetMode="External"/><Relationship Id="rId268" Type="http://schemas.openxmlformats.org/officeDocument/2006/relationships/hyperlink" Target="https://doi.org/10.1002/adma.202520085" TargetMode="External"/><Relationship Id="rId269" Type="http://schemas.openxmlformats.org/officeDocument/2006/relationships/hyperlink" Target="https://advanced.onlinelibrary.wiley.com/doi/10.1002/adma.202521422?af=R" TargetMode="External"/><Relationship Id="rId270" Type="http://schemas.openxmlformats.org/officeDocument/2006/relationships/hyperlink" Target="https://doi.org/10.1002/adma.202521422" TargetMode="External"/><Relationship Id="rId271" Type="http://schemas.openxmlformats.org/officeDocument/2006/relationships/hyperlink" Target="https://advanced.onlinelibrary.wiley.com/doi/10.1002/adma.202519972?af=R" TargetMode="External"/><Relationship Id="rId272" Type="http://schemas.openxmlformats.org/officeDocument/2006/relationships/hyperlink" Target="https://doi.org/10.1002/adma.202519972" TargetMode="External"/><Relationship Id="rId273" Type="http://schemas.openxmlformats.org/officeDocument/2006/relationships/hyperlink" Target="https://advanced.onlinelibrary.wiley.com/doi/10.1002/adma.202516291?af=R" TargetMode="External"/><Relationship Id="rId274" Type="http://schemas.openxmlformats.org/officeDocument/2006/relationships/hyperlink" Target="https://doi.org/10.1002/adma.202516291" TargetMode="External"/><Relationship Id="rId275" Type="http://schemas.openxmlformats.org/officeDocument/2006/relationships/hyperlink" Target="https://advanced.onlinelibrary.wiley.com/doi/10.1002/adma.202522574?af=R" TargetMode="External"/><Relationship Id="rId276" Type="http://schemas.openxmlformats.org/officeDocument/2006/relationships/hyperlink" Target="https://doi.org/10.1002/adma.202522574" TargetMode="External"/><Relationship Id="rId277" Type="http://schemas.openxmlformats.org/officeDocument/2006/relationships/hyperlink" Target="https://advanced.onlinelibrary.wiley.com/doi/10.1002/adma.72791?af=R" TargetMode="External"/><Relationship Id="rId278" Type="http://schemas.openxmlformats.org/officeDocument/2006/relationships/hyperlink" Target="https://doi.org/10.1002/adma.72791" TargetMode="External"/><Relationship Id="rId279" Type="http://schemas.openxmlformats.org/officeDocument/2006/relationships/hyperlink" Target="https://advanced.onlinelibrary.wiley.com/doi/10.1002/adma.72776?af=R" TargetMode="External"/><Relationship Id="rId280" Type="http://schemas.openxmlformats.org/officeDocument/2006/relationships/hyperlink" Target="https://doi.org/10.1002/adma.72776" TargetMode="External"/><Relationship Id="rId281" Type="http://schemas.openxmlformats.org/officeDocument/2006/relationships/hyperlink" Target="https://advanced.onlinelibrary.wiley.com/doi/10.1002/adma.202519855?af=R" TargetMode="External"/><Relationship Id="rId282" Type="http://schemas.openxmlformats.org/officeDocument/2006/relationships/hyperlink" Target="https://doi.org/10.1002/adma.202519855" TargetMode="External"/><Relationship Id="rId283" Type="http://schemas.openxmlformats.org/officeDocument/2006/relationships/hyperlink" Target="http://dx.doi.org/10.1021/jacs.6c02165" TargetMode="External"/><Relationship Id="rId284" Type="http://schemas.openxmlformats.org/officeDocument/2006/relationships/hyperlink" Target="https://doi.org/10.1021/jacs.6c02165" TargetMode="External"/><Relationship Id="rId285" Type="http://schemas.openxmlformats.org/officeDocument/2006/relationships/hyperlink" Target="https://www.sciencedirect.com/science/article/pii/S0301421526001540?dgcid=rss_sd_all" TargetMode="External"/><Relationship Id="rId286" Type="http://schemas.openxmlformats.org/officeDocument/2006/relationships/hyperlink" Target="https://www.sciencedirect.com/science/article/pii/S0306261926003442?dgcid=rss_sd_all" TargetMode="External"/><Relationship Id="rId287" Type="http://schemas.openxmlformats.org/officeDocument/2006/relationships/hyperlink" Target="https://www.nature.com/articles/s41467-026-70866-6" TargetMode="External"/><Relationship Id="rId288" Type="http://schemas.openxmlformats.org/officeDocument/2006/relationships/hyperlink" Target="https://doi.org/10.1038/s41467-026-70866-6" TargetMode="External"/><Relationship Id="rId289" Type="http://schemas.openxmlformats.org/officeDocument/2006/relationships/hyperlink" Target="https://www.nature.com/articles/s41467-026-70774-9" TargetMode="External"/><Relationship Id="rId290" Type="http://schemas.openxmlformats.org/officeDocument/2006/relationships/hyperlink" Target="https://doi.org/10.1038/s41467-026-70774-9" TargetMode="External"/><Relationship Id="rId291" Type="http://schemas.openxmlformats.org/officeDocument/2006/relationships/hyperlink" Target="https://www.nature.com/articles/s41467-026-70765-w" TargetMode="External"/><Relationship Id="rId292" Type="http://schemas.openxmlformats.org/officeDocument/2006/relationships/hyperlink" Target="https://doi.org/10.1038/s41467-026-70765-w" TargetMode="External"/><Relationship Id="rId293" Type="http://schemas.openxmlformats.org/officeDocument/2006/relationships/hyperlink" Target="https://www.nature.com/articles/s41467-026-70687-7" TargetMode="External"/><Relationship Id="rId294" Type="http://schemas.openxmlformats.org/officeDocument/2006/relationships/hyperlink" Target="https://doi.org/10.1038/s41467-026-70687-7" TargetMode="External"/><Relationship Id="rId295" Type="http://schemas.openxmlformats.org/officeDocument/2006/relationships/hyperlink" Target="https://www.sciencedirect.com/science/article/pii/S0306261926002783?dgcid=rss_sd_all" TargetMode="External"/><Relationship Id="rId296" Type="http://schemas.openxmlformats.org/officeDocument/2006/relationships/hyperlink" Target="https://www.sciencedirect.com/science/article/pii/S0306261926002989?dgcid=rss_sd_all" TargetMode="External"/><Relationship Id="rId297" Type="http://schemas.openxmlformats.org/officeDocument/2006/relationships/hyperlink" Target="https://www.nature.com/articles/s41467-026-70503-2" TargetMode="External"/><Relationship Id="rId298" Type="http://schemas.openxmlformats.org/officeDocument/2006/relationships/hyperlink" Target="https://doi.org/10.1038/s41467-026-70503-2" TargetMode="External"/><Relationship Id="rId299" Type="http://schemas.openxmlformats.org/officeDocument/2006/relationships/hyperlink" Target="https://www.sciencedirect.com/science/article/pii/S0306261926003739?dgcid=rss_sd_all" TargetMode="External"/><Relationship Id="rId300" Type="http://schemas.openxmlformats.org/officeDocument/2006/relationships/hyperlink" Target="http://dx.doi.org/10.1021/jacs.5c19856" TargetMode="External"/><Relationship Id="rId301" Type="http://schemas.openxmlformats.org/officeDocument/2006/relationships/hyperlink" Target="https://doi.org/10.1021/jacs.5c19856" TargetMode="External"/><Relationship Id="rId302" Type="http://schemas.openxmlformats.org/officeDocument/2006/relationships/hyperlink" Target="http://dx.doi.org/10.1021/jacs.6c03157" TargetMode="External"/><Relationship Id="rId303" Type="http://schemas.openxmlformats.org/officeDocument/2006/relationships/hyperlink" Target="https://doi.org/10.1021/jacs.6c03157" TargetMode="External"/><Relationship Id="rId304" Type="http://schemas.openxmlformats.org/officeDocument/2006/relationships/hyperlink" Target="http://dx.doi.org/10.1021/jacs.5c21454" TargetMode="External"/><Relationship Id="rId305" Type="http://schemas.openxmlformats.org/officeDocument/2006/relationships/hyperlink" Target="https://doi.org/10.1021/jacs.5c21454" TargetMode="External"/><Relationship Id="rId306" Type="http://schemas.openxmlformats.org/officeDocument/2006/relationships/hyperlink" Target="http://dx.doi.org/10.1021/jacs.5c22092" TargetMode="External"/><Relationship Id="rId307" Type="http://schemas.openxmlformats.org/officeDocument/2006/relationships/hyperlink" Target="https://doi.org/10.1021/jacs.5c22092" TargetMode="External"/><Relationship Id="rId308" Type="http://schemas.openxmlformats.org/officeDocument/2006/relationships/hyperlink" Target="https://www.nature.com/articles/d41586-026-00872-7" TargetMode="External"/><Relationship Id="rId309" Type="http://schemas.openxmlformats.org/officeDocument/2006/relationships/hyperlink" Target="https://doi.org/10.1038/d41586-026-00872-7" TargetMode="External"/><Relationship Id="rId310" Type="http://schemas.openxmlformats.org/officeDocument/2006/relationships/hyperlink" Target="http://pubs.rsc.org/en/Content/ArticleLanding/2026/CS/D5CS01066G" TargetMode="External"/><Relationship Id="rId311" Type="http://schemas.openxmlformats.org/officeDocument/2006/relationships/hyperlink" Target="https://www.nature.com/articles/s41557-026-02092-y" TargetMode="External"/><Relationship Id="rId312" Type="http://schemas.openxmlformats.org/officeDocument/2006/relationships/hyperlink" Target="https://doi.org/10.1038/s41557-026-02092-y" TargetMode="External"/><Relationship Id="rId313" Type="http://schemas.openxmlformats.org/officeDocument/2006/relationships/hyperlink" Target="https://academic.oup.com/nsr/advance-article/doi/10.1093/nsr/nwag135/8524805?rss=1" TargetMode="External"/><Relationship Id="rId314" Type="http://schemas.openxmlformats.org/officeDocument/2006/relationships/hyperlink" Target="https://doi.org/10.1093/nsr/nwag135" TargetMode="External"/><Relationship Id="rId315" Type="http://schemas.openxmlformats.org/officeDocument/2006/relationships/hyperlink" Target="https://www.nature.com/articles/s41578-026-00910-w" TargetMode="External"/><Relationship Id="rId316" Type="http://schemas.openxmlformats.org/officeDocument/2006/relationships/hyperlink" Target="https://doi.org/10.1038/s41578-026-00910-w" TargetMode="External"/><Relationship Id="rId317" Type="http://schemas.openxmlformats.org/officeDocument/2006/relationships/hyperlink" Target="https://www.nature.com/articles/s41893-026-01791-1" TargetMode="External"/><Relationship Id="rId318" Type="http://schemas.openxmlformats.org/officeDocument/2006/relationships/hyperlink" Target="https://doi.org/10.1038/s41893-026-01791-1" TargetMode="External"/><Relationship Id="rId319" Type="http://schemas.openxmlformats.org/officeDocument/2006/relationships/hyperlink" Target="https://www.nature.com/articles/s44286-026-00369-0" TargetMode="External"/><Relationship Id="rId320" Type="http://schemas.openxmlformats.org/officeDocument/2006/relationships/hyperlink" Target="https://doi.org/10.1038/s44286-026-00369-0" TargetMode="External"/><Relationship Id="rId321" Type="http://schemas.openxmlformats.org/officeDocument/2006/relationships/hyperlink" Target="https://www.cell.com/chem/fulltext/S2451-9294(26)00013-6?rss=yes" TargetMode="External"/><Relationship Id="rId322" Type="http://schemas.openxmlformats.org/officeDocument/2006/relationships/hyperlink" Target="https://doi.org/10.1016/j.chempr.2026.102947" TargetMode="External"/><Relationship Id="rId323" Type="http://schemas.openxmlformats.org/officeDocument/2006/relationships/hyperlink" Target="https://www.nature.com/articles/d41586-026-00842-z" TargetMode="External"/><Relationship Id="rId324" Type="http://schemas.openxmlformats.org/officeDocument/2006/relationships/hyperlink" Target="https://doi.org/10.1038/d41586-026-00842-z" TargetMode="External"/><Relationship Id="rId325" Type="http://schemas.openxmlformats.org/officeDocument/2006/relationships/hyperlink" Target="https://www.cell.com/chem/fulltext/S2451-9294(26)00009-4?rss=yes" TargetMode="External"/><Relationship Id="rId326" Type="http://schemas.openxmlformats.org/officeDocument/2006/relationships/hyperlink" Target="https://doi.org/10.1016/j.chempr.2026.102943" TargetMode="External"/><Relationship Id="rId327" Type="http://schemas.openxmlformats.org/officeDocument/2006/relationships/hyperlink" Target="https://www.nature.com/articles/d41586-026-00380-8" TargetMode="External"/><Relationship Id="rId328" Type="http://schemas.openxmlformats.org/officeDocument/2006/relationships/hyperlink" Target="https://doi.org/10.1038/d41586-026-00380-8" TargetMode="External"/><Relationship Id="rId329" Type="http://schemas.openxmlformats.org/officeDocument/2006/relationships/hyperlink" Target="https://www.nature.com/articles/d41586-026-00769-5" TargetMode="External"/><Relationship Id="rId330" Type="http://schemas.openxmlformats.org/officeDocument/2006/relationships/hyperlink" Target="https://doi.org/10.1038/d41586-026-00769-5" TargetMode="External"/><Relationship Id="rId331" Type="http://schemas.openxmlformats.org/officeDocument/2006/relationships/hyperlink" Target="https://www.cell.com/matter/fulltext/S2590-2385(26)00035-4?rss=yes" TargetMode="External"/><Relationship Id="rId332" Type="http://schemas.openxmlformats.org/officeDocument/2006/relationships/hyperlink" Target="https://doi.org/10.1016/j.matt.2026.102672" TargetMode="External"/><Relationship Id="rId333" Type="http://schemas.openxmlformats.org/officeDocument/2006/relationships/hyperlink" Target="https://www.nature.com/articles/s41928-026-01568-6" TargetMode="External"/><Relationship Id="rId334" Type="http://schemas.openxmlformats.org/officeDocument/2006/relationships/hyperlink" Target="https://doi.org/10.1038/s41928-026-01568-6" TargetMode="External"/><Relationship Id="rId335" Type="http://schemas.openxmlformats.org/officeDocument/2006/relationships/hyperlink" Target="https://www.nature.com/articles/s41565-026-02141-0" TargetMode="External"/><Relationship Id="rId336" Type="http://schemas.openxmlformats.org/officeDocument/2006/relationships/hyperlink" Target="https://doi.org/10.1038/s41565-026-02141-0" TargetMode="External"/><Relationship Id="rId337" Type="http://schemas.openxmlformats.org/officeDocument/2006/relationships/hyperlink" Target="https://www.nature.com/articles/s41586-026-10372-3" TargetMode="External"/><Relationship Id="rId338" Type="http://schemas.openxmlformats.org/officeDocument/2006/relationships/hyperlink" Target="https://doi.org/10.1038/s41586-026-10372-3" TargetMode="External"/><Relationship Id="rId339" Type="http://schemas.openxmlformats.org/officeDocument/2006/relationships/hyperlink" Target="https://www.nature.com/articles/d41586-026-00849-6" TargetMode="External"/><Relationship Id="rId340" Type="http://schemas.openxmlformats.org/officeDocument/2006/relationships/hyperlink" Target="https://doi.org/10.1038/d41586-026-00849-6" TargetMode="External"/><Relationship Id="rId341" Type="http://schemas.openxmlformats.org/officeDocument/2006/relationships/hyperlink" Target="https://www.nature.com/articles/d41586-026-00422-1" TargetMode="External"/><Relationship Id="rId342" Type="http://schemas.openxmlformats.org/officeDocument/2006/relationships/hyperlink" Target="https://doi.org/10.1038/d41586-026-00422-1" TargetMode="External"/><Relationship Id="rId343" Type="http://schemas.openxmlformats.org/officeDocument/2006/relationships/hyperlink" Target="https://www.nature.com/articles/d41586-026-00841-0" TargetMode="External"/><Relationship Id="rId344" Type="http://schemas.openxmlformats.org/officeDocument/2006/relationships/hyperlink" Target="https://doi.org/10.1038/d41586-026-00841-0" TargetMode="External"/><Relationship Id="rId345" Type="http://schemas.openxmlformats.org/officeDocument/2006/relationships/hyperlink" Target="https://www.nature.com/articles/d41586-026-00843-y" TargetMode="External"/><Relationship Id="rId346" Type="http://schemas.openxmlformats.org/officeDocument/2006/relationships/hyperlink" Target="https://doi.org/10.1038/d41586-026-00843-y" TargetMode="External"/><Relationship Id="rId347" Type="http://schemas.openxmlformats.org/officeDocument/2006/relationships/hyperlink" Target="https://www.nature.com/articles/s41578-026-00908-4" TargetMode="External"/><Relationship Id="rId348" Type="http://schemas.openxmlformats.org/officeDocument/2006/relationships/hyperlink" Target="https://doi.org/10.1038/s41578-026-00908-4" TargetMode="External"/><Relationship Id="rId349" Type="http://schemas.openxmlformats.org/officeDocument/2006/relationships/hyperlink" Target="https://www.nature.com/articles/s41586-026-10179-2" TargetMode="External"/><Relationship Id="rId350" Type="http://schemas.openxmlformats.org/officeDocument/2006/relationships/hyperlink" Target="https://doi.org/10.1038/s41586-026-10179-2" TargetMode="External"/><Relationship Id="rId351" Type="http://schemas.openxmlformats.org/officeDocument/2006/relationships/hyperlink" Target="https://advanced.onlinelibrary.wiley.com/doi/10.1002/adma.202520199?af=R" TargetMode="External"/><Relationship Id="rId352" Type="http://schemas.openxmlformats.org/officeDocument/2006/relationships/hyperlink" Target="https://doi.org/10.1002/adma.202520199" TargetMode="External"/><Relationship Id="rId353" Type="http://schemas.openxmlformats.org/officeDocument/2006/relationships/hyperlink" Target="https://advanced.onlinelibrary.wiley.com/doi/10.1002/adma.72800?af=R" TargetMode="External"/><Relationship Id="rId354" Type="http://schemas.openxmlformats.org/officeDocument/2006/relationships/hyperlink" Target="https://doi.org/10.1002/adma.72800" TargetMode="External"/><Relationship Id="rId355" Type="http://schemas.openxmlformats.org/officeDocument/2006/relationships/hyperlink" Target="https://advanced.onlinelibrary.wiley.com/doi/10.1002/adma.202522987?af=R" TargetMode="External"/><Relationship Id="rId356" Type="http://schemas.openxmlformats.org/officeDocument/2006/relationships/hyperlink" Target="https://doi.org/10.1002/adma.202522987" TargetMode="External"/><Relationship Id="rId357" Type="http://schemas.openxmlformats.org/officeDocument/2006/relationships/hyperlink" Target="https://advanced.onlinelibrary.wiley.com/doi/10.1002/adma.202516452?af=R" TargetMode="External"/><Relationship Id="rId358" Type="http://schemas.openxmlformats.org/officeDocument/2006/relationships/hyperlink" Target="https://doi.org/10.1002/adma.202516452" TargetMode="External"/><Relationship Id="rId359" Type="http://schemas.openxmlformats.org/officeDocument/2006/relationships/hyperlink" Target="https://advanced.onlinelibrary.wiley.com/doi/10.1002/adma.202522617?af=R" TargetMode="External"/><Relationship Id="rId360" Type="http://schemas.openxmlformats.org/officeDocument/2006/relationships/hyperlink" Target="https://doi.org/10.1002/adma.202522617" TargetMode="External"/><Relationship Id="rId361" Type="http://schemas.openxmlformats.org/officeDocument/2006/relationships/hyperlink" Target="https://onlinelibrary.wiley.com/doi/10.1002/anie.202521654?af=R" TargetMode="External"/><Relationship Id="rId362" Type="http://schemas.openxmlformats.org/officeDocument/2006/relationships/hyperlink" Target="https://doi.org/10.1002/anie.202521654" TargetMode="External"/><Relationship Id="rId363" Type="http://schemas.openxmlformats.org/officeDocument/2006/relationships/hyperlink" Target="https://onlinelibrary.wiley.com/doi/10.1002/anie.9965825?af=R" TargetMode="External"/><Relationship Id="rId364" Type="http://schemas.openxmlformats.org/officeDocument/2006/relationships/hyperlink" Target="https://doi.org/10.1002/anie.9965825" TargetMode="External"/><Relationship Id="rId365" Type="http://schemas.openxmlformats.org/officeDocument/2006/relationships/hyperlink" Target="https://onlinelibrary.wiley.com/doi/10.1002/anie.8135901?af=R" TargetMode="External"/><Relationship Id="rId366" Type="http://schemas.openxmlformats.org/officeDocument/2006/relationships/hyperlink" Target="https://doi.org/10.1002/anie.8135901" TargetMode="External"/><Relationship Id="rId367" Type="http://schemas.openxmlformats.org/officeDocument/2006/relationships/hyperlink" Target="https://onlinelibrary.wiley.com/doi/10.1002/anie.202526091?af=R" TargetMode="External"/><Relationship Id="rId368" Type="http://schemas.openxmlformats.org/officeDocument/2006/relationships/hyperlink" Target="https://doi.org/10.1002/anie.202526091" TargetMode="External"/><Relationship Id="rId369" Type="http://schemas.openxmlformats.org/officeDocument/2006/relationships/hyperlink" Target="https://onlinelibrary.wiley.com/doi/10.1002/anie.202525899?af=R" TargetMode="External"/><Relationship Id="rId370" Type="http://schemas.openxmlformats.org/officeDocument/2006/relationships/hyperlink" Target="https://doi.org/10.1002/anie.202525899" TargetMode="External"/><Relationship Id="rId371" Type="http://schemas.openxmlformats.org/officeDocument/2006/relationships/hyperlink" Target="https://onlinelibrary.wiley.com/doi/10.1002/anie.202522758?af=R" TargetMode="External"/><Relationship Id="rId372" Type="http://schemas.openxmlformats.org/officeDocument/2006/relationships/hyperlink" Target="https://doi.org/10.1002/anie.202522758" TargetMode="External"/><Relationship Id="rId373" Type="http://schemas.openxmlformats.org/officeDocument/2006/relationships/hyperlink" Target="https://onlinelibrary.wiley.com/doi/10.1002/anie.202524115?af=R" TargetMode="External"/><Relationship Id="rId374" Type="http://schemas.openxmlformats.org/officeDocument/2006/relationships/hyperlink" Target="https://doi.org/10.1002/anie.202524115" TargetMode="External"/><Relationship Id="rId375" Type="http://schemas.openxmlformats.org/officeDocument/2006/relationships/hyperlink" Target="https://onlinelibrary.wiley.com/doi/10.1002/anie.202524615?af=R" TargetMode="External"/><Relationship Id="rId376" Type="http://schemas.openxmlformats.org/officeDocument/2006/relationships/hyperlink" Target="https://doi.org/10.1002/anie.202524615" TargetMode="External"/><Relationship Id="rId377" Type="http://schemas.openxmlformats.org/officeDocument/2006/relationships/hyperlink" Target="https://onlinelibrary.wiley.com/doi/10.1002/anie.202524636?af=R" TargetMode="External"/><Relationship Id="rId378" Type="http://schemas.openxmlformats.org/officeDocument/2006/relationships/hyperlink" Target="https://doi.org/10.1002/anie.202524636" TargetMode="External"/><Relationship Id="rId379" Type="http://schemas.openxmlformats.org/officeDocument/2006/relationships/hyperlink" Target="https://onlinelibrary.wiley.com/doi/10.1002/anie.202525608?af=R" TargetMode="External"/><Relationship Id="rId380" Type="http://schemas.openxmlformats.org/officeDocument/2006/relationships/hyperlink" Target="https://doi.org/10.1002/anie.202525608" TargetMode="External"/><Relationship Id="rId381" Type="http://schemas.openxmlformats.org/officeDocument/2006/relationships/hyperlink" Target="https://onlinelibrary.wiley.com/doi/10.1002/anie.3136861?af=R" TargetMode="External"/><Relationship Id="rId382" Type="http://schemas.openxmlformats.org/officeDocument/2006/relationships/hyperlink" Target="https://doi.org/10.1002/anie.3136861" TargetMode="External"/><Relationship Id="rId383" Type="http://schemas.openxmlformats.org/officeDocument/2006/relationships/hyperlink" Target="https://onlinelibrary.wiley.com/doi/10.1002/anie.8854855?af=R" TargetMode="External"/><Relationship Id="rId384" Type="http://schemas.openxmlformats.org/officeDocument/2006/relationships/hyperlink" Target="https://doi.org/10.1002/anie.8854855" TargetMode="External"/><Relationship Id="rId385" Type="http://schemas.openxmlformats.org/officeDocument/2006/relationships/hyperlink" Target="https://www.pnas.org/doi/abs/10.1073/pnas.2521394123?mi=eymic2&amp;af=R&amp;access=on&amp;content=articlesChapters&amp;publication=pnas&amp;sortBy=Earliest&amp;target=default" TargetMode="External"/><Relationship Id="rId386" Type="http://schemas.openxmlformats.org/officeDocument/2006/relationships/hyperlink" Target="https://doi.org/10.1073/pnas.2521394123" TargetMode="External"/><Relationship Id="rId387" Type="http://schemas.openxmlformats.org/officeDocument/2006/relationships/hyperlink" Target="https://www.pnas.org/doi/abs/10.1073/pnas.2536362123?mi=eymic2&amp;af=R&amp;access=on&amp;content=articlesChapters&amp;publication=pnas&amp;sortBy=Earliest&amp;target=default" TargetMode="External"/><Relationship Id="rId388" Type="http://schemas.openxmlformats.org/officeDocument/2006/relationships/hyperlink" Target="https://doi.org/10.1073/pnas.2536362123" TargetMode="External"/><Relationship Id="rId389" Type="http://schemas.openxmlformats.org/officeDocument/2006/relationships/hyperlink" Target="https://www.pnas.org/doi/abs/10.1073/pnas.2532671123?mi=eymic2&amp;af=R&amp;access=on&amp;content=articlesChapters&amp;publication=pnas&amp;sortBy=Earliest&amp;target=default" TargetMode="External"/><Relationship Id="rId390" Type="http://schemas.openxmlformats.org/officeDocument/2006/relationships/hyperlink" Target="https://doi.org/10.1073/pnas.2532671123" TargetMode="External"/><Relationship Id="rId391" Type="http://schemas.openxmlformats.org/officeDocument/2006/relationships/hyperlink" Target="https://www.pnas.org/doi/abs/10.1073/pnas.2534404123?mi=eymic2&amp;af=R&amp;access=on&amp;content=articlesChapters&amp;publication=pnas&amp;sortBy=Earliest&amp;target=default" TargetMode="External"/><Relationship Id="rId392" Type="http://schemas.openxmlformats.org/officeDocument/2006/relationships/hyperlink" Target="https://doi.org/10.1073/pnas.2534404123" TargetMode="External"/><Relationship Id="rId393" Type="http://schemas.openxmlformats.org/officeDocument/2006/relationships/hyperlink" Target="https://www.pnas.org/doi/abs/10.1073/pnas.2537939123?mi=eymic2&amp;af=R&amp;access=on&amp;content=articlesChapters&amp;publication=pnas&amp;sortBy=Earliest&amp;target=default" TargetMode="External"/><Relationship Id="rId394" Type="http://schemas.openxmlformats.org/officeDocument/2006/relationships/hyperlink" Target="https://doi.org/10.1073/pnas.2537939123" TargetMode="External"/><Relationship Id="rId395" Type="http://schemas.openxmlformats.org/officeDocument/2006/relationships/hyperlink" Target="https://www.pnas.org/doi/abs/10.1073/pnas.2529365123?mi=eymic2&amp;af=R&amp;access=on&amp;content=articlesChapters&amp;publication=pnas&amp;sortBy=Earliest&amp;target=default" TargetMode="External"/><Relationship Id="rId396" Type="http://schemas.openxmlformats.org/officeDocument/2006/relationships/hyperlink" Target="https://doi.org/10.1073/pnas.2529365123" TargetMode="External"/><Relationship Id="rId397" Type="http://schemas.openxmlformats.org/officeDocument/2006/relationships/hyperlink" Target="https://www.pnas.org/doi/abs/10.1073/pnas.2533461123?mi=eymic2&amp;af=R&amp;access=on&amp;content=articlesChapters&amp;publication=pnas&amp;sortBy=Earliest&amp;target=default" TargetMode="External"/><Relationship Id="rId398" Type="http://schemas.openxmlformats.org/officeDocument/2006/relationships/hyperlink" Target="https://doi.org/10.1073/pnas.2533461123" TargetMode="External"/><Relationship Id="rId399" Type="http://schemas.openxmlformats.org/officeDocument/2006/relationships/hyperlink" Target="https://www.pnas.org/doi/abs/10.1073/pnas.2523844123?mi=eymic2&amp;af=R&amp;access=on&amp;content=articlesChapters&amp;publication=pnas&amp;sortBy=Earliest&amp;target=default" TargetMode="External"/><Relationship Id="rId400" Type="http://schemas.openxmlformats.org/officeDocument/2006/relationships/hyperlink" Target="https://doi.org/10.1073/pnas.2523844123" TargetMode="External"/><Relationship Id="rId401" Type="http://schemas.openxmlformats.org/officeDocument/2006/relationships/hyperlink" Target="https://www.pnas.org/doi/abs/10.1073/pnas.2523350123?mi=eymic2&amp;af=R&amp;access=on&amp;content=articlesChapters&amp;publication=pnas&amp;sortBy=Earliest&amp;target=default" TargetMode="External"/><Relationship Id="rId402" Type="http://schemas.openxmlformats.org/officeDocument/2006/relationships/hyperlink" Target="https://doi.org/10.1073/pnas.2523350123" TargetMode="External"/><Relationship Id="rId403" Type="http://schemas.openxmlformats.org/officeDocument/2006/relationships/hyperlink" Target="https://www.pnas.org/doi/abs/10.1073/pnas.2522111123?mi=eymic2&amp;af=R&amp;access=on&amp;content=articlesChapters&amp;publication=pnas&amp;sortBy=Earliest&amp;target=default" TargetMode="External"/><Relationship Id="rId404" Type="http://schemas.openxmlformats.org/officeDocument/2006/relationships/hyperlink" Target="https://doi.org/10.1073/pnas.2522111123" TargetMode="External"/><Relationship Id="rId405" Type="http://schemas.openxmlformats.org/officeDocument/2006/relationships/hyperlink" Target="https://www.pnas.org/doi/abs/10.1073/pnas.2525793123?mi=eymic2&amp;af=R&amp;access=on&amp;content=articlesChapters&amp;publication=pnas&amp;sortBy=Earliest&amp;target=default" TargetMode="External"/><Relationship Id="rId406" Type="http://schemas.openxmlformats.org/officeDocument/2006/relationships/hyperlink" Target="https://doi.org/10.1073/pnas.2525793123" TargetMode="External"/><Relationship Id="rId407" Type="http://schemas.openxmlformats.org/officeDocument/2006/relationships/hyperlink" Target="https://www.pnas.org/doi/abs/10.1073/pnas.2538150123?mi=eymic2&amp;af=R&amp;access=on&amp;content=articlesChapters&amp;publication=pnas&amp;sortBy=Earliest&amp;target=default" TargetMode="External"/><Relationship Id="rId408" Type="http://schemas.openxmlformats.org/officeDocument/2006/relationships/hyperlink" Target="https://doi.org/10.1073/pnas.2538150123" TargetMode="External"/><Relationship Id="rId409" Type="http://schemas.openxmlformats.org/officeDocument/2006/relationships/hyperlink" Target="https://www.pnas.org/doi/abs/10.1073/pnas.2527295123?mi=eymic2&amp;af=R&amp;access=on&amp;content=articlesChapters&amp;publication=pnas&amp;sortBy=Earliest&amp;target=default" TargetMode="External"/><Relationship Id="rId410" Type="http://schemas.openxmlformats.org/officeDocument/2006/relationships/hyperlink" Target="https://doi.org/10.1073/pnas.2527295123" TargetMode="External"/><Relationship Id="rId411" Type="http://schemas.openxmlformats.org/officeDocument/2006/relationships/hyperlink" Target="https://www.pnas.org/doi/abs/10.1073/pnas.2601432123?mi=eymic2&amp;af=R&amp;access=on&amp;content=articlesChapters&amp;publication=pnas&amp;sortBy=Earliest&amp;target=default" TargetMode="External"/><Relationship Id="rId412" Type="http://schemas.openxmlformats.org/officeDocument/2006/relationships/hyperlink" Target="https://doi.org/10.1073/pnas.2601432123" TargetMode="External"/><Relationship Id="rId413" Type="http://schemas.openxmlformats.org/officeDocument/2006/relationships/hyperlink" Target="https://www.pnas.org/doi/abs/10.1073/pnas.2536681123?mi=eymic2&amp;af=R&amp;access=on&amp;content=articlesChapters&amp;publication=pnas&amp;sortBy=Earliest&amp;target=default" TargetMode="External"/><Relationship Id="rId414" Type="http://schemas.openxmlformats.org/officeDocument/2006/relationships/hyperlink" Target="https://doi.org/10.1073/pnas.2536681123" TargetMode="External"/><Relationship Id="rId415" Type="http://schemas.openxmlformats.org/officeDocument/2006/relationships/hyperlink" Target="https://www.pnas.org/doi/abs/10.1073/pnas.2606894123?mi=eymic2&amp;af=R&amp;access=on&amp;content=articlesChapters&amp;publication=pnas&amp;sortBy=Earliest&amp;target=default" TargetMode="External"/><Relationship Id="rId416" Type="http://schemas.openxmlformats.org/officeDocument/2006/relationships/hyperlink" Target="https://doi.org/10.1073/pnas.2606894123" TargetMode="External"/><Relationship Id="rId417" Type="http://schemas.openxmlformats.org/officeDocument/2006/relationships/hyperlink" Target="https://www.pnas.org/doi/abs/10.1073/pnas.2606246123?mi=eymic2&amp;af=R&amp;access=on&amp;content=articlesChapters&amp;publication=pnas&amp;sortBy=Earliest&amp;target=default" TargetMode="External"/><Relationship Id="rId418" Type="http://schemas.openxmlformats.org/officeDocument/2006/relationships/hyperlink" Target="https://doi.org/10.1073/pnas.2606246123" TargetMode="External"/><Relationship Id="rId419" Type="http://schemas.openxmlformats.org/officeDocument/2006/relationships/hyperlink" Target="https://www.pnas.org/doi/abs/10.1073/pnas.2607090123?mi=eymic2&amp;af=R&amp;access=on&amp;content=articlesChapters&amp;publication=pnas&amp;sortBy=Earliest&amp;target=default" TargetMode="External"/><Relationship Id="rId420" Type="http://schemas.openxmlformats.org/officeDocument/2006/relationships/hyperlink" Target="https://doi.org/10.1073/pnas.2607090123" TargetMode="External"/><Relationship Id="rId421" Type="http://schemas.openxmlformats.org/officeDocument/2006/relationships/hyperlink" Target="https://www.pnas.org/doi/abs/10.1073/pnas.2521949123?mi=eymic2&amp;af=R&amp;access=on&amp;content=articlesChapters&amp;publication=pnas&amp;sortBy=Earliest&amp;target=default" TargetMode="External"/><Relationship Id="rId422" Type="http://schemas.openxmlformats.org/officeDocument/2006/relationships/hyperlink" Target="https://doi.org/10.1073/pnas.2521949123" TargetMode="External"/><Relationship Id="rId423" Type="http://schemas.openxmlformats.org/officeDocument/2006/relationships/hyperlink" Target="https://www.pnas.org/doi/abs/10.1073/pnas.2521050123?mi=eymic2&amp;af=R&amp;access=on&amp;content=articlesChapters&amp;publication=pnas&amp;sortBy=Earliest&amp;target=default" TargetMode="External"/><Relationship Id="rId424" Type="http://schemas.openxmlformats.org/officeDocument/2006/relationships/hyperlink" Target="https://doi.org/10.1073/pnas.2521050123" TargetMode="External"/><Relationship Id="rId425" Type="http://schemas.openxmlformats.org/officeDocument/2006/relationships/hyperlink" Target="https://www.pnas.org/doi/abs/10.1073/pnas.2602695123?mi=eymic2&amp;af=R&amp;access=on&amp;content=articlesChapters&amp;publication=pnas&amp;sortBy=Earliest&amp;target=default" TargetMode="External"/><Relationship Id="rId426" Type="http://schemas.openxmlformats.org/officeDocument/2006/relationships/hyperlink" Target="https://doi.org/10.1073/pnas.2602695123" TargetMode="External"/><Relationship Id="rId427" Type="http://schemas.openxmlformats.org/officeDocument/2006/relationships/hyperlink" Target="https://www.pnas.org/doi/abs/10.1073/pnas.2520697123?mi=eymic2&amp;af=R&amp;access=on&amp;content=articlesChapters&amp;publication=pnas&amp;sortBy=Earliest&amp;target=default" TargetMode="External"/><Relationship Id="rId428" Type="http://schemas.openxmlformats.org/officeDocument/2006/relationships/hyperlink" Target="https://doi.org/10.1073/pnas.2520697123" TargetMode="External"/><Relationship Id="rId429" Type="http://schemas.openxmlformats.org/officeDocument/2006/relationships/hyperlink" Target="https://www.pnas.org/doi/abs/10.1073/pnas.2424126123?mi=eymic2&amp;af=R&amp;access=on&amp;content=articlesChapters&amp;publication=pnas&amp;sortBy=Earliest&amp;target=default" TargetMode="External"/><Relationship Id="rId430" Type="http://schemas.openxmlformats.org/officeDocument/2006/relationships/hyperlink" Target="https://doi.org/10.1073/pnas.2424126123" TargetMode="External"/><Relationship Id="rId431" Type="http://schemas.openxmlformats.org/officeDocument/2006/relationships/hyperlink" Target="https://www.pnas.org/doi/abs/10.1073/pnas.2506991123?mi=eymic2&amp;af=R&amp;access=on&amp;content=articlesChapters&amp;publication=pnas&amp;sortBy=Earliest&amp;target=default" TargetMode="External"/><Relationship Id="rId432" Type="http://schemas.openxmlformats.org/officeDocument/2006/relationships/hyperlink" Target="https://doi.org/10.1073/pnas.2506991123" TargetMode="External"/><Relationship Id="rId433" Type="http://schemas.openxmlformats.org/officeDocument/2006/relationships/hyperlink" Target="https://www.pnas.org/doi/abs/10.1073/pnas.2512673123?mi=eymic2&amp;af=R&amp;access=on&amp;content=articlesChapters&amp;publication=pnas&amp;sortBy=Earliest&amp;target=default" TargetMode="External"/><Relationship Id="rId434" Type="http://schemas.openxmlformats.org/officeDocument/2006/relationships/hyperlink" Target="https://doi.org/10.1073/pnas.2512673123" TargetMode="External"/><Relationship Id="rId435" Type="http://schemas.openxmlformats.org/officeDocument/2006/relationships/hyperlink" Target="https://www.pnas.org/doi/abs/10.1073/pnas.2603574123?mi=eymic2&amp;af=R&amp;access=on&amp;content=articlesChapters&amp;publication=pnas&amp;sortBy=Earliest&amp;target=default" TargetMode="External"/><Relationship Id="rId436" Type="http://schemas.openxmlformats.org/officeDocument/2006/relationships/hyperlink" Target="https://doi.org/10.1073/pnas.2603574123" TargetMode="External"/><Relationship Id="rId437" Type="http://schemas.openxmlformats.org/officeDocument/2006/relationships/hyperlink" Target="https://www.pnas.org/doi/abs/10.1073/pnas.2520462123?mi=eymic2&amp;af=R&amp;access=on&amp;content=articlesChapters&amp;publication=pnas&amp;sortBy=Earliest&amp;target=default" TargetMode="External"/><Relationship Id="rId438" Type="http://schemas.openxmlformats.org/officeDocument/2006/relationships/hyperlink" Target="https://doi.org/10.1073/pnas.2520462123" TargetMode="External"/><Relationship Id="rId439" Type="http://schemas.openxmlformats.org/officeDocument/2006/relationships/hyperlink" Target="https://www.pnas.org/doi/abs/10.1073/pnas.2518846123?mi=eymic2&amp;af=R&amp;access=on&amp;content=articlesChapters&amp;publication=pnas&amp;sortBy=Earliest&amp;target=default" TargetMode="External"/><Relationship Id="rId440" Type="http://schemas.openxmlformats.org/officeDocument/2006/relationships/hyperlink" Target="https://doi.org/10.1073/pnas.2518846123" TargetMode="External"/><Relationship Id="rId441" Type="http://schemas.openxmlformats.org/officeDocument/2006/relationships/hyperlink" Target="https://www.pnas.org/doi/abs/10.1073/pnas.2513317123?mi=eymic2&amp;af=R&amp;access=on&amp;content=articlesChapters&amp;publication=pnas&amp;sortBy=Earliest&amp;target=default" TargetMode="External"/><Relationship Id="rId442" Type="http://schemas.openxmlformats.org/officeDocument/2006/relationships/hyperlink" Target="https://doi.org/10.1073/pnas.2513317123" TargetMode="External"/><Relationship Id="rId443" Type="http://schemas.openxmlformats.org/officeDocument/2006/relationships/hyperlink" Target="https://www.pnas.org/doi/abs/10.1073/pnas.2512725123?mi=eymic2&amp;af=R&amp;access=on&amp;content=articlesChapters&amp;publication=pnas&amp;sortBy=Earliest&amp;target=default" TargetMode="External"/><Relationship Id="rId444" Type="http://schemas.openxmlformats.org/officeDocument/2006/relationships/hyperlink" Target="https://doi.org/10.1073/pnas.2512725123" TargetMode="External"/><Relationship Id="rId445" Type="http://schemas.openxmlformats.org/officeDocument/2006/relationships/hyperlink" Target="http://dx.doi.org/10.1021/jacs.5c19957" TargetMode="External"/><Relationship Id="rId446" Type="http://schemas.openxmlformats.org/officeDocument/2006/relationships/hyperlink" Target="https://doi.org/10.1021/jacs.5c19957" TargetMode="External"/><Relationship Id="rId447" Type="http://schemas.openxmlformats.org/officeDocument/2006/relationships/hyperlink" Target="http://dx.doi.org/10.1021/jacs.6c01686" TargetMode="External"/><Relationship Id="rId448" Type="http://schemas.openxmlformats.org/officeDocument/2006/relationships/hyperlink" Target="https://doi.org/10.1021/jacs.6c01686" TargetMode="External"/><Relationship Id="rId449" Type="http://schemas.openxmlformats.org/officeDocument/2006/relationships/hyperlink" Target="http://dx.doi.org/10.1021/acsenergylett.6c00105" TargetMode="External"/><Relationship Id="rId450" Type="http://schemas.openxmlformats.org/officeDocument/2006/relationships/hyperlink" Target="https://doi.org/10.1021/acsenergylett.6c00105" TargetMode="External"/><Relationship Id="rId451" Type="http://schemas.openxmlformats.org/officeDocument/2006/relationships/hyperlink" Target="http://dx.doi.org/10.1021/jacs.5c20939" TargetMode="External"/><Relationship Id="rId452" Type="http://schemas.openxmlformats.org/officeDocument/2006/relationships/hyperlink" Target="https://doi.org/10.1021/jacs.5c20939" TargetMode="External"/><Relationship Id="rId453" Type="http://schemas.openxmlformats.org/officeDocument/2006/relationships/hyperlink" Target="http://dx.doi.org/10.1021/jacs.6c00294" TargetMode="External"/><Relationship Id="rId454" Type="http://schemas.openxmlformats.org/officeDocument/2006/relationships/hyperlink" Target="https://doi.org/10.1021/jacs.6c00294" TargetMode="External"/><Relationship Id="rId455" Type="http://schemas.openxmlformats.org/officeDocument/2006/relationships/hyperlink" Target="http://dx.doi.org/10.1021/jacs.5c18863" TargetMode="External"/><Relationship Id="rId456" Type="http://schemas.openxmlformats.org/officeDocument/2006/relationships/hyperlink" Target="https://doi.org/10.1021/jacs.5c18863" TargetMode="External"/><Relationship Id="rId457" Type="http://schemas.openxmlformats.org/officeDocument/2006/relationships/hyperlink" Target="http://dx.doi.org/10.1021/jacs.6c02189" TargetMode="External"/><Relationship Id="rId458" Type="http://schemas.openxmlformats.org/officeDocument/2006/relationships/hyperlink" Target="https://doi.org/10.1021/jacs.6c02189" TargetMode="External"/><Relationship Id="rId459" Type="http://schemas.openxmlformats.org/officeDocument/2006/relationships/hyperlink" Target="http://dx.doi.org/10.1021/jacs.5c20896" TargetMode="External"/><Relationship Id="rId460" Type="http://schemas.openxmlformats.org/officeDocument/2006/relationships/hyperlink" Target="https://doi.org/10.1021/jacs.5c20896" TargetMode="External"/><Relationship Id="rId461" Type="http://schemas.openxmlformats.org/officeDocument/2006/relationships/hyperlink" Target="https://onlinelibrary.wiley.com/doi/10.1002/anie.2026-m2402081700?af=R" TargetMode="External"/><Relationship Id="rId462" Type="http://schemas.openxmlformats.org/officeDocument/2006/relationships/hyperlink" Target="https://doi.org/10.1002/anie.2026-m2402081700" TargetMode="External"/><Relationship Id="rId463" Type="http://schemas.openxmlformats.org/officeDocument/2006/relationships/hyperlink" Target="https://onlinelibrary.wiley.com/doi/10.1002/anie.6037453?af=R" TargetMode="External"/><Relationship Id="rId464" Type="http://schemas.openxmlformats.org/officeDocument/2006/relationships/hyperlink" Target="https://doi.org/10.1002/anie.6037453" TargetMode="External"/><Relationship Id="rId465" Type="http://schemas.openxmlformats.org/officeDocument/2006/relationships/hyperlink" Target="https://onlinelibrary.wiley.com/doi/10.1002/anie.202525132?af=R" TargetMode="External"/><Relationship Id="rId466" Type="http://schemas.openxmlformats.org/officeDocument/2006/relationships/hyperlink" Target="https://doi.org/10.1002/anie.202525132" TargetMode="External"/><Relationship Id="rId467" Type="http://schemas.openxmlformats.org/officeDocument/2006/relationships/hyperlink" Target="https://onlinelibrary.wiley.com/doi/10.1002/anie.2162332?af=R" TargetMode="External"/><Relationship Id="rId468" Type="http://schemas.openxmlformats.org/officeDocument/2006/relationships/hyperlink" Target="https://doi.org/10.1002/anie.2162332" TargetMode="External"/><Relationship Id="rId469" Type="http://schemas.openxmlformats.org/officeDocument/2006/relationships/hyperlink" Target="https://onlinelibrary.wiley.com/doi/10.1002/anie.9345668?af=R" TargetMode="External"/><Relationship Id="rId470" Type="http://schemas.openxmlformats.org/officeDocument/2006/relationships/hyperlink" Target="https://doi.org/10.1002/anie.9345668" TargetMode="External"/><Relationship Id="rId471" Type="http://schemas.openxmlformats.org/officeDocument/2006/relationships/hyperlink" Target="http://dx.doi.org/10.1021/jacs.5c11933" TargetMode="External"/><Relationship Id="rId472" Type="http://schemas.openxmlformats.org/officeDocument/2006/relationships/hyperlink" Target="https://doi.org/10.1021/jacs.5c11933" TargetMode="External"/><Relationship Id="rId473" Type="http://schemas.openxmlformats.org/officeDocument/2006/relationships/hyperlink" Target="http://dx.doi.org/10.1021/jacs.5c18691" TargetMode="External"/><Relationship Id="rId474" Type="http://schemas.openxmlformats.org/officeDocument/2006/relationships/hyperlink" Target="https://doi.org/10.1021/jacs.5c18691" TargetMode="External"/><Relationship Id="rId475" Type="http://schemas.openxmlformats.org/officeDocument/2006/relationships/hyperlink" Target="http://dx.doi.org/10.1021/jacs.6c01713" TargetMode="External"/><Relationship Id="rId476" Type="http://schemas.openxmlformats.org/officeDocument/2006/relationships/hyperlink" Target="https://doi.org/10.1021/jacs.6c01713" TargetMode="External"/><Relationship Id="rId477" Type="http://schemas.openxmlformats.org/officeDocument/2006/relationships/hyperlink" Target="http://dx.doi.org/10.1021/jacs.5c21478" TargetMode="External"/><Relationship Id="rId478" Type="http://schemas.openxmlformats.org/officeDocument/2006/relationships/hyperlink" Target="https://doi.org/10.1021/jacs.5c21478" TargetMode="External"/><Relationship Id="rId479" Type="http://schemas.openxmlformats.org/officeDocument/2006/relationships/hyperlink" Target="http://dx.doi.org/10.1021/jacs.5c22582" TargetMode="External"/><Relationship Id="rId480" Type="http://schemas.openxmlformats.org/officeDocument/2006/relationships/hyperlink" Target="https://doi.org/10.1021/jacs.5c22582" TargetMode="External"/><Relationship Id="rId481" Type="http://schemas.openxmlformats.org/officeDocument/2006/relationships/hyperlink" Target="http://dx.doi.org/10.1021/jacs.5c21753" TargetMode="External"/><Relationship Id="rId482" Type="http://schemas.openxmlformats.org/officeDocument/2006/relationships/hyperlink" Target="https://doi.org/10.1021/jacs.5c21753" TargetMode="External"/><Relationship Id="rId483" Type="http://schemas.openxmlformats.org/officeDocument/2006/relationships/hyperlink" Target="http://dx.doi.org/10.1021/acsenergylett.6c00165" TargetMode="External"/><Relationship Id="rId484" Type="http://schemas.openxmlformats.org/officeDocument/2006/relationships/hyperlink" Target="https://doi.org/10.1021/acsenergylett.6c00165" TargetMode="External"/><Relationship Id="rId485" Type="http://schemas.openxmlformats.org/officeDocument/2006/relationships/hyperlink" Target="http://dx.doi.org/10.1021/jacs.5c23024" TargetMode="External"/><Relationship Id="rId486" Type="http://schemas.openxmlformats.org/officeDocument/2006/relationships/hyperlink" Target="https://doi.org/10.1021/jacs.5c23024" TargetMode="External"/><Relationship Id="rId487" Type="http://schemas.openxmlformats.org/officeDocument/2006/relationships/hyperlink" Target="http://dx.doi.org/10.1021/jacs.5c23161" TargetMode="External"/><Relationship Id="rId488" Type="http://schemas.openxmlformats.org/officeDocument/2006/relationships/hyperlink" Target="https://doi.org/10.1021/jacs.5c23161" TargetMode="External"/><Relationship Id="rId489" Type="http://schemas.openxmlformats.org/officeDocument/2006/relationships/hyperlink" Target="http://dx.doi.org/10.1021/jacs.6c01421" TargetMode="External"/><Relationship Id="rId490" Type="http://schemas.openxmlformats.org/officeDocument/2006/relationships/hyperlink" Target="https://doi.org/10.1021/jacs.6c01421" TargetMode="External"/><Relationship Id="rId491" Type="http://schemas.openxmlformats.org/officeDocument/2006/relationships/hyperlink" Target="http://dx.doi.org/10.1021/jacs.6c00510" TargetMode="External"/><Relationship Id="rId492" Type="http://schemas.openxmlformats.org/officeDocument/2006/relationships/hyperlink" Target="https://doi.org/10.1021/jacs.6c00510" TargetMode="External"/><Relationship Id="rId493" Type="http://schemas.openxmlformats.org/officeDocument/2006/relationships/hyperlink" Target="http://dx.doi.org/10.1021/jacs.6c01285" TargetMode="External"/><Relationship Id="rId494" Type="http://schemas.openxmlformats.org/officeDocument/2006/relationships/hyperlink" Target="https://doi.org/10.1021/jacs.6c01285" TargetMode="External"/><Relationship Id="rId495" Type="http://schemas.openxmlformats.org/officeDocument/2006/relationships/hyperlink" Target="https://www.nature.com/articles/d41586-026-00836-x" TargetMode="External"/><Relationship Id="rId496" Type="http://schemas.openxmlformats.org/officeDocument/2006/relationships/hyperlink" Target="https://doi.org/10.1038/d41586-026-00836-x" TargetMode="External"/><Relationship Id="rId497" Type="http://schemas.openxmlformats.org/officeDocument/2006/relationships/hyperlink" Target="https://www.nature.com/articles/d41586-026-00888-z" TargetMode="External"/><Relationship Id="rId498" Type="http://schemas.openxmlformats.org/officeDocument/2006/relationships/hyperlink" Target="https://doi.org/10.1038/d41586-026-00888-z" TargetMode="External"/><Relationship Id="rId499" Type="http://schemas.openxmlformats.org/officeDocument/2006/relationships/hyperlink" Target="https://www.nature.com/articles/d41586-026-00861-w" TargetMode="External"/><Relationship Id="rId500" Type="http://schemas.openxmlformats.org/officeDocument/2006/relationships/hyperlink" Target="https://doi.org/10.1038/d41586-026-00861-w" TargetMode="External"/><Relationship Id="rId501" Type="http://schemas.openxmlformats.org/officeDocument/2006/relationships/hyperlink" Target="https://www.nature.com/articles/d41586-026-00863-8" TargetMode="External"/><Relationship Id="rId502" Type="http://schemas.openxmlformats.org/officeDocument/2006/relationships/hyperlink" Target="https://doi.org/10.1038/d41586-026-00863-8" TargetMode="External"/><Relationship Id="rId503" Type="http://schemas.openxmlformats.org/officeDocument/2006/relationships/hyperlink" Target="https://www.nature.com/articles/s41560-026-02013-w" TargetMode="External"/><Relationship Id="rId504" Type="http://schemas.openxmlformats.org/officeDocument/2006/relationships/hyperlink" Target="https://doi.org/10.1038/s41560-026-02013-w" TargetMode="External"/><Relationship Id="rId505" Type="http://schemas.openxmlformats.org/officeDocument/2006/relationships/hyperlink" Target="https://www.nature.com/articles/s41563-026-02540-7" TargetMode="External"/><Relationship Id="rId506" Type="http://schemas.openxmlformats.org/officeDocument/2006/relationships/hyperlink" Target="https://doi.org/10.1038/s41563-026-02540-7" TargetMode="External"/><Relationship Id="rId507" Type="http://schemas.openxmlformats.org/officeDocument/2006/relationships/hyperlink" Target="https://www.nature.com/articles/s41563-026-02543-4" TargetMode="External"/><Relationship Id="rId508" Type="http://schemas.openxmlformats.org/officeDocument/2006/relationships/hyperlink" Target="https://doi.org/10.1038/s41563-026-02543-4" TargetMode="External"/><Relationship Id="rId509" Type="http://schemas.openxmlformats.org/officeDocument/2006/relationships/hyperlink" Target="https://www.nature.com/articles/s41563-026-02547-0" TargetMode="External"/><Relationship Id="rId510" Type="http://schemas.openxmlformats.org/officeDocument/2006/relationships/hyperlink" Target="https://doi.org/10.1038/s41563-026-02547-0" TargetMode="External"/><Relationship Id="rId511" Type="http://schemas.openxmlformats.org/officeDocument/2006/relationships/hyperlink" Target="https://www.nature.com/articles/s41563-026-02512-x" TargetMode="External"/><Relationship Id="rId512" Type="http://schemas.openxmlformats.org/officeDocument/2006/relationships/hyperlink" Target="https://doi.org/10.1038/s41563-026-02512-x" TargetMode="External"/><Relationship Id="rId513" Type="http://schemas.openxmlformats.org/officeDocument/2006/relationships/hyperlink" Target="https://www.nature.com/articles/s44286-026-00367-2" TargetMode="External"/><Relationship Id="rId514" Type="http://schemas.openxmlformats.org/officeDocument/2006/relationships/hyperlink" Target="https://doi.org/10.1038/s44286-026-00367-2" TargetMode="External"/><Relationship Id="rId515" Type="http://schemas.openxmlformats.org/officeDocument/2006/relationships/hyperlink" Target="https://www.nature.com/articles/d41586-026-00862-9" TargetMode="External"/><Relationship Id="rId516" Type="http://schemas.openxmlformats.org/officeDocument/2006/relationships/hyperlink" Target="https://doi.org/10.1038/d41586-026-00862-9" TargetMode="External"/><Relationship Id="rId517" Type="http://schemas.openxmlformats.org/officeDocument/2006/relationships/hyperlink" Target="https://www.cell.com/chem/fulltext/S2451-9294(26)00027-6?rss=yes" TargetMode="External"/><Relationship Id="rId518" Type="http://schemas.openxmlformats.org/officeDocument/2006/relationships/hyperlink" Target="https://doi.org/10.1016/j.chempr.2026.102961" TargetMode="External"/><Relationship Id="rId519" Type="http://schemas.openxmlformats.org/officeDocument/2006/relationships/hyperlink" Target="https://www.cell.com/chem/fulltext/S2451-9294(26)00015-X?rss=yes" TargetMode="External"/><Relationship Id="rId520" Type="http://schemas.openxmlformats.org/officeDocument/2006/relationships/hyperlink" Target="https://doi.org/10.1016/j.chempr.2026.102949" TargetMode="External"/><Relationship Id="rId521" Type="http://schemas.openxmlformats.org/officeDocument/2006/relationships/hyperlink" Target="https://www.cell.com/chem/fulltext/S2451-9294(26)00014-8?rss=yes" TargetMode="External"/><Relationship Id="rId522" Type="http://schemas.openxmlformats.org/officeDocument/2006/relationships/hyperlink" Target="https://doi.org/10.1016/j.chempr.2026.102948" TargetMode="External"/><Relationship Id="rId523" Type="http://schemas.openxmlformats.org/officeDocument/2006/relationships/hyperlink" Target="https://www.nature.com/articles/s41586-026-10360-7" TargetMode="External"/><Relationship Id="rId524" Type="http://schemas.openxmlformats.org/officeDocument/2006/relationships/hyperlink" Target="https://doi.org/10.1038/s41586-026-10360-7" TargetMode="External"/><Relationship Id="rId525" Type="http://schemas.openxmlformats.org/officeDocument/2006/relationships/hyperlink" Target="https://www.nature.com/articles/d41586-026-00643-4" TargetMode="External"/><Relationship Id="rId526" Type="http://schemas.openxmlformats.org/officeDocument/2006/relationships/hyperlink" Target="https://doi.org/10.1038/d41586-026-00643-4" TargetMode="External"/><Relationship Id="rId527" Type="http://schemas.openxmlformats.org/officeDocument/2006/relationships/hyperlink" Target="https://www.nature.com/articles/s41557-026-02102-z" TargetMode="External"/><Relationship Id="rId528" Type="http://schemas.openxmlformats.org/officeDocument/2006/relationships/hyperlink" Target="https://doi.org/10.1038/s41557-026-02102-z" TargetMode="External"/><Relationship Id="rId529" Type="http://schemas.openxmlformats.org/officeDocument/2006/relationships/hyperlink" Target="https://academic.oup.com/nsr/advance-article/doi/10.1093/nsr/nwag172/8526382?rss=1" TargetMode="External"/><Relationship Id="rId530" Type="http://schemas.openxmlformats.org/officeDocument/2006/relationships/hyperlink" Target="https://doi.org/10.1093/nsr/nwag172" TargetMode="External"/><Relationship Id="rId531" Type="http://schemas.openxmlformats.org/officeDocument/2006/relationships/hyperlink" Target="http://pubs.rsc.org/en/Content/ArticleLanding/2026/CS/D6CS90026G" TargetMode="External"/><Relationship Id="rId532" Type="http://schemas.openxmlformats.org/officeDocument/2006/relationships/hyperlink" Target="https://academic.oup.com/nsr/advance-article/doi/10.1093/nsr/nwag168/8526391?rss=1" TargetMode="External"/><Relationship Id="rId533" Type="http://schemas.openxmlformats.org/officeDocument/2006/relationships/hyperlink" Target="https://doi.org/10.1093/nsr/nwag168" TargetMode="External"/><Relationship Id="rId534" Type="http://schemas.openxmlformats.org/officeDocument/2006/relationships/hyperlink" Target="https://www.nature.com/articles/d41586-026-00864-7" TargetMode="External"/><Relationship Id="rId535" Type="http://schemas.openxmlformats.org/officeDocument/2006/relationships/hyperlink" Target="https://doi.org/10.1038/d41586-026-00864-7" TargetMode="External"/><Relationship Id="rId536" Type="http://schemas.openxmlformats.org/officeDocument/2006/relationships/hyperlink" Target="https://academic.oup.com/nsr/advance-article/doi/10.1093/nsr/nwag170/8526395?rss=1" TargetMode="External"/><Relationship Id="rId537" Type="http://schemas.openxmlformats.org/officeDocument/2006/relationships/hyperlink" Target="https://doi.org/10.1093/nsr/nwag170" TargetMode="External"/><Relationship Id="rId538" Type="http://schemas.openxmlformats.org/officeDocument/2006/relationships/hyperlink" Target="https://www.nature.com/articles/s41928-026-01591-7" TargetMode="External"/><Relationship Id="rId539" Type="http://schemas.openxmlformats.org/officeDocument/2006/relationships/hyperlink" Target="https://doi.org/10.1038/s41928-026-01591-7" TargetMode="External"/><Relationship Id="rId540" Type="http://schemas.openxmlformats.org/officeDocument/2006/relationships/hyperlink" Target="https://www.nature.com/articles/s44359-026-00162-5" TargetMode="External"/><Relationship Id="rId541" Type="http://schemas.openxmlformats.org/officeDocument/2006/relationships/hyperlink" Target="https://doi.org/10.1038/s44359-026-00162-5" TargetMode="External"/><Relationship Id="rId542" Type="http://schemas.openxmlformats.org/officeDocument/2006/relationships/hyperlink" Target="https://www.cell.com/one-earth/fulltext/S2590-3322(26)00020-5?rss=yes" TargetMode="External"/><Relationship Id="rId543" Type="http://schemas.openxmlformats.org/officeDocument/2006/relationships/hyperlink" Target="https://doi.org/10.1016/j.oneear.2026.101619" TargetMode="External"/><Relationship Id="rId544" Type="http://schemas.openxmlformats.org/officeDocument/2006/relationships/hyperlink" Target="https://www.cell.com/matter/fulltext/S2590-2385(26)00078-0?rss=yes" TargetMode="External"/><Relationship Id="rId545" Type="http://schemas.openxmlformats.org/officeDocument/2006/relationships/hyperlink" Target="https://doi.org/10.1016/j.matt.2026.102715" TargetMode="External"/><Relationship Id="rId546" Type="http://schemas.openxmlformats.org/officeDocument/2006/relationships/hyperlink" Target="https://www.cell.com/matter/fulltext/S2590-2385(26)00067-6?rss=yes" TargetMode="External"/><Relationship Id="rId547" Type="http://schemas.openxmlformats.org/officeDocument/2006/relationships/hyperlink" Target="https://doi.org/10.1016/j.matt.2026.102704" TargetMode="External"/><Relationship Id="rId548" Type="http://schemas.openxmlformats.org/officeDocument/2006/relationships/hyperlink" Target="https://www.sciencedirect.com/science/article/pii/S0306261926003223?dgcid=rss_sd_all" TargetMode="External"/><Relationship Id="rId549" Type="http://schemas.openxmlformats.org/officeDocument/2006/relationships/hyperlink" Target="https://www.nature.com/articles/d41586-026-00834-z" TargetMode="External"/><Relationship Id="rId550" Type="http://schemas.openxmlformats.org/officeDocument/2006/relationships/hyperlink" Target="https://doi.org/10.1038/d41586-026-00834-z" TargetMode="External"/><Relationship Id="rId551" Type="http://schemas.openxmlformats.org/officeDocument/2006/relationships/hyperlink" Target="https://www.nature.com/articles/d41586-026-00823-2" TargetMode="External"/><Relationship Id="rId552" Type="http://schemas.openxmlformats.org/officeDocument/2006/relationships/hyperlink" Target="https://doi.org/10.1038/d41586-026-00823-2" TargetMode="External"/><Relationship Id="rId553" Type="http://schemas.openxmlformats.org/officeDocument/2006/relationships/hyperlink" Target="https://www.nature.com/articles/d41586-026-00856-7" TargetMode="External"/><Relationship Id="rId554" Type="http://schemas.openxmlformats.org/officeDocument/2006/relationships/hyperlink" Target="https://doi.org/10.1038/d41586-026-00856-7" TargetMode="External"/><Relationship Id="rId555" Type="http://schemas.openxmlformats.org/officeDocument/2006/relationships/hyperlink" Target="https://www.nature.com/articles/d41586-025-04129-7" TargetMode="External"/><Relationship Id="rId556" Type="http://schemas.openxmlformats.org/officeDocument/2006/relationships/hyperlink" Target="https://doi.org/10.1038/d41586-025-04129-7" TargetMode="External"/><Relationship Id="rId557" Type="http://schemas.openxmlformats.org/officeDocument/2006/relationships/hyperlink" Target="https://www.nature.com/articles/d41586-026-00840-1" TargetMode="External"/><Relationship Id="rId558" Type="http://schemas.openxmlformats.org/officeDocument/2006/relationships/hyperlink" Target="https://doi.org/10.1038/d41586-026-00840-1" TargetMode="External"/><Relationship Id="rId559" Type="http://schemas.openxmlformats.org/officeDocument/2006/relationships/hyperlink" Target="https://www.nature.com/articles/d41586-026-00787-3" TargetMode="External"/><Relationship Id="rId560" Type="http://schemas.openxmlformats.org/officeDocument/2006/relationships/hyperlink" Target="https://doi.org/10.1038/d41586-026-00787-3" TargetMode="External"/><Relationship Id="rId561" Type="http://schemas.openxmlformats.org/officeDocument/2006/relationships/hyperlink" Target="https://www.nature.com/articles/d41586-026-00838-9" TargetMode="External"/><Relationship Id="rId562" Type="http://schemas.openxmlformats.org/officeDocument/2006/relationships/hyperlink" Target="https://doi.org/10.1038/d41586-026-00838-9" TargetMode="External"/><Relationship Id="rId563" Type="http://schemas.openxmlformats.org/officeDocument/2006/relationships/hyperlink" Target="https://academic.oup.com/nsr/advance-article/doi/10.1093/nsr/nwag167/8526397?rss=1" TargetMode="External"/><Relationship Id="rId564" Type="http://schemas.openxmlformats.org/officeDocument/2006/relationships/hyperlink" Target="https://doi.org/10.1093/nsr/nwag167" TargetMode="External"/><Relationship Id="rId565" Type="http://schemas.openxmlformats.org/officeDocument/2006/relationships/hyperlink" Target="https://www.sciencedirect.com/science/article/pii/S0301421526001941?dgcid=rss_sd_all" TargetMode="External"/><Relationship Id="rId566" Type="http://schemas.openxmlformats.org/officeDocument/2006/relationships/hyperlink" Target="https://academic.oup.com/nsr/advance-article/doi/10.1093/nsr/nwag171/8526396?rss=1" TargetMode="External"/><Relationship Id="rId567" Type="http://schemas.openxmlformats.org/officeDocument/2006/relationships/hyperlink" Target="https://doi.org/10.1093/nsr/nwag171" TargetMode="External"/><Relationship Id="rId568" Type="http://schemas.openxmlformats.org/officeDocument/2006/relationships/hyperlink" Target="https://www.pnas.org/doi/abs/10.1073/pnas.2519374123?mi=eymic2&amp;af=R&amp;access=on&amp;content=articlesChapters&amp;publication=pnas&amp;sortBy=Earliest&amp;target=default" TargetMode="External"/><Relationship Id="rId569" Type="http://schemas.openxmlformats.org/officeDocument/2006/relationships/hyperlink" Target="https://doi.org/10.1073/pnas.2519374123" TargetMode="External"/><Relationship Id="rId570" Type="http://schemas.openxmlformats.org/officeDocument/2006/relationships/hyperlink" Target="https://www.pnas.org/doi/abs/10.1073/pnas.2519117123?mi=eymic2&amp;af=R&amp;access=on&amp;content=articlesChapters&amp;publication=pnas&amp;sortBy=Earliest&amp;target=default" TargetMode="External"/><Relationship Id="rId571" Type="http://schemas.openxmlformats.org/officeDocument/2006/relationships/hyperlink" Target="https://doi.org/10.1073/pnas.2519117123" TargetMode="External"/><Relationship Id="rId572" Type="http://schemas.openxmlformats.org/officeDocument/2006/relationships/hyperlink" Target="https://www.pnas.org/doi/abs/10.1073/pnas.2517600123?mi=eymic2&amp;af=R&amp;access=on&amp;content=articlesChapters&amp;publication=pnas&amp;sortBy=Earliest&amp;target=default" TargetMode="External"/><Relationship Id="rId573" Type="http://schemas.openxmlformats.org/officeDocument/2006/relationships/hyperlink" Target="https://doi.org/10.1073/pnas.2517600123" TargetMode="External"/><Relationship Id="rId574" Type="http://schemas.openxmlformats.org/officeDocument/2006/relationships/hyperlink" Target="https://www.pnas.org/doi/abs/10.1073/pnas.2517041123?mi=eymic2&amp;af=R&amp;access=on&amp;content=articlesChapters&amp;publication=pnas&amp;sortBy=Earliest&amp;target=default" TargetMode="External"/><Relationship Id="rId575" Type="http://schemas.openxmlformats.org/officeDocument/2006/relationships/hyperlink" Target="https://doi.org/10.1073/pnas.2517041123" TargetMode="External"/><Relationship Id="rId576" Type="http://schemas.openxmlformats.org/officeDocument/2006/relationships/hyperlink" Target="https://www.pnas.org/doi/abs/10.1073/pnas.2525419123?mi=eymic2&amp;af=R&amp;access=on&amp;content=articlesChapters&amp;publication=pnas&amp;sortBy=Earliest&amp;target=default" TargetMode="External"/><Relationship Id="rId577" Type="http://schemas.openxmlformats.org/officeDocument/2006/relationships/hyperlink" Target="https://doi.org/10.1073/pnas.2525419123" TargetMode="External"/><Relationship Id="rId578" Type="http://schemas.openxmlformats.org/officeDocument/2006/relationships/hyperlink" Target="https://www.pnas.org/doi/abs/10.1073/pnas.2505768123?mi=eymic2&amp;af=R&amp;access=on&amp;content=articlesChapters&amp;publication=pnas&amp;sortBy=Earliest&amp;target=default" TargetMode="External"/><Relationship Id="rId579" Type="http://schemas.openxmlformats.org/officeDocument/2006/relationships/hyperlink" Target="https://doi.org/10.1073/pnas.2505768123" TargetMode="External"/><Relationship Id="rId580" Type="http://schemas.openxmlformats.org/officeDocument/2006/relationships/hyperlink" Target="https://www.pnas.org/doi/abs/10.1073/iti1126123?mi=eymic2&amp;af=R&amp;access=on&amp;content=articlesChapters&amp;publication=pnas&amp;sortBy=Earliest&amp;target=default" TargetMode="External"/><Relationship Id="rId581" Type="http://schemas.openxmlformats.org/officeDocument/2006/relationships/hyperlink" Target="https://doi.org/10.1073/iti1126123" TargetMode="External"/><Relationship Id="rId582" Type="http://schemas.openxmlformats.org/officeDocument/2006/relationships/hyperlink" Target="https://www.pnas.org/doi/abs/10.1073/pnas.2525239123?mi=eymic2&amp;af=R&amp;access=on&amp;content=articlesChapters&amp;publication=pnas&amp;sortBy=Earliest&amp;target=default" TargetMode="External"/><Relationship Id="rId583" Type="http://schemas.openxmlformats.org/officeDocument/2006/relationships/hyperlink" Target="https://doi.org/10.1073/pnas.2525239123" TargetMode="External"/><Relationship Id="rId584" Type="http://schemas.openxmlformats.org/officeDocument/2006/relationships/hyperlink" Target="https://www.pnas.org/doi/abs/10.1073/pnas.2531765123?mi=eymic2&amp;af=R&amp;access=on&amp;content=articlesChapters&amp;publication=pnas&amp;sortBy=Earliest&amp;target=default" TargetMode="External"/><Relationship Id="rId585" Type="http://schemas.openxmlformats.org/officeDocument/2006/relationships/hyperlink" Target="https://doi.org/10.1073/pnas.2531765123" TargetMode="External"/><Relationship Id="rId586" Type="http://schemas.openxmlformats.org/officeDocument/2006/relationships/hyperlink" Target="https://www.pnas.org/doi/abs/10.1073/pnas.2516366123?mi=eymic2&amp;af=R&amp;access=on&amp;content=articlesChapters&amp;publication=pnas&amp;sortBy=Earliest&amp;target=default" TargetMode="External"/><Relationship Id="rId587" Type="http://schemas.openxmlformats.org/officeDocument/2006/relationships/hyperlink" Target="https://doi.org/10.1073/pnas.2516366123" TargetMode="External"/><Relationship Id="rId588" Type="http://schemas.openxmlformats.org/officeDocument/2006/relationships/hyperlink" Target="https://www.pnas.org/doi/abs/10.1073/pnas.2530575123?mi=eymic2&amp;af=R&amp;access=on&amp;content=articlesChapters&amp;publication=pnas&amp;sortBy=Earliest&amp;target=default" TargetMode="External"/><Relationship Id="rId589" Type="http://schemas.openxmlformats.org/officeDocument/2006/relationships/hyperlink" Target="https://doi.org/10.1073/pnas.2530575123" TargetMode="External"/><Relationship Id="rId590" Type="http://schemas.openxmlformats.org/officeDocument/2006/relationships/hyperlink" Target="https://www.pnas.org/doi/abs/10.1073/pnas.2517118123?mi=eymic2&amp;af=R&amp;access=on&amp;content=articlesChapters&amp;publication=pnas&amp;sortBy=Earliest&amp;target=default" TargetMode="External"/><Relationship Id="rId591" Type="http://schemas.openxmlformats.org/officeDocument/2006/relationships/hyperlink" Target="https://doi.org/10.1073/pnas.2517118123" TargetMode="External"/><Relationship Id="rId592" Type="http://schemas.openxmlformats.org/officeDocument/2006/relationships/hyperlink" Target="https://www.pnas.org/doi/abs/10.1073/pnas.2529908123?mi=eymic2&amp;af=R&amp;access=on&amp;content=articlesChapters&amp;publication=pnas&amp;sortBy=Earliest&amp;target=default" TargetMode="External"/><Relationship Id="rId593" Type="http://schemas.openxmlformats.org/officeDocument/2006/relationships/hyperlink" Target="https://doi.org/10.1073/pnas.2529908123" TargetMode="External"/><Relationship Id="rId594" Type="http://schemas.openxmlformats.org/officeDocument/2006/relationships/hyperlink" Target="https://www.pnas.org/doi/abs/10.1073/pnas.2534066123?mi=eymic2&amp;af=R&amp;access=on&amp;content=articlesChapters&amp;publication=pnas&amp;sortBy=Earliest&amp;target=default" TargetMode="External"/><Relationship Id="rId595" Type="http://schemas.openxmlformats.org/officeDocument/2006/relationships/hyperlink" Target="https://doi.org/10.1073/pnas.2534066123" TargetMode="External"/><Relationship Id="rId596" Type="http://schemas.openxmlformats.org/officeDocument/2006/relationships/hyperlink" Target="https://www.pnas.org/doi/abs/10.1073/pnas.2519819123?mi=eymic2&amp;af=R&amp;access=on&amp;content=articlesChapters&amp;publication=pnas&amp;sortBy=Earliest&amp;target=default" TargetMode="External"/><Relationship Id="rId597" Type="http://schemas.openxmlformats.org/officeDocument/2006/relationships/hyperlink" Target="https://doi.org/10.1073/pnas.2519819123" TargetMode="External"/><Relationship Id="rId598" Type="http://schemas.openxmlformats.org/officeDocument/2006/relationships/hyperlink" Target="https://www.pnas.org/doi/abs/10.1073/pnas.2524514123?mi=eymic2&amp;af=R&amp;access=on&amp;content=articlesChapters&amp;publication=pnas&amp;sortBy=Earliest&amp;target=default" TargetMode="External"/><Relationship Id="rId599" Type="http://schemas.openxmlformats.org/officeDocument/2006/relationships/hyperlink" Target="https://doi.org/10.1073/pnas.2524514123" TargetMode="External"/><Relationship Id="rId600" Type="http://schemas.openxmlformats.org/officeDocument/2006/relationships/hyperlink" Target="https://www.pnas.org/doi/abs/10.1073/pnas.2521483123?mi=eymic2&amp;af=R&amp;access=on&amp;content=articlesChapters&amp;publication=pnas&amp;sortBy=Earliest&amp;target=default" TargetMode="External"/><Relationship Id="rId601" Type="http://schemas.openxmlformats.org/officeDocument/2006/relationships/hyperlink" Target="https://doi.org/10.1073/pnas.2521483123" TargetMode="External"/><Relationship Id="rId602" Type="http://schemas.openxmlformats.org/officeDocument/2006/relationships/hyperlink" Target="https://www.pnas.org/doi/abs/10.1073/pnas.2521256123?mi=eymic2&amp;af=R&amp;access=on&amp;content=articlesChapters&amp;publication=pnas&amp;sortBy=Earliest&amp;target=default" TargetMode="External"/><Relationship Id="rId603" Type="http://schemas.openxmlformats.org/officeDocument/2006/relationships/hyperlink" Target="https://doi.org/10.1073/pnas.2521256123" TargetMode="External"/><Relationship Id="rId604" Type="http://schemas.openxmlformats.org/officeDocument/2006/relationships/hyperlink" Target="https://www.pnas.org/doi/abs/10.1073/pnas.2524897123?mi=eymic2&amp;af=R&amp;access=on&amp;content=articlesChapters&amp;publication=pnas&amp;sortBy=Earliest&amp;target=default" TargetMode="External"/><Relationship Id="rId605" Type="http://schemas.openxmlformats.org/officeDocument/2006/relationships/hyperlink" Target="https://doi.org/10.1073/pnas.2524897123" TargetMode="External"/><Relationship Id="rId606" Type="http://schemas.openxmlformats.org/officeDocument/2006/relationships/hyperlink" Target="https://www.pnas.org/doi/abs/10.1073/pnas.2526937123?mi=eymic2&amp;af=R&amp;access=on&amp;content=articlesChapters&amp;publication=pnas&amp;sortBy=Earliest&amp;target=default" TargetMode="External"/><Relationship Id="rId607" Type="http://schemas.openxmlformats.org/officeDocument/2006/relationships/hyperlink" Target="https://doi.org/10.1073/pnas.2526937123" TargetMode="External"/><Relationship Id="rId608" Type="http://schemas.openxmlformats.org/officeDocument/2006/relationships/hyperlink" Target="https://www.pnas.org/doi/abs/10.1073/pnas.2535321123?mi=eymic2&amp;af=R&amp;access=on&amp;content=articlesChapters&amp;publication=pnas&amp;sortBy=Earliest&amp;target=default" TargetMode="External"/><Relationship Id="rId609" Type="http://schemas.openxmlformats.org/officeDocument/2006/relationships/hyperlink" Target="https://doi.org/10.1073/pnas.2535321123" TargetMode="External"/><Relationship Id="rId610" Type="http://schemas.openxmlformats.org/officeDocument/2006/relationships/hyperlink" Target="https://www.pnas.org/doi/abs/10.1073/pnas.2527162123?mi=eymic2&amp;af=R&amp;access=on&amp;content=articlesChapters&amp;publication=pnas&amp;sortBy=Earliest&amp;target=default" TargetMode="External"/><Relationship Id="rId611" Type="http://schemas.openxmlformats.org/officeDocument/2006/relationships/hyperlink" Target="https://doi.org/10.1073/pnas.2527162123" TargetMode="External"/><Relationship Id="rId612" Type="http://schemas.openxmlformats.org/officeDocument/2006/relationships/hyperlink" Target="https://www.pnas.org/doi/abs/10.1073/pnas.2529738123?mi=eymic2&amp;af=R&amp;access=on&amp;content=articlesChapters&amp;publication=pnas&amp;sortBy=Earliest&amp;target=default" TargetMode="External"/><Relationship Id="rId613" Type="http://schemas.openxmlformats.org/officeDocument/2006/relationships/hyperlink" Target="https://doi.org/10.1073/pnas.2529738123" TargetMode="External"/><Relationship Id="rId614" Type="http://schemas.openxmlformats.org/officeDocument/2006/relationships/hyperlink" Target="https://www.pnas.org/doi/abs/10.1073/pnas.2521235123?mi=eymic2&amp;af=R&amp;access=on&amp;content=articlesChapters&amp;publication=pnas&amp;sortBy=Earliest&amp;target=default" TargetMode="External"/><Relationship Id="rId615" Type="http://schemas.openxmlformats.org/officeDocument/2006/relationships/hyperlink" Target="https://doi.org/10.1073/pnas.2521235123" TargetMode="External"/><Relationship Id="rId616" Type="http://schemas.openxmlformats.org/officeDocument/2006/relationships/hyperlink" Target="https://www.pnas.org/doi/abs/10.1073/pnas.2529914123?mi=eymic2&amp;af=R&amp;access=on&amp;content=articlesChapters&amp;publication=pnas&amp;sortBy=Earliest&amp;target=default" TargetMode="External"/><Relationship Id="rId617" Type="http://schemas.openxmlformats.org/officeDocument/2006/relationships/hyperlink" Target="https://doi.org/10.1073/pnas.2529914123" TargetMode="External"/><Relationship Id="rId618" Type="http://schemas.openxmlformats.org/officeDocument/2006/relationships/hyperlink" Target="https://advanced.onlinelibrary.wiley.com/doi/10.1002/adma.202523417?af=R" TargetMode="External"/><Relationship Id="rId619" Type="http://schemas.openxmlformats.org/officeDocument/2006/relationships/hyperlink" Target="https://doi.org/10.1002/adma.202523417" TargetMode="External"/><Relationship Id="rId620" Type="http://schemas.openxmlformats.org/officeDocument/2006/relationships/hyperlink" Target="https://advanced.onlinelibrary.wiley.com/doi/10.1002/adma.202523661?af=R" TargetMode="External"/><Relationship Id="rId621" Type="http://schemas.openxmlformats.org/officeDocument/2006/relationships/hyperlink" Target="https://doi.org/10.1002/adma.202523661" TargetMode="External"/><Relationship Id="rId622" Type="http://schemas.openxmlformats.org/officeDocument/2006/relationships/hyperlink" Target="https://advanced.onlinelibrary.wiley.com/doi/10.1002/adma.72821?af=R" TargetMode="External"/><Relationship Id="rId623" Type="http://schemas.openxmlformats.org/officeDocument/2006/relationships/hyperlink" Target="https://doi.org/10.1002/adma.72821" TargetMode="External"/><Relationship Id="rId624" Type="http://schemas.openxmlformats.org/officeDocument/2006/relationships/hyperlink" Target="https://onlinelibrary.wiley.com/doi/10.1002/anie.9964829?af=R" TargetMode="External"/><Relationship Id="rId625" Type="http://schemas.openxmlformats.org/officeDocument/2006/relationships/hyperlink" Target="https://doi.org/10.1002/anie.9964829" TargetMode="External"/><Relationship Id="rId626" Type="http://schemas.openxmlformats.org/officeDocument/2006/relationships/hyperlink" Target="http://dx.doi.org/10.1021/acs.chemrev.5c00775" TargetMode="External"/><Relationship Id="rId627" Type="http://schemas.openxmlformats.org/officeDocument/2006/relationships/hyperlink" Target="https://doi.org/10.1021/acs.chemrev.5c00775" TargetMode="External"/><Relationship Id="rId628" Type="http://schemas.openxmlformats.org/officeDocument/2006/relationships/hyperlink" Target="http://dx.doi.org/10.1021/jacs.5c22392" TargetMode="External"/><Relationship Id="rId629" Type="http://schemas.openxmlformats.org/officeDocument/2006/relationships/hyperlink" Target="https://doi.org/10.1021/jacs.5c22392" TargetMode="External"/><Relationship Id="rId630" Type="http://schemas.openxmlformats.org/officeDocument/2006/relationships/hyperlink" Target="https://onlinelibrary.wiley.com/doi/10.1002/anie.6400652?af=R" TargetMode="External"/><Relationship Id="rId631" Type="http://schemas.openxmlformats.org/officeDocument/2006/relationships/hyperlink" Target="https://doi.org/10.1002/anie.6400652" TargetMode="External"/><Relationship Id="rId632" Type="http://schemas.openxmlformats.org/officeDocument/2006/relationships/hyperlink" Target="https://onlinelibrary.wiley.com/doi/10.1002/anie.8889513?af=R" TargetMode="External"/><Relationship Id="rId633" Type="http://schemas.openxmlformats.org/officeDocument/2006/relationships/hyperlink" Target="https://doi.org/10.1002/anie.8889513" TargetMode="External"/><Relationship Id="rId634" Type="http://schemas.openxmlformats.org/officeDocument/2006/relationships/hyperlink" Target="https://advanced.onlinelibrary.wiley.com/doi/10.1002/adma.202521024?af=R" TargetMode="External"/><Relationship Id="rId635" Type="http://schemas.openxmlformats.org/officeDocument/2006/relationships/hyperlink" Target="https://doi.org/10.1002/adma.202521024" TargetMode="External"/><Relationship Id="rId636" Type="http://schemas.openxmlformats.org/officeDocument/2006/relationships/hyperlink" Target="https://advanced.onlinelibrary.wiley.com/doi/10.1002/adma.72813?af=R" TargetMode="External"/><Relationship Id="rId637" Type="http://schemas.openxmlformats.org/officeDocument/2006/relationships/hyperlink" Target="https://doi.org/10.1002/adma.72813" TargetMode="External"/><Relationship Id="rId638" Type="http://schemas.openxmlformats.org/officeDocument/2006/relationships/hyperlink" Target="https://onlinelibrary.wiley.com/doi/10.1002/anie.3464047?af=R" TargetMode="External"/><Relationship Id="rId639" Type="http://schemas.openxmlformats.org/officeDocument/2006/relationships/hyperlink" Target="https://doi.org/10.1002/anie.3464047" TargetMode="External"/><Relationship Id="rId640" Type="http://schemas.openxmlformats.org/officeDocument/2006/relationships/hyperlink" Target="http://dx.doi.org/10.1021/jacs.6c00409" TargetMode="External"/><Relationship Id="rId641" Type="http://schemas.openxmlformats.org/officeDocument/2006/relationships/hyperlink" Target="https://doi.org/10.1021/jacs.6c00409" TargetMode="External"/><Relationship Id="rId642" Type="http://schemas.openxmlformats.org/officeDocument/2006/relationships/hyperlink" Target="https://onlinelibrary.wiley.com/doi/10.1002/anie.5568728?af=R" TargetMode="External"/><Relationship Id="rId643" Type="http://schemas.openxmlformats.org/officeDocument/2006/relationships/hyperlink" Target="https://doi.org/10.1002/anie.5568728" TargetMode="External"/><Relationship Id="rId644" Type="http://schemas.openxmlformats.org/officeDocument/2006/relationships/hyperlink" Target="https://onlinelibrary.wiley.com/doi/10.1002/anie.202526147?af=R" TargetMode="External"/><Relationship Id="rId645" Type="http://schemas.openxmlformats.org/officeDocument/2006/relationships/hyperlink" Target="https://doi.org/10.1002/anie.202526147" TargetMode="External"/><Relationship Id="rId646" Type="http://schemas.openxmlformats.org/officeDocument/2006/relationships/hyperlink" Target="https://onlinelibrary.wiley.com/doi/10.1002/anie.7024568?af=R" TargetMode="External"/><Relationship Id="rId647" Type="http://schemas.openxmlformats.org/officeDocument/2006/relationships/hyperlink" Target="https://doi.org/10.1002/anie.7024568" TargetMode="External"/><Relationship Id="rId648" Type="http://schemas.openxmlformats.org/officeDocument/2006/relationships/hyperlink" Target="https://advanced.onlinelibrary.wiley.com/doi/10.1002/adma.72807?af=R" TargetMode="External"/><Relationship Id="rId649" Type="http://schemas.openxmlformats.org/officeDocument/2006/relationships/hyperlink" Target="https://doi.org/10.1002/adma.72807" TargetMode="External"/><Relationship Id="rId650" Type="http://schemas.openxmlformats.org/officeDocument/2006/relationships/hyperlink" Target="https://onlinelibrary.wiley.com/doi/10.1002/anie.202522077?af=R" TargetMode="External"/><Relationship Id="rId651" Type="http://schemas.openxmlformats.org/officeDocument/2006/relationships/hyperlink" Target="https://doi.org/10.1002/anie.202522077" TargetMode="External"/><Relationship Id="rId652" Type="http://schemas.openxmlformats.org/officeDocument/2006/relationships/hyperlink" Target="https://advanced.onlinelibrary.wiley.com/doi/10.1002/aenm.70840?af=R" TargetMode="External"/><Relationship Id="rId653" Type="http://schemas.openxmlformats.org/officeDocument/2006/relationships/hyperlink" Target="https://doi.org/10.1002/aenm.70840" TargetMode="External"/><Relationship Id="rId654" Type="http://schemas.openxmlformats.org/officeDocument/2006/relationships/hyperlink" Target="https://onlinelibrary.wiley.com/doi/10.1002/anie.202525298?af=R" TargetMode="External"/><Relationship Id="rId655" Type="http://schemas.openxmlformats.org/officeDocument/2006/relationships/hyperlink" Target="https://doi.org/10.1002/anie.202525298" TargetMode="External"/><Relationship Id="rId656" Type="http://schemas.openxmlformats.org/officeDocument/2006/relationships/hyperlink" Target="https://onlinelibrary.wiley.com/doi/10.1002/anie.5903420?af=R" TargetMode="External"/><Relationship Id="rId657" Type="http://schemas.openxmlformats.org/officeDocument/2006/relationships/hyperlink" Target="https://doi.org/10.1002/anie.5903420" TargetMode="External"/><Relationship Id="rId658" Type="http://schemas.openxmlformats.org/officeDocument/2006/relationships/hyperlink" Target="https://onlinelibrary.wiley.com/doi/10.1002/anie.2176248?af=R" TargetMode="External"/><Relationship Id="rId659" Type="http://schemas.openxmlformats.org/officeDocument/2006/relationships/hyperlink" Target="https://doi.org/10.1002/anie.2176248" TargetMode="External"/><Relationship Id="rId660" Type="http://schemas.openxmlformats.org/officeDocument/2006/relationships/hyperlink" Target="https://onlinelibrary.wiley.com/doi/10.1002/anie.202522954?af=R" TargetMode="External"/><Relationship Id="rId661" Type="http://schemas.openxmlformats.org/officeDocument/2006/relationships/hyperlink" Target="https://doi.org/10.1002/anie.202522954" TargetMode="External"/><Relationship Id="rId662" Type="http://schemas.openxmlformats.org/officeDocument/2006/relationships/hyperlink" Target="https://onlinelibrary.wiley.com/doi/10.1002/anie.1347419?af=R" TargetMode="External"/><Relationship Id="rId663" Type="http://schemas.openxmlformats.org/officeDocument/2006/relationships/hyperlink" Target="https://doi.org/10.1002/anie.1347419" TargetMode="External"/><Relationship Id="rId664" Type="http://schemas.openxmlformats.org/officeDocument/2006/relationships/hyperlink" Target="https://onlinelibrary.wiley.com/doi/10.1002/anie.6236795?af=R" TargetMode="External"/><Relationship Id="rId665" Type="http://schemas.openxmlformats.org/officeDocument/2006/relationships/hyperlink" Target="https://doi.org/10.1002/anie.6236795" TargetMode="External"/><Relationship Id="rId666" Type="http://schemas.openxmlformats.org/officeDocument/2006/relationships/hyperlink" Target="https://advanced.onlinelibrary.wiley.com/doi/10.1002/adma.72681?af=R" TargetMode="External"/><Relationship Id="rId667" Type="http://schemas.openxmlformats.org/officeDocument/2006/relationships/hyperlink" Target="https://doi.org/10.1002/adma.72681" TargetMode="External"/><Relationship Id="rId668" Type="http://schemas.openxmlformats.org/officeDocument/2006/relationships/hyperlink" Target="https://advanced.onlinelibrary.wiley.com/doi/10.1002/adma.72678?af=R" TargetMode="External"/><Relationship Id="rId669" Type="http://schemas.openxmlformats.org/officeDocument/2006/relationships/hyperlink" Target="https://doi.org/10.1002/adma.72678" TargetMode="External"/><Relationship Id="rId670" Type="http://schemas.openxmlformats.org/officeDocument/2006/relationships/hyperlink" Target="https://advanced.onlinelibrary.wiley.com/doi/10.1002/adma.72673?af=R" TargetMode="External"/><Relationship Id="rId671" Type="http://schemas.openxmlformats.org/officeDocument/2006/relationships/hyperlink" Target="https://doi.org/10.1002/adma.72673" TargetMode="External"/><Relationship Id="rId672" Type="http://schemas.openxmlformats.org/officeDocument/2006/relationships/hyperlink" Target="https://advanced.onlinelibrary.wiley.com/doi/10.1002/adma.72670?af=R" TargetMode="External"/><Relationship Id="rId673" Type="http://schemas.openxmlformats.org/officeDocument/2006/relationships/hyperlink" Target="https://doi.org/10.1002/adma.72670" TargetMode="External"/><Relationship Id="rId674" Type="http://schemas.openxmlformats.org/officeDocument/2006/relationships/hyperlink" Target="http://dx.doi.org/10.1021/jacs.6c02505" TargetMode="External"/><Relationship Id="rId675" Type="http://schemas.openxmlformats.org/officeDocument/2006/relationships/hyperlink" Target="https://doi.org/10.1021/jacs.6c02505" TargetMode="External"/><Relationship Id="rId676" Type="http://schemas.openxmlformats.org/officeDocument/2006/relationships/hyperlink" Target="http://dx.doi.org/10.1021/jacs.6c00368" TargetMode="External"/><Relationship Id="rId677" Type="http://schemas.openxmlformats.org/officeDocument/2006/relationships/hyperlink" Target="https://doi.org/10.1021/jacs.6c00368" TargetMode="External"/><Relationship Id="rId678" Type="http://schemas.openxmlformats.org/officeDocument/2006/relationships/hyperlink" Target="http://dx.doi.org/10.1021/jacs.6c02447" TargetMode="External"/><Relationship Id="rId679" Type="http://schemas.openxmlformats.org/officeDocument/2006/relationships/hyperlink" Target="https://doi.org/10.1021/jacs.6c02447" TargetMode="External"/><Relationship Id="rId680" Type="http://schemas.openxmlformats.org/officeDocument/2006/relationships/hyperlink" Target="http://dx.doi.org/10.1021/jacs.5c22138" TargetMode="External"/><Relationship Id="rId681" Type="http://schemas.openxmlformats.org/officeDocument/2006/relationships/hyperlink" Target="https://doi.org/10.1021/jacs.5c22138" TargetMode="External"/><Relationship Id="rId682" Type="http://schemas.openxmlformats.org/officeDocument/2006/relationships/hyperlink" Target="http://dx.doi.org/10.1021/jacs.6c00197" TargetMode="External"/><Relationship Id="rId683" Type="http://schemas.openxmlformats.org/officeDocument/2006/relationships/hyperlink" Target="https://doi.org/10.1021/jacs.6c00197" TargetMode="External"/><Relationship Id="rId684" Type="http://schemas.openxmlformats.org/officeDocument/2006/relationships/hyperlink" Target="http://dx.doi.org/10.1021/jacs.5c19714" TargetMode="External"/><Relationship Id="rId685" Type="http://schemas.openxmlformats.org/officeDocument/2006/relationships/hyperlink" Target="https://doi.org/10.1021/jacs.5c19714" TargetMode="External"/><Relationship Id="rId686" Type="http://schemas.openxmlformats.org/officeDocument/2006/relationships/hyperlink" Target="http://dx.doi.org/10.1021/jacs.5c21165" TargetMode="External"/><Relationship Id="rId687" Type="http://schemas.openxmlformats.org/officeDocument/2006/relationships/hyperlink" Target="https://doi.org/10.1021/jacs.5c21165" TargetMode="External"/><Relationship Id="rId688" Type="http://schemas.openxmlformats.org/officeDocument/2006/relationships/hyperlink" Target="http://dx.doi.org/10.1021/jacs.6c00627" TargetMode="External"/><Relationship Id="rId689" Type="http://schemas.openxmlformats.org/officeDocument/2006/relationships/hyperlink" Target="https://doi.org/10.1021/jacs.6c00627" TargetMode="External"/><Relationship Id="rId690" Type="http://schemas.openxmlformats.org/officeDocument/2006/relationships/hyperlink" Target="http://dx.doi.org/10.1021/jacs.5c20624" TargetMode="External"/><Relationship Id="rId691" Type="http://schemas.openxmlformats.org/officeDocument/2006/relationships/hyperlink" Target="https://doi.org/10.1021/jacs.5c20624" TargetMode="External"/><Relationship Id="rId692" Type="http://schemas.openxmlformats.org/officeDocument/2006/relationships/hyperlink" Target="http://dx.doi.org/10.1021/jacs.5c21427" TargetMode="External"/><Relationship Id="rId693" Type="http://schemas.openxmlformats.org/officeDocument/2006/relationships/hyperlink" Target="https://doi.org/10.1021/jacs.5c21427" TargetMode="External"/><Relationship Id="rId694" Type="http://schemas.openxmlformats.org/officeDocument/2006/relationships/hyperlink" Target="http://dx.doi.org/10.1021/jacs.6c02374" TargetMode="External"/><Relationship Id="rId695" Type="http://schemas.openxmlformats.org/officeDocument/2006/relationships/hyperlink" Target="https://doi.org/10.1021/jacs.6c02374" TargetMode="External"/><Relationship Id="rId696" Type="http://schemas.openxmlformats.org/officeDocument/2006/relationships/hyperlink" Target="http://dx.doi.org/10.1021/jacs.5c23082" TargetMode="External"/><Relationship Id="rId697" Type="http://schemas.openxmlformats.org/officeDocument/2006/relationships/hyperlink" Target="https://doi.org/10.1021/jacs.5c23082" TargetMode="External"/><Relationship Id="rId698" Type="http://schemas.openxmlformats.org/officeDocument/2006/relationships/hyperlink" Target="http://dx.doi.org/10.1021/jacs.5c23345" TargetMode="External"/><Relationship Id="rId699" Type="http://schemas.openxmlformats.org/officeDocument/2006/relationships/hyperlink" Target="https://doi.org/10.1021/jacs.5c23345" TargetMode="External"/><Relationship Id="rId700" Type="http://schemas.openxmlformats.org/officeDocument/2006/relationships/hyperlink" Target="http://dx.doi.org/10.1021/jacs.6c00047" TargetMode="External"/><Relationship Id="rId701" Type="http://schemas.openxmlformats.org/officeDocument/2006/relationships/hyperlink" Target="https://doi.org/10.1021/jacs.6c00047" TargetMode="External"/><Relationship Id="rId702" Type="http://schemas.openxmlformats.org/officeDocument/2006/relationships/hyperlink" Target="https://www.nature.com/articles/s41586-026-10388-9" TargetMode="External"/><Relationship Id="rId703" Type="http://schemas.openxmlformats.org/officeDocument/2006/relationships/hyperlink" Target="https://doi.org/10.1038/s41586-026-10388-9" TargetMode="External"/><Relationship Id="rId704" Type="http://schemas.openxmlformats.org/officeDocument/2006/relationships/hyperlink" Target="https://www.nature.com/articles/d41586-026-00633-6" TargetMode="External"/><Relationship Id="rId705" Type="http://schemas.openxmlformats.org/officeDocument/2006/relationships/hyperlink" Target="https://doi.org/10.1038/d41586-026-00633-6" TargetMode="External"/><Relationship Id="rId706" Type="http://schemas.openxmlformats.org/officeDocument/2006/relationships/hyperlink" Target="https://www.nature.com/articles/s41586-026-10250-y" TargetMode="External"/><Relationship Id="rId707" Type="http://schemas.openxmlformats.org/officeDocument/2006/relationships/hyperlink" Target="https://doi.org/10.1038/s41586-026-10250-y" TargetMode="External"/><Relationship Id="rId708" Type="http://schemas.openxmlformats.org/officeDocument/2006/relationships/hyperlink" Target="https://www.nature.com/articles/s41586-026-10259-3" TargetMode="External"/><Relationship Id="rId709" Type="http://schemas.openxmlformats.org/officeDocument/2006/relationships/hyperlink" Target="https://doi.org/10.1038/s41586-026-10259-3" TargetMode="External"/><Relationship Id="rId710" Type="http://schemas.openxmlformats.org/officeDocument/2006/relationships/hyperlink" Target="https://www.nature.com/articles/s41586-026-10235-x" TargetMode="External"/><Relationship Id="rId711" Type="http://schemas.openxmlformats.org/officeDocument/2006/relationships/hyperlink" Target="https://doi.org/10.1038/s41586-026-10235-x" TargetMode="External"/><Relationship Id="rId712" Type="http://schemas.openxmlformats.org/officeDocument/2006/relationships/hyperlink" Target="https://www.nature.com/articles/s41557-026-02088-8" TargetMode="External"/><Relationship Id="rId713" Type="http://schemas.openxmlformats.org/officeDocument/2006/relationships/hyperlink" Target="https://doi.org/10.1038/s41557-026-02088-8" TargetMode="External"/><Relationship Id="rId714" Type="http://schemas.openxmlformats.org/officeDocument/2006/relationships/hyperlink" Target="https://www.nature.com/articles/s41586-026-10287-z" TargetMode="External"/><Relationship Id="rId715" Type="http://schemas.openxmlformats.org/officeDocument/2006/relationships/hyperlink" Target="https://doi.org/10.1038/s41586-026-10287-z" TargetMode="External"/><Relationship Id="rId716" Type="http://schemas.openxmlformats.org/officeDocument/2006/relationships/hyperlink" Target="https://www.nature.com/articles/s41586-026-10242-y" TargetMode="External"/><Relationship Id="rId717" Type="http://schemas.openxmlformats.org/officeDocument/2006/relationships/hyperlink" Target="https://doi.org/10.1038/s41586-026-10242-y" TargetMode="External"/><Relationship Id="rId718" Type="http://schemas.openxmlformats.org/officeDocument/2006/relationships/hyperlink" Target="https://www.nature.com/articles/s41586-026-10226-y" TargetMode="External"/><Relationship Id="rId719" Type="http://schemas.openxmlformats.org/officeDocument/2006/relationships/hyperlink" Target="https://doi.org/10.1038/s41586-026-10226-y" TargetMode="External"/><Relationship Id="rId720" Type="http://schemas.openxmlformats.org/officeDocument/2006/relationships/hyperlink" Target="https://www.nature.com/articles/s41586-025-10032-y" TargetMode="External"/><Relationship Id="rId721" Type="http://schemas.openxmlformats.org/officeDocument/2006/relationships/hyperlink" Target="https://doi.org/10.1038/s41586-025-10032-y" TargetMode="External"/><Relationship Id="rId722" Type="http://schemas.openxmlformats.org/officeDocument/2006/relationships/hyperlink" Target="https://www.nature.com/articles/s41586-026-10233-z" TargetMode="External"/><Relationship Id="rId723" Type="http://schemas.openxmlformats.org/officeDocument/2006/relationships/hyperlink" Target="https://doi.org/10.1038/s41586-026-10233-z" TargetMode="External"/><Relationship Id="rId724" Type="http://schemas.openxmlformats.org/officeDocument/2006/relationships/hyperlink" Target="https://www.nature.com/articles/s41586-026-10309-w" TargetMode="External"/><Relationship Id="rId725" Type="http://schemas.openxmlformats.org/officeDocument/2006/relationships/hyperlink" Target="https://doi.org/10.1038/s41586-026-10309-w" TargetMode="External"/><Relationship Id="rId726" Type="http://schemas.openxmlformats.org/officeDocument/2006/relationships/hyperlink" Target="https://academic.oup.com/nsr/advance-article/doi/10.1093/nsr/nwag173/8527594?rss=1" TargetMode="External"/><Relationship Id="rId727" Type="http://schemas.openxmlformats.org/officeDocument/2006/relationships/hyperlink" Target="https://doi.org/10.1093/nsr/nwag173" TargetMode="External"/><Relationship Id="rId728" Type="http://schemas.openxmlformats.org/officeDocument/2006/relationships/hyperlink" Target="https://www.nature.com/articles/d41586-026-00835-y" TargetMode="External"/><Relationship Id="rId729" Type="http://schemas.openxmlformats.org/officeDocument/2006/relationships/hyperlink" Target="https://doi.org/10.1038/d41586-026-00835-y" TargetMode="External"/><Relationship Id="rId730" Type="http://schemas.openxmlformats.org/officeDocument/2006/relationships/hyperlink" Target="https://www.nature.com/articles/s41586-026-10245-9" TargetMode="External"/><Relationship Id="rId731" Type="http://schemas.openxmlformats.org/officeDocument/2006/relationships/hyperlink" Target="https://doi.org/10.1038/s41586-026-10245-9" TargetMode="External"/><Relationship Id="rId732" Type="http://schemas.openxmlformats.org/officeDocument/2006/relationships/hyperlink" Target="https://www.nature.com/articles/s41586-026-10116-3" TargetMode="External"/><Relationship Id="rId733" Type="http://schemas.openxmlformats.org/officeDocument/2006/relationships/hyperlink" Target="https://doi.org/10.1038/s41586-026-10116-3" TargetMode="External"/><Relationship Id="rId734" Type="http://schemas.openxmlformats.org/officeDocument/2006/relationships/hyperlink" Target="https://www.nature.com/articles/s41586-026-10243-x" TargetMode="External"/><Relationship Id="rId735" Type="http://schemas.openxmlformats.org/officeDocument/2006/relationships/hyperlink" Target="https://doi.org/10.1038/s41586-026-10243-x" TargetMode="External"/><Relationship Id="rId736" Type="http://schemas.openxmlformats.org/officeDocument/2006/relationships/hyperlink" Target="https://www.nature.com/articles/s41586-025-09622-7" TargetMode="External"/><Relationship Id="rId737" Type="http://schemas.openxmlformats.org/officeDocument/2006/relationships/hyperlink" Target="https://doi.org/10.1038/s41586-025-09622-7" TargetMode="External"/><Relationship Id="rId738" Type="http://schemas.openxmlformats.org/officeDocument/2006/relationships/hyperlink" Target="https://www.nature.com/articles/d41586-026-00790-8" TargetMode="External"/><Relationship Id="rId739" Type="http://schemas.openxmlformats.org/officeDocument/2006/relationships/hyperlink" Target="https://doi.org/10.1038/d41586-026-00790-8" TargetMode="External"/><Relationship Id="rId740" Type="http://schemas.openxmlformats.org/officeDocument/2006/relationships/hyperlink" Target="https://www.nature.com/articles/d41586-026-00631-8" TargetMode="External"/><Relationship Id="rId741" Type="http://schemas.openxmlformats.org/officeDocument/2006/relationships/hyperlink" Target="https://doi.org/10.1038/d41586-026-00631-8" TargetMode="External"/><Relationship Id="rId742" Type="http://schemas.openxmlformats.org/officeDocument/2006/relationships/hyperlink" Target="https://www.nature.com/articles/s41586-026-10227-x" TargetMode="External"/><Relationship Id="rId743" Type="http://schemas.openxmlformats.org/officeDocument/2006/relationships/hyperlink" Target="https://doi.org/10.1038/s41586-026-10227-x" TargetMode="External"/><Relationship Id="rId744" Type="http://schemas.openxmlformats.org/officeDocument/2006/relationships/hyperlink" Target="https://www.nature.com/articles/d41586-026-00634-5" TargetMode="External"/><Relationship Id="rId745" Type="http://schemas.openxmlformats.org/officeDocument/2006/relationships/hyperlink" Target="https://doi.org/10.1038/d41586-026-00634-5" TargetMode="External"/><Relationship Id="rId746" Type="http://schemas.openxmlformats.org/officeDocument/2006/relationships/hyperlink" Target="https://www.nature.com/articles/d41586-026-00818-z" TargetMode="External"/><Relationship Id="rId747" Type="http://schemas.openxmlformats.org/officeDocument/2006/relationships/hyperlink" Target="https://doi.org/10.1038/d41586-026-00818-z" TargetMode="External"/><Relationship Id="rId748" Type="http://schemas.openxmlformats.org/officeDocument/2006/relationships/hyperlink" Target="https://www.nature.com/articles/d41586-026-00837-w" TargetMode="External"/><Relationship Id="rId749" Type="http://schemas.openxmlformats.org/officeDocument/2006/relationships/hyperlink" Target="https://doi.org/10.1038/d41586-026-00837-w" TargetMode="External"/><Relationship Id="rId750" Type="http://schemas.openxmlformats.org/officeDocument/2006/relationships/hyperlink" Target="https://www.nature.com/articles/d41586-026-00632-7" TargetMode="External"/><Relationship Id="rId751" Type="http://schemas.openxmlformats.org/officeDocument/2006/relationships/hyperlink" Target="https://doi.org/10.1038/d41586-026-00632-7" TargetMode="External"/><Relationship Id="rId752" Type="http://schemas.openxmlformats.org/officeDocument/2006/relationships/hyperlink" Target="https://www.nature.com/articles/s41563-026-02580-z" TargetMode="External"/><Relationship Id="rId753" Type="http://schemas.openxmlformats.org/officeDocument/2006/relationships/hyperlink" Target="https://doi.org/10.1038/s41563-026-02580-z" TargetMode="External"/><Relationship Id="rId754" Type="http://schemas.openxmlformats.org/officeDocument/2006/relationships/hyperlink" Target="https://www.nature.com/articles/d41586-026-00897-y" TargetMode="External"/><Relationship Id="rId755" Type="http://schemas.openxmlformats.org/officeDocument/2006/relationships/hyperlink" Target="https://doi.org/10.1038/d41586-026-00897-y" TargetMode="External"/><Relationship Id="rId756" Type="http://schemas.openxmlformats.org/officeDocument/2006/relationships/hyperlink" Target="https://academic.oup.com/nsr/advance-article/doi/10.1093/nsr/nwag166/8527596?rss=1" TargetMode="External"/><Relationship Id="rId757" Type="http://schemas.openxmlformats.org/officeDocument/2006/relationships/hyperlink" Target="https://doi.org/10.1093/nsr/nwag166" TargetMode="External"/><Relationship Id="rId758" Type="http://schemas.openxmlformats.org/officeDocument/2006/relationships/hyperlink" Target="https://www.nature.com/articles/s41563-026-02579-6" TargetMode="External"/><Relationship Id="rId759" Type="http://schemas.openxmlformats.org/officeDocument/2006/relationships/hyperlink" Target="https://doi.org/10.1038/s41563-026-02579-6" TargetMode="External"/><Relationship Id="rId760" Type="http://schemas.openxmlformats.org/officeDocument/2006/relationships/hyperlink" Target="https://www.nature.com/articles/d41586-026-00779-3" TargetMode="External"/><Relationship Id="rId761" Type="http://schemas.openxmlformats.org/officeDocument/2006/relationships/hyperlink" Target="https://doi.org/10.1038/d41586-026-00779-3" TargetMode="External"/><Relationship Id="rId762" Type="http://schemas.openxmlformats.org/officeDocument/2006/relationships/hyperlink" Target="http://pubs.rsc.org/en/Content/ArticleLanding/2026/CS/D5CS01085C" TargetMode="External"/><Relationship Id="rId763" Type="http://schemas.openxmlformats.org/officeDocument/2006/relationships/hyperlink" Target="https://www.nature.com/articles/s41563-026-02538-1" TargetMode="External"/><Relationship Id="rId764" Type="http://schemas.openxmlformats.org/officeDocument/2006/relationships/hyperlink" Target="https://doi.org/10.1038/s41563-026-02538-1" TargetMode="External"/><Relationship Id="rId765" Type="http://schemas.openxmlformats.org/officeDocument/2006/relationships/hyperlink" Target="https://www.nature.com/articles/s41586-026-10268-2" TargetMode="External"/><Relationship Id="rId766" Type="http://schemas.openxmlformats.org/officeDocument/2006/relationships/hyperlink" Target="https://doi.org/10.1038/s41586-026-10268-2" TargetMode="External"/><Relationship Id="rId767" Type="http://schemas.openxmlformats.org/officeDocument/2006/relationships/hyperlink" Target="https://www.nature.com/articles/d41586-026-00612-x" TargetMode="External"/><Relationship Id="rId768" Type="http://schemas.openxmlformats.org/officeDocument/2006/relationships/hyperlink" Target="https://doi.org/10.1038/d41586-026-00612-x" TargetMode="External"/><Relationship Id="rId769" Type="http://schemas.openxmlformats.org/officeDocument/2006/relationships/hyperlink" Target="https://www.nature.com/articles/s41586-026-10232-0" TargetMode="External"/><Relationship Id="rId770" Type="http://schemas.openxmlformats.org/officeDocument/2006/relationships/hyperlink" Target="https://doi.org/10.1038/s41586-026-10232-0" TargetMode="External"/><Relationship Id="rId771" Type="http://schemas.openxmlformats.org/officeDocument/2006/relationships/hyperlink" Target="https://www.nature.com/articles/s41557-026-02085-x" TargetMode="External"/><Relationship Id="rId772" Type="http://schemas.openxmlformats.org/officeDocument/2006/relationships/hyperlink" Target="https://doi.org/10.1038/s41557-026-02085-x" TargetMode="External"/><Relationship Id="rId773" Type="http://schemas.openxmlformats.org/officeDocument/2006/relationships/hyperlink" Target="https://www.nature.com/articles/s41586-026-10220-4" TargetMode="External"/><Relationship Id="rId774" Type="http://schemas.openxmlformats.org/officeDocument/2006/relationships/hyperlink" Target="https://doi.org/10.1038/s41586-026-10220-4" TargetMode="External"/><Relationship Id="rId775" Type="http://schemas.openxmlformats.org/officeDocument/2006/relationships/hyperlink" Target="https://www.nature.com/articles/s41586-025-10088-w" TargetMode="External"/><Relationship Id="rId776" Type="http://schemas.openxmlformats.org/officeDocument/2006/relationships/hyperlink" Target="https://doi.org/10.1038/s41586-025-10088-w" TargetMode="External"/><Relationship Id="rId777" Type="http://schemas.openxmlformats.org/officeDocument/2006/relationships/hyperlink" Target="http://pubs.rsc.org/en/Content/ArticleLanding/2026/EE/D5EE04477D" TargetMode="External"/><Relationship Id="rId778" Type="http://schemas.openxmlformats.org/officeDocument/2006/relationships/hyperlink" Target="https://www.nature.com/articles/s41565-025-02102-z" TargetMode="External"/><Relationship Id="rId779" Type="http://schemas.openxmlformats.org/officeDocument/2006/relationships/hyperlink" Target="https://doi.org/10.1038/s41565-025-02102-z" TargetMode="External"/><Relationship Id="rId780" Type="http://schemas.openxmlformats.org/officeDocument/2006/relationships/hyperlink" Target="https://www.sciencedirect.com/science/article/pii/S0306261926003235?dgcid=rss_sd_all" TargetMode="External"/><Relationship Id="rId781" Type="http://schemas.openxmlformats.org/officeDocument/2006/relationships/hyperlink" Target="https://www.sciencedirect.com/science/article/pii/S0306261926003338?dgcid=rss_sd_all" TargetMode="External"/><Relationship Id="rId782" Type="http://schemas.openxmlformats.org/officeDocument/2006/relationships/hyperlink" Target="https://www.nature.com/articles/s41565-026-02146-9" TargetMode="External"/><Relationship Id="rId783" Type="http://schemas.openxmlformats.org/officeDocument/2006/relationships/hyperlink" Target="https://doi.org/10.1038/s41565-026-02146-9" TargetMode="External"/><Relationship Id="rId784" Type="http://schemas.openxmlformats.org/officeDocument/2006/relationships/hyperlink" Target="https://www.nature.com/articles/s41586-026-10289-x" TargetMode="External"/><Relationship Id="rId785" Type="http://schemas.openxmlformats.org/officeDocument/2006/relationships/hyperlink" Target="https://doi.org/10.1038/s41586-026-10289-x" TargetMode="External"/><Relationship Id="rId786" Type="http://schemas.openxmlformats.org/officeDocument/2006/relationships/hyperlink" Target="https://www.nature.com/articles/d41586-026-00730-6" TargetMode="External"/><Relationship Id="rId787" Type="http://schemas.openxmlformats.org/officeDocument/2006/relationships/hyperlink" Target="https://doi.org/10.1038/d41586-026-00730-6" TargetMode="External"/><Relationship Id="rId788" Type="http://schemas.openxmlformats.org/officeDocument/2006/relationships/hyperlink" Target="http://pubs.rsc.org/en/Content/ArticleLanding/2026/CS/D5CS01495F" TargetMode="External"/><Relationship Id="rId789" Type="http://schemas.openxmlformats.org/officeDocument/2006/relationships/hyperlink" Target="https://www.nature.com/articles/d41586-026-00636-3" TargetMode="External"/><Relationship Id="rId790" Type="http://schemas.openxmlformats.org/officeDocument/2006/relationships/hyperlink" Target="https://doi.org/10.1038/d41586-026-00636-3" TargetMode="External"/><Relationship Id="rId791" Type="http://schemas.openxmlformats.org/officeDocument/2006/relationships/hyperlink" Target="https://www.cell.com/chem/fulltext/S2451-9294(26)00020-3?rss=yes" TargetMode="External"/><Relationship Id="rId792" Type="http://schemas.openxmlformats.org/officeDocument/2006/relationships/hyperlink" Target="https://doi.org/10.1016/j.chempr.2026.102954" TargetMode="External"/><Relationship Id="rId793" Type="http://schemas.openxmlformats.org/officeDocument/2006/relationships/hyperlink" Target="https://www.nature.com/articles/d41586-026-00891-4" TargetMode="External"/><Relationship Id="rId794" Type="http://schemas.openxmlformats.org/officeDocument/2006/relationships/hyperlink" Target="https://doi.org/10.1038/d41586-026-00891-4" TargetMode="External"/><Relationship Id="rId795" Type="http://schemas.openxmlformats.org/officeDocument/2006/relationships/hyperlink" Target="https://www.nature.com/articles/d41586-026-00732-4" TargetMode="External"/><Relationship Id="rId796" Type="http://schemas.openxmlformats.org/officeDocument/2006/relationships/hyperlink" Target="https://doi.org/10.1038/d41586-026-00732-4" TargetMode="External"/><Relationship Id="rId797" Type="http://schemas.openxmlformats.org/officeDocument/2006/relationships/hyperlink" Target="https://www.nature.com/articles/s41586-026-10282-4" TargetMode="External"/><Relationship Id="rId798" Type="http://schemas.openxmlformats.org/officeDocument/2006/relationships/hyperlink" Target="https://doi.org/10.1038/s41586-026-10282-4" TargetMode="External"/><Relationship Id="rId799" Type="http://schemas.openxmlformats.org/officeDocument/2006/relationships/hyperlink" Target="https://www.nature.com/articles/d41586-026-00854-9" TargetMode="External"/><Relationship Id="rId800" Type="http://schemas.openxmlformats.org/officeDocument/2006/relationships/hyperlink" Target="https://doi.org/10.1038/d41586-026-00854-9" TargetMode="External"/><Relationship Id="rId801" Type="http://schemas.openxmlformats.org/officeDocument/2006/relationships/hyperlink" Target="https://www.nature.com/articles/d41586-026-00718-2" TargetMode="External"/><Relationship Id="rId802" Type="http://schemas.openxmlformats.org/officeDocument/2006/relationships/hyperlink" Target="https://doi.org/10.1038/d41586-026-00718-2" TargetMode="External"/><Relationship Id="rId803" Type="http://schemas.openxmlformats.org/officeDocument/2006/relationships/hyperlink" Target="https://www.nature.com/articles/d41586-026-00857-6" TargetMode="External"/><Relationship Id="rId804" Type="http://schemas.openxmlformats.org/officeDocument/2006/relationships/hyperlink" Target="https://doi.org/10.1038/d41586-026-00857-6" TargetMode="External"/><Relationship Id="rId805" Type="http://schemas.openxmlformats.org/officeDocument/2006/relationships/hyperlink" Target="https://www.nature.com/articles/d41586-026-00839-8" TargetMode="External"/><Relationship Id="rId806" Type="http://schemas.openxmlformats.org/officeDocument/2006/relationships/hyperlink" Target="https://doi.org/10.1038/d41586-026-00839-8" TargetMode="External"/><Relationship Id="rId807" Type="http://schemas.openxmlformats.org/officeDocument/2006/relationships/hyperlink" Target="https://www.nature.com/articles/s41586-026-10262-8" TargetMode="External"/><Relationship Id="rId808" Type="http://schemas.openxmlformats.org/officeDocument/2006/relationships/hyperlink" Target="https://doi.org/10.1038/s41586-026-10262-8" TargetMode="External"/><Relationship Id="rId809" Type="http://schemas.openxmlformats.org/officeDocument/2006/relationships/hyperlink" Target="https://www.nature.com/articles/d41586-026-00885-2" TargetMode="External"/><Relationship Id="rId810" Type="http://schemas.openxmlformats.org/officeDocument/2006/relationships/hyperlink" Target="https://doi.org/10.1038/d41586-026-00885-2" TargetMode="External"/><Relationship Id="rId811" Type="http://schemas.openxmlformats.org/officeDocument/2006/relationships/hyperlink" Target="https://www.pnas.org/doi/abs/10.1073/pnas.2506886123?mi=eymic2&amp;af=R&amp;access=on&amp;content=articlesChapters&amp;publication=pnas&amp;sortBy=Earliest&amp;target=default" TargetMode="External"/><Relationship Id="rId812" Type="http://schemas.openxmlformats.org/officeDocument/2006/relationships/hyperlink" Target="https://doi.org/10.1073/pnas.2506886123" TargetMode="External"/><Relationship Id="rId813" Type="http://schemas.openxmlformats.org/officeDocument/2006/relationships/hyperlink" Target="https://www.pnas.org/doi/abs/10.1073/pnas.2518294123?mi=eymic2&amp;af=R&amp;access=on&amp;content=articlesChapters&amp;publication=pnas&amp;sortBy=Earliest&amp;target=default" TargetMode="External"/><Relationship Id="rId814" Type="http://schemas.openxmlformats.org/officeDocument/2006/relationships/hyperlink" Target="https://doi.org/10.1073/pnas.2518294123" TargetMode="External"/><Relationship Id="rId815" Type="http://schemas.openxmlformats.org/officeDocument/2006/relationships/hyperlink" Target="https://www.pnas.org/doi/abs/10.1073/pnas.2510731123?mi=eymic2&amp;af=R&amp;access=on&amp;content=articlesChapters&amp;publication=pnas&amp;sortBy=Earliest&amp;target=default" TargetMode="External"/><Relationship Id="rId816" Type="http://schemas.openxmlformats.org/officeDocument/2006/relationships/hyperlink" Target="https://doi.org/10.1073/pnas.2510731123" TargetMode="External"/><Relationship Id="rId817" Type="http://schemas.openxmlformats.org/officeDocument/2006/relationships/hyperlink" Target="https://www.pnas.org/doi/abs/10.1073/pnas.2511164123?mi=eymic2&amp;af=R&amp;access=on&amp;content=articlesChapters&amp;publication=pnas&amp;sortBy=Earliest&amp;target=default" TargetMode="External"/><Relationship Id="rId818" Type="http://schemas.openxmlformats.org/officeDocument/2006/relationships/hyperlink" Target="https://doi.org/10.1073/pnas.2511164123" TargetMode="External"/><Relationship Id="rId819" Type="http://schemas.openxmlformats.org/officeDocument/2006/relationships/hyperlink" Target="https://www.pnas.org/doi/abs/10.1073/pnas.2519870123?mi=eymic2&amp;af=R&amp;access=on&amp;content=articlesChapters&amp;publication=pnas&amp;sortBy=Earliest&amp;target=default" TargetMode="External"/><Relationship Id="rId820" Type="http://schemas.openxmlformats.org/officeDocument/2006/relationships/hyperlink" Target="https://doi.org/10.1073/pnas.2519870123" TargetMode="External"/><Relationship Id="rId821" Type="http://schemas.openxmlformats.org/officeDocument/2006/relationships/hyperlink" Target="https://www.pnas.org/doi/abs/10.1073/pnas.2529607123?mi=eymic2&amp;af=R&amp;access=on&amp;content=articlesChapters&amp;publication=pnas&amp;sortBy=Earliest&amp;target=default" TargetMode="External"/><Relationship Id="rId822" Type="http://schemas.openxmlformats.org/officeDocument/2006/relationships/hyperlink" Target="https://doi.org/10.1073/pnas.2529607123" TargetMode="External"/><Relationship Id="rId823" Type="http://schemas.openxmlformats.org/officeDocument/2006/relationships/hyperlink" Target="https://www.pnas.org/doi/abs/10.1073/pnas.2522872123?mi=eymic2&amp;af=R&amp;access=on&amp;content=articlesChapters&amp;publication=pnas&amp;sortBy=Earliest&amp;target=default" TargetMode="External"/><Relationship Id="rId824" Type="http://schemas.openxmlformats.org/officeDocument/2006/relationships/hyperlink" Target="https://doi.org/10.1073/pnas.2522872123" TargetMode="External"/><Relationship Id="rId825" Type="http://schemas.openxmlformats.org/officeDocument/2006/relationships/hyperlink" Target="https://www.pnas.org/doi/abs/10.1073/pnas.2523334123?mi=eymic2&amp;af=R&amp;access=on&amp;content=articlesChapters&amp;publication=pnas&amp;sortBy=Earliest&amp;target=default" TargetMode="External"/><Relationship Id="rId826" Type="http://schemas.openxmlformats.org/officeDocument/2006/relationships/hyperlink" Target="https://doi.org/10.1073/pnas.2523334123" TargetMode="External"/><Relationship Id="rId827" Type="http://schemas.openxmlformats.org/officeDocument/2006/relationships/hyperlink" Target="https://www.pnas.org/doi/abs/10.1073/pnas.2523357123?mi=eymic2&amp;af=R&amp;access=on&amp;content=articlesChapters&amp;publication=pnas&amp;sortBy=Earliest&amp;target=default" TargetMode="External"/><Relationship Id="rId828" Type="http://schemas.openxmlformats.org/officeDocument/2006/relationships/hyperlink" Target="https://doi.org/10.1073/pnas.2523357123" TargetMode="External"/><Relationship Id="rId829" Type="http://schemas.openxmlformats.org/officeDocument/2006/relationships/hyperlink" Target="https://www.pnas.org/doi/abs/10.1073/pnas.2523470123?mi=eymic2&amp;af=R&amp;access=on&amp;content=articlesChapters&amp;publication=pnas&amp;sortBy=Earliest&amp;target=default" TargetMode="External"/><Relationship Id="rId830" Type="http://schemas.openxmlformats.org/officeDocument/2006/relationships/hyperlink" Target="https://doi.org/10.1073/pnas.2523470123" TargetMode="External"/><Relationship Id="rId831" Type="http://schemas.openxmlformats.org/officeDocument/2006/relationships/hyperlink" Target="https://www.pnas.org/doi/abs/10.1073/pnas.2526998123?mi=eymic2&amp;af=R&amp;access=on&amp;content=articlesChapters&amp;publication=pnas&amp;sortBy=Earliest&amp;target=default" TargetMode="External"/><Relationship Id="rId832" Type="http://schemas.openxmlformats.org/officeDocument/2006/relationships/hyperlink" Target="https://doi.org/10.1073/pnas.2526998123" TargetMode="External"/><Relationship Id="rId833" Type="http://schemas.openxmlformats.org/officeDocument/2006/relationships/hyperlink" Target="https://www.pnas.org/doi/abs/10.1073/pnas.2526714123?mi=eymic2&amp;af=R&amp;access=on&amp;content=articlesChapters&amp;publication=pnas&amp;sortBy=Earliest&amp;target=default" TargetMode="External"/><Relationship Id="rId834" Type="http://schemas.openxmlformats.org/officeDocument/2006/relationships/hyperlink" Target="https://doi.org/10.1073/pnas.2526714123" TargetMode="External"/><Relationship Id="rId835" Type="http://schemas.openxmlformats.org/officeDocument/2006/relationships/hyperlink" Target="https://www.pnas.org/doi/abs/10.1073/pnas.2519903123?mi=eymic2&amp;af=R&amp;access=on&amp;content=articlesChapters&amp;publication=pnas&amp;sortBy=Earliest&amp;target=default" TargetMode="External"/><Relationship Id="rId836" Type="http://schemas.openxmlformats.org/officeDocument/2006/relationships/hyperlink" Target="https://doi.org/10.1073/pnas.2519903123" TargetMode="External"/><Relationship Id="rId837" Type="http://schemas.openxmlformats.org/officeDocument/2006/relationships/hyperlink" Target="https://www.pnas.org/doi/abs/10.1073/pnas.2527163123?mi=eymic2&amp;af=R&amp;access=on&amp;content=articlesChapters&amp;publication=pnas&amp;sortBy=Earliest&amp;target=default" TargetMode="External"/><Relationship Id="rId838" Type="http://schemas.openxmlformats.org/officeDocument/2006/relationships/hyperlink" Target="https://doi.org/10.1073/pnas.2527163123" TargetMode="External"/><Relationship Id="rId839" Type="http://schemas.openxmlformats.org/officeDocument/2006/relationships/hyperlink" Target="https://www.pnas.org/doi/abs/10.1073/pnas.2531136123?mi=eymic2&amp;af=R&amp;access=on&amp;content=articlesChapters&amp;publication=pnas&amp;sortBy=Earliest&amp;target=default" TargetMode="External"/><Relationship Id="rId840" Type="http://schemas.openxmlformats.org/officeDocument/2006/relationships/hyperlink" Target="https://doi.org/10.1073/pnas.2531136123" TargetMode="External"/><Relationship Id="rId841" Type="http://schemas.openxmlformats.org/officeDocument/2006/relationships/hyperlink" Target="https://www.pnas.org/doi/abs/10.1073/pnas.2527570123?mi=eymic2&amp;af=R&amp;access=on&amp;content=articlesChapters&amp;publication=pnas&amp;sortBy=Earliest&amp;target=default" TargetMode="External"/><Relationship Id="rId842" Type="http://schemas.openxmlformats.org/officeDocument/2006/relationships/hyperlink" Target="https://doi.org/10.1073/pnas.2527570123" TargetMode="External"/><Relationship Id="rId843" Type="http://schemas.openxmlformats.org/officeDocument/2006/relationships/hyperlink" Target="https://www.pnas.org/doi/abs/10.1073/pnas.2607249123?mi=eymic2&amp;af=R&amp;access=on&amp;content=articlesChapters&amp;publication=pnas&amp;sortBy=Earliest&amp;target=default" TargetMode="External"/><Relationship Id="rId844" Type="http://schemas.openxmlformats.org/officeDocument/2006/relationships/hyperlink" Target="https://doi.org/10.1073/pnas.2607249123" TargetMode="External"/><Relationship Id="rId845" Type="http://schemas.openxmlformats.org/officeDocument/2006/relationships/hyperlink" Target="https://www.pnas.org/doi/abs/10.1073/pnas.2607080123?mi=eymic2&amp;af=R&amp;access=on&amp;content=articlesChapters&amp;publication=pnas&amp;sortBy=Earliest&amp;target=default" TargetMode="External"/><Relationship Id="rId846" Type="http://schemas.openxmlformats.org/officeDocument/2006/relationships/hyperlink" Target="https://doi.org/10.1073/pnas.2607080123" TargetMode="External"/><Relationship Id="rId847" Type="http://schemas.openxmlformats.org/officeDocument/2006/relationships/hyperlink" Target="https://www.pnas.org/doi/abs/10.1073/pnas.2524542123?mi=eymic2&amp;af=R&amp;access=on&amp;content=articlesChapters&amp;publication=pnas&amp;sortBy=Earliest&amp;target=default" TargetMode="External"/><Relationship Id="rId848" Type="http://schemas.openxmlformats.org/officeDocument/2006/relationships/hyperlink" Target="https://doi.org/10.1073/pnas.2524542123" TargetMode="External"/><Relationship Id="rId849" Type="http://schemas.openxmlformats.org/officeDocument/2006/relationships/hyperlink" Target="https://www.pnas.org/doi/abs/10.1073/pnas.2536311123?mi=eymic2&amp;af=R&amp;access=on&amp;content=articlesChapters&amp;publication=pnas&amp;sortBy=Earliest&amp;target=default" TargetMode="External"/><Relationship Id="rId850" Type="http://schemas.openxmlformats.org/officeDocument/2006/relationships/hyperlink" Target="https://doi.org/10.1073/pnas.2536311123" TargetMode="External"/><Relationship Id="rId851" Type="http://schemas.openxmlformats.org/officeDocument/2006/relationships/hyperlink" Target="https://www.pnas.org/doi/abs/10.1073/pnas.2534305123?mi=eymic2&amp;af=R&amp;access=on&amp;content=articlesChapters&amp;publication=pnas&amp;sortBy=Earliest&amp;target=default" TargetMode="External"/><Relationship Id="rId852" Type="http://schemas.openxmlformats.org/officeDocument/2006/relationships/hyperlink" Target="https://doi.org/10.1073/pnas.2534305123" TargetMode="External"/><Relationship Id="rId853" Type="http://schemas.openxmlformats.org/officeDocument/2006/relationships/hyperlink" Target="https://www.pnas.org/doi/abs/10.1073/pnas.2533912123?mi=eymic2&amp;af=R&amp;access=on&amp;content=articlesChapters&amp;publication=pnas&amp;sortBy=Earliest&amp;target=default" TargetMode="External"/><Relationship Id="rId854" Type="http://schemas.openxmlformats.org/officeDocument/2006/relationships/hyperlink" Target="https://doi.org/10.1073/pnas.2533912123" TargetMode="External"/><Relationship Id="rId855" Type="http://schemas.openxmlformats.org/officeDocument/2006/relationships/hyperlink" Target="https://www.pnas.org/doi/abs/10.1073/pnas.2528183123?mi=eymic2&amp;af=R&amp;access=on&amp;content=articlesChapters&amp;publication=pnas&amp;sortBy=Earliest&amp;target=default" TargetMode="External"/><Relationship Id="rId856" Type="http://schemas.openxmlformats.org/officeDocument/2006/relationships/hyperlink" Target="https://doi.org/10.1073/pnas.2528183123" TargetMode="External"/><Relationship Id="rId857" Type="http://schemas.openxmlformats.org/officeDocument/2006/relationships/hyperlink" Target="https://www.pnas.org/doi/abs/10.1073/pnas.2532916123?mi=eymic2&amp;af=R&amp;access=on&amp;content=articlesChapters&amp;publication=pnas&amp;sortBy=Earliest&amp;target=default" TargetMode="External"/><Relationship Id="rId858" Type="http://schemas.openxmlformats.org/officeDocument/2006/relationships/hyperlink" Target="https://doi.org/10.1073/pnas.2532916123" TargetMode="External"/><Relationship Id="rId859" Type="http://schemas.openxmlformats.org/officeDocument/2006/relationships/hyperlink" Target="https://www.pnas.org/doi/abs/10.1073/pnas.2531351123?mi=eymic2&amp;af=R&amp;access=on&amp;content=articlesChapters&amp;publication=pnas&amp;sortBy=Earliest&amp;target=default" TargetMode="External"/><Relationship Id="rId860" Type="http://schemas.openxmlformats.org/officeDocument/2006/relationships/hyperlink" Target="https://doi.org/10.1073/pnas.2531351123" TargetMode="External"/><Relationship Id="rId861" Type="http://schemas.openxmlformats.org/officeDocument/2006/relationships/hyperlink" Target="https://www.pnas.org/doi/abs/10.1073/pnas.2531153123?mi=eymic2&amp;af=R&amp;access=on&amp;content=articlesChapters&amp;publication=pnas&amp;sortBy=Earliest&amp;target=default" TargetMode="External"/><Relationship Id="rId862" Type="http://schemas.openxmlformats.org/officeDocument/2006/relationships/hyperlink" Target="https://doi.org/10.1073/pnas.2531153123" TargetMode="External"/><Relationship Id="rId863" Type="http://schemas.openxmlformats.org/officeDocument/2006/relationships/hyperlink" Target="https://www.pnas.org/doi/abs/10.1073/pnas.2531087123?mi=eymic2&amp;af=R&amp;access=on&amp;content=articlesChapters&amp;publication=pnas&amp;sortBy=Earliest&amp;target=default" TargetMode="External"/><Relationship Id="rId864" Type="http://schemas.openxmlformats.org/officeDocument/2006/relationships/hyperlink" Target="https://doi.org/10.1073/pnas.2531087123" TargetMode="External"/><Relationship Id="rId865" Type="http://schemas.openxmlformats.org/officeDocument/2006/relationships/hyperlink" Target="https://www.pnas.org/doi/abs/10.1073/pnas.2530653123?mi=eymic2&amp;af=R&amp;access=on&amp;content=articlesChapters&amp;publication=pnas&amp;sortBy=Earliest&amp;target=default" TargetMode="External"/><Relationship Id="rId866" Type="http://schemas.openxmlformats.org/officeDocument/2006/relationships/hyperlink" Target="https://doi.org/10.1073/pnas.2530653123" TargetMode="External"/><Relationship Id="rId867" Type="http://schemas.openxmlformats.org/officeDocument/2006/relationships/hyperlink" Target="https://www.pnas.org/doi/abs/10.1073/pnas.2529780123?mi=eymic2&amp;af=R&amp;access=on&amp;content=articlesChapters&amp;publication=pnas&amp;sortBy=Earliest&amp;target=default" TargetMode="External"/><Relationship Id="rId868" Type="http://schemas.openxmlformats.org/officeDocument/2006/relationships/hyperlink" Target="https://doi.org/10.1073/pnas.2529780123" TargetMode="External"/><Relationship Id="rId869" Type="http://schemas.openxmlformats.org/officeDocument/2006/relationships/hyperlink" Target="https://www.pnas.org/doi/abs/10.1073/pnas.2528269123?mi=eymic2&amp;af=R&amp;access=on&amp;content=articlesChapters&amp;publication=pnas&amp;sortBy=Earliest&amp;target=default" TargetMode="External"/><Relationship Id="rId870" Type="http://schemas.openxmlformats.org/officeDocument/2006/relationships/hyperlink" Target="https://doi.org/10.1073/pnas.2528269123" TargetMode="External"/><Relationship Id="rId871" Type="http://schemas.openxmlformats.org/officeDocument/2006/relationships/hyperlink" Target="https://www.pnas.org/doi/abs/10.1073/pnas.2531595123?mi=eymic2&amp;af=R&amp;access=on&amp;content=articlesChapters&amp;publication=pnas&amp;sortBy=Earliest&amp;target=default" TargetMode="External"/><Relationship Id="rId872" Type="http://schemas.openxmlformats.org/officeDocument/2006/relationships/hyperlink" Target="https://doi.org/10.1073/pnas.2531595123" TargetMode="External"/><Relationship Id="rId873" Type="http://schemas.openxmlformats.org/officeDocument/2006/relationships/hyperlink" Target="https://www.pnas.org/doi/abs/10.1073/pnas.2601427123?mi=eymic2&amp;af=R&amp;access=on&amp;content=articlesChapters&amp;publication=pnas&amp;sortBy=Earliest&amp;target=default" TargetMode="External"/><Relationship Id="rId874" Type="http://schemas.openxmlformats.org/officeDocument/2006/relationships/hyperlink" Target="https://doi.org/10.1073/pnas.2601427123" TargetMode="External"/><Relationship Id="rId875" Type="http://schemas.openxmlformats.org/officeDocument/2006/relationships/hyperlink" Target="https://www.science.org/doi/abs/10.1126/sciadv.aef5697?af=R" TargetMode="External"/><Relationship Id="rId876" Type="http://schemas.openxmlformats.org/officeDocument/2006/relationships/hyperlink" Target="https://doi.org/10.1126/sciadv.aef5697" TargetMode="External"/><Relationship Id="rId877" Type="http://schemas.openxmlformats.org/officeDocument/2006/relationships/hyperlink" Target="https://www.science.org/doi/abs/10.1126/sciadv.aec1426?af=R" TargetMode="External"/><Relationship Id="rId878" Type="http://schemas.openxmlformats.org/officeDocument/2006/relationships/hyperlink" Target="https://doi.org/10.1126/sciadv.aec1426" TargetMode="External"/><Relationship Id="rId879" Type="http://schemas.openxmlformats.org/officeDocument/2006/relationships/hyperlink" Target="https://www.science.org/doi/abs/10.1126/sciadv.adz3075?af=R" TargetMode="External"/><Relationship Id="rId880" Type="http://schemas.openxmlformats.org/officeDocument/2006/relationships/hyperlink" Target="https://doi.org/10.1126/sciadv.adz3075" TargetMode="External"/><Relationship Id="rId881" Type="http://schemas.openxmlformats.org/officeDocument/2006/relationships/hyperlink" Target="https://www.science.org/doi/abs/10.1126/sciadv.adl2368?af=R" TargetMode="External"/><Relationship Id="rId882" Type="http://schemas.openxmlformats.org/officeDocument/2006/relationships/hyperlink" Target="https://doi.org/10.1126/sciadv.adl2368" TargetMode="External"/><Relationship Id="rId883" Type="http://schemas.openxmlformats.org/officeDocument/2006/relationships/hyperlink" Target="https://www.science.org/doi/abs/10.1126/sciadv.aec7069?af=R" TargetMode="External"/><Relationship Id="rId884" Type="http://schemas.openxmlformats.org/officeDocument/2006/relationships/hyperlink" Target="https://doi.org/10.1126/sciadv.aec7069" TargetMode="External"/><Relationship Id="rId885" Type="http://schemas.openxmlformats.org/officeDocument/2006/relationships/hyperlink" Target="https://www.science.org/doi/abs/10.1126/sciadv.adz7063?af=R" TargetMode="External"/><Relationship Id="rId886" Type="http://schemas.openxmlformats.org/officeDocument/2006/relationships/hyperlink" Target="https://doi.org/10.1126/sciadv.adz7063" TargetMode="External"/><Relationship Id="rId887" Type="http://schemas.openxmlformats.org/officeDocument/2006/relationships/hyperlink" Target="https://www.science.org/doi/abs/10.1126/sciadv.aeb3401?af=R" TargetMode="External"/><Relationship Id="rId888" Type="http://schemas.openxmlformats.org/officeDocument/2006/relationships/hyperlink" Target="https://doi.org/10.1126/sciadv.aeb3401" TargetMode="External"/><Relationship Id="rId889" Type="http://schemas.openxmlformats.org/officeDocument/2006/relationships/hyperlink" Target="https://www.science.org/doi/abs/10.1126/sciadv.aea6321?af=R" TargetMode="External"/><Relationship Id="rId890" Type="http://schemas.openxmlformats.org/officeDocument/2006/relationships/hyperlink" Target="https://doi.org/10.1126/sciadv.aea6321" TargetMode="External"/><Relationship Id="rId891" Type="http://schemas.openxmlformats.org/officeDocument/2006/relationships/hyperlink" Target="https://www.science.org/doi/abs/10.1126/sciadv.adz6890?af=R" TargetMode="External"/><Relationship Id="rId892" Type="http://schemas.openxmlformats.org/officeDocument/2006/relationships/hyperlink" Target="https://doi.org/10.1126/sciadv.adz6890" TargetMode="External"/><Relationship Id="rId893" Type="http://schemas.openxmlformats.org/officeDocument/2006/relationships/hyperlink" Target="https://www.science.org/doi/abs/10.1126/sciadv.aec7048?af=R" TargetMode="External"/><Relationship Id="rId894" Type="http://schemas.openxmlformats.org/officeDocument/2006/relationships/hyperlink" Target="https://doi.org/10.1126/sciadv.aec7048" TargetMode="External"/><Relationship Id="rId895" Type="http://schemas.openxmlformats.org/officeDocument/2006/relationships/hyperlink" Target="https://www.science.org/doi/abs/10.1126/sciadv.aec8104?af=R" TargetMode="External"/><Relationship Id="rId896" Type="http://schemas.openxmlformats.org/officeDocument/2006/relationships/hyperlink" Target="https://doi.org/10.1126/sciadv.aec8104" TargetMode="External"/><Relationship Id="rId897" Type="http://schemas.openxmlformats.org/officeDocument/2006/relationships/hyperlink" Target="https://www.science.org/doi/abs/10.1126/sciadv.aec8239?af=R" TargetMode="External"/><Relationship Id="rId898" Type="http://schemas.openxmlformats.org/officeDocument/2006/relationships/hyperlink" Target="https://doi.org/10.1126/sciadv.aec8239" TargetMode="External"/><Relationship Id="rId899" Type="http://schemas.openxmlformats.org/officeDocument/2006/relationships/hyperlink" Target="https://www.science.org/doi/abs/10.1126/sciadv.aed3987?af=R" TargetMode="External"/><Relationship Id="rId900" Type="http://schemas.openxmlformats.org/officeDocument/2006/relationships/hyperlink" Target="https://doi.org/10.1126/sciadv.aed3987" TargetMode="External"/><Relationship Id="rId901" Type="http://schemas.openxmlformats.org/officeDocument/2006/relationships/hyperlink" Target="https://www.science.org/doi/abs/10.1126/sciadv.aec7919?af=R" TargetMode="External"/><Relationship Id="rId902" Type="http://schemas.openxmlformats.org/officeDocument/2006/relationships/hyperlink" Target="https://doi.org/10.1126/sciadv.aec7919" TargetMode="External"/><Relationship Id="rId903" Type="http://schemas.openxmlformats.org/officeDocument/2006/relationships/hyperlink" Target="https://www.science.org/doi/abs/10.1126/sciadv.aea2158?af=R" TargetMode="External"/><Relationship Id="rId904" Type="http://schemas.openxmlformats.org/officeDocument/2006/relationships/hyperlink" Target="https://doi.org/10.1126/sciadv.aea2158" TargetMode="External"/><Relationship Id="rId905" Type="http://schemas.openxmlformats.org/officeDocument/2006/relationships/hyperlink" Target="https://www.science.org/doi/abs/10.1126/sciadv.aec8211?af=R" TargetMode="External"/><Relationship Id="rId906" Type="http://schemas.openxmlformats.org/officeDocument/2006/relationships/hyperlink" Target="https://doi.org/10.1126/sciadv.aec8211" TargetMode="External"/><Relationship Id="rId907" Type="http://schemas.openxmlformats.org/officeDocument/2006/relationships/hyperlink" Target="https://www.science.org/doi/abs/10.1126/sciadv.aeb2604?af=R" TargetMode="External"/><Relationship Id="rId908" Type="http://schemas.openxmlformats.org/officeDocument/2006/relationships/hyperlink" Target="https://doi.org/10.1126/sciadv.aeb2604" TargetMode="External"/><Relationship Id="rId909" Type="http://schemas.openxmlformats.org/officeDocument/2006/relationships/hyperlink" Target="https://www.science.org/doi/abs/10.1126/sciadv.adz6095?af=R" TargetMode="External"/><Relationship Id="rId910" Type="http://schemas.openxmlformats.org/officeDocument/2006/relationships/hyperlink" Target="https://doi.org/10.1126/sciadv.adz6095" TargetMode="External"/><Relationship Id="rId911" Type="http://schemas.openxmlformats.org/officeDocument/2006/relationships/hyperlink" Target="https://www.science.org/doi/abs/10.1126/sciadv.adz7615?af=R" TargetMode="External"/><Relationship Id="rId912" Type="http://schemas.openxmlformats.org/officeDocument/2006/relationships/hyperlink" Target="https://doi.org/10.1126/sciadv.adz7615" TargetMode="External"/><Relationship Id="rId913" Type="http://schemas.openxmlformats.org/officeDocument/2006/relationships/hyperlink" Target="https://www.science.org/doi/abs/10.1126/sciadv.aea2106?af=R" TargetMode="External"/><Relationship Id="rId914" Type="http://schemas.openxmlformats.org/officeDocument/2006/relationships/hyperlink" Target="https://doi.org/10.1126/sciadv.aea2106" TargetMode="External"/><Relationship Id="rId915" Type="http://schemas.openxmlformats.org/officeDocument/2006/relationships/hyperlink" Target="https://www.science.org/doi/abs/10.1126/sciadv.aea6832?af=R" TargetMode="External"/><Relationship Id="rId916" Type="http://schemas.openxmlformats.org/officeDocument/2006/relationships/hyperlink" Target="https://doi.org/10.1126/sciadv.aea6832" TargetMode="External"/><Relationship Id="rId917" Type="http://schemas.openxmlformats.org/officeDocument/2006/relationships/hyperlink" Target="https://www.science.org/doi/abs/10.1126/sciadv.aea8052?af=R" TargetMode="External"/><Relationship Id="rId918" Type="http://schemas.openxmlformats.org/officeDocument/2006/relationships/hyperlink" Target="https://doi.org/10.1126/sciadv.aea8052" TargetMode="External"/><Relationship Id="rId919" Type="http://schemas.openxmlformats.org/officeDocument/2006/relationships/hyperlink" Target="https://www.science.org/doi/abs/10.1126/sciadv.adz5621?af=R" TargetMode="External"/><Relationship Id="rId920" Type="http://schemas.openxmlformats.org/officeDocument/2006/relationships/hyperlink" Target="https://doi.org/10.1126/sciadv.adz5621" TargetMode="External"/><Relationship Id="rId921" Type="http://schemas.openxmlformats.org/officeDocument/2006/relationships/hyperlink" Target="https://www.science.org/doi/abs/10.1126/sciadv.aea9562?af=R" TargetMode="External"/><Relationship Id="rId922" Type="http://schemas.openxmlformats.org/officeDocument/2006/relationships/hyperlink" Target="https://doi.org/10.1126/sciadv.aea9562" TargetMode="External"/><Relationship Id="rId923" Type="http://schemas.openxmlformats.org/officeDocument/2006/relationships/hyperlink" Target="http://dx.doi.org/10.1021/jacs.6c00519" TargetMode="External"/><Relationship Id="rId924" Type="http://schemas.openxmlformats.org/officeDocument/2006/relationships/hyperlink" Target="https://doi.org/10.1021/jacs.6c00519" TargetMode="External"/><Relationship Id="rId925" Type="http://schemas.openxmlformats.org/officeDocument/2006/relationships/hyperlink" Target="http://dx.doi.org/10.1021/jacs.5c21164" TargetMode="External"/><Relationship Id="rId926" Type="http://schemas.openxmlformats.org/officeDocument/2006/relationships/hyperlink" Target="https://doi.org/10.1021/jacs.5c21164" TargetMode="External"/><Relationship Id="rId927" Type="http://schemas.openxmlformats.org/officeDocument/2006/relationships/hyperlink" Target="http://dx.doi.org/10.1021/jacs.5c20048" TargetMode="External"/><Relationship Id="rId928" Type="http://schemas.openxmlformats.org/officeDocument/2006/relationships/hyperlink" Target="https://doi.org/10.1021/jacs.5c20048" TargetMode="External"/><Relationship Id="rId929" Type="http://schemas.openxmlformats.org/officeDocument/2006/relationships/hyperlink" Target="http://dx.doi.org/10.1021/jacs.5c23369" TargetMode="External"/><Relationship Id="rId930" Type="http://schemas.openxmlformats.org/officeDocument/2006/relationships/hyperlink" Target="https://doi.org/10.1021/jacs.5c23369" TargetMode="External"/><Relationship Id="rId931" Type="http://schemas.openxmlformats.org/officeDocument/2006/relationships/hyperlink" Target="http://dx.doi.org/10.1021/jacs.6c01322" TargetMode="External"/><Relationship Id="rId932" Type="http://schemas.openxmlformats.org/officeDocument/2006/relationships/hyperlink" Target="https://doi.org/10.1021/jacs.6c01322" TargetMode="External"/><Relationship Id="rId933" Type="http://schemas.openxmlformats.org/officeDocument/2006/relationships/hyperlink" Target="https://onlinelibrary.wiley.com/doi/10.1002/anie.2699441?af=R" TargetMode="External"/><Relationship Id="rId934" Type="http://schemas.openxmlformats.org/officeDocument/2006/relationships/hyperlink" Target="https://doi.org/10.1002/anie.2699441" TargetMode="External"/><Relationship Id="rId935" Type="http://schemas.openxmlformats.org/officeDocument/2006/relationships/hyperlink" Target="https://onlinelibrary.wiley.com/doi/10.1002/anie.8876064?af=R" TargetMode="External"/><Relationship Id="rId936" Type="http://schemas.openxmlformats.org/officeDocument/2006/relationships/hyperlink" Target="https://doi.org/10.1002/anie.8876064" TargetMode="External"/><Relationship Id="rId937" Type="http://schemas.openxmlformats.org/officeDocument/2006/relationships/hyperlink" Target="https://onlinelibrary.wiley.com/doi/10.1002/anie.1489528?af=R" TargetMode="External"/><Relationship Id="rId938" Type="http://schemas.openxmlformats.org/officeDocument/2006/relationships/hyperlink" Target="https://doi.org/10.1002/anie.1489528" TargetMode="External"/><Relationship Id="rId939" Type="http://schemas.openxmlformats.org/officeDocument/2006/relationships/hyperlink" Target="http://dx.doi.org/10.1021/jacs.5c20967" TargetMode="External"/><Relationship Id="rId940" Type="http://schemas.openxmlformats.org/officeDocument/2006/relationships/hyperlink" Target="https://doi.org/10.1021/jacs.5c20967" TargetMode="External"/><Relationship Id="rId941" Type="http://schemas.openxmlformats.org/officeDocument/2006/relationships/hyperlink" Target="https://onlinelibrary.wiley.com/doi/10.1002/anie.202525717?af=R" TargetMode="External"/><Relationship Id="rId942" Type="http://schemas.openxmlformats.org/officeDocument/2006/relationships/hyperlink" Target="https://doi.org/10.1002/anie.202525717" TargetMode="External"/><Relationship Id="rId943" Type="http://schemas.openxmlformats.org/officeDocument/2006/relationships/hyperlink" Target="http://dx.doi.org/10.1021/jacs.5c20558" TargetMode="External"/><Relationship Id="rId944" Type="http://schemas.openxmlformats.org/officeDocument/2006/relationships/hyperlink" Target="https://doi.org/10.1021/jacs.5c20558" TargetMode="External"/><Relationship Id="rId945" Type="http://schemas.openxmlformats.org/officeDocument/2006/relationships/hyperlink" Target="http://dx.doi.org/10.1021/jacs.6c00848" TargetMode="External"/><Relationship Id="rId946" Type="http://schemas.openxmlformats.org/officeDocument/2006/relationships/hyperlink" Target="https://doi.org/10.1021/jacs.6c00848" TargetMode="External"/><Relationship Id="rId947" Type="http://schemas.openxmlformats.org/officeDocument/2006/relationships/hyperlink" Target="https://onlinelibrary.wiley.com/doi/10.1002/anie.5193191?af=R" TargetMode="External"/><Relationship Id="rId948" Type="http://schemas.openxmlformats.org/officeDocument/2006/relationships/hyperlink" Target="https://doi.org/10.1002/anie.5193191" TargetMode="External"/><Relationship Id="rId949" Type="http://schemas.openxmlformats.org/officeDocument/2006/relationships/hyperlink" Target="http://dx.doi.org/10.1021/jacs.5c21938" TargetMode="External"/><Relationship Id="rId950" Type="http://schemas.openxmlformats.org/officeDocument/2006/relationships/hyperlink" Target="https://doi.org/10.1021/jacs.5c21938" TargetMode="External"/><Relationship Id="rId951" Type="http://schemas.openxmlformats.org/officeDocument/2006/relationships/hyperlink" Target="https://advanced.onlinelibrary.wiley.com/doi/10.1002/adma.72834?af=R" TargetMode="External"/><Relationship Id="rId952" Type="http://schemas.openxmlformats.org/officeDocument/2006/relationships/hyperlink" Target="https://doi.org/10.1002/adma.72834" TargetMode="External"/><Relationship Id="rId953" Type="http://schemas.openxmlformats.org/officeDocument/2006/relationships/hyperlink" Target="https://onlinelibrary.wiley.com/doi/10.1002/anie.202517995?af=R" TargetMode="External"/><Relationship Id="rId954" Type="http://schemas.openxmlformats.org/officeDocument/2006/relationships/hyperlink" Target="https://doi.org/10.1002/anie.202517995" TargetMode="External"/><Relationship Id="rId955" Type="http://schemas.openxmlformats.org/officeDocument/2006/relationships/hyperlink" Target="https://onlinelibrary.wiley.com/doi/10.1002/anie.4678241?af=R" TargetMode="External"/><Relationship Id="rId956" Type="http://schemas.openxmlformats.org/officeDocument/2006/relationships/hyperlink" Target="https://doi.org/10.1002/anie.4678241" TargetMode="External"/><Relationship Id="rId957" Type="http://schemas.openxmlformats.org/officeDocument/2006/relationships/hyperlink" Target="https://advanced.onlinelibrary.wiley.com/doi/10.1002/adma.202523002?af=R" TargetMode="External"/><Relationship Id="rId958" Type="http://schemas.openxmlformats.org/officeDocument/2006/relationships/hyperlink" Target="https://doi.org/10.1002/adma.202523002" TargetMode="External"/><Relationship Id="rId959" Type="http://schemas.openxmlformats.org/officeDocument/2006/relationships/hyperlink" Target="https://onlinelibrary.wiley.com/doi/10.1002/anie.1718544?af=R" TargetMode="External"/><Relationship Id="rId960" Type="http://schemas.openxmlformats.org/officeDocument/2006/relationships/hyperlink" Target="https://doi.org/10.1002/anie.1718544" TargetMode="External"/><Relationship Id="rId961" Type="http://schemas.openxmlformats.org/officeDocument/2006/relationships/hyperlink" Target="https://onlinelibrary.wiley.com/doi/10.1002/anie.202522342?af=R" TargetMode="External"/><Relationship Id="rId962" Type="http://schemas.openxmlformats.org/officeDocument/2006/relationships/hyperlink" Target="https://doi.org/10.1002/anie.202522342" TargetMode="External"/><Relationship Id="rId963" Type="http://schemas.openxmlformats.org/officeDocument/2006/relationships/hyperlink" Target="https://onlinelibrary.wiley.com/doi/10.1002/anie.202519476?af=R" TargetMode="External"/><Relationship Id="rId964" Type="http://schemas.openxmlformats.org/officeDocument/2006/relationships/hyperlink" Target="https://doi.org/10.1002/anie.202519476" TargetMode="External"/><Relationship Id="rId965" Type="http://schemas.openxmlformats.org/officeDocument/2006/relationships/hyperlink" Target="https://advanced.onlinelibrary.wiley.com/doi/10.1002/adma.202522820?af=R" TargetMode="External"/><Relationship Id="rId966" Type="http://schemas.openxmlformats.org/officeDocument/2006/relationships/hyperlink" Target="https://doi.org/10.1002/adma.202522820" TargetMode="External"/><Relationship Id="rId967" Type="http://schemas.openxmlformats.org/officeDocument/2006/relationships/hyperlink" Target="https://advanced.onlinelibrary.wiley.com/doi/10.1002/adma.72843?af=R" TargetMode="External"/><Relationship Id="rId968" Type="http://schemas.openxmlformats.org/officeDocument/2006/relationships/hyperlink" Target="https://doi.org/10.1002/adma.72843" TargetMode="External"/><Relationship Id="rId969" Type="http://schemas.openxmlformats.org/officeDocument/2006/relationships/hyperlink" Target="https://onlinelibrary.wiley.com/doi/10.1002/anie.202521736?af=R" TargetMode="External"/><Relationship Id="rId970" Type="http://schemas.openxmlformats.org/officeDocument/2006/relationships/hyperlink" Target="https://doi.org/10.1002/anie.202521736" TargetMode="External"/><Relationship Id="rId971" Type="http://schemas.openxmlformats.org/officeDocument/2006/relationships/hyperlink" Target="https://onlinelibrary.wiley.com/doi/10.1002/anie.5554671?af=R" TargetMode="External"/><Relationship Id="rId972" Type="http://schemas.openxmlformats.org/officeDocument/2006/relationships/hyperlink" Target="https://doi.org/10.1002/anie.5554671" TargetMode="External"/><Relationship Id="rId973" Type="http://schemas.openxmlformats.org/officeDocument/2006/relationships/hyperlink" Target="https://advanced.onlinelibrary.wiley.com/doi/10.1002/adma.72810?af=R" TargetMode="External"/><Relationship Id="rId974" Type="http://schemas.openxmlformats.org/officeDocument/2006/relationships/hyperlink" Target="https://doi.org/10.1002/adma.72810" TargetMode="External"/><Relationship Id="rId975" Type="http://schemas.openxmlformats.org/officeDocument/2006/relationships/hyperlink" Target="https://advanced.onlinelibrary.wiley.com/doi/10.1002/adma.202516232?af=R" TargetMode="External"/><Relationship Id="rId976" Type="http://schemas.openxmlformats.org/officeDocument/2006/relationships/hyperlink" Target="https://doi.org/10.1002/adma.202516232" TargetMode="External"/><Relationship Id="rId977" Type="http://schemas.openxmlformats.org/officeDocument/2006/relationships/hyperlink" Target="https://onlinelibrary.wiley.com/doi/10.1002/anie.7688164?af=R" TargetMode="External"/><Relationship Id="rId978" Type="http://schemas.openxmlformats.org/officeDocument/2006/relationships/hyperlink" Target="https://doi.org/10.1002/anie.7688164" TargetMode="External"/><Relationship Id="rId979" Type="http://schemas.openxmlformats.org/officeDocument/2006/relationships/hyperlink" Target="https://advanced.onlinelibrary.wiley.com/doi/10.1002/adma.72806?af=R" TargetMode="External"/><Relationship Id="rId980" Type="http://schemas.openxmlformats.org/officeDocument/2006/relationships/hyperlink" Target="https://doi.org/10.1002/adma.72806" TargetMode="External"/><Relationship Id="rId981" Type="http://schemas.openxmlformats.org/officeDocument/2006/relationships/hyperlink" Target="http://dx.doi.org/10.1021/jacs.5c19396" TargetMode="External"/><Relationship Id="rId982" Type="http://schemas.openxmlformats.org/officeDocument/2006/relationships/hyperlink" Target="https://doi.org/10.1021/jacs.5c19396" TargetMode="External"/><Relationship Id="rId983" Type="http://schemas.openxmlformats.org/officeDocument/2006/relationships/hyperlink" Target="https://advanced.onlinelibrary.wiley.com/doi/10.1002/adma.202521689?af=R" TargetMode="External"/><Relationship Id="rId984" Type="http://schemas.openxmlformats.org/officeDocument/2006/relationships/hyperlink" Target="https://doi.org/10.1002/adma.202521689" TargetMode="External"/><Relationship Id="rId985" Type="http://schemas.openxmlformats.org/officeDocument/2006/relationships/hyperlink" Target="https://onlinelibrary.wiley.com/doi/10.1002/anie.202526010?af=R" TargetMode="External"/><Relationship Id="rId986" Type="http://schemas.openxmlformats.org/officeDocument/2006/relationships/hyperlink" Target="https://doi.org/10.1002/anie.202526010" TargetMode="External"/><Relationship Id="rId987" Type="http://schemas.openxmlformats.org/officeDocument/2006/relationships/hyperlink" Target="https://advanced.onlinelibrary.wiley.com/doi/10.1002/adma.202522533?af=R" TargetMode="External"/><Relationship Id="rId988" Type="http://schemas.openxmlformats.org/officeDocument/2006/relationships/hyperlink" Target="https://doi.org/10.1002/adma.202522533" TargetMode="External"/><Relationship Id="rId989" Type="http://schemas.openxmlformats.org/officeDocument/2006/relationships/hyperlink" Target="https://advanced.onlinelibrary.wiley.com/doi/10.1002/adma.72820?af=R" TargetMode="External"/><Relationship Id="rId990" Type="http://schemas.openxmlformats.org/officeDocument/2006/relationships/hyperlink" Target="https://doi.org/10.1002/adma.72820" TargetMode="External"/><Relationship Id="rId991" Type="http://schemas.openxmlformats.org/officeDocument/2006/relationships/hyperlink" Target="https://onlinelibrary.wiley.com/doi/10.1002/anie.3924995?af=R" TargetMode="External"/><Relationship Id="rId992" Type="http://schemas.openxmlformats.org/officeDocument/2006/relationships/hyperlink" Target="https://doi.org/10.1002/anie.3924995" TargetMode="External"/><Relationship Id="rId993" Type="http://schemas.openxmlformats.org/officeDocument/2006/relationships/hyperlink" Target="https://advanced.onlinelibrary.wiley.com/doi/10.1002/adma.72846?af=R" TargetMode="External"/><Relationship Id="rId994" Type="http://schemas.openxmlformats.org/officeDocument/2006/relationships/hyperlink" Target="https://doi.org/10.1002/adma.72846" TargetMode="External"/><Relationship Id="rId995" Type="http://schemas.openxmlformats.org/officeDocument/2006/relationships/hyperlink" Target="https://advanced.onlinelibrary.wiley.com/doi/10.1002/adma.202521292?af=R" TargetMode="External"/><Relationship Id="rId996" Type="http://schemas.openxmlformats.org/officeDocument/2006/relationships/hyperlink" Target="https://doi.org/10.1002/adma.202521292" TargetMode="External"/><Relationship Id="rId997" Type="http://schemas.openxmlformats.org/officeDocument/2006/relationships/hyperlink" Target="https://advanced.onlinelibrary.wiley.com/doi/10.1002/adma.202519613?af=R" TargetMode="External"/><Relationship Id="rId998" Type="http://schemas.openxmlformats.org/officeDocument/2006/relationships/hyperlink" Target="https://doi.org/10.1002/adma.202519613" TargetMode="External"/><Relationship Id="rId999" Type="http://schemas.openxmlformats.org/officeDocument/2006/relationships/hyperlink" Target="https://onlinelibrary.wiley.com/doi/10.1002/anie.1113423?af=R" TargetMode="External"/><Relationship Id="rId1000" Type="http://schemas.openxmlformats.org/officeDocument/2006/relationships/hyperlink" Target="https://doi.org/10.1002/anie.1113423" TargetMode="External"/><Relationship Id="rId1001" Type="http://schemas.openxmlformats.org/officeDocument/2006/relationships/hyperlink" Target="https://onlinelibrary.wiley.com/doi/10.1002/anie.202525972?af=R" TargetMode="External"/><Relationship Id="rId1002" Type="http://schemas.openxmlformats.org/officeDocument/2006/relationships/hyperlink" Target="https://doi.org/10.1002/anie.202525972" TargetMode="External"/><Relationship Id="rId1003" Type="http://schemas.openxmlformats.org/officeDocument/2006/relationships/hyperlink" Target="http://dx.doi.org/10.1021/jacs.6c02971" TargetMode="External"/><Relationship Id="rId1004" Type="http://schemas.openxmlformats.org/officeDocument/2006/relationships/hyperlink" Target="https://doi.org/10.1021/jacs.6c02971" TargetMode="External"/><Relationship Id="rId1005" Type="http://schemas.openxmlformats.org/officeDocument/2006/relationships/hyperlink" Target="https://onlinelibrary.wiley.com/doi/10.1002/anie.8165954?af=R" TargetMode="External"/><Relationship Id="rId1006" Type="http://schemas.openxmlformats.org/officeDocument/2006/relationships/hyperlink" Target="https://doi.org/10.1002/anie.8165954" TargetMode="External"/><Relationship Id="rId1007" Type="http://schemas.openxmlformats.org/officeDocument/2006/relationships/hyperlink" Target="http://dx.doi.org/10.1021/jacs.6c02983" TargetMode="External"/><Relationship Id="rId1008" Type="http://schemas.openxmlformats.org/officeDocument/2006/relationships/hyperlink" Target="https://doi.org/10.1021/jacs.6c02983" TargetMode="External"/><Relationship Id="rId1009" Type="http://schemas.openxmlformats.org/officeDocument/2006/relationships/hyperlink" Target="http://dx.doi.org/10.1021/jacs.5c22987" TargetMode="External"/><Relationship Id="rId1010" Type="http://schemas.openxmlformats.org/officeDocument/2006/relationships/hyperlink" Target="https://doi.org/10.1021/jacs.5c22987" TargetMode="External"/><Relationship Id="rId1011" Type="http://schemas.openxmlformats.org/officeDocument/2006/relationships/hyperlink" Target="http://dx.doi.org/10.1021/jacs.5c22003" TargetMode="External"/><Relationship Id="rId1012" Type="http://schemas.openxmlformats.org/officeDocument/2006/relationships/hyperlink" Target="https://doi.org/10.1021/jacs.5c22003" TargetMode="External"/><Relationship Id="rId1013" Type="http://schemas.openxmlformats.org/officeDocument/2006/relationships/hyperlink" Target="http://dx.doi.org/10.1021/jacs.6c02923" TargetMode="External"/><Relationship Id="rId1014" Type="http://schemas.openxmlformats.org/officeDocument/2006/relationships/hyperlink" Target="https://doi.org/10.1021/jacs.6c02923" TargetMode="External"/><Relationship Id="rId1015" Type="http://schemas.openxmlformats.org/officeDocument/2006/relationships/hyperlink" Target="http://dx.doi.org/10.1021/jacs.6c03730" TargetMode="External"/><Relationship Id="rId1016" Type="http://schemas.openxmlformats.org/officeDocument/2006/relationships/hyperlink" Target="https://doi.org/10.1021/jacs.6c03730" TargetMode="External"/><Relationship Id="rId1017" Type="http://schemas.openxmlformats.org/officeDocument/2006/relationships/hyperlink" Target="http://dx.doi.org/10.1021/jacs.5c22239" TargetMode="External"/><Relationship Id="rId1018" Type="http://schemas.openxmlformats.org/officeDocument/2006/relationships/hyperlink" Target="https://doi.org/10.1021/jacs.5c22239" TargetMode="External"/><Relationship Id="rId1019" Type="http://schemas.openxmlformats.org/officeDocument/2006/relationships/hyperlink" Target="http://dx.doi.org/10.1021/jacs.5c16572" TargetMode="External"/><Relationship Id="rId1020" Type="http://schemas.openxmlformats.org/officeDocument/2006/relationships/hyperlink" Target="https://doi.org/10.1021/jacs.5c16572" TargetMode="External"/><Relationship Id="rId1021" Type="http://schemas.openxmlformats.org/officeDocument/2006/relationships/hyperlink" Target="https://www.nature.com/articles/d41586-026-00548-2" TargetMode="External"/><Relationship Id="rId1022" Type="http://schemas.openxmlformats.org/officeDocument/2006/relationships/hyperlink" Target="https://doi.org/10.1038/d41586-026-00548-2" TargetMode="External"/><Relationship Id="rId1023" Type="http://schemas.openxmlformats.org/officeDocument/2006/relationships/hyperlink" Target="https://www.nature.com/articles/d41586-026-00618-5" TargetMode="External"/><Relationship Id="rId1024" Type="http://schemas.openxmlformats.org/officeDocument/2006/relationships/hyperlink" Target="https://doi.org/10.1038/d41586-026-00618-5" TargetMode="External"/><Relationship Id="rId1025" Type="http://schemas.openxmlformats.org/officeDocument/2006/relationships/hyperlink" Target="https://www.nature.com/articles/d41586-026-00876-3" TargetMode="External"/><Relationship Id="rId1026" Type="http://schemas.openxmlformats.org/officeDocument/2006/relationships/hyperlink" Target="https://doi.org/10.1038/d41586-026-00876-3" TargetMode="External"/><Relationship Id="rId1027" Type="http://schemas.openxmlformats.org/officeDocument/2006/relationships/hyperlink" Target="https://www.nature.com/articles/d41586-026-00852-x" TargetMode="External"/><Relationship Id="rId1028" Type="http://schemas.openxmlformats.org/officeDocument/2006/relationships/hyperlink" Target="https://doi.org/10.1038/d41586-026-00852-x" TargetMode="External"/><Relationship Id="rId1029" Type="http://schemas.openxmlformats.org/officeDocument/2006/relationships/hyperlink" Target="https://www.nature.com/articles/d41586-026-00866-5" TargetMode="External"/><Relationship Id="rId1030" Type="http://schemas.openxmlformats.org/officeDocument/2006/relationships/hyperlink" Target="https://doi.org/10.1038/d41586-026-00866-5" TargetMode="External"/><Relationship Id="rId1031" Type="http://schemas.openxmlformats.org/officeDocument/2006/relationships/hyperlink" Target="https://www.cell.com/chem/fulltext/S2451-9294(26)00018-5?rss=yes" TargetMode="External"/><Relationship Id="rId1032" Type="http://schemas.openxmlformats.org/officeDocument/2006/relationships/hyperlink" Target="https://doi.org/10.1016/j.chempr.2026.102952" TargetMode="External"/><Relationship Id="rId1033" Type="http://schemas.openxmlformats.org/officeDocument/2006/relationships/hyperlink" Target="http://pubs.rsc.org/en/Content/ArticleLanding/2026/CS/D5CS00594A" TargetMode="External"/><Relationship Id="rId1034" Type="http://schemas.openxmlformats.org/officeDocument/2006/relationships/hyperlink" Target="https://www.nature.com/articles/d41586-026-00870-9" TargetMode="External"/><Relationship Id="rId1035" Type="http://schemas.openxmlformats.org/officeDocument/2006/relationships/hyperlink" Target="https://doi.org/10.1038/d41586-026-00870-9" TargetMode="External"/><Relationship Id="rId1036" Type="http://schemas.openxmlformats.org/officeDocument/2006/relationships/hyperlink" Target="http://pubs.rsc.org/en/Content/ArticleLanding/2026/CS/D5CS01448D" TargetMode="External"/><Relationship Id="rId1037" Type="http://schemas.openxmlformats.org/officeDocument/2006/relationships/hyperlink" Target="https://www.nature.com/articles/s44286-026-00361-8" TargetMode="External"/><Relationship Id="rId1038" Type="http://schemas.openxmlformats.org/officeDocument/2006/relationships/hyperlink" Target="https://doi.org/10.1038/s44286-026-00361-8" TargetMode="External"/><Relationship Id="rId1039" Type="http://schemas.openxmlformats.org/officeDocument/2006/relationships/hyperlink" Target="https://www.nature.com/articles/s41563-026-02521-w" TargetMode="External"/><Relationship Id="rId1040" Type="http://schemas.openxmlformats.org/officeDocument/2006/relationships/hyperlink" Target="https://doi.org/10.1038/s41563-026-02521-w" TargetMode="External"/><Relationship Id="rId1041" Type="http://schemas.openxmlformats.org/officeDocument/2006/relationships/hyperlink" Target="https://www.nature.com/articles/s41563-026-02539-0" TargetMode="External"/><Relationship Id="rId1042" Type="http://schemas.openxmlformats.org/officeDocument/2006/relationships/hyperlink" Target="https://doi.org/10.1038/s41563-026-02539-0" TargetMode="External"/><Relationship Id="rId1043" Type="http://schemas.openxmlformats.org/officeDocument/2006/relationships/hyperlink" Target="https://www.nature.com/articles/s41563-026-02542-5" TargetMode="External"/><Relationship Id="rId1044" Type="http://schemas.openxmlformats.org/officeDocument/2006/relationships/hyperlink" Target="https://doi.org/10.1038/s41563-026-02542-5" TargetMode="External"/><Relationship Id="rId1045" Type="http://schemas.openxmlformats.org/officeDocument/2006/relationships/hyperlink" Target="https://www.nature.com/articles/s41467-026-70833-1" TargetMode="External"/><Relationship Id="rId1046" Type="http://schemas.openxmlformats.org/officeDocument/2006/relationships/hyperlink" Target="https://doi.org/10.1038/s41467-026-70833-1" TargetMode="External"/><Relationship Id="rId1047" Type="http://schemas.openxmlformats.org/officeDocument/2006/relationships/hyperlink" Target="https://www.cell.com/chem/fulltext/S2451-9294(26)00029-X?rss=yes" TargetMode="External"/><Relationship Id="rId1048" Type="http://schemas.openxmlformats.org/officeDocument/2006/relationships/hyperlink" Target="https://doi.org/10.1016/j.chempr.2026.102963" TargetMode="External"/><Relationship Id="rId1049" Type="http://schemas.openxmlformats.org/officeDocument/2006/relationships/hyperlink" Target="https://www.nature.com/articles/d41586-026-00819-y" TargetMode="External"/><Relationship Id="rId1050" Type="http://schemas.openxmlformats.org/officeDocument/2006/relationships/hyperlink" Target="https://doi.org/10.1038/d41586-026-00819-y" TargetMode="External"/><Relationship Id="rId1051" Type="http://schemas.openxmlformats.org/officeDocument/2006/relationships/hyperlink" Target="https://www.nature.com/articles/d41586-026-00712-8" TargetMode="External"/><Relationship Id="rId1052" Type="http://schemas.openxmlformats.org/officeDocument/2006/relationships/hyperlink" Target="https://doi.org/10.1038/d41586-026-00712-8" TargetMode="External"/><Relationship Id="rId1053" Type="http://schemas.openxmlformats.org/officeDocument/2006/relationships/hyperlink" Target="https://www.nature.com/articles/s41578-026-00913-7" TargetMode="External"/><Relationship Id="rId1054" Type="http://schemas.openxmlformats.org/officeDocument/2006/relationships/hyperlink" Target="https://doi.org/10.1038/s41578-026-00913-7" TargetMode="External"/><Relationship Id="rId1055" Type="http://schemas.openxmlformats.org/officeDocument/2006/relationships/hyperlink" Target="https://www.nature.com/articles/d41586-026-00869-2" TargetMode="External"/><Relationship Id="rId1056" Type="http://schemas.openxmlformats.org/officeDocument/2006/relationships/hyperlink" Target="https://doi.org/10.1038/d41586-026-00869-2" TargetMode="External"/><Relationship Id="rId1057" Type="http://schemas.openxmlformats.org/officeDocument/2006/relationships/hyperlink" Target="https://www.sciencedirect.com/science/article/pii/S0306261926003314?dgcid=rss_sd_all" TargetMode="External"/><Relationship Id="rId1058" Type="http://schemas.openxmlformats.org/officeDocument/2006/relationships/hyperlink" Target="https://www.cell.com/one-earth/fulltext/S2590-3322(26)00050-3?rss=yes" TargetMode="External"/><Relationship Id="rId1059" Type="http://schemas.openxmlformats.org/officeDocument/2006/relationships/hyperlink" Target="https://doi.org/10.1016/j.oneear.2026.101649" TargetMode="External"/><Relationship Id="rId1060" Type="http://schemas.openxmlformats.org/officeDocument/2006/relationships/hyperlink" Target="https://www.sciencedirect.com/science/article/pii/S0306261926003715?dgcid=rss_sd_all" TargetMode="External"/><Relationship Id="rId1061" Type="http://schemas.openxmlformats.org/officeDocument/2006/relationships/hyperlink" Target="https://www.sciencedirect.com/science/article/pii/S0306261926003582?dgcid=rss_sd_all" TargetMode="External"/><Relationship Id="rId1062" Type="http://schemas.openxmlformats.org/officeDocument/2006/relationships/hyperlink" Target="https://www.cell.com/matter/fulltext/S2590-2385(26)00039-1?rss=yes" TargetMode="External"/><Relationship Id="rId1063" Type="http://schemas.openxmlformats.org/officeDocument/2006/relationships/hyperlink" Target="https://doi.org/10.1016/j.matt.2026.102676" TargetMode="External"/><Relationship Id="rId1064" Type="http://schemas.openxmlformats.org/officeDocument/2006/relationships/hyperlink" Target="https://www.cell.com/matter/fulltext/S2590-2385(26)00040-8?rss=yes" TargetMode="External"/><Relationship Id="rId1065" Type="http://schemas.openxmlformats.org/officeDocument/2006/relationships/hyperlink" Target="https://doi.org/10.1016/j.matt.2026.102677" TargetMode="External"/><Relationship Id="rId1066" Type="http://schemas.openxmlformats.org/officeDocument/2006/relationships/hyperlink" Target="https://www.cell.com/joule/fulltext/S2542-4351(26)00033-4?rss=yes" TargetMode="External"/><Relationship Id="rId1067" Type="http://schemas.openxmlformats.org/officeDocument/2006/relationships/hyperlink" Target="https://doi.org/10.1016/j.joule.2026.102349" TargetMode="External"/><Relationship Id="rId1068" Type="http://schemas.openxmlformats.org/officeDocument/2006/relationships/hyperlink" Target="http://pubs.rsc.org/en/Content/ArticleLanding/2026/EE/D6EE00888G" TargetMode="External"/><Relationship Id="rId1069" Type="http://schemas.openxmlformats.org/officeDocument/2006/relationships/hyperlink" Target="https://www.nature.com/articles/s41557-026-02111-y" TargetMode="External"/><Relationship Id="rId1070" Type="http://schemas.openxmlformats.org/officeDocument/2006/relationships/hyperlink" Target="https://doi.org/10.1038/s41557-026-02111-y" TargetMode="External"/><Relationship Id="rId1071" Type="http://schemas.openxmlformats.org/officeDocument/2006/relationships/hyperlink" Target="https://www.nature.com/articles/s41557-026-02105-w" TargetMode="External"/><Relationship Id="rId1072" Type="http://schemas.openxmlformats.org/officeDocument/2006/relationships/hyperlink" Target="https://doi.org/10.1038/s41557-026-02105-w" TargetMode="External"/><Relationship Id="rId1073" Type="http://schemas.openxmlformats.org/officeDocument/2006/relationships/hyperlink" Target="https://academic.oup.com/nsr/advance-article/doi/10.1093/nsr/nwag174/8528982?rss=1" TargetMode="External"/><Relationship Id="rId1074" Type="http://schemas.openxmlformats.org/officeDocument/2006/relationships/hyperlink" Target="https://doi.org/10.1093/nsr/nwag174" TargetMode="External"/><Relationship Id="rId1075" Type="http://schemas.openxmlformats.org/officeDocument/2006/relationships/hyperlink" Target="https://academic.oup.com/nsr/advance-article/doi/10.1093/nsr/nwag176/8528990?rss=1" TargetMode="External"/><Relationship Id="rId1076" Type="http://schemas.openxmlformats.org/officeDocument/2006/relationships/hyperlink" Target="https://doi.org/10.1093/nsr/nwag176" TargetMode="External"/><Relationship Id="rId1077" Type="http://schemas.openxmlformats.org/officeDocument/2006/relationships/hyperlink" Target="https://www.nature.com/articles/s41565-026-02137-w" TargetMode="External"/><Relationship Id="rId1078" Type="http://schemas.openxmlformats.org/officeDocument/2006/relationships/hyperlink" Target="https://doi.org/10.1038/s41565-026-02137-w" TargetMode="External"/><Relationship Id="rId1079" Type="http://schemas.openxmlformats.org/officeDocument/2006/relationships/hyperlink" Target="https://www.science.org/doi/abs/10.1126/science.aef2215?af=R" TargetMode="External"/><Relationship Id="rId1080" Type="http://schemas.openxmlformats.org/officeDocument/2006/relationships/hyperlink" Target="https://doi.org/10.1126/science.aef2215" TargetMode="External"/><Relationship Id="rId1081" Type="http://schemas.openxmlformats.org/officeDocument/2006/relationships/hyperlink" Target="https://www.science.org/doi/abs/10.1126/science.aef5027?af=R" TargetMode="External"/><Relationship Id="rId1082" Type="http://schemas.openxmlformats.org/officeDocument/2006/relationships/hyperlink" Target="https://doi.org/10.1126/science.aef5027" TargetMode="External"/><Relationship Id="rId1083" Type="http://schemas.openxmlformats.org/officeDocument/2006/relationships/hyperlink" Target="https://www.science.org/doi/abs/10.1126/science.aef5164?af=R" TargetMode="External"/><Relationship Id="rId1084" Type="http://schemas.openxmlformats.org/officeDocument/2006/relationships/hyperlink" Target="https://doi.org/10.1126/science.aef5164" TargetMode="External"/><Relationship Id="rId1085" Type="http://schemas.openxmlformats.org/officeDocument/2006/relationships/hyperlink" Target="https://www.science.org/doi/abs/10.1126/science.aef6813?af=R" TargetMode="External"/><Relationship Id="rId1086" Type="http://schemas.openxmlformats.org/officeDocument/2006/relationships/hyperlink" Target="https://doi.org/10.1126/science.aef6813" TargetMode="External"/><Relationship Id="rId1087" Type="http://schemas.openxmlformats.org/officeDocument/2006/relationships/hyperlink" Target="https://www.science.org/doi/abs/10.1126/science.aeh2953?af=R" TargetMode="External"/><Relationship Id="rId1088" Type="http://schemas.openxmlformats.org/officeDocument/2006/relationships/hyperlink" Target="https://doi.org/10.1126/science.aeh2953" TargetMode="External"/><Relationship Id="rId1089" Type="http://schemas.openxmlformats.org/officeDocument/2006/relationships/hyperlink" Target="https://www.science.org/doi/abs/10.1126/science.aef7935?af=R" TargetMode="External"/><Relationship Id="rId1090" Type="http://schemas.openxmlformats.org/officeDocument/2006/relationships/hyperlink" Target="https://doi.org/10.1126/science.aef7935" TargetMode="External"/><Relationship Id="rId1091" Type="http://schemas.openxmlformats.org/officeDocument/2006/relationships/hyperlink" Target="https://www.science.org/doi/abs/10.1126/science.aeh2959?af=R" TargetMode="External"/><Relationship Id="rId1092" Type="http://schemas.openxmlformats.org/officeDocument/2006/relationships/hyperlink" Target="https://doi.org/10.1126/science.aeh2959" TargetMode="External"/><Relationship Id="rId1093" Type="http://schemas.openxmlformats.org/officeDocument/2006/relationships/hyperlink" Target="https://www.science.org/doi/abs/10.1126/science.aeh2955?af=R" TargetMode="External"/><Relationship Id="rId1094" Type="http://schemas.openxmlformats.org/officeDocument/2006/relationships/hyperlink" Target="https://doi.org/10.1126/science.aeh2955" TargetMode="External"/><Relationship Id="rId1095" Type="http://schemas.openxmlformats.org/officeDocument/2006/relationships/hyperlink" Target="https://www.science.org/doi/abs/10.1126/science.aeh2958?af=R" TargetMode="External"/><Relationship Id="rId1096" Type="http://schemas.openxmlformats.org/officeDocument/2006/relationships/hyperlink" Target="https://doi.org/10.1126/science.aeh2958" TargetMode="External"/><Relationship Id="rId1097" Type="http://schemas.openxmlformats.org/officeDocument/2006/relationships/hyperlink" Target="https://www.science.org/doi/abs/10.1126/science.aec5633?af=R" TargetMode="External"/><Relationship Id="rId1098" Type="http://schemas.openxmlformats.org/officeDocument/2006/relationships/hyperlink" Target="https://doi.org/10.1126/science.aec5633" TargetMode="External"/><Relationship Id="rId1099" Type="http://schemas.openxmlformats.org/officeDocument/2006/relationships/hyperlink" Target="https://www.science.org/doi/abs/10.1126/science.aeh2960?af=R" TargetMode="External"/><Relationship Id="rId1100" Type="http://schemas.openxmlformats.org/officeDocument/2006/relationships/hyperlink" Target="https://doi.org/10.1126/science.aeh2960" TargetMode="External"/><Relationship Id="rId1101" Type="http://schemas.openxmlformats.org/officeDocument/2006/relationships/hyperlink" Target="https://www.science.org/doi/abs/10.1126/science.aeh2956?af=R" TargetMode="External"/><Relationship Id="rId1102" Type="http://schemas.openxmlformats.org/officeDocument/2006/relationships/hyperlink" Target="https://doi.org/10.1126/science.aeh2956" TargetMode="External"/><Relationship Id="rId1103" Type="http://schemas.openxmlformats.org/officeDocument/2006/relationships/hyperlink" Target="https://www.science.org/doi/abs/10.1126/science.aef2245?af=R" TargetMode="External"/><Relationship Id="rId1104" Type="http://schemas.openxmlformats.org/officeDocument/2006/relationships/hyperlink" Target="https://doi.org/10.1126/science.aef2245" TargetMode="External"/><Relationship Id="rId1105" Type="http://schemas.openxmlformats.org/officeDocument/2006/relationships/hyperlink" Target="https://www.science.org/doi/abs/10.1126/science.aeh2954?af=R" TargetMode="External"/><Relationship Id="rId1106" Type="http://schemas.openxmlformats.org/officeDocument/2006/relationships/hyperlink" Target="https://doi.org/10.1126/science.aeh2954" TargetMode="External"/><Relationship Id="rId1107" Type="http://schemas.openxmlformats.org/officeDocument/2006/relationships/hyperlink" Target="https://www.science.org/doi/abs/10.1126/science.adv2188?af=R" TargetMode="External"/><Relationship Id="rId1108" Type="http://schemas.openxmlformats.org/officeDocument/2006/relationships/hyperlink" Target="https://doi.org/10.1126/science.adv2188" TargetMode="External"/><Relationship Id="rId1109" Type="http://schemas.openxmlformats.org/officeDocument/2006/relationships/hyperlink" Target="https://www.science.org/doi/abs/10.1126/science.aeh2593?af=R" TargetMode="External"/><Relationship Id="rId1110" Type="http://schemas.openxmlformats.org/officeDocument/2006/relationships/hyperlink" Target="https://doi.org/10.1126/science.aeh2593" TargetMode="External"/><Relationship Id="rId1111" Type="http://schemas.openxmlformats.org/officeDocument/2006/relationships/hyperlink" Target="https://www.science.org/doi/abs/10.1126/science.ady5217?af=R" TargetMode="External"/><Relationship Id="rId1112" Type="http://schemas.openxmlformats.org/officeDocument/2006/relationships/hyperlink" Target="https://doi.org/10.1126/science.ady5217" TargetMode="External"/><Relationship Id="rId1113" Type="http://schemas.openxmlformats.org/officeDocument/2006/relationships/hyperlink" Target="https://www.science.org/doi/abs/10.1126/science.adw9250?af=R" TargetMode="External"/><Relationship Id="rId1114" Type="http://schemas.openxmlformats.org/officeDocument/2006/relationships/hyperlink" Target="https://doi.org/10.1126/science.adw9250" TargetMode="External"/><Relationship Id="rId1115" Type="http://schemas.openxmlformats.org/officeDocument/2006/relationships/hyperlink" Target="https://www.science.org/doi/abs/10.1126/science.aeh2595?af=R" TargetMode="External"/><Relationship Id="rId1116" Type="http://schemas.openxmlformats.org/officeDocument/2006/relationships/hyperlink" Target="https://doi.org/10.1126/science.aeh2595" TargetMode="External"/><Relationship Id="rId1117" Type="http://schemas.openxmlformats.org/officeDocument/2006/relationships/hyperlink" Target="https://www.science.org/doi/abs/10.1126/science.aef7718?af=R" TargetMode="External"/><Relationship Id="rId1118" Type="http://schemas.openxmlformats.org/officeDocument/2006/relationships/hyperlink" Target="https://doi.org/10.1126/science.aef7718" TargetMode="External"/><Relationship Id="rId1119" Type="http://schemas.openxmlformats.org/officeDocument/2006/relationships/hyperlink" Target="https://www.science.org/doi/abs/10.1126/science.aeg1907?af=R" TargetMode="External"/><Relationship Id="rId1120" Type="http://schemas.openxmlformats.org/officeDocument/2006/relationships/hyperlink" Target="https://doi.org/10.1126/science.aeg1907" TargetMode="External"/><Relationship Id="rId1121" Type="http://schemas.openxmlformats.org/officeDocument/2006/relationships/hyperlink" Target="https://www.science.org/doi/abs/10.1126/science.aef9954?af=R" TargetMode="External"/><Relationship Id="rId1122" Type="http://schemas.openxmlformats.org/officeDocument/2006/relationships/hyperlink" Target="https://doi.org/10.1126/science.aef9954" TargetMode="External"/><Relationship Id="rId1123" Type="http://schemas.openxmlformats.org/officeDocument/2006/relationships/hyperlink" Target="https://www.science.org/doi/abs/10.1126/science.aef5648?af=R" TargetMode="External"/><Relationship Id="rId1124" Type="http://schemas.openxmlformats.org/officeDocument/2006/relationships/hyperlink" Target="https://doi.org/10.1126/science.aef5648" TargetMode="External"/><Relationship Id="rId1125" Type="http://schemas.openxmlformats.org/officeDocument/2006/relationships/hyperlink" Target="https://www.science.org/doi/abs/10.1126/science.aef9532?af=R" TargetMode="External"/><Relationship Id="rId1126" Type="http://schemas.openxmlformats.org/officeDocument/2006/relationships/hyperlink" Target="https://doi.org/10.1126/science.aef9532" TargetMode="External"/><Relationship Id="rId1127" Type="http://schemas.openxmlformats.org/officeDocument/2006/relationships/hyperlink" Target="https://www.science.org/doi/abs/10.1126/science.aeh2025?af=R" TargetMode="External"/><Relationship Id="rId1128" Type="http://schemas.openxmlformats.org/officeDocument/2006/relationships/hyperlink" Target="https://doi.org/10.1126/science.aeh2025" TargetMode="External"/><Relationship Id="rId1129" Type="http://schemas.openxmlformats.org/officeDocument/2006/relationships/hyperlink" Target="https://www.science.org/doi/abs/10.1126/science.adz8554?af=R" TargetMode="External"/><Relationship Id="rId1130" Type="http://schemas.openxmlformats.org/officeDocument/2006/relationships/hyperlink" Target="https://doi.org/10.1126/science.adz8554" TargetMode="External"/><Relationship Id="rId1131" Type="http://schemas.openxmlformats.org/officeDocument/2006/relationships/hyperlink" Target="https://www.science.org/doi/abs/10.1126/science.adv5974?af=R" TargetMode="External"/><Relationship Id="rId1132" Type="http://schemas.openxmlformats.org/officeDocument/2006/relationships/hyperlink" Target="https://doi.org/10.1126/science.adv5974" TargetMode="External"/><Relationship Id="rId1133" Type="http://schemas.openxmlformats.org/officeDocument/2006/relationships/hyperlink" Target="https://www.science.org/doi/abs/10.1126/science.adw9217?af=R" TargetMode="External"/><Relationship Id="rId1134" Type="http://schemas.openxmlformats.org/officeDocument/2006/relationships/hyperlink" Target="https://doi.org/10.1126/science.adw9217" TargetMode="External"/><Relationship Id="rId1135" Type="http://schemas.openxmlformats.org/officeDocument/2006/relationships/hyperlink" Target="https://www.science.org/doi/abs/10.1126/science.aeb2389?af=R" TargetMode="External"/><Relationship Id="rId1136" Type="http://schemas.openxmlformats.org/officeDocument/2006/relationships/hyperlink" Target="https://doi.org/10.1126/science.aeb2389" TargetMode="External"/><Relationship Id="rId1137" Type="http://schemas.openxmlformats.org/officeDocument/2006/relationships/hyperlink" Target="https://www.science.org/doi/abs/10.1126/science.aea1202?af=R" TargetMode="External"/><Relationship Id="rId1138" Type="http://schemas.openxmlformats.org/officeDocument/2006/relationships/hyperlink" Target="https://doi.org/10.1126/science.aea1202" TargetMode="External"/><Relationship Id="rId1139" Type="http://schemas.openxmlformats.org/officeDocument/2006/relationships/hyperlink" Target="https://www.science.org/doi/abs/10.1126/science.aeh2594?af=R" TargetMode="External"/><Relationship Id="rId1140" Type="http://schemas.openxmlformats.org/officeDocument/2006/relationships/hyperlink" Target="https://doi.org/10.1126/science.aeh2594" TargetMode="External"/><Relationship Id="rId1141" Type="http://schemas.openxmlformats.org/officeDocument/2006/relationships/hyperlink" Target="https://www.pnas.org/doi/abs/10.1073/pnas.2529157123?mi=eymic2&amp;af=R&amp;access=on&amp;content=articlesChapters&amp;publication=pnas&amp;sortBy=Earliest&amp;target=default" TargetMode="External"/><Relationship Id="rId1142" Type="http://schemas.openxmlformats.org/officeDocument/2006/relationships/hyperlink" Target="https://doi.org/10.1073/pnas.2529157123" TargetMode="External"/><Relationship Id="rId1143" Type="http://schemas.openxmlformats.org/officeDocument/2006/relationships/hyperlink" Target="https://www.science.org/doi/abs/10.1126/science.ads6674?af=R" TargetMode="External"/><Relationship Id="rId1144" Type="http://schemas.openxmlformats.org/officeDocument/2006/relationships/hyperlink" Target="https://doi.org/10.1126/science.ads6674" TargetMode="External"/><Relationship Id="rId1145" Type="http://schemas.openxmlformats.org/officeDocument/2006/relationships/hyperlink" Target="https://www.science.org/doi/abs/10.1126/science.aeh0795?af=R" TargetMode="External"/><Relationship Id="rId1146" Type="http://schemas.openxmlformats.org/officeDocument/2006/relationships/hyperlink" Target="https://doi.org/10.1126/science.aeh0795" TargetMode="External"/><Relationship Id="rId1147" Type="http://schemas.openxmlformats.org/officeDocument/2006/relationships/hyperlink" Target="https://www.pnas.org/doi/abs/10.1073/pnas.2517886123?mi=eymic2&amp;af=R&amp;access=on&amp;content=articlesChapters&amp;publication=pnas&amp;sortBy=Earliest&amp;target=default" TargetMode="External"/><Relationship Id="rId1148" Type="http://schemas.openxmlformats.org/officeDocument/2006/relationships/hyperlink" Target="https://doi.org/10.1073/pnas.2517886123" TargetMode="External"/><Relationship Id="rId1149" Type="http://schemas.openxmlformats.org/officeDocument/2006/relationships/hyperlink" Target="https://www.pnas.org/doi/abs/10.1073/pnas.2535645123?mi=eymic2&amp;af=R&amp;access=on&amp;content=articlesChapters&amp;publication=pnas&amp;sortBy=Earliest&amp;target=default" TargetMode="External"/><Relationship Id="rId1150" Type="http://schemas.openxmlformats.org/officeDocument/2006/relationships/hyperlink" Target="https://doi.org/10.1073/pnas.2535645123" TargetMode="External"/><Relationship Id="rId1151" Type="http://schemas.openxmlformats.org/officeDocument/2006/relationships/hyperlink" Target="https://www.pnas.org/doi/abs/10.1073/pnas.2518080123?mi=eymic2&amp;af=R&amp;access=on&amp;content=articlesChapters&amp;publication=pnas&amp;sortBy=Earliest&amp;target=default" TargetMode="External"/><Relationship Id="rId1152" Type="http://schemas.openxmlformats.org/officeDocument/2006/relationships/hyperlink" Target="https://doi.org/10.1073/pnas.2518080123" TargetMode="External"/><Relationship Id="rId1153" Type="http://schemas.openxmlformats.org/officeDocument/2006/relationships/hyperlink" Target="https://www.pnas.org/doi/abs/10.1073/pnas.2603605123?mi=eymic2&amp;af=R&amp;access=on&amp;content=articlesChapters&amp;publication=pnas&amp;sortBy=Earliest&amp;target=default" TargetMode="External"/><Relationship Id="rId1154" Type="http://schemas.openxmlformats.org/officeDocument/2006/relationships/hyperlink" Target="https://doi.org/10.1073/pnas.2603605123" TargetMode="External"/><Relationship Id="rId1155" Type="http://schemas.openxmlformats.org/officeDocument/2006/relationships/hyperlink" Target="https://www.science.org/doi/abs/10.1126/science.aeh2575?af=R" TargetMode="External"/><Relationship Id="rId1156" Type="http://schemas.openxmlformats.org/officeDocument/2006/relationships/hyperlink" Target="https://doi.org/10.1126/science.aeh2575" TargetMode="External"/><Relationship Id="rId1157" Type="http://schemas.openxmlformats.org/officeDocument/2006/relationships/hyperlink" Target="https://www.pnas.org/doi/abs/10.1073/pnas.2520626123?mi=eymic2&amp;af=R&amp;access=on&amp;content=articlesChapters&amp;publication=pnas&amp;sortBy=Earliest&amp;target=default" TargetMode="External"/><Relationship Id="rId1158" Type="http://schemas.openxmlformats.org/officeDocument/2006/relationships/hyperlink" Target="https://doi.org/10.1073/pnas.2520626123" TargetMode="External"/><Relationship Id="rId1159" Type="http://schemas.openxmlformats.org/officeDocument/2006/relationships/hyperlink" Target="https://www.pnas.org/doi/abs/10.1073/pnas.2523253123?mi=eymic2&amp;af=R&amp;access=on&amp;content=articlesChapters&amp;publication=pnas&amp;sortBy=Earliest&amp;target=default" TargetMode="External"/><Relationship Id="rId1160" Type="http://schemas.openxmlformats.org/officeDocument/2006/relationships/hyperlink" Target="https://doi.org/10.1073/pnas.2523253123" TargetMode="External"/><Relationship Id="rId1161" Type="http://schemas.openxmlformats.org/officeDocument/2006/relationships/hyperlink" Target="https://www.pnas.org/doi/abs/10.1073/pnas.2530022123?mi=eymic2&amp;af=R&amp;access=on&amp;content=articlesChapters&amp;publication=pnas&amp;sortBy=Earliest&amp;target=default" TargetMode="External"/><Relationship Id="rId1162" Type="http://schemas.openxmlformats.org/officeDocument/2006/relationships/hyperlink" Target="https://doi.org/10.1073/pnas.2530022123" TargetMode="External"/><Relationship Id="rId1163" Type="http://schemas.openxmlformats.org/officeDocument/2006/relationships/hyperlink" Target="https://www.pnas.org/doi/abs/10.1073/pnas.2516152123?mi=eymic2&amp;af=R&amp;access=on&amp;content=articlesChapters&amp;publication=pnas&amp;sortBy=Earliest&amp;target=default" TargetMode="External"/><Relationship Id="rId1164" Type="http://schemas.openxmlformats.org/officeDocument/2006/relationships/hyperlink" Target="https://doi.org/10.1073/pnas.2516152123" TargetMode="External"/><Relationship Id="rId1165" Type="http://schemas.openxmlformats.org/officeDocument/2006/relationships/hyperlink" Target="https://www.pnas.org/doi/abs/10.1073/pnas.2602471123?mi=eymic2&amp;af=R&amp;access=on&amp;content=articlesChapters&amp;publication=pnas&amp;sortBy=Earliest&amp;target=default" TargetMode="External"/><Relationship Id="rId1166" Type="http://schemas.openxmlformats.org/officeDocument/2006/relationships/hyperlink" Target="https://doi.org/10.1073/pnas.2602471123" TargetMode="External"/><Relationship Id="rId1167" Type="http://schemas.openxmlformats.org/officeDocument/2006/relationships/hyperlink" Target="https://www.pnas.org/doi/abs/10.1073/pnas.2519138123?mi=eymic2&amp;af=R&amp;access=on&amp;content=articlesChapters&amp;publication=pnas&amp;sortBy=Earliest&amp;target=default" TargetMode="External"/><Relationship Id="rId1168" Type="http://schemas.openxmlformats.org/officeDocument/2006/relationships/hyperlink" Target="https://doi.org/10.1073/pnas.2519138123" TargetMode="External"/><Relationship Id="rId1169" Type="http://schemas.openxmlformats.org/officeDocument/2006/relationships/hyperlink" Target="https://www.science.org/doi/abs/10.1126/science.aee6177?af=R" TargetMode="External"/><Relationship Id="rId1170" Type="http://schemas.openxmlformats.org/officeDocument/2006/relationships/hyperlink" Target="https://doi.org/10.1126/science.aee6177" TargetMode="External"/><Relationship Id="rId1171" Type="http://schemas.openxmlformats.org/officeDocument/2006/relationships/hyperlink" Target="https://www.pnas.org/doi/abs/10.1073/pnas.2517314123?mi=eymic2&amp;af=R&amp;access=on&amp;content=articlesChapters&amp;publication=pnas&amp;sortBy=Earliest&amp;target=default" TargetMode="External"/><Relationship Id="rId1172" Type="http://schemas.openxmlformats.org/officeDocument/2006/relationships/hyperlink" Target="https://doi.org/10.1073/pnas.2517314123" TargetMode="External"/><Relationship Id="rId1173" Type="http://schemas.openxmlformats.org/officeDocument/2006/relationships/hyperlink" Target="https://www.science.org/doi/abs/10.1126/science.ady6455?af=R" TargetMode="External"/><Relationship Id="rId1174" Type="http://schemas.openxmlformats.org/officeDocument/2006/relationships/hyperlink" Target="https://doi.org/10.1126/science.ady6455" TargetMode="External"/><Relationship Id="rId1175" Type="http://schemas.openxmlformats.org/officeDocument/2006/relationships/hyperlink" Target="https://www.science.org/doi/abs/10.1126/science.ads0960?af=R" TargetMode="External"/><Relationship Id="rId1176" Type="http://schemas.openxmlformats.org/officeDocument/2006/relationships/hyperlink" Target="https://doi.org/10.1126/science.ads0960" TargetMode="External"/><Relationship Id="rId1177" Type="http://schemas.openxmlformats.org/officeDocument/2006/relationships/hyperlink" Target="https://www.science.org/doi/abs/10.1126/science.aeb2095?af=R" TargetMode="External"/><Relationship Id="rId1178" Type="http://schemas.openxmlformats.org/officeDocument/2006/relationships/hyperlink" Target="https://doi.org/10.1126/science.aeb2095" TargetMode="External"/><Relationship Id="rId1179" Type="http://schemas.openxmlformats.org/officeDocument/2006/relationships/hyperlink" Target="https://www.pnas.org/doi/abs/10.1073/pnas.2516664123?mi=eymic2&amp;af=R&amp;access=on&amp;content=articlesChapters&amp;publication=pnas&amp;sortBy=Earliest&amp;target=default" TargetMode="External"/><Relationship Id="rId1180" Type="http://schemas.openxmlformats.org/officeDocument/2006/relationships/hyperlink" Target="https://doi.org/10.1073/pnas.2516664123" TargetMode="External"/><Relationship Id="rId1181" Type="http://schemas.openxmlformats.org/officeDocument/2006/relationships/hyperlink" Target="https://www.science.org/doi/abs/10.1126/science.aeg1895?af=R" TargetMode="External"/><Relationship Id="rId1182" Type="http://schemas.openxmlformats.org/officeDocument/2006/relationships/hyperlink" Target="https://doi.org/10.1126/science.aeg1895" TargetMode="External"/><Relationship Id="rId1183" Type="http://schemas.openxmlformats.org/officeDocument/2006/relationships/hyperlink" Target="https://www.science.org/doi/abs/10.1126/science.adx3162?af=R" TargetMode="External"/><Relationship Id="rId1184" Type="http://schemas.openxmlformats.org/officeDocument/2006/relationships/hyperlink" Target="https://doi.org/10.1126/science.adx3162" TargetMode="External"/><Relationship Id="rId1185" Type="http://schemas.openxmlformats.org/officeDocument/2006/relationships/hyperlink" Target="https://www.pnas.org/doi/abs/10.1073/pnas.2604887123?mi=eymic2&amp;af=R&amp;access=on&amp;content=articlesChapters&amp;publication=pnas&amp;sortBy=Earliest&amp;target=default" TargetMode="External"/><Relationship Id="rId1186" Type="http://schemas.openxmlformats.org/officeDocument/2006/relationships/hyperlink" Target="https://doi.org/10.1073/pnas.2604887123" TargetMode="External"/><Relationship Id="rId1187" Type="http://schemas.openxmlformats.org/officeDocument/2006/relationships/hyperlink" Target="https://www.pnas.org/doi/abs/10.1073/pnas.2605961123?mi=eymic2&amp;af=R&amp;access=on&amp;content=articlesChapters&amp;publication=pnas&amp;sortBy=Earliest&amp;target=default" TargetMode="External"/><Relationship Id="rId1188" Type="http://schemas.openxmlformats.org/officeDocument/2006/relationships/hyperlink" Target="https://doi.org/10.1073/pnas.2605961123" TargetMode="External"/><Relationship Id="rId1189" Type="http://schemas.openxmlformats.org/officeDocument/2006/relationships/hyperlink" Target="https://www.pnas.org/doi/abs/10.1073/pnas.2527410123?mi=eymic2&amp;af=R&amp;access=on&amp;content=articlesChapters&amp;publication=pnas&amp;sortBy=Earliest&amp;target=default" TargetMode="External"/><Relationship Id="rId1190" Type="http://schemas.openxmlformats.org/officeDocument/2006/relationships/hyperlink" Target="https://doi.org/10.1073/pnas.2527410123" TargetMode="External"/><Relationship Id="rId1191" Type="http://schemas.openxmlformats.org/officeDocument/2006/relationships/hyperlink" Target="https://www.pnas.org/doi/abs/10.1073/pnas.2525051123?mi=eymic2&amp;af=R&amp;access=on&amp;content=articlesChapters&amp;publication=pnas&amp;sortBy=Earliest&amp;target=default" TargetMode="External"/><Relationship Id="rId1192" Type="http://schemas.openxmlformats.org/officeDocument/2006/relationships/hyperlink" Target="https://doi.org/10.1073/pnas.2525051123" TargetMode="External"/><Relationship Id="rId1193" Type="http://schemas.openxmlformats.org/officeDocument/2006/relationships/hyperlink" Target="https://www.pnas.org/doi/abs/10.1073/pnas.2514719123?mi=eymic2&amp;af=R&amp;access=on&amp;content=articlesChapters&amp;publication=pnas&amp;sortBy=Earliest&amp;target=default" TargetMode="External"/><Relationship Id="rId1194" Type="http://schemas.openxmlformats.org/officeDocument/2006/relationships/hyperlink" Target="https://doi.org/10.1073/pnas.2514719123" TargetMode="External"/><Relationship Id="rId1195" Type="http://schemas.openxmlformats.org/officeDocument/2006/relationships/hyperlink" Target="https://www.science.org/doi/abs/10.1126/science.adu7686?af=R" TargetMode="External"/><Relationship Id="rId1196" Type="http://schemas.openxmlformats.org/officeDocument/2006/relationships/hyperlink" Target="https://doi.org/10.1126/science.adu7686" TargetMode="External"/><Relationship Id="rId1197" Type="http://schemas.openxmlformats.org/officeDocument/2006/relationships/hyperlink" Target="http://dx.doi.org/10.1021/jacs.5c19298" TargetMode="External"/><Relationship Id="rId1198" Type="http://schemas.openxmlformats.org/officeDocument/2006/relationships/hyperlink" Target="https://doi.org/10.1021/jacs.5c19298" TargetMode="External"/><Relationship Id="rId1199" Type="http://schemas.openxmlformats.org/officeDocument/2006/relationships/hyperlink" Target="http://dx.doi.org/10.1021/jacs.5c23116" TargetMode="External"/><Relationship Id="rId1200" Type="http://schemas.openxmlformats.org/officeDocument/2006/relationships/hyperlink" Target="https://doi.org/10.1021/jacs.5c23116" TargetMode="External"/><Relationship Id="rId1201" Type="http://schemas.openxmlformats.org/officeDocument/2006/relationships/hyperlink" Target="http://dx.doi.org/10.1021/jacs.5c20003" TargetMode="External"/><Relationship Id="rId1202" Type="http://schemas.openxmlformats.org/officeDocument/2006/relationships/hyperlink" Target="https://doi.org/10.1021/jacs.5c20003" TargetMode="External"/><Relationship Id="rId1203" Type="http://schemas.openxmlformats.org/officeDocument/2006/relationships/hyperlink" Target="http://dx.doi.org/10.1021/acsenergylett.5c04238" TargetMode="External"/><Relationship Id="rId1204" Type="http://schemas.openxmlformats.org/officeDocument/2006/relationships/hyperlink" Target="https://doi.org/10.1021/acsenergylett.5c04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