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Tech Tracking Digest</w:t>
      </w:r>
    </w:p>
    <w:p>
      <w:pPr>
        <w:spacing w:after="280"/>
        <w:jc w:val="center"/>
      </w:pPr>
      <w:r>
        <w:rPr>
          <w:i/>
        </w:rPr>
        <w:t>2026-05-01</w:t>
      </w:r>
    </w:p>
    <w:p>
      <w:pPr>
        <w:spacing w:before="160" w:after="120"/>
      </w:pPr>
      <w:r>
        <w:rPr>
          <w:b/>
          <w:sz w:val="28"/>
        </w:rPr>
        <w:t>【光伏】</w:t>
      </w:r>
    </w:p>
    <w:p>
      <w:pPr>
        <w:spacing w:before="160" w:after="40" w:line="240" w:lineRule="auto"/>
      </w:pPr>
      <w:r>
        <w:rPr>
          <w:b/>
        </w:rPr>
        <w:t xml:space="preserve">[1] </w:t>
      </w:r>
      <w:hyperlink r:id="rId9">
        <w:r>
          <w:rPr>
            <w:color w:val="1155CC"/>
            <w:u w:val="single"/>
          </w:rPr>
          <w:t>基于多维相似性博弈融合和ISCSO-XGBoost的可解释光伏功率预测方法</w:t>
        </w:r>
      </w:hyperlink>
    </w:p>
    <w:p>
      <w:pPr>
        <w:spacing w:before="0" w:after="80"/>
      </w:pPr>
      <w:r>
        <w:rPr>
          <w:i/>
          <w:sz w:val="20"/>
        </w:rPr>
        <w:t>EN: An explainable photovoltaic power forecasting method for output based on multi-dimensional similarity game fusion and ISCSO- XGBoost</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0">
        <w:r>
          <w:rPr>
            <w:color w:val="1155CC"/>
            <w:u w:val="single"/>
          </w:rPr>
          <w:t>具有抑制非辐射损失和种子辅助结晶的扭曲纳米带状电子受体用于高效有机太阳能电池</w:t>
        </w:r>
      </w:hyperlink>
    </w:p>
    <w:p>
      <w:pPr>
        <w:spacing w:before="0" w:after="80"/>
      </w:pPr>
      <w:r>
        <w:rPr>
          <w:i/>
          <w:sz w:val="20"/>
        </w:rPr>
        <w:t>EN: Twisted Nanoribbon‐Like Electron Acceptor With Suppressed Non‐Radiative Loss and Seed‐Assisted Crystallization for High‐Efficiency Organic Solar Cells</w:t>
      </w:r>
    </w:p>
    <w:p>
      <w:pPr>
        <w:spacing w:before="0" w:after="120"/>
      </w:pPr>
      <w:r>
        <w:rPr>
          <w:b/>
        </w:rPr>
        <w:t xml:space="preserve">Source: </w:t>
      </w:r>
      <w:r>
        <w:t>Wiley: Angewandte Chemie International Edition: Table of Contents</w:t>
      </w:r>
      <w:r>
        <w:t xml:space="preserve">    </w:t>
      </w:r>
      <w:r>
        <w:rPr>
          <w:b/>
        </w:rPr>
        <w:t xml:space="preserve">Pub date: </w:t>
      </w:r>
      <w:r>
        <w:t>2026-04-25 11:21:24+00:00</w:t>
      </w:r>
      <w:r>
        <w:t xml:space="preserve">    </w:t>
      </w:r>
      <w:r>
        <w:rPr>
          <w:b/>
        </w:rPr>
        <w:t xml:space="preserve">DOI: </w:t>
      </w:r>
      <w:hyperlink r:id="rId11">
        <w:r>
          <w:rPr>
            <w:color w:val="1155CC"/>
            <w:u w:val="single"/>
          </w:rPr>
          <w:t>10.1002/anie.9572636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虽然大π共轭纳米带具有高度可调的电子特性，但其在高性能有机光伏（OPVs）中的潜力仍未被充分利用。在此，我们报告了一种π扩展的纳米带状电子受体，PD IY，其分子长度为4.85 nm（11个融合环），并具有延伸至900 nm的近红外吸收。PD IY设计有一个与双rylene单元融合的苝二酰亚胺核心，并以Y型受体基团封端。刚性共轭框架有效抑制构象/振动弛豫，减弱电子-声子耦合，并产生本质上低的非辐射电压损失（ΔVnr）为0.146 eV，这是迄今为止报道的最低值之一，从而实现更高的开路电压。尽管其尺寸较大，PD IY的扭曲几何形状导致独特的“低结晶度，强聚集”行为。这使得PD IY可以作为一种有效的形态导向添加剂，其作用方式与异质成核一致，诱导在体异质结混合物中形成坚固的大直径纤维网络。因此，PD IY的整合在所有光伏参数上实现了同时增强，将功率转换效率（PCEs）从19.62%提升至20.57%。这项工作确立了扭曲的纳米带状受体作为下一代OSCs中激发态动力学和活性层形态双重调控的多功能分子平台。</w:t>
      </w:r>
    </w:p>
    <w:p>
      <w:pPr>
        <w:spacing w:before="0" w:after="200" w:lineRule="auto" w:line="276"/>
      </w:pPr>
      <w:r>
        <w:rPr>
          <w:b/>
        </w:rPr>
        <w:t xml:space="preserve">Abstract (EN): </w:t>
      </w:r>
      <w:r>
        <w:t>While large π‐conjugated nanoribbons possess highly tunable electronic properties, their potential in high‐performance organic photovoltaics (OPVs) remains largely untapped. Herein, we report a π‐extended nanoribbon‐like electron acceptor, PDIY, featuring a molecular length of 4.85 nm (11 fused rings) and near‐infrared absorption extending to 900 nm. PDIY is engineered with a perylene diimide core fused to dual rylene units and end‐capped with Y‐type acceptor moieties. The rigid conjugated framework effectively suppresses conformational/vibronic relaxation, weakens electron‐phonon coupling, and yields an intrinsically low non‐radiative voltage loss (Δ</w:t>
      </w:r>
      <w:r>
        <w:t xml:space="preserve"> </w:t>
      </w:r>
      <w:r>
        <w:t>V</w:t>
      </w:r>
      <w:r>
        <w:t xml:space="preserve"> </w:t>
      </w:r>
      <w:r>
        <w:t>nr</w:t>
      </w:r>
      <w:r>
        <w:t xml:space="preserve"> </w:t>
      </w:r>
      <w:r>
        <w:t>) of 0.146 eV, among the lowest values reported to date, thereby enabling higher open‐circuit voltage. Despite its large size, the twisted geometry of PDIY leads to a unique “low crystallinity, strong aggregation” behavior. This allows PDIY to serve as a potent morphology‐directing additive that acts in a manner consistent with heterogeneous nucleation, inducing the formation of robust, large‐diameter fibrillar networks within bulk‐heterojunction blends. Consequently, the integration of PDIY yields a simultaneous enhancement across all photovoltaic parameters, boosting power conversion efficiencies (PCEs) from 19.62% to 20.57%. This work establishes twisted nanoribbon‐like acceptor as a versatile molecular platform for the dual regulation of excited‐state dynamics and active‐layer morphology in next‐generation OSCs.</w:t>
      </w:r>
    </w:p>
    <w:p>
      <w:pPr>
        <w:spacing w:before="120" w:after="120"/>
      </w:pPr>
      <w:r>
        <w:rPr>
          <w:sz w:val="18"/>
        </w:rPr>
        <w:t>——————————————————————————————————————————————————————————————————————</w:t>
      </w:r>
    </w:p>
    <w:p>
      <w:pPr>
        <w:spacing w:before="160" w:after="40" w:line="240" w:lineRule="auto"/>
      </w:pPr>
      <w:r>
        <w:rPr>
          <w:b/>
        </w:rPr>
        <w:t xml:space="preserve">[3] </w:t>
      </w:r>
      <w:hyperlink r:id="rId12">
        <w:r>
          <w:rPr>
            <w:color w:val="1155CC"/>
            <w:u w:val="single"/>
          </w:rPr>
          <w:t>并网太阳能电站的多功能低电压穿越控制策略：综合评述</w:t>
        </w:r>
      </w:hyperlink>
    </w:p>
    <w:p>
      <w:pPr>
        <w:spacing w:before="0" w:after="80"/>
      </w:pPr>
      <w:r>
        <w:rPr>
          <w:i/>
          <w:sz w:val="20"/>
        </w:rPr>
        <w:t>EN: Multi-functional low voltage ride-through control strategies for grid-interfaced solar power plants: A comprehensive review</w:t>
      </w:r>
    </w:p>
    <w:p>
      <w:pPr>
        <w:spacing w:before="0" w:after="120"/>
      </w:pPr>
      <w:r>
        <w:rPr>
          <w:b/>
        </w:rPr>
        <w:t xml:space="preserve">Source: </w:t>
      </w:r>
      <w:r>
        <w:t>ScienceDirect Publication: Applied Energy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3">
        <w:r>
          <w:rPr>
            <w:color w:val="1155CC"/>
            <w:u w:val="single"/>
          </w:rPr>
          <w:t>化学硬度工程同步钙钛矿串联中的结晶</w:t>
        </w:r>
      </w:hyperlink>
    </w:p>
    <w:p>
      <w:pPr>
        <w:spacing w:before="0" w:after="80"/>
      </w:pPr>
      <w:r>
        <w:rPr>
          <w:i/>
          <w:sz w:val="20"/>
        </w:rPr>
        <w:t>EN: Chemical hardness engineering synchronizes crystallization in perovskite tandems</w:t>
      </w:r>
    </w:p>
    <w:p>
      <w:pPr>
        <w:spacing w:before="0" w:after="120"/>
      </w:pPr>
      <w:r>
        <w:rPr>
          <w:b/>
        </w:rPr>
        <w:t xml:space="preserve">Source: </w:t>
      </w:r>
      <w:r>
        <w:t>Nature Nanotechnology</w:t>
      </w:r>
      <w:r>
        <w:t xml:space="preserve">    </w:t>
      </w:r>
      <w:r>
        <w:rPr>
          <w:b/>
        </w:rPr>
        <w:t xml:space="preserve">Pub date: </w:t>
      </w:r>
      <w:r>
        <w:t>2026-04-27 00:00:00+00:00</w:t>
      </w:r>
      <w:r>
        <w:t xml:space="preserve">    </w:t>
      </w:r>
      <w:r>
        <w:rPr>
          <w:b/>
        </w:rPr>
        <w:t xml:space="preserve">DOI: </w:t>
      </w:r>
      <w:hyperlink r:id="rId14">
        <w:r>
          <w:rPr>
            <w:color w:val="1155CC"/>
            <w:u w:val="single"/>
          </w:rPr>
          <w:t>10.1038/s41565-026-02165-6</w:t>
        </w:r>
      </w:hyperlink>
    </w:p>
    <w:p>
      <w:pPr>
        <w:spacing w:before="0" w:after="120"/>
      </w:pPr>
      <w:r>
        <w:rPr>
          <w:b/>
        </w:rPr>
        <w:t xml:space="preserve">Notes: </w:t>
      </w:r>
      <w:r>
        <w:t>abstract_source=nature_html</w:t>
      </w:r>
    </w:p>
    <w:p>
      <w:pPr>
        <w:spacing w:before="0" w:after="80" w:lineRule="auto" w:line="276"/>
      </w:pPr>
      <w:r>
        <w:rPr>
          <w:b/>
        </w:rPr>
        <w:t xml:space="preserve">摘要（ZH）: </w:t>
      </w:r>
      <w:r>
        <w:t>全钙钛矿叠层太阳能电池受到多组分钙钛矿中不同步结晶的限制，这会产生垂直成分梯度、结构不均匀性和过度的非辐射复合。这些效应源于混合卤化物和Pb2+/Sn2+阳离子之间不匹配的配位和结晶动力学。在此，我们建立了一种可推广的添加剂设计策略，以硬–软酸–碱原理为指导，同步宽带隙和窄带隙钙钛矿的成核和晶体生长。边界碱二氟（草酸）硼酸盐和硬碱四氟硼酸盐分别选择性地配位宽带隙和窄带隙钙钛矿前体，平衡PbI2/PbBr2和PbI2/SnI2的结晶动力学，生成垂直均匀的钙钛矿薄膜，减少缺陷密度并抑制离子迁移。原位光学和结构表征显示均匀成核和直接晶体生长，无中间卤化物再分布。单片两端串联电池实现了30.3%的效率（认证，30.3%），开路电压（2.16 V）和填充因子（85.2%）得到改善，在最大功率点跟踪1,000小时后保持92%的效率。柔性串联电池达到28.2%的效率（认证，28.0%）。这些结果确立了化学硬度匹配作为控制不同钙钛矿系统结晶的普遍原则。</w:t>
      </w:r>
    </w:p>
    <w:p>
      <w:pPr>
        <w:spacing w:before="0" w:after="200" w:lineRule="auto" w:line="276"/>
      </w:pPr>
      <w:r>
        <w:rPr>
          <w:b/>
        </w:rPr>
        <w:t xml:space="preserve">Abstract (EN): </w:t>
      </w:r>
      <w:r>
        <w:t>All-perovskite tandem solar cells are constrained by asynchronous crystallization in multicomponent perovskites, which produces vertical compositional gradients, structural inhomogeneity and excessive non-radiative recombination. These effects arise from mismatched coordination and crystallization kinetics among mixed halides and Pb2+/Sn2+ cations. Here we establish a generalizable additive design strategy guided by hard–soft acid–base principles to synchronize nucleation and crystal growth in both wide- and narrow-bandgap perovskites. Borderline-base difluoro(oxalato)borate and hard-base tetrafluoroborate selectively coordinate wide- and narrow-bandgap perovskite precursors, respectively, balancing the crystallization kinetics of PbI2/PbBr2 and PbI2/SnI2 and producing vertically uniform perovskite films with reduced defect densities and suppressed ion migration. In situ optical and structural characterization reveals homogeneous nucleation and direct crystal growth without intermediate halide redistribution. Monolithic two-terminal tandems achieve an efficiency of 30.3% (certified, 30.3%) with improved open-circuit voltage (2.16 V) and fill factor (85.2%), retaining 92% efficiency after 1,000 h of maximum power point tracking. Flexible tandems reach an efficiency of 28.2% (certified, 28.0%). These results establish chemical hardness matching as a universal principle for controlling crystallization in different perovskite systems.</w:t>
      </w:r>
    </w:p>
    <w:p>
      <w:pPr>
        <w:spacing w:before="120" w:after="120"/>
      </w:pPr>
      <w:r>
        <w:rPr>
          <w:sz w:val="18"/>
        </w:rPr>
        <w:t>——————————————————————————————————————————————————————————————————————</w:t>
      </w:r>
    </w:p>
    <w:p>
      <w:pPr>
        <w:spacing w:before="160" w:after="40" w:line="240" w:lineRule="auto"/>
      </w:pPr>
      <w:r>
        <w:rPr>
          <w:b/>
        </w:rPr>
        <w:t xml:space="preserve">[5] </w:t>
      </w:r>
      <w:hyperlink r:id="rId15">
        <w:r>
          <w:rPr>
            <w:color w:val="1155CC"/>
            <w:u w:val="single"/>
          </w:rPr>
          <w:t>非碘化物阴离子工程的 1D 钙钛矿增强界面晶格以提高钙钛矿太阳能电池和模块的效率和稳定性</w:t>
        </w:r>
      </w:hyperlink>
    </w:p>
    <w:p>
      <w:pPr>
        <w:spacing w:before="0" w:after="80"/>
      </w:pPr>
      <w:r>
        <w:rPr>
          <w:i/>
          <w:sz w:val="20"/>
        </w:rPr>
        <w:t>EN: Non-iodide anion-engineered 1D perovskite strengthens interface lattice for efficient and stable perovskite solar cells and modules</w:t>
      </w:r>
    </w:p>
    <w:p>
      <w:pPr>
        <w:spacing w:before="0" w:after="120"/>
      </w:pPr>
      <w:r>
        <w:rPr>
          <w:b/>
        </w:rPr>
        <w:t xml:space="preserve">Source: </w:t>
      </w:r>
      <w:r>
        <w:t>Joule</w:t>
      </w:r>
      <w:r>
        <w:t xml:space="preserve">    </w:t>
      </w:r>
      <w:r>
        <w:rPr>
          <w:b/>
        </w:rPr>
        <w:t xml:space="preserve">Pub date: </w:t>
      </w:r>
      <w:r>
        <w:t>2026-04-27 00:00:00+00:00</w:t>
      </w:r>
      <w:r>
        <w:t xml:space="preserve">    </w:t>
      </w:r>
      <w:r>
        <w:rPr>
          <w:b/>
        </w:rPr>
        <w:t xml:space="preserve">DOI: </w:t>
      </w:r>
      <w:hyperlink r:id="rId16">
        <w:r>
          <w:rPr>
            <w:color w:val="1155CC"/>
            <w:u w:val="single"/>
          </w:rPr>
          <w:t>10.1016/j.joule.2026.102432</w:t>
        </w:r>
      </w:hyperlink>
    </w:p>
    <w:p>
      <w:pPr>
        <w:spacing w:before="0" w:after="120"/>
      </w:pPr>
      <w:r>
        <w:rPr>
          <w:b/>
        </w:rPr>
        <w:t xml:space="preserve">Notes: </w:t>
      </w:r>
      <w:r>
        <w:t>abstract_source=rss_cell</w:t>
      </w:r>
    </w:p>
    <w:p>
      <w:pPr>
        <w:spacing w:before="0" w:after="80" w:lineRule="auto" w:line="276"/>
      </w:pPr>
      <w:r>
        <w:rPr>
          <w:b/>
        </w:rPr>
        <w:t xml:space="preserve">摘要（ZH）: </w:t>
      </w:r>
      <w:r>
        <w:t>通过四丁基铵 (TBA⁺) 阳离子和拟卤素阴离子之间的独特协同作用，构建了一个稳健的一维 (1D) 钙钛矿界面层，形成了一个稳定的界面，具有增强的钙钛矿晶格和抑制的缺陷。经过处理的器件在85°C（ISOS-D-2）下800小时后保持了&gt;90%的初始效率，并在光照下（ISOS-L-2）实现了T90 &gt; 2,000小时。此外，小面积器件的冠军效率达到26.47%（认证为26.18%），模块的冠军效率达到24.29%（认证为23.73%）。</w:t>
      </w:r>
    </w:p>
    <w:p>
      <w:pPr>
        <w:spacing w:before="0" w:after="200" w:lineRule="auto" w:line="276"/>
      </w:pPr>
      <w:r>
        <w:rPr>
          <w:b/>
        </w:rPr>
        <w:t xml:space="preserve">Abstract (EN): </w:t>
      </w:r>
      <w:r>
        <w:t>Through the unique synergy between tetrabutylammonium (TBA⁺) cations and pseudo-halogen anions, a robust one-dimensional (1D) perovskite interface layer was constructed, resulting in a stable interface featuring strengthened perovskite lattice and suppressed defects. The treated devices retained &gt;90% of their initial efficiency after 800 h at 85°C (ISOS-D-2) and achieved a T90 &gt; 2,000 h under illumination (ISOS-L-2). Additionally, the champion efficiencies of 26.47% (certified as 26.18%) for the small-area device and 24.29% (certified as 23.73%) for the module were achieved.</w:t>
      </w:r>
    </w:p>
    <w:p>
      <w:pPr>
        <w:spacing w:before="120" w:after="120"/>
      </w:pPr>
      <w:r>
        <w:rPr>
          <w:sz w:val="18"/>
        </w:rPr>
        <w:t>——————————————————————————————————————————————————————————————————————</w:t>
      </w:r>
    </w:p>
    <w:p>
      <w:pPr>
        <w:spacing w:before="160" w:after="40" w:line="240" w:lineRule="auto"/>
      </w:pPr>
      <w:r>
        <w:rPr>
          <w:b/>
        </w:rPr>
        <w:t xml:space="preserve">[6] </w:t>
      </w:r>
      <w:hyperlink r:id="rId17">
        <w:r>
          <w:rPr>
            <w:color w:val="1155CC"/>
            <w:u w:val="single"/>
          </w:rPr>
          <w:t>补贴撤回如何重塑光伏部署：中国的空间异质性和因果证据</w:t>
        </w:r>
      </w:hyperlink>
    </w:p>
    <w:p>
      <w:pPr>
        <w:spacing w:before="0" w:after="80"/>
      </w:pPr>
      <w:r>
        <w:rPr>
          <w:i/>
          <w:sz w:val="20"/>
        </w:rPr>
        <w:t>EN: How subsidy withdrawal reshapes photovoltaic deployment: Spatial heterogeneity and causal evidence from China</w:t>
      </w:r>
    </w:p>
    <w:p>
      <w:pPr>
        <w:spacing w:before="0" w:after="120"/>
      </w:pPr>
      <w:r>
        <w:rPr>
          <w:b/>
        </w:rPr>
        <w:t xml:space="preserve">Source: </w:t>
      </w:r>
      <w:r>
        <w:t>ScienceDirect Publication: Applied Energy</w:t>
      </w:r>
      <w:r>
        <w:t xml:space="preserve">    </w:t>
      </w:r>
      <w:r>
        <w:rPr>
          <w:b/>
        </w:rPr>
        <w:t xml:space="preserve">Pub date: </w:t>
      </w:r>
      <w:r>
        <w:t>2026-04-27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8">
        <w:r>
          <w:rPr>
            <w:color w:val="1155CC"/>
            <w:u w:val="single"/>
          </w:rPr>
          <w:t>在钙钛矿太阳能电池中通过氟乙酸盐介导的双界面离子稳定化</w:t>
        </w:r>
      </w:hyperlink>
    </w:p>
    <w:p>
      <w:pPr>
        <w:spacing w:before="0" w:after="80"/>
      </w:pPr>
      <w:r>
        <w:rPr>
          <w:i/>
          <w:sz w:val="20"/>
        </w:rPr>
        <w:t>EN: Fluoroacetate‐Mediated Dual‐Interface Ionic Stabilization in Perovskite Solar Cells</w:t>
      </w:r>
    </w:p>
    <w:p>
      <w:pPr>
        <w:spacing w:before="0" w:after="120"/>
      </w:pPr>
      <w:r>
        <w:rPr>
          <w:b/>
        </w:rPr>
        <w:t xml:space="preserve">Source: </w:t>
      </w:r>
      <w:r>
        <w:t>Wiley: Advanced Materials: Table of Contents</w:t>
      </w:r>
      <w:r>
        <w:t xml:space="preserve">    </w:t>
      </w:r>
      <w:r>
        <w:rPr>
          <w:b/>
        </w:rPr>
        <w:t xml:space="preserve">Pub date: </w:t>
      </w:r>
      <w:r>
        <w:t>2026-04-27 07:14:54+00:00</w:t>
      </w:r>
      <w:r>
        <w:t xml:space="preserve">    </w:t>
      </w:r>
      <w:r>
        <w:rPr>
          <w:b/>
        </w:rPr>
        <w:t xml:space="preserve">DOI: </w:t>
      </w:r>
      <w:hyperlink r:id="rId19">
        <w:r>
          <w:rPr>
            <w:color w:val="1155CC"/>
            <w:u w:val="single"/>
          </w:rPr>
          <w:t>10.1002/adma.73221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结晶动力学和离子动力学共同决定钙钛矿太阳能电池（PSCs）的效率和稳定性。在此，我们报告了一种氟乙酸盐介导的分子策略，该策略调节钙钛矿的结晶和离子迁移。三氟乙酸乙铵（EATFA）与铅和甲脒离子配位，加速了真空淬火过程中的成核并调节晶粒生长。在退火过程中，EATFA定位于顶部和底部界面，双面富集钝化深能级陷阱，增强电荷提取，并抑制光诱导的卤化物积累。深能级瞬态光谱（DLTS）和瞬态离子漂移（TID）揭示EATFA防止碘离子在传统薄膜中观察到的间隙介导迁移路径的温度诱导转变（活化能从0.47降至0.15 eV）。应用于1.66 eV宽带隙PSCs，这对于硅/钙钛矿串联电池至关重要，但易受离子迁移降解影响，该策略在热、紫外线和连续应力下提高了功率转换效率（PCE）和操作稳定性，在1平方厘米刀涂设备中实现了22.06%的PCE，并在2000小时的最大功率点跟踪后保持95%的初始效率，在65°C下1000小时后保持91%。在1.55 eV钙钛矿中的类似改进证实了该方法的带隙无关性，为高效耐用的PSCs提供了统一的途径。</w:t>
      </w:r>
    </w:p>
    <w:p>
      <w:pPr>
        <w:spacing w:before="0" w:after="200" w:lineRule="auto" w:line="276"/>
      </w:pPr>
      <w:r>
        <w:rPr>
          <w:b/>
        </w:rPr>
        <w:t xml:space="preserve">Abstract (EN): </w:t>
      </w:r>
      <w:r>
        <w:t>Crystallization kinetics and ionic dynamics jointly govern the efficiency and stability of perovskite solar cells (PSCs). Here, we report a fluoroacetate‐mediated molecular strategy that regulates perovskite crystallization and ionic migration. Ethylammonium trifluoroacetate (EATFA) coordinates with lead and formamidinium ions, accelerating nucleation and moderating grain growth during the vacuum quenching process. Upon annealing, EATFA localizes at both top and bottom interfaces, where dual‐sided enrichment passivates deep‐level traps, enhances charge extraction, and suppresses light‐induced halide accumulation. Deep‐level transient spectroscopy (DLTS) and transient ion drift (TID) reveal that EATFA prevents the temperature‐induced transition of iodide ions into an interstitial‐mediated migration pathway observed in conventional films (activation energy decreased from 0.47 to 0.15 eV). Applied to 1.66‐eV wide‐bandgap PSCs, critical for silicon/perovskite tandems yet prone to ion‐migration degradation, this strategy enhances both power‐conversion efficiency (PCE) and operational stability under thermal, ultraviolet, and continuous stress, achieving 22.06% PCE in 1‐square‐centimeter blade‐coated devices and retaining 95% of initial efficiency after 2000 h of maximum‐power point tracking and 91% after 1000 h at 65°C. Similar improvements in 1.55‐eV perovskites confirm the bandgap‐independent nature of this approach, providing a unified route toward efficient and durable PSCs.</w:t>
      </w:r>
    </w:p>
    <w:p>
      <w:pPr>
        <w:spacing w:before="120" w:after="120"/>
      </w:pPr>
      <w:r>
        <w:rPr>
          <w:sz w:val="18"/>
        </w:rPr>
        <w:t>——————————————————————————————————————————————————————————————————————</w:t>
      </w:r>
    </w:p>
    <w:p>
      <w:pPr>
        <w:spacing w:before="160" w:after="40" w:line="240" w:lineRule="auto"/>
      </w:pPr>
      <w:r>
        <w:rPr>
          <w:b/>
        </w:rPr>
        <w:t xml:space="preserve">[8] </w:t>
      </w:r>
      <w:hyperlink r:id="rId20">
        <w:r>
          <w:rPr>
            <w:color w:val="1155CC"/>
            <w:u w:val="single"/>
          </w:rPr>
          <w:t>用于钙钛矿结晶的原位光致发光：连接机制洞察与器件工程控制（Adv. Mater. 24/2026）</w:t>
        </w:r>
      </w:hyperlink>
    </w:p>
    <w:p>
      <w:pPr>
        <w:spacing w:before="0" w:after="80"/>
      </w:pPr>
      <w:r>
        <w:rPr>
          <w:i/>
          <w:sz w:val="20"/>
        </w:rPr>
        <w:t>EN: In‐Situ Photoluminescence for Perovskite Crystallization: Bridging Mechanistic Insights and Device Engineering Control (Adv. Mater. 24/2026)</w:t>
      </w:r>
    </w:p>
    <w:p>
      <w:pPr>
        <w:spacing w:before="0" w:after="120"/>
      </w:pPr>
      <w:r>
        <w:rPr>
          <w:b/>
        </w:rPr>
        <w:t xml:space="preserve">Source: </w:t>
      </w:r>
      <w:r>
        <w:t>Wiley: Advanced Materials: Table of Contents</w:t>
      </w:r>
      <w:r>
        <w:t xml:space="preserve">    </w:t>
      </w:r>
      <w:r>
        <w:rPr>
          <w:b/>
        </w:rPr>
        <w:t xml:space="preserve">Pub date: </w:t>
      </w:r>
      <w:r>
        <w:t>2026-04-27 11:41:43+00:00</w:t>
      </w:r>
      <w:r>
        <w:t xml:space="preserve">    </w:t>
      </w:r>
      <w:r>
        <w:rPr>
          <w:b/>
        </w:rPr>
        <w:t xml:space="preserve">DOI: </w:t>
      </w:r>
      <w:hyperlink r:id="rId21">
        <w:r>
          <w:rPr>
            <w:color w:val="1155CC"/>
            <w:u w:val="single"/>
          </w:rPr>
          <w:t>10.1002/adma.73134</w:t>
        </w:r>
      </w:hyperlink>
    </w:p>
    <w:p>
      <w:pPr>
        <w:spacing w:before="0" w:after="120"/>
      </w:pPr>
      <w:r>
        <w:rPr>
          <w:b/>
        </w:rPr>
        <w:t xml:space="preserve">Notes: </w:t>
      </w:r>
      <w:r>
        <w:t>abstract_source=openalex</w:t>
      </w:r>
    </w:p>
    <w:p>
      <w:pPr>
        <w:spacing w:before="0" w:after="80" w:lineRule="auto" w:line="276"/>
      </w:pPr>
      <w:r>
        <w:rPr>
          <w:b/>
        </w:rPr>
        <w:t xml:space="preserve">摘要（ZH）: </w:t>
      </w:r>
      <w:r>
        <w:t>原位光致发光用于钙钛矿结晶 在他们的综述（DOI: 10.1002/adma.202518643）中，Yuanhang Cheng及其同事强调了原位光致发光（PL）作为一种强大、非侵入性的探针，用于实时监测钙钛矿的成核、结晶、相演变和缺陷形成。通过将光谱动态与加工条件、添加剂和界面工程相关联，原位PL提供了机理洞察和薄膜形成的控制，加速了可扩展的高性能钙钛矿光伏制造。</w:t>
      </w:r>
    </w:p>
    <w:p>
      <w:pPr>
        <w:spacing w:before="0" w:after="200" w:lineRule="auto" w:line="276"/>
      </w:pPr>
      <w:r>
        <w:rPr>
          <w:b/>
        </w:rPr>
        <w:t xml:space="preserve">Abstract (EN): </w:t>
      </w:r>
      <w:r>
        <w:t>In-Situ Photoluminescence for Perovskite Crystallization In their Review (DOI: 10.1002/adma.202518643), Yuanhang Cheng and co-workers highlight in-situ photoluminescence (PL) as a powerful, non-invasive probe for real-time monitoring of perovskite nucleation, crystallization, phase evolution, and defect formation. By correlating spectral dynamics with processing conditions, additives and interface engineering, in-situ PL enables mechanistic insight and control of film formation, accelerating scalable, high-performance perovskite photovoltaic manufacturing.</w:t>
      </w:r>
    </w:p>
    <w:p>
      <w:pPr>
        <w:spacing w:before="120" w:after="120"/>
      </w:pPr>
      <w:r>
        <w:rPr>
          <w:sz w:val="18"/>
        </w:rPr>
        <w:t>——————————————————————————————————————————————————————————————————————</w:t>
      </w:r>
    </w:p>
    <w:p>
      <w:pPr>
        <w:spacing w:before="160" w:after="40" w:line="240" w:lineRule="auto"/>
      </w:pPr>
      <w:r>
        <w:rPr>
          <w:b/>
        </w:rPr>
        <w:t xml:space="preserve">[9] </w:t>
      </w:r>
      <w:hyperlink r:id="rId22">
        <w:r>
          <w:rPr>
            <w:color w:val="1155CC"/>
            <w:u w:val="single"/>
          </w:rPr>
          <w:t>[ASAP] 揭示混合阳离子卤化铅钙钛矿中A位异质性引起的相行为</w:t>
        </w:r>
      </w:hyperlink>
    </w:p>
    <w:p>
      <w:pPr>
        <w:spacing w:before="0" w:after="80"/>
      </w:pPr>
      <w:r>
        <w:rPr>
          <w:i/>
          <w:sz w:val="20"/>
        </w:rPr>
        <w:t>EN: [ASAP] Unraveling A-Site Heterogeneity-Induced Phase Behavior in Mixed-Cation Lead Halide Perovskites</w:t>
      </w:r>
    </w:p>
    <w:p>
      <w:pPr>
        <w:spacing w:before="0" w:after="120"/>
      </w:pPr>
      <w:r>
        <w:rPr>
          <w:b/>
        </w:rPr>
        <w:t xml:space="preserve">Source: </w:t>
      </w:r>
      <w:r>
        <w:t>ACS Energy Letters: Latest Articles (ACS Publications)</w:t>
      </w:r>
      <w:r>
        <w:t xml:space="preserve">    </w:t>
      </w:r>
      <w:r>
        <w:rPr>
          <w:b/>
        </w:rPr>
        <w:t xml:space="preserve">Pub date: </w:t>
      </w:r>
      <w:r>
        <w:t>2026-04-27 16:26:57+00:00</w:t>
      </w:r>
      <w:r>
        <w:t xml:space="preserve">    </w:t>
      </w:r>
      <w:r>
        <w:rPr>
          <w:b/>
        </w:rPr>
        <w:t xml:space="preserve">DOI: </w:t>
      </w:r>
      <w:hyperlink r:id="rId23">
        <w:r>
          <w:rPr>
            <w:color w:val="1155CC"/>
            <w:u w:val="single"/>
          </w:rPr>
          <w:t>10.1021/acsenergylett.6c00888</w:t>
        </w:r>
      </w:hyperlink>
    </w:p>
    <w:p>
      <w:pPr>
        <w:spacing w:before="0" w:after="120"/>
      </w:pPr>
      <w:r>
        <w:rPr>
          <w:b/>
        </w:rPr>
        <w:t xml:space="preserve">Notes: </w:t>
      </w:r>
      <w:r>
        <w:t>abstract_source=openalex</w:t>
      </w:r>
    </w:p>
    <w:p>
      <w:pPr>
        <w:spacing w:before="0" w:after="80" w:lineRule="auto" w:line="276"/>
      </w:pPr>
      <w:r>
        <w:rPr>
          <w:b/>
        </w:rPr>
        <w:t xml:space="preserve">摘要（ZH）: </w:t>
      </w:r>
      <w:r>
        <w:t>调整 A 位组成提高了混合阳离子钙钛矿（如 Cs1–xFAxPbI3）的稳定性，使其适用于下一代光伏。然而，它们固有的阳离子相分离倾向导致的结构异质性仍然是限制性能的关键瓶颈。在这项工作中，我们采用基于机器学习势（MLP）的分子动力学模拟研究由不同 A 位阳离子配置引起的结构异质性，并跟踪 Cs1–xFAxPbI3 的结构演变。通过与电子显微镜测量验证，我们引入了一种新的结构描述符，异质性系数，通过量化由 A 位连接性引起的空间阳离子分布来捕捉中程结构不均匀性。该描述符不仅准确预测了有机阳离子旋转和八面体畸变这两个决定 Cs0.5FA0.5PbI3 电子特性的关键因素，还定量捕捉了 A 位相分离的程度，并识别出由 A 位阳离子迁移驱动的分离引起的电荷局部化是光伏性能退化的关键因素。</w:t>
      </w:r>
    </w:p>
    <w:p>
      <w:pPr>
        <w:spacing w:before="0" w:after="200" w:lineRule="auto" w:line="276"/>
      </w:pPr>
      <w:r>
        <w:rPr>
          <w:b/>
        </w:rPr>
        <w:t xml:space="preserve">Abstract (EN): </w:t>
      </w:r>
      <w:r>
        <w:t>Tailoring the A-site composition enhances the stability of mixed-cation perovskites such as Cs1–xFAxPbI3, positioning them for next-generation photovoltaics. However, their intrinsic tendency toward cation phase segregation induces structural heterogeneity that remains a critical bottleneck limiting performance. In this work, we employ machine learning potential (MLP)-based molecular dynamics simulations to investigate the structural heterogeneity induced by different A-site cation configurations and track the structural evolution of Cs1–xFAxPbI3. By validating against electron microscopy measurements, we introduce a new structural descriptor, heterogeneity coefficient, which captures medium-range structural inhomogeneity by quantifying spatial cation distribution arising from A-site connectivity. This descriptor not only accurately predicts both the organic cation rotation and octahedral distortion, two key factors governing the electronic properties of Cs0.5FA0.5PbI3, but also quantitatively captures the degree of A-site phase segregation and identifies charge localization arising from segregation driven by A-site cation migration as a key contributor to photovoltaic performance degradation.</w:t>
      </w:r>
    </w:p>
    <w:p>
      <w:pPr>
        <w:spacing w:before="120" w:after="120"/>
      </w:pPr>
      <w:r>
        <w:rPr>
          <w:sz w:val="18"/>
        </w:rPr>
        <w:t>——————————————————————————————————————————————————————————————————————</w:t>
      </w:r>
    </w:p>
    <w:p>
      <w:pPr>
        <w:spacing w:before="160" w:after="40" w:line="240" w:lineRule="auto"/>
      </w:pPr>
      <w:r>
        <w:rPr>
          <w:b/>
        </w:rPr>
        <w:t xml:space="preserve">[10] </w:t>
      </w:r>
      <w:hyperlink r:id="rId24">
        <w:r>
          <w:rPr>
            <w:color w:val="1155CC"/>
            <w:u w:val="single"/>
          </w:rPr>
          <w:t>中国农村太阳能转型中的制度逻辑及其对弱势群体能源正义的影响</w:t>
        </w:r>
      </w:hyperlink>
    </w:p>
    <w:p>
      <w:pPr>
        <w:spacing w:before="0" w:after="80"/>
      </w:pPr>
      <w:r>
        <w:rPr>
          <w:i/>
          <w:sz w:val="20"/>
        </w:rPr>
        <w:t>EN: Institutional logics in China's rural solar transition and their impacts on energy justice for vulnerable communities</w:t>
      </w:r>
    </w:p>
    <w:p>
      <w:pPr>
        <w:spacing w:before="0" w:after="120"/>
      </w:pPr>
      <w:r>
        <w:rPr>
          <w:b/>
        </w:rPr>
        <w:t xml:space="preserve">Source: </w:t>
      </w:r>
      <w:r>
        <w:t>ScienceDirect Publication: Energy Policy</w:t>
      </w:r>
      <w:r>
        <w:t xml:space="preserve">    </w:t>
      </w:r>
      <w:r>
        <w:rPr>
          <w:b/>
        </w:rPr>
        <w:t xml:space="preserve">Pub date: </w:t>
      </w:r>
      <w:r>
        <w:t>2026-04-28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25">
        <w:r>
          <w:rPr>
            <w:color w:val="1155CC"/>
            <w:u w:val="single"/>
          </w:rPr>
          <w:t>具有低能量无序的窄带隙受体在有机太阳能电池中实现超过21%的效率</w:t>
        </w:r>
      </w:hyperlink>
    </w:p>
    <w:p>
      <w:pPr>
        <w:spacing w:before="0" w:after="80"/>
      </w:pPr>
      <w:r>
        <w:rPr>
          <w:i/>
          <w:sz w:val="20"/>
        </w:rPr>
        <w:t>EN: Narrow-bandgap acceptors with low energetic disorder achieve over 21% efficiency in organic solar cells</w:t>
      </w:r>
    </w:p>
    <w:p>
      <w:pPr>
        <w:spacing w:before="0" w:after="120"/>
      </w:pPr>
      <w:r>
        <w:rPr>
          <w:b/>
        </w:rPr>
        <w:t xml:space="preserve">Source: </w:t>
      </w:r>
      <w:r>
        <w:t>Nature Materials</w:t>
      </w:r>
      <w:r>
        <w:t xml:space="preserve">    </w:t>
      </w:r>
      <w:r>
        <w:rPr>
          <w:b/>
        </w:rPr>
        <w:t xml:space="preserve">Pub date: </w:t>
      </w:r>
      <w:r>
        <w:t>2026-04-28 00:00:00+00:00</w:t>
      </w:r>
      <w:r>
        <w:t xml:space="preserve">    </w:t>
      </w:r>
      <w:r>
        <w:rPr>
          <w:b/>
        </w:rPr>
        <w:t xml:space="preserve">DOI: </w:t>
      </w:r>
      <w:hyperlink r:id="rId26">
        <w:r>
          <w:rPr>
            <w:color w:val="1155CC"/>
            <w:u w:val="single"/>
          </w:rPr>
          <w:t>10.1038/s41563-026-02589-4</w:t>
        </w:r>
      </w:hyperlink>
    </w:p>
    <w:p>
      <w:pPr>
        <w:spacing w:before="0" w:after="120"/>
      </w:pPr>
      <w:r>
        <w:rPr>
          <w:b/>
        </w:rPr>
        <w:t xml:space="preserve">Notes: </w:t>
      </w:r>
      <w:r>
        <w:t>abstract_source=nature_html</w:t>
      </w:r>
    </w:p>
    <w:p>
      <w:pPr>
        <w:spacing w:before="0" w:after="80" w:lineRule="auto" w:line="276"/>
      </w:pPr>
      <w:r>
        <w:rPr>
          <w:b/>
        </w:rPr>
        <w:t xml:space="preserve">摘要（ZH）: </w:t>
      </w:r>
      <w:r>
        <w:t>窄带隙受体是实现有机太阳能电池高短路电流密度的基础；然而，在窄带隙系统下缺乏有效的策略来减少能量损失，使得解决开路电压和短路电流密度的权衡具有挑战性。在此，合成了一种受体Qx-Se-NF，其特征为喹喔啉（Qx）中心基团、萘基末端基团（NF）和硒（Se）取代的中心核，达到1.31 eV的窄带隙。理论计算表明，Qx-Se-NF表现出低能量无序，有利于减少能量损失。此外，其强聚集特性倾向于在三元系统中形成独特的垂直分离合金结构，有利于在不牺牲开路电压的情况下增加短路电流密度。结果，三元系统实现了21.01%的认证功率转换效率，能量损失仅为0.486 eV，为窄带隙受体及其三元系统的设计提供了深刻的见解。</w:t>
      </w:r>
    </w:p>
    <w:p>
      <w:pPr>
        <w:spacing w:before="0" w:after="200" w:lineRule="auto" w:line="276"/>
      </w:pPr>
      <w:r>
        <w:rPr>
          <w:b/>
        </w:rPr>
        <w:t xml:space="preserve">Abstract (EN): </w:t>
      </w:r>
      <w:r>
        <w:t>Narrow-bandgap acceptors are the basis for achieving high short-circuit current density in organic solar cells; however, the lack of effective strategies to reduce energy loss under narrow-bandgap systems makes it challenging to solve the trade-off of open-circuit voltage and short-circuit current density. Here an acceptor Qx-Se-NF, featuring quinoxaline (Qx) central moiety, naphthyl-based terminal group (NF), and selenium (Se)-substituted central core, is synthesized, reaching a narrow bandgap of 1.31 eV. Theoretical calculations show that Qx-Se-NF exhibits low energetic disorder, which is beneficial for reducing energy loss. Furthermore, its strong aggregation properties tend to form a unique vertically segregated alloy structure in ternary systems, which is beneficial for increasing the short-circuit current density without sacrificing the open-circuit voltage. As a result, the ternary system achieved a certified power conversion efficiency of 21.01% with a low energy loss of 0.486 eV, providing a deep insight into the design of narrow-bandgap acceptors and their ternary systems.</w:t>
      </w:r>
    </w:p>
    <w:p>
      <w:pPr>
        <w:spacing w:before="120" w:after="120"/>
      </w:pPr>
      <w:r>
        <w:rPr>
          <w:sz w:val="18"/>
        </w:rPr>
        <w:t>——————————————————————————————————————————————————————————————————————</w:t>
      </w:r>
    </w:p>
    <w:p>
      <w:pPr>
        <w:spacing w:before="160" w:after="40" w:line="240" w:lineRule="auto"/>
      </w:pPr>
      <w:r>
        <w:rPr>
          <w:b/>
        </w:rPr>
        <w:t xml:space="preserve">[12] </w:t>
      </w:r>
      <w:hyperlink r:id="rId27">
        <w:r>
          <w:rPr>
            <w:color w:val="1155CC"/>
            <w:u w:val="single"/>
          </w:rPr>
          <w:t>[ASAP] 将宽谱半导体与氢化酶结合用于纤维素的半人工太阳能重整</w:t>
        </w:r>
      </w:hyperlink>
    </w:p>
    <w:p>
      <w:pPr>
        <w:spacing w:before="0" w:after="80"/>
      </w:pPr>
      <w:r>
        <w:rPr>
          <w:i/>
          <w:sz w:val="20"/>
        </w:rPr>
        <w:t>EN: [ASAP] Interfacing Broad-Spectrum Semiconductors with Hydrogenases for Semi-Artificial Solar Reforming of Cellulose</w:t>
      </w:r>
    </w:p>
    <w:p>
      <w:pPr>
        <w:spacing w:before="0" w:after="120"/>
      </w:pPr>
      <w:r>
        <w:rPr>
          <w:b/>
        </w:rPr>
        <w:t xml:space="preserve">Source: </w:t>
      </w:r>
      <w:r>
        <w:t>Journal of the American Chemical Society: Latest Articles (ACS Publications)</w:t>
      </w:r>
      <w:r>
        <w:t xml:space="preserve">    </w:t>
      </w:r>
      <w:r>
        <w:rPr>
          <w:b/>
        </w:rPr>
        <w:t xml:space="preserve">Pub date: </w:t>
      </w:r>
      <w:r>
        <w:t>2026-04-28 16:32:56+00:00</w:t>
      </w:r>
      <w:r>
        <w:t xml:space="preserve">    </w:t>
      </w:r>
      <w:r>
        <w:rPr>
          <w:b/>
        </w:rPr>
        <w:t xml:space="preserve">DOI: </w:t>
      </w:r>
      <w:hyperlink r:id="rId28">
        <w:r>
          <w:rPr>
            <w:color w:val="1155CC"/>
            <w:u w:val="single"/>
          </w:rPr>
          <w:t>10.1021/jacs.6c03439</w:t>
        </w:r>
      </w:hyperlink>
    </w:p>
    <w:p>
      <w:pPr>
        <w:spacing w:before="0" w:after="120"/>
      </w:pPr>
      <w:r>
        <w:rPr>
          <w:b/>
        </w:rPr>
        <w:t xml:space="preserve">Notes: </w:t>
      </w:r>
      <w:r>
        <w:t>abstract_source=pubmed</w:t>
      </w:r>
    </w:p>
    <w:p>
      <w:pPr>
        <w:spacing w:before="0" w:after="80" w:lineRule="auto" w:line="276"/>
      </w:pPr>
      <w:r>
        <w:rPr>
          <w:b/>
        </w:rPr>
        <w:t xml:space="preserve">摘要（ZH）: </w:t>
      </w:r>
      <w:r>
        <w:t>半人工光合作用为太阳能化学提供了一条有前途的途径，但大多数生物混合系统依赖于紫外或蓝光激发，受限于低效的界面电荷转移，或依赖于牺牲试剂。在此，我们报告了一种合理设计的混合系统，该系统将宽光谱半导体BaTaO2N（高达∼680 nm）与碳氮化物（CNx）和来自Clostridium pasteurianum的[FeFe]-氢化酶（H2ase）集成，用于太阳能驱动的生物质重整。在这种结构中，BaTaO2N作为一种稳健的宽光谱光吸收体，补充了CNx的窄紫外-蓝光波长吸收，CNx既作为光活性成分又作为界面导体，将光生电子输送到[FeFe]-H2ase进行H2演化。BaTaO2N|CNx|[FeFe]-H2ase混合物的光学优势显著提高了催化效率，在模拟AM 1.5G辐照下25°C下实现了413 ± 21 μmol g-1的H2产量和20,653的纤维素重整周转数。该工作通过结合宽带光收集、有效电荷转移和可持续生物质增值，确立了一种先进的半人工光重整设计策略。</w:t>
      </w:r>
    </w:p>
    <w:p>
      <w:pPr>
        <w:spacing w:before="0" w:after="200" w:lineRule="auto" w:line="276"/>
      </w:pPr>
      <w:r>
        <w:rPr>
          <w:b/>
        </w:rPr>
        <w:t xml:space="preserve">Abstract (EN): </w:t>
      </w:r>
      <w:r>
        <w:t>Semiartificial photosynthesis offers a promising route for solar chemistry, but most biohybrid systems rely on UV or blue-light excitation, are limited by inefficient interfacial charge transfer, or rely on sacrificial reagents. Here, we report a rationally designed hybrid system that integrates the broad-spectrum semiconductor BaTaO2N (up to ∼680 nm) with carbon nitride (CNx) and the [FeFe]-hydrogenase (H2ase) from Clostridium pasteurianum for solar-driven biomass reforming. In this architecture, BaTaO2N serves as a robust broad-spectrum light absorber to complement the narrow UV-blue wavelength absorption of CNx, which functions as both a photoactive component and an interfacial conduit to shuttle photogenerated electrons to [FeFe]-H2ase for H2 evolution. The optical advantage of the BaTaO2N|CNx|[FeFe]-H2ase hybrid enables markedly enhanced catalytic efficiency, achieving a H2 yield of 413 ± 21 μmol g-1 and a turnover number of 20,653 for cellulose reforming under simulated AM 1.5G irradiation at 25 °C. This work establishes an advanced design strategy for semiartificial photoreforming by combining broadband light harvesting, efficient charge transfer, and sustainable biomass valorization.</w:t>
      </w:r>
    </w:p>
    <w:p>
      <w:pPr>
        <w:spacing w:before="120" w:after="120"/>
      </w:pPr>
      <w:r>
        <w:rPr>
          <w:sz w:val="18"/>
        </w:rPr>
        <w:t>——————————————————————————————————————————————————————————————————————</w:t>
      </w:r>
    </w:p>
    <w:p>
      <w:pPr>
        <w:spacing w:before="160" w:after="40" w:line="240" w:lineRule="auto"/>
      </w:pPr>
      <w:r>
        <w:rPr>
          <w:b/>
        </w:rPr>
        <w:t xml:space="preserve">[13] </w:t>
      </w:r>
      <w:hyperlink r:id="rId29">
        <w:r>
          <w:rPr>
            <w:color w:val="1155CC"/>
            <w:u w:val="single"/>
          </w:rPr>
          <w:t>正交二元阳离子排列均匀化界面配位和电子景观以实现高性能钙钛矿太阳能电池</w:t>
        </w:r>
      </w:hyperlink>
    </w:p>
    <w:p>
      <w:pPr>
        <w:spacing w:before="0" w:after="80"/>
      </w:pPr>
      <w:r>
        <w:rPr>
          <w:i/>
          <w:sz w:val="20"/>
        </w:rPr>
        <w:t>EN: Orthogonal Binary Cations Arrangement Homogenizing Interfacial Coordination and Electronic Landscapes for High Performance Perovskite Solar Cells</w:t>
      </w:r>
    </w:p>
    <w:p>
      <w:pPr>
        <w:spacing w:before="0" w:after="120"/>
      </w:pPr>
      <w:r>
        <w:rPr>
          <w:b/>
        </w:rPr>
        <w:t xml:space="preserve">Source: </w:t>
      </w:r>
      <w:r>
        <w:t>RSC - Energy Environ. Sci. latest articles</w:t>
      </w:r>
      <w:r>
        <w:t xml:space="preserve">    </w:t>
      </w:r>
      <w:r>
        <w:rPr>
          <w:b/>
        </w:rPr>
        <w:t xml:space="preserve">Pub date: </w:t>
      </w:r>
      <w:r>
        <w:t>2026-04-28 23:00:00+00:00</w:t>
      </w:r>
    </w:p>
    <w:p>
      <w:pPr>
        <w:spacing w:before="0" w:after="120"/>
      </w:pPr>
      <w:r>
        <w:rPr>
          <w:b/>
        </w:rPr>
        <w:t xml:space="preserve">Notes: </w:t>
      </w:r>
      <w:r>
        <w:t>abstract_source=rsc_html</w:t>
      </w:r>
    </w:p>
    <w:p>
      <w:pPr>
        <w:spacing w:before="0" w:after="80" w:lineRule="auto" w:line="276"/>
      </w:pPr>
      <w:r>
        <w:rPr>
          <w:b/>
        </w:rPr>
        <w:t xml:space="preserve">摘要（ZH）: </w:t>
      </w:r>
      <w:r>
        <w:t>异质表面缺陷和不均匀的界面电子景观构成了钙钛矿太阳能电池效率和稳定性的关键障碍。在此，我们引入了一种正交二元阳离子（OrthBC）钝化策略，在钙钛矿表面形成平行和垂直的分子取向。理论和实验分析证实，这种配置同时增强了铵-卤素氢键（2.55 Å，143.5°）和Pb2+与苯基单元之间的阳离子-π相互作用（4.27 Å）。OrthBC方法增强了晶格一致性和光电均匀性，同时创造了均匀的电子景观和强大的内建电场，共同将界面能量损失降至最低。因此，冠军器件实现了26.50%的功率转换效率，并表现出优异的操作稳定性，在ISOS-D-2和ISOS-L-2I老化协议下保持其初始性能的90%以上超过1000小时。OrthBC方法的多功能性和稳健性进一步通过其在1.00 cm2器件上扩展到24.91%效率以及其广泛适用性实现24.07%效率的1.68 eV宽带隙钙钛矿得到强调。</w:t>
      </w:r>
    </w:p>
    <w:p>
      <w:pPr>
        <w:spacing w:before="0" w:after="200" w:lineRule="auto" w:line="276"/>
      </w:pPr>
      <w:r>
        <w:rPr>
          <w:b/>
        </w:rPr>
        <w:t xml:space="preserve">Abstract (EN): </w:t>
      </w:r>
      <w:r>
        <w:t>Heterogeneous surface defects and non-uniform interfacial electronic landscapes constitute critical barriers to the efficiency and stability of perovskite solar cells. Here, we introduce an orthogonal binary cation (OrthBC) passivation strategy that forms parallel and perpendicular molecular orientations on the perovskite surface. Theoretical and experimental analyses confirm that this configuration simultaneously reinforces both ammonium-halide hydrogen bonding (2.55 Å, 143.5°) and cation–π interactions between Pb2+ and the phenyl unit (4.27 Å). The OrthBC approach enhances lattice coherence and optoelectronic uniformity while creating a homogeneous electronic landscape and a robust built-in electric field, which collectively minimize interfacial energy loss. Consequently, the champion device achieves a power conversion efficiency of 26.50% and demonstrates excellent operational stability, maintaining over 90% of its initial performance for more than 1000 hours under ISOS-D-2 and ISOS-L-2I aging protocols. The versatility and robustness of the OrthBC approach are further underscored by its scalability to 24.91% efficiency on a 1.00 cm2 device and its broad applicability, achieving 24.07% efficiency for a 1.68 eV wide-bandgap perovskite.</w:t>
      </w:r>
    </w:p>
    <w:p>
      <w:pPr>
        <w:spacing w:before="120" w:after="120"/>
      </w:pPr>
      <w:r>
        <w:rPr>
          <w:sz w:val="18"/>
        </w:rPr>
        <w:t>——————————————————————————————————————————————————————————————————————</w:t>
      </w:r>
    </w:p>
    <w:p>
      <w:pPr>
        <w:spacing w:before="160" w:after="40" w:line="240" w:lineRule="auto"/>
      </w:pPr>
      <w:r>
        <w:rPr>
          <w:b/>
        </w:rPr>
        <w:t xml:space="preserve">[14] </w:t>
      </w:r>
      <w:hyperlink r:id="rId30">
        <w:r>
          <w:rPr>
            <w:color w:val="1155CC"/>
            <w:u w:val="single"/>
          </w:rPr>
          <w:t>更正：通往户外稳定性的漫长道路：控制钙钛矿材料用于太阳能电池的现实挑战</w:t>
        </w:r>
      </w:hyperlink>
    </w:p>
    <w:p>
      <w:pPr>
        <w:spacing w:before="0" w:after="80"/>
      </w:pPr>
      <w:r>
        <w:rPr>
          <w:i/>
          <w:sz w:val="20"/>
        </w:rPr>
        <w:t>EN: Correction: The long road to outdoor stability: real-world challenges for controlling perovskite materials for solar cells</w:t>
      </w:r>
    </w:p>
    <w:p>
      <w:pPr>
        <w:spacing w:before="0" w:after="120"/>
      </w:pPr>
      <w:r>
        <w:rPr>
          <w:b/>
        </w:rPr>
        <w:t xml:space="preserve">Source: </w:t>
      </w:r>
      <w:r>
        <w:t>RSC - Chem. Soc. Rev. latest articles</w:t>
      </w:r>
      <w:r>
        <w:t xml:space="preserve">    </w:t>
      </w:r>
      <w:r>
        <w:rPr>
          <w:b/>
        </w:rPr>
        <w:t xml:space="preserve">Pub date: </w:t>
      </w:r>
      <w:r>
        <w:t>2026-04-28 23:00:00+00:00</w:t>
      </w:r>
    </w:p>
    <w:p>
      <w:pPr>
        <w:spacing w:before="0" w:after="120"/>
      </w:pPr>
      <w:r>
        <w:rPr>
          <w:b/>
        </w:rPr>
        <w:t xml:space="preserve">Notes: </w:t>
      </w:r>
      <w:r>
        <w:t>abstract_source=rsc_html</w:t>
      </w:r>
    </w:p>
    <w:p>
      <w:pPr>
        <w:spacing w:before="0" w:after="80" w:lineRule="auto" w:line="276"/>
      </w:pPr>
      <w:r>
        <w:rPr>
          <w:b/>
        </w:rPr>
        <w:t xml:space="preserve">摘要（ZH）: </w:t>
      </w:r>
      <w:r>
        <w:t>对Juan José Patiño López等人撰写的《通往户外稳定性的漫长道路：控制钙钛矿材料用于太阳能电池的现实挑战》的更正，Chem. Soc. Rev., 2026, 55, 4648–4706, https://doi.org/10.1039/d5cs01085c。</w:t>
      </w:r>
    </w:p>
    <w:p>
      <w:pPr>
        <w:spacing w:before="0" w:after="200" w:lineRule="auto" w:line="276"/>
      </w:pPr>
      <w:r>
        <w:rPr>
          <w:b/>
        </w:rPr>
        <w:t xml:space="preserve">Abstract (EN): </w:t>
      </w:r>
      <w:r>
        <w:t>Correction for ‘The long road to outdoor stability: real-world challenges for controlling perovskite materials for solar cells’ by Juan José Patiño López et al., Chem. Soc. Rev., 2026, 55, 4648–4706, https://doi.org/10.1039/d5cs01085c.</w:t>
      </w:r>
    </w:p>
    <w:p>
      <w:pPr>
        <w:spacing w:before="120" w:after="120"/>
      </w:pPr>
      <w:r>
        <w:rPr>
          <w:sz w:val="18"/>
        </w:rPr>
        <w:t>——————————————————————————————————————————————————————————————————————</w:t>
      </w:r>
    </w:p>
    <w:p>
      <w:pPr>
        <w:spacing w:before="160" w:after="40" w:line="240" w:lineRule="auto"/>
      </w:pPr>
      <w:r>
        <w:rPr>
          <w:b/>
        </w:rPr>
        <w:t xml:space="preserve">[15] </w:t>
      </w:r>
      <w:hyperlink r:id="rId31">
        <w:r>
          <w:rPr>
            <w:color w:val="1155CC"/>
            <w:u w:val="single"/>
          </w:rPr>
          <w:t>有机光伏中的自旋三重态激子的回收</w:t>
        </w:r>
      </w:hyperlink>
    </w:p>
    <w:p>
      <w:pPr>
        <w:spacing w:before="0" w:after="80"/>
      </w:pPr>
      <w:r>
        <w:rPr>
          <w:i/>
          <w:sz w:val="20"/>
        </w:rPr>
        <w:t>EN: Recycling of spin-triplet excitons in organic photovoltaics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32">
        <w:r>
          <w:rPr>
            <w:color w:val="1155CC"/>
            <w:u w:val="single"/>
          </w:rPr>
          <w:t>10.1038/s41586-026-10419-5</w:t>
        </w:r>
      </w:hyperlink>
    </w:p>
    <w:p>
      <w:pPr>
        <w:spacing w:before="0" w:after="120"/>
      </w:pPr>
      <w:r>
        <w:rPr>
          <w:b/>
        </w:rPr>
        <w:t xml:space="preserve">Notes: </w:t>
      </w:r>
      <w:r>
        <w:t>abstract_source=nature_html</w:t>
      </w:r>
    </w:p>
    <w:p>
      <w:pPr>
        <w:spacing w:before="0" w:after="80" w:lineRule="auto" w:line="276"/>
      </w:pPr>
      <w:r>
        <w:rPr>
          <w:b/>
        </w:rPr>
        <w:t xml:space="preserve">摘要（ZH）: </w:t>
      </w:r>
      <w:r>
        <w:t>在有机光伏（OPVs）中，非结合复合会形成低能量自旋三重态激子（T1），已知会导致不可逆的非辐射弛豫1,2,3,4,5。我们在此实验性地展示了一种包含非富勒烯受体的OPV系统，该系统具有缩小的单重态-三重态间隙，T1激子可以通过界面电荷转移态重新解离形成自由载流子。我们通过识别在OPV混合物中受体的三重态敏化后自由载流子数量的增加来证实这一点，并展示了这种机制如何改变T1和自由载流子群体的演变。我们揭示了分子中轨道的分布和聚集体中激子的离域化如何影响凝聚相中受体的单重态-三重态能量学，使得T1与自旋三重态电荷转移态之间的交通可控。通过将这种受体作为三元组分引入其他宿主OPV系统，我们设法恢复了三重态介导的损失，并通过最大化可提取光载流子的数量来提高OPV效率。这项研究加深了我们对OPV基础的理解，并展示了如何通过将低能量T1激子恢复为可用于发电或发光的电荷而不是热量来开发未来的有机光电子学。</w:t>
      </w:r>
    </w:p>
    <w:p>
      <w:pPr>
        <w:spacing w:before="0" w:after="200" w:lineRule="auto" w:line="276"/>
      </w:pPr>
      <w:r>
        <w:rPr>
          <w:b/>
        </w:rPr>
        <w:t xml:space="preserve">Abstract (EN): </w:t>
      </w:r>
      <w:r>
        <w:t>Non-geminate recombination in organic photovoltaics (OPVs) forms low-energy spin-triplet excitons (T1) that are known to result in irreversible, non-radiative relaxations1,2,3,4,5. Here we experimentally show in an OPV system incorporating a non-fullerene acceptor with a narrowed singlet–triplet gap that T1 excitons can be redissociated through the interfacial charge-transfer state to form free carriers. We corroborate this by identifying the increased population of free carriers following triplet sensitization of the acceptor in an OPV blend, and illustrate the way in which this mechanism alters the evolution of T1 and free carrier populations. We reveal how the distribution of orbitals in the molecule and exciton delocalization in aggregates affect the singlet–triplet energetics of the acceptor in the condensed phase, rendering the traffic between T1 and the spin-triplet charge-transfer state controllable. By introducing this acceptor as a ternary component into other host OPV systems, we manage to recover the triplet-mediated losses and improve OPV efficiencies by maximizing the number of extractable photocarriers. This study deepens our understanding of the fundamentals of OPVs, and shows how to develop future organic optoelectronics by demonstratating the recovery of low-energy T1 excitons into usable charges for electricity or light generation instead of heat.</w:t>
      </w:r>
    </w:p>
    <w:p>
      <w:pPr>
        <w:spacing w:before="120" w:after="120"/>
      </w:pPr>
      <w:r>
        <w:rPr>
          <w:sz w:val="18"/>
        </w:rPr>
        <w:t>——————————————————————————————————————————————————————————————————————</w:t>
      </w:r>
    </w:p>
    <w:p>
      <w:pPr>
        <w:spacing w:before="160" w:after="40" w:line="240" w:lineRule="auto"/>
      </w:pPr>
      <w:r>
        <w:rPr>
          <w:b/>
        </w:rPr>
        <w:t xml:space="preserve">[16] </w:t>
      </w:r>
      <w:hyperlink r:id="rId33">
        <w:r>
          <w:rPr>
            <w:color w:val="1155CC"/>
            <w:u w:val="single"/>
          </w:rPr>
          <w:t>醇加合物介导的前驱体稳定策略用于高效稳定钙钛矿太阳能模块中的共形SnO2层</w:t>
        </w:r>
      </w:hyperlink>
    </w:p>
    <w:p>
      <w:pPr>
        <w:spacing w:before="0" w:after="80"/>
      </w:pPr>
      <w:r>
        <w:rPr>
          <w:i/>
          <w:sz w:val="20"/>
        </w:rPr>
        <w:t>EN: Alcohol‐Adduct Mediated Precursor Stabilization Strategies for Conformal SnO2 Layers in Highly Efficient and Stable Perovskite Solar Modules</w:t>
      </w:r>
    </w:p>
    <w:p>
      <w:pPr>
        <w:spacing w:before="0" w:after="120"/>
      </w:pPr>
      <w:r>
        <w:rPr>
          <w:b/>
        </w:rPr>
        <w:t xml:space="preserve">Source: </w:t>
      </w:r>
      <w:r>
        <w:t>Wiley: Advanced Energy Materials: Table of Contents</w:t>
      </w:r>
      <w:r>
        <w:t xml:space="preserve">    </w:t>
      </w:r>
      <w:r>
        <w:rPr>
          <w:b/>
        </w:rPr>
        <w:t xml:space="preserve">Pub date: </w:t>
      </w:r>
      <w:r>
        <w:t>2026-04-29 06:23:09+00:00</w:t>
      </w:r>
      <w:r>
        <w:t xml:space="preserve">    </w:t>
      </w:r>
      <w:r>
        <w:rPr>
          <w:b/>
        </w:rPr>
        <w:t xml:space="preserve">DOI: </w:t>
      </w:r>
      <w:hyperlink r:id="rId34">
        <w:r>
          <w:rPr>
            <w:color w:val="1155CC"/>
            <w:u w:val="single"/>
          </w:rPr>
          <w:t>10.1002/aenm.202506764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35">
        <w:r>
          <w:rPr>
            <w:color w:val="1155CC"/>
            <w:u w:val="single"/>
          </w:rPr>
          <w:t>柠檬酸抑制的相分离辅助原位生长三元阳离子钙钛矿单晶薄膜以实现高效太阳能电池</w:t>
        </w:r>
      </w:hyperlink>
    </w:p>
    <w:p>
      <w:pPr>
        <w:spacing w:before="0" w:after="80"/>
      </w:pPr>
      <w:r>
        <w:rPr>
          <w:i/>
          <w:sz w:val="20"/>
        </w:rPr>
        <w:t>EN: Citric Acid‐Inhibited Phase Separation Assists In Situ Growth of Ternary Cationic Perovskite Single Crystal Thin Films Toward Efficient Solar Cells</w:t>
      </w:r>
    </w:p>
    <w:p>
      <w:pPr>
        <w:spacing w:before="0" w:after="120"/>
      </w:pPr>
      <w:r>
        <w:rPr>
          <w:b/>
        </w:rPr>
        <w:t xml:space="preserve">Source: </w:t>
      </w:r>
      <w:r>
        <w:t>Wiley: Advanced Energy Materials: Table of Contents</w:t>
      </w:r>
      <w:r>
        <w:t xml:space="preserve">    </w:t>
      </w:r>
      <w:r>
        <w:rPr>
          <w:b/>
        </w:rPr>
        <w:t xml:space="preserve">Pub date: </w:t>
      </w:r>
      <w:r>
        <w:t>2026-04-29 06:27:52+00:00</w:t>
      </w:r>
      <w:r>
        <w:t xml:space="preserve">    </w:t>
      </w:r>
      <w:r>
        <w:rPr>
          <w:b/>
        </w:rPr>
        <w:t xml:space="preserve">DOI: </w:t>
      </w:r>
      <w:hyperlink r:id="rId36">
        <w:r>
          <w:rPr>
            <w:color w:val="1155CC"/>
            <w:u w:val="single"/>
          </w:rPr>
          <w:t>10.1002/aenm.70939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37">
        <w:r>
          <w:rPr>
            <w:color w:val="1155CC"/>
            <w:u w:val="single"/>
          </w:rPr>
          <w:t>双功能分子工程利用协同效应增强倒置钙钛矿太阳能电池中的空穴传输</w:t>
        </w:r>
      </w:hyperlink>
    </w:p>
    <w:p>
      <w:pPr>
        <w:spacing w:before="0" w:after="80"/>
      </w:pPr>
      <w:r>
        <w:rPr>
          <w:i/>
          <w:sz w:val="20"/>
        </w:rPr>
        <w:t>EN: Dual Functional Molecular Engineering Utilizes Synergistic Effects to Enhance Hole Transport in Inverted Perovskite Solar Cells</w:t>
      </w:r>
    </w:p>
    <w:p>
      <w:pPr>
        <w:spacing w:before="0" w:after="120"/>
      </w:pPr>
      <w:r>
        <w:rPr>
          <w:b/>
        </w:rPr>
        <w:t xml:space="preserve">Source: </w:t>
      </w:r>
      <w:r>
        <w:t>Wiley: Advanced Energy Materials: Table of Contents</w:t>
      </w:r>
      <w:r>
        <w:t xml:space="preserve">    </w:t>
      </w:r>
      <w:r>
        <w:rPr>
          <w:b/>
        </w:rPr>
        <w:t xml:space="preserve">Pub date: </w:t>
      </w:r>
      <w:r>
        <w:t>2026-04-29 06:44:11+00:00</w:t>
      </w:r>
      <w:r>
        <w:t xml:space="preserve">    </w:t>
      </w:r>
      <w:r>
        <w:rPr>
          <w:b/>
        </w:rPr>
        <w:t xml:space="preserve">DOI: </w:t>
      </w:r>
      <w:hyperlink r:id="rId38">
        <w:r>
          <w:rPr>
            <w:color w:val="1155CC"/>
            <w:u w:val="single"/>
          </w:rPr>
          <w:t>10.1002/aenm.71005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39">
        <w:r>
          <w:rPr>
            <w:color w:val="1155CC"/>
            <w:u w:val="single"/>
          </w:rPr>
          <w:t>甲基铵自由窄带隙钙钛矿的结晶调控用于热稳定全钙钛矿串联太阳能模块</w:t>
        </w:r>
      </w:hyperlink>
    </w:p>
    <w:p>
      <w:pPr>
        <w:spacing w:before="0" w:after="80"/>
      </w:pPr>
      <w:r>
        <w:rPr>
          <w:i/>
          <w:sz w:val="20"/>
        </w:rPr>
        <w:t>EN: Crystallization modulation of methylammonium-free narrow-bandgap perovskite for thermal-stable all-perovskite tandem solar modules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40">
        <w:r>
          <w:rPr>
            <w:color w:val="1155CC"/>
            <w:u w:val="single"/>
          </w:rPr>
          <w:t>10.1126/sciadv.adz9089</w:t>
        </w:r>
      </w:hyperlink>
    </w:p>
    <w:p>
      <w:pPr>
        <w:spacing w:before="0" w:after="120"/>
      </w:pPr>
      <w:r>
        <w:rPr>
          <w:b/>
        </w:rPr>
        <w:t xml:space="preserve">Notes: </w:t>
      </w:r>
      <w:r>
        <w:t>abstract_source=pubmed</w:t>
      </w:r>
    </w:p>
    <w:p>
      <w:pPr>
        <w:spacing w:before="0" w:after="80" w:lineRule="auto" w:line="276"/>
      </w:pPr>
      <w:r>
        <w:rPr>
          <w:b/>
        </w:rPr>
        <w:t xml:space="preserve">摘要（ZH）: </w:t>
      </w:r>
      <w:r>
        <w:t>全钙钛矿串联太阳能电池模块有望实现光电转换效率（PCE）的快速提升，但高效的铅锡（Pb-Sn）子电池通常含有热不稳定的甲胺（MA）。用铯（Cs）替代MA已被采用以提高热稳定性，但导致非均匀成核和快速结晶，降低大面积薄膜质量。在此，我们在前驱体溶液中引入p-π共轭的氨基脲盐酸盐（SHCl）作为结晶修饰剂。SH+和Cl-离子协同调节Cs组分的沉淀和钙钛矿薄膜的生长过程，实现了均匀成核和缓慢结晶生长在甲脒-铯（FACs）基Pb-Sn钙钛矿中。单结FACs Pb-Sn器件在85°C下700小时后保持了初始效率的85%。最终的全钙钛矿串联模块（20.25平方厘米）实现了24.3%的认证PCE，代表了无MA全钙钛矿串联模块中最高的认证PCE。封装的模块在ISOS标准化的湿热（200小时）和热循环（200次循环）测试下分别保持了初始效率的90%和92%。</w:t>
      </w:r>
    </w:p>
    <w:p>
      <w:pPr>
        <w:spacing w:before="0" w:after="200" w:lineRule="auto" w:line="276"/>
      </w:pPr>
      <w:r>
        <w:rPr>
          <w:b/>
        </w:rPr>
        <w:t xml:space="preserve">Abstract (EN): </w:t>
      </w:r>
      <w:r>
        <w:t>All-perovskite tandem solar modules offer the potential to achieve rapid increases in power conversion efficiency (PCE), yet efficient lead-tin (Pb-Sn) subcells often contain thermally unstable methylammonium (MA). Replacing MA with cesium (Cs) has been adopted to improve thermal stability but results in nonuniform nucleation and rapid crystallization, degrading large-area film quality. Here, we introduce p-π conjugated semicarbazide hydrochloride (SHCl) as a crystallization modifier in precursor solutions. The SH+ and Cl- ions synergistically modulate the precipitation of Cs components and the growth process of perovskite films, achieving homogeneous nucleation and retarded crystal growth in formamidinium-cesium (FACs)-based Pb-Sn perovskites. Single-junction FACs Pb-Sn devices retained 85% of the initial efficiency after 700 hours at 85°C. The resultant all-perovskite tandem modules (20.25 square centimeters) achieved the certified PCE of 24.3%, representing the highest certified PCE among MA-free all-perovskite tandem modules. Encapsulated modules maintained 90 and 92% of their initial efficiency under ISOS-standardized damp heat (200 hours) and thermal cycling (200 cycles) tests, respectively.</w:t>
      </w:r>
    </w:p>
    <w:p>
      <w:pPr>
        <w:spacing w:before="120" w:after="120"/>
      </w:pPr>
      <w:r>
        <w:rPr>
          <w:sz w:val="18"/>
        </w:rPr>
        <w:t>——————————————————————————————————————————————————————————————————————</w:t>
      </w:r>
    </w:p>
    <w:p>
      <w:pPr>
        <w:spacing w:before="160" w:after="40" w:line="240" w:lineRule="auto"/>
      </w:pPr>
      <w:r>
        <w:rPr>
          <w:b/>
        </w:rPr>
        <w:t xml:space="preserve">[20] </w:t>
      </w:r>
      <w:hyperlink r:id="rId41">
        <w:r>
          <w:rPr>
            <w:color w:val="1155CC"/>
            <w:u w:val="single"/>
          </w:rPr>
          <w:t>通过氨基硫酚的协同埋界面优化实现19.81%效率的基于碳的CsPbI3钙钛矿太阳能电池</w:t>
        </w:r>
      </w:hyperlink>
    </w:p>
    <w:p>
      <w:pPr>
        <w:spacing w:before="0" w:after="80"/>
      </w:pPr>
      <w:r>
        <w:rPr>
          <w:i/>
          <w:sz w:val="20"/>
        </w:rPr>
        <w:t>EN: Synergistic Buried Interface Optimization via Aminothiophenol for Carbon‐Based CsPbI3 Perovskite Solar Cells With 19.81% Efficiency</w:t>
      </w:r>
    </w:p>
    <w:p>
      <w:pPr>
        <w:spacing w:before="0" w:after="120"/>
      </w:pPr>
      <w:r>
        <w:rPr>
          <w:b/>
        </w:rPr>
        <w:t xml:space="preserve">Source: </w:t>
      </w:r>
      <w:r>
        <w:t>Wiley: Advanced Energy Materials: Table of Contents</w:t>
      </w:r>
      <w:r>
        <w:t xml:space="preserve">    </w:t>
      </w:r>
      <w:r>
        <w:rPr>
          <w:b/>
        </w:rPr>
        <w:t xml:space="preserve">Pub date: </w:t>
      </w:r>
      <w:r>
        <w:t>2026-04-29 08:15:11+00:00</w:t>
      </w:r>
      <w:r>
        <w:t xml:space="preserve">    </w:t>
      </w:r>
      <w:r>
        <w:rPr>
          <w:b/>
        </w:rPr>
        <w:t xml:space="preserve">DOI: </w:t>
      </w:r>
      <w:hyperlink r:id="rId42">
        <w:r>
          <w:rPr>
            <w:color w:val="1155CC"/>
            <w:u w:val="single"/>
          </w:rPr>
          <w:t>10.1002/aenm.202505717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【正极】</w:t>
      </w:r>
    </w:p>
    <w:p>
      <w:pPr>
        <w:spacing w:before="160" w:after="40" w:line="240" w:lineRule="auto"/>
      </w:pPr>
      <w:r>
        <w:rPr>
          <w:b/>
        </w:rPr>
        <w:t xml:space="preserve">[1] </w:t>
      </w:r>
      <w:hyperlink r:id="rId43">
        <w:r>
          <w:rPr>
            <w:color w:val="1155CC"/>
            <w:u w:val="single"/>
          </w:rPr>
          <w:t>NaO6八面体工程钠铁硫酸盐正极用于高倍率和可持续钠离子电池</w:t>
        </w:r>
      </w:hyperlink>
    </w:p>
    <w:p>
      <w:pPr>
        <w:spacing w:before="0" w:after="80"/>
      </w:pPr>
      <w:r>
        <w:rPr>
          <w:i/>
          <w:sz w:val="20"/>
        </w:rPr>
        <w:t>EN: NaO6 Octahedron‐Engineered Sodium Iron Sulfate Cathodes for High‐Rate and Sustainable Sodium‐Ion Batteries</w:t>
      </w:r>
    </w:p>
    <w:p>
      <w:pPr>
        <w:spacing w:before="0" w:after="120"/>
      </w:pPr>
      <w:r>
        <w:rPr>
          <w:b/>
        </w:rPr>
        <w:t xml:space="preserve">Source: </w:t>
      </w:r>
      <w:r>
        <w:t>Wiley: Angewandte Chemie International Edition: Table of Contents</w:t>
      </w:r>
      <w:r>
        <w:t xml:space="preserve">    </w:t>
      </w:r>
      <w:r>
        <w:rPr>
          <w:b/>
        </w:rPr>
        <w:t xml:space="preserve">Pub date: </w:t>
      </w:r>
      <w:r>
        <w:t>2026-04-27 03:40:56+00:00</w:t>
      </w:r>
      <w:r>
        <w:t xml:space="preserve">    </w:t>
      </w:r>
      <w:r>
        <w:rPr>
          <w:b/>
        </w:rPr>
        <w:t xml:space="preserve">DOI: </w:t>
      </w:r>
      <w:hyperlink r:id="rId44">
        <w:r>
          <w:rPr>
            <w:color w:val="1155CC"/>
            <w:u w:val="single"/>
          </w:rPr>
          <w:t>10.1002/anie.8606538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Alluaudite型硫酸盐Na2Fe2(SO4)3 (NFS)由于其低成本和高工作电压，作为钠离子电池(SIBs)的正极材料引起了相当大的兴趣。然而，它受到缓慢的Na+传输动力学和由于Fe3+迁移引起的不可逆晶格畸变的困扰。在此，NaO6单元被引入NFS中，形成一种富钠位点型钠铁硫酸盐(Na6.4[Fe5.5Na0.6](SO4)9)，其中Na+在Fe位点的替代引发了结构不稳定Fe位点的内在Na+占据，有效抑制了Fe迁移。同时，[Fe2O10]二聚体内增大的Fe–Fe间距减轻了由排斥驱动的Fe迁移，协同增强了晶格稳定性。此外，NaO6单元中增强的氧离子性延长了决定速率的Na─O键，从而增强了Na</w:t>
      </w:r>
    </w:p>
    <w:p>
      <w:pPr>
        <w:spacing w:before="0" w:after="200" w:lineRule="auto" w:line="276"/>
      </w:pPr>
      <w:r>
        <w:rPr>
          <w:b/>
        </w:rPr>
        <w:t xml:space="preserve">Abstract (EN): </w:t>
      </w:r>
      <w:r>
        <w:t>The alluaudite‐type sulfate Na</w:t>
      </w:r>
      <w:r>
        <w:rPr>
          <w:vertAlign w:val="subscript"/>
        </w:rPr>
        <w:t>2</w:t>
      </w:r>
      <w:r>
        <w:t>Fe</w:t>
      </w:r>
      <w:r>
        <w:rPr>
          <w:vertAlign w:val="subscript"/>
        </w:rPr>
        <w:t>2</w:t>
      </w:r>
      <w:r>
        <w:t>(SO</w:t>
      </w:r>
      <w:r>
        <w:rPr>
          <w:vertAlign w:val="subscript"/>
        </w:rPr>
        <w:t>4</w:t>
      </w:r>
      <w:r>
        <w:t>)</w:t>
      </w:r>
      <w:r>
        <w:rPr>
          <w:vertAlign w:val="subscript"/>
        </w:rPr>
        <w:t>3</w:t>
      </w:r>
      <w:r>
        <w:t>(NFS) has attracted considerable interest as the cathodes for sodium‐ion batteries (SIBs) due to its low cost and high operating voltage. However, it is plagued by sluggish Na</w:t>
      </w:r>
      <w:r>
        <w:t xml:space="preserve"> </w:t>
      </w:r>
      <w:r>
        <w:t>+</w:t>
      </w:r>
      <w:r>
        <w:t xml:space="preserve"> </w:t>
      </w:r>
      <w:r>
        <w:t>transport kinetics and irreversible lattice distortion arising from Fe</w:t>
      </w:r>
      <w:r>
        <w:t xml:space="preserve"> </w:t>
      </w:r>
      <w:r>
        <w:t>3+</w:t>
      </w:r>
      <w:r>
        <w:t xml:space="preserve"> </w:t>
      </w:r>
      <w:r>
        <w:t>migration. Herein, NaO</w:t>
      </w:r>
      <w:r>
        <w:rPr>
          <w:vertAlign w:val="subscript"/>
        </w:rPr>
        <w:t>6</w:t>
      </w:r>
      <w:r>
        <w:t>units have been incorporating into NFS to form a sodium‐rich site‐type sodium iron sulfate (Na</w:t>
      </w:r>
      <w:r>
        <w:t xml:space="preserve"> </w:t>
      </w:r>
      <w:r>
        <w:t>6.4</w:t>
      </w:r>
      <w:r>
        <w:t xml:space="preserve"> </w:t>
      </w:r>
      <w:r>
        <w:t>[Fe</w:t>
      </w:r>
      <w:r>
        <w:t xml:space="preserve"> </w:t>
      </w:r>
      <w:r>
        <w:t>5.5</w:t>
      </w:r>
      <w:r>
        <w:t xml:space="preserve"> </w:t>
      </w:r>
      <w:r>
        <w:t>Na</w:t>
      </w:r>
      <w:r>
        <w:t xml:space="preserve"> </w:t>
      </w:r>
      <w:r>
        <w:t>0.6</w:t>
      </w:r>
      <w:r>
        <w:t xml:space="preserve"> </w:t>
      </w:r>
      <w:r>
        <w:t>](SO</w:t>
      </w:r>
      <w:r>
        <w:rPr>
          <w:vertAlign w:val="subscript"/>
        </w:rPr>
        <w:t>4</w:t>
      </w:r>
      <w:r>
        <w:t>)</w:t>
      </w:r>
      <w:r>
        <w:rPr>
          <w:vertAlign w:val="subscript"/>
        </w:rPr>
        <w:t>9</w:t>
      </w:r>
      <w:r>
        <w:t>), in which Na</w:t>
      </w:r>
      <w:r>
        <w:t xml:space="preserve"> </w:t>
      </w:r>
      <w:r>
        <w:t>+</w:t>
      </w:r>
      <w:r>
        <w:t xml:space="preserve"> </w:t>
      </w:r>
      <w:r>
        <w:t>substitution at Fe sites induces intrinsic Na</w:t>
      </w:r>
      <w:r>
        <w:t xml:space="preserve"> </w:t>
      </w:r>
      <w:r>
        <w:t>+</w:t>
      </w:r>
      <w:r>
        <w:t xml:space="preserve"> </w:t>
      </w:r>
      <w:r>
        <w:t>occupation of structurally unstable Fe sites, effectively suppressing Fe migration. Meanwhile, the enlarged Fe–Fe spacing within [Fe</w:t>
      </w:r>
      <w:r>
        <w:rPr>
          <w:vertAlign w:val="subscript"/>
        </w:rPr>
        <w:t>2</w:t>
      </w:r>
      <w:r>
        <w:t>O</w:t>
      </w:r>
      <w:r>
        <w:rPr>
          <w:vertAlign w:val="subscript"/>
        </w:rPr>
        <w:t>10</w:t>
      </w:r>
      <w:r>
        <w:t>] dimers mitigates repulsion‐driven Fe migration, synergistically enhancing lattice stability. Furthermore, enhanced oxygen ionicity in NaO</w:t>
      </w:r>
      <w:r>
        <w:rPr>
          <w:vertAlign w:val="subscript"/>
        </w:rPr>
        <w:t>6</w:t>
      </w:r>
      <w:r>
        <w:t>units elongates the rate‐determining Na─O bond, thus enhancing the Na</w:t>
      </w:r>
      <w:r>
        <w:t xml:space="preserve"> </w:t>
      </w:r>
      <w:r>
        <w:t>+</w:t>
      </w:r>
      <w:r>
        <w:t xml:space="preserve"> </w:t>
      </w:r>
      <w:r>
        <w:t>migration kinetics. As a result, the Na</w:t>
      </w:r>
      <w:r>
        <w:t xml:space="preserve"> </w:t>
      </w:r>
      <w:r>
        <w:t>6.4</w:t>
      </w:r>
      <w:r>
        <w:t xml:space="preserve"> </w:t>
      </w:r>
      <w:r>
        <w:t>[Fe</w:t>
      </w:r>
      <w:r>
        <w:t xml:space="preserve"> </w:t>
      </w:r>
      <w:r>
        <w:t>5.5</w:t>
      </w:r>
      <w:r>
        <w:t xml:space="preserve"> </w:t>
      </w:r>
      <w:r>
        <w:t>Na</w:t>
      </w:r>
      <w:r>
        <w:t xml:space="preserve"> </w:t>
      </w:r>
      <w:r>
        <w:t>0.6</w:t>
      </w:r>
      <w:r>
        <w:t xml:space="preserve"> </w:t>
      </w:r>
      <w:r>
        <w:t>](SO</w:t>
      </w:r>
      <w:r>
        <w:rPr>
          <w:vertAlign w:val="subscript"/>
        </w:rPr>
        <w:t>4</w:t>
      </w:r>
      <w:r>
        <w:t>)</w:t>
      </w:r>
      <w:r>
        <w:rPr>
          <w:vertAlign w:val="subscript"/>
        </w:rPr>
        <w:t>9</w:t>
      </w:r>
      <w:r>
        <w:t>cathode achieves an impressive rate performance (100.2 and 75.2 mA h g</w:t>
      </w:r>
      <w:r>
        <w:t xml:space="preserve"> </w:t>
      </w:r>
      <w:r>
        <w:t>−1</w:t>
      </w:r>
      <w:r>
        <w:t xml:space="preserve"> </w:t>
      </w:r>
      <w:r>
        <w:t>at 0.1 and 20C, respectively), with 98.2% capacity retention after 2000 cycles at 20 C. Moreover, the corresponding pouch cells stably operate for 500 cycles with 80.9% capacity retention. Rather than simply increasing Na occupancy at pre‐existing Na sites, this sodium‐rich site strategy introduces new Na sites at specific lattice positions, providing a viable design paradigm for advancing low‐cost polyanionic Na‐storage materials.</w:t>
      </w:r>
    </w:p>
    <w:p>
      <w:pPr>
        <w:spacing w:before="120" w:after="120"/>
      </w:pPr>
      <w:r>
        <w:rPr>
          <w:sz w:val="18"/>
        </w:rPr>
        <w:t>——————————————————————————————————————————————————————————————————————</w:t>
      </w:r>
    </w:p>
    <w:p>
      <w:pPr>
        <w:spacing w:before="160" w:after="40" w:line="240" w:lineRule="auto"/>
      </w:pPr>
      <w:r>
        <w:rPr>
          <w:b/>
        </w:rPr>
        <w:t xml:space="preserve">[2] </w:t>
      </w:r>
      <w:hyperlink r:id="rId45">
        <w:r>
          <w:rPr>
            <w:color w:val="1155CC"/>
            <w:u w:val="single"/>
          </w:rPr>
          <w:t>羟基化两性离子实现稳定锌-碘电池的双模协同作用</w:t>
        </w:r>
      </w:hyperlink>
    </w:p>
    <w:p>
      <w:pPr>
        <w:spacing w:before="0" w:after="80"/>
      </w:pPr>
      <w:r>
        <w:rPr>
          <w:i/>
          <w:sz w:val="20"/>
        </w:rPr>
        <w:t>EN: A Hydroxylated Zwitterion Enables Dual-Modal Synergy for Stable Zinc-Iodine Batteries</w:t>
      </w:r>
    </w:p>
    <w:p>
      <w:pPr>
        <w:spacing w:before="0" w:after="120"/>
      </w:pPr>
      <w:r>
        <w:rPr>
          <w:b/>
        </w:rPr>
        <w:t xml:space="preserve">Source: </w:t>
      </w:r>
      <w:r>
        <w:t>RSC - Energy Environ. Sci. latest articles</w:t>
      </w:r>
      <w:r>
        <w:t xml:space="preserve">    </w:t>
      </w:r>
      <w:r>
        <w:rPr>
          <w:b/>
        </w:rPr>
        <w:t xml:space="preserve">Pub date: </w:t>
      </w:r>
      <w:r>
        <w:t>2026-04-27 23:00:00+00:00</w:t>
      </w:r>
    </w:p>
    <w:p>
      <w:pPr>
        <w:spacing w:before="0" w:after="120"/>
      </w:pPr>
      <w:r>
        <w:rPr>
          <w:b/>
        </w:rPr>
        <w:t xml:space="preserve">Notes: </w:t>
      </w:r>
      <w:r>
        <w:t>abstract_source=rsc_html</w:t>
      </w:r>
    </w:p>
    <w:p>
      <w:pPr>
        <w:spacing w:before="0" w:after="80" w:lineRule="auto" w:line="276"/>
      </w:pPr>
      <w:r>
        <w:rPr>
          <w:b/>
        </w:rPr>
        <w:t xml:space="preserve">摘要（ZH）: </w:t>
      </w:r>
      <w:r>
        <w:t>水系锌-碘(Zn-I2)电池面临一个普遍挑战：在阴极形成的可溶性多碘化物迁移到锌阳极，导致严重的活性材料损失和锌腐蚀。在此，我们报告了一种羟基化甜菜碱型两性离子，能够在Zn-I2电池的两个电极上实现双模式界面控制。在锌阳极，协同的磺酸盐-羟基对破坏了Zn2+水合壳，解耦Zn2+-SO42-相互作用，提高了Zn2+迁移数，并在紧密的、源自两性离子的固态电解质界面下促进优先(002)沉积。在碘阴极，铵-羟基对捕获多碘化物以抑制穿梭，同时保持电化学上有利的多碘化物浓度。由于这种自适应调节，Zn||Zn对称电池和Zn||Cu半电池在1 mA cm-2下表现出卓越的循环稳定性(&gt;8000小时)；Zn-I2全电池在20 A g-1下提供50,000次循环，每次循环的容量衰减仅为0.00012%；而软包电池(42.9 mg cm-2的I2)每次循环的容量损失仅为0.026%。这项工作建立了一种自适应界面控制的范式，调和了Zn-I2电池中不同的电极过程。</w:t>
      </w:r>
    </w:p>
    <w:p>
      <w:pPr>
        <w:spacing w:before="0" w:after="200" w:lineRule="auto" w:line="276"/>
      </w:pPr>
      <w:r>
        <w:rPr>
          <w:b/>
        </w:rPr>
        <w:t xml:space="preserve">Abstract (EN): </w:t>
      </w:r>
      <w:r>
        <w:t>Aqueous zinc-iodine(Zn-I2) batteries face a universal challenge: soluble polyiodides formed at the cathode migrate to the zinc anode, causing severe active-material loss and Zn corrosion. Here, we report a hydroxylated betaine-type zwitterion that enables dual-modal interfacial control at both electrodes in Zn-I2 batteries. At the zinc anode, the synergistic sulfonate-hydroxyl pair disrupts the Zn2+ hydration shell, decouples Zn2+-SO42- interactions, increases the Zn2+ transference number, and promotes preferential (002) deposition below a compact, zwitterion-derived solid-electrolyte interphase. At the iodine cathode, the ammonium-hydroxyl pair captures polyiodides to suppress shuttling while maintaining an electrochemically beneficial polyiodide concentration. Owing to this adaptive regulation, Zn||Zn symmetric cells and Zn||Cu half-cells exhibit exceptional cycling stability (&gt;8000 h) at 1 mA cm-2 ; Zn-I2 full cells deliver 50,000 cycles at 20 A g-1 with an ultralow per-cycle capacity fade of 0.00012%; and pouch cells (42.9 mg cm-2 of I2) show only 0.026% capacity loss per cycle. This work establishes a paradigm of adaptive interfacial control that reconciles the distinct electrode processes in Zn-I2 batteries.</w:t>
      </w:r>
    </w:p>
    <w:p>
      <w:pPr>
        <w:spacing w:before="120" w:after="120"/>
      </w:pPr>
      <w:r>
        <w:rPr>
          <w:sz w:val="18"/>
        </w:rPr>
        <w:t>——————————————————————————————————————————————————————————————————————</w:t>
      </w:r>
    </w:p>
    <w:p>
      <w:pPr>
        <w:spacing w:before="160" w:after="40" w:line="240" w:lineRule="auto"/>
      </w:pPr>
      <w:r>
        <w:rPr>
          <w:b/>
        </w:rPr>
        <w:t xml:space="preserve">[3] </w:t>
      </w:r>
      <w:hyperlink r:id="rId46">
        <w:r>
          <w:rPr>
            <w:color w:val="1155CC"/>
            <w:u w:val="single"/>
          </w:rPr>
          <w:t>单原子催化中间层的逆扩散工程实现可逆硫氧化还原化学</w:t>
        </w:r>
      </w:hyperlink>
    </w:p>
    <w:p>
      <w:pPr>
        <w:spacing w:before="0" w:after="80"/>
      </w:pPr>
      <w:r>
        <w:rPr>
          <w:i/>
          <w:sz w:val="20"/>
        </w:rPr>
        <w:t>EN: Contra‐Diffusion Engineering of Single‐Atom Catalytic Interlayers Enables Reversible Sulfur Redox Chemistry</w:t>
      </w:r>
    </w:p>
    <w:p>
      <w:pPr>
        <w:spacing w:before="0" w:after="120"/>
      </w:pPr>
      <w:r>
        <w:rPr>
          <w:b/>
        </w:rPr>
        <w:t xml:space="preserve">Source: </w:t>
      </w:r>
      <w:r>
        <w:t>Wiley: Angewandte Chemie International Edition: Table of Contents</w:t>
      </w:r>
      <w:r>
        <w:t xml:space="preserve">    </w:t>
      </w:r>
      <w:r>
        <w:rPr>
          <w:b/>
        </w:rPr>
        <w:t xml:space="preserve">Pub date: </w:t>
      </w:r>
      <w:r>
        <w:t>2026-04-28 05:04:54+00:00</w:t>
      </w:r>
      <w:r>
        <w:t xml:space="preserve">    </w:t>
      </w:r>
      <w:r>
        <w:rPr>
          <w:b/>
        </w:rPr>
        <w:t xml:space="preserve">DOI: </w:t>
      </w:r>
      <w:hyperlink r:id="rId47">
        <w:r>
          <w:rPr>
            <w:color w:val="1155CC"/>
            <w:u w:val="single"/>
          </w:rPr>
          <w:t>10.1002/anie.7009531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实现耐用的锂硫电池，同时保持最小的催化剂负载仍然具有挑战性，特别是在催化效率常因活性位点利用不均而受损的中间层设计中。我们在此展示了扩散调控的前体生长如何构建自由支撑的芳纶纳米纤维衍生碳中间层内的原子分散Co–N</w:t>
      </w:r>
      <w:r>
        <w:t xml:space="preserve"> </w:t>
      </w:r>
      <w:r>
        <w:t>x</w:t>
      </w:r>
      <w:r>
        <w:t xml:space="preserve"> </w:t>
      </w:r>
      <w:r>
        <w:t>催化位点。通过同步金属离子和配体的双向扩散，该过程强制空间限制的成核和均匀的前体演变，产生均匀可访问的单原子催化结构，同时保留了固有的纤维导电网络。结果中间层同时增强了多硫化物锚定，加速了双向硫的氧化还原动力学，并调节了Li</w:t>
      </w:r>
      <w:r>
        <w:rPr>
          <w:vertAlign w:val="subscript"/>
        </w:rPr>
        <w:t>2</w:t>
      </w:r>
      <w:r>
        <w:t>S的成核和溶解，正如原位拉曼光谱和电化学分析直接揭示的那样。因此，该系统在高倍率操作下尽管Co负载量低，仍提供了卓越的循环稳定性，突显了扩散调控催化结构在锂硫电池中高效硫氧化还原调节的重要性。</w:t>
      </w:r>
    </w:p>
    <w:p>
      <w:pPr>
        <w:spacing w:before="0" w:after="200" w:lineRule="auto" w:line="276"/>
      </w:pPr>
      <w:r>
        <w:rPr>
          <w:b/>
        </w:rPr>
        <w:t xml:space="preserve">Abstract (EN): </w:t>
      </w:r>
      <w:r>
        <w:t>Achieving durable lithium–sulfur batteries with minimal catalyst loading remains challenging, particularly for interlayer designs where catalytic efficiency is often compromised by nonuniform active‐site utilization. Here we demonstrate that diffusion‐regulated precursor growth enables the construction of atomically dispersed Co–N</w:t>
      </w:r>
      <w:r>
        <w:t xml:space="preserve"> </w:t>
      </w:r>
      <w:r>
        <w:t>x</w:t>
      </w:r>
      <w:r>
        <w:t xml:space="preserve"> </w:t>
      </w:r>
      <w:r>
        <w:t>catalytic sites within a freestanding aramid nanofiber‐derived carbon interlayer. By synchronizing the bidirectional diffusion of metal ions and ligands, this process enforces spatially confined nucleation and homogeneous precursor evolution, yielding a uniformly accessible single‐atom catalytic architecture while preserving the intrinsic fibrous conduction network. The resulting interlayer simultaneously enhances polysulfide anchoring, accelerates bidirectional sulfur redox kinetics, and regulates Li</w:t>
      </w:r>
      <w:r>
        <w:rPr>
          <w:vertAlign w:val="subscript"/>
        </w:rPr>
        <w:t>2</w:t>
      </w:r>
      <w:r>
        <w:t>S nucleation and dissolution, as directly revealed by in situ Raman spectroscopy and electrochemical analyses. As a consequence, the system delivers exceptional cycling stability under high‐rate operation despite a low Co loading, highlighting the importance of diffusion‐regulated catalytic architectures for efficient sulfur redox regulation in lithium–sulfur batteries.</w:t>
      </w:r>
    </w:p>
    <w:p>
      <w:pPr>
        <w:spacing w:before="120" w:after="120"/>
      </w:pPr>
      <w:r>
        <w:rPr>
          <w:sz w:val="18"/>
        </w:rPr>
        <w:t>——————————————————————————————————————————————————————————————————————</w:t>
      </w:r>
    </w:p>
    <w:p>
      <w:pPr>
        <w:spacing w:before="160" w:after="40" w:line="240" w:lineRule="auto"/>
      </w:pPr>
      <w:r>
        <w:rPr>
          <w:b/>
        </w:rPr>
        <w:t xml:space="preserve">[4] </w:t>
      </w:r>
      <w:hyperlink r:id="rId48">
        <w:r>
          <w:rPr>
            <w:color w:val="1155CC"/>
            <w:u w:val="single"/>
          </w:rPr>
          <w:t>通过乙二醇驯服自由水活性以实现耐用且快速充电的可充电海水电池</w:t>
        </w:r>
      </w:hyperlink>
    </w:p>
    <w:p>
      <w:pPr>
        <w:spacing w:before="0" w:after="80"/>
      </w:pPr>
      <w:r>
        <w:rPr>
          <w:i/>
          <w:sz w:val="20"/>
        </w:rPr>
        <w:t>EN: Taming Free Water Activity via Ethylene Glycol for Durable and Fast‐Charging Rechargeable Seawater Batteries</w:t>
      </w:r>
    </w:p>
    <w:p>
      <w:pPr>
        <w:spacing w:before="0" w:after="120"/>
      </w:pPr>
      <w:r>
        <w:rPr>
          <w:b/>
        </w:rPr>
        <w:t xml:space="preserve">Source: </w:t>
      </w:r>
      <w:r>
        <w:t>Wiley: Advanced Energy Materials: Table of Contents</w:t>
      </w:r>
      <w:r>
        <w:t xml:space="preserve">    </w:t>
      </w:r>
      <w:r>
        <w:rPr>
          <w:b/>
        </w:rPr>
        <w:t xml:space="preserve">Pub date: </w:t>
      </w:r>
      <w:r>
        <w:t>2026-04-28 06:20:31+00:00</w:t>
      </w:r>
      <w:r>
        <w:t xml:space="preserve">    </w:t>
      </w:r>
      <w:r>
        <w:rPr>
          <w:b/>
        </w:rPr>
        <w:t xml:space="preserve">DOI: </w:t>
      </w:r>
      <w:hyperlink r:id="rId49">
        <w:r>
          <w:rPr>
            <w:color w:val="1155CC"/>
            <w:u w:val="single"/>
          </w:rPr>
          <w:t>10.1002/aenm.71008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水的海水电池（ASWBs）在低成本、可持续能源存储方面具有前景，但受到纯海水（PSW）中高度活跃的自由水的限制，这导致电极退化和循环稳定性差。在此，我们通过一种熵增强的共溶剂方法解决了这一瓶颈，使用一种环保、低成本的改良海水（MSW）电解质（乙二醇作为共溶剂）用于ASWBs。EG分子增加了MSW的短程熵，形成离散的小簇，增加了Na</w:t>
      </w:r>
      <w:r>
        <w:t xml:space="preserve"> </w:t>
      </w:r>
      <w:r>
        <w:t>+</w:t>
      </w:r>
      <w:r>
        <w:t xml:space="preserve"> </w:t>
      </w:r>
      <w:r>
        <w:t>的迁移率，并通过破坏PSW的原生氢键网络来降低自由水活性。将这种MSW电解质与高熵六氰合铁酸盐（HEHCF）阴极结合，结果在高电流密度7000 mA g</w:t>
      </w:r>
      <w:r>
        <w:t xml:space="preserve"> </w:t>
      </w:r>
      <w:r>
        <w:t>−1</w:t>
      </w:r>
      <w:r>
        <w:t xml:space="preserve"> </w:t>
      </w:r>
      <w:r>
        <w:t>下具有卓越的循环寿命（&gt;20,000次循环），容量保持率为96.50%，完全充放电时间为35-39秒。这种出色的性能源于赝电容主导的电荷存储机制、HEHCF中的可逆单斜↔立方相变和抑制的副反应。该工作提供了一种具有成本效益、可扩展的电解质工程策略，以解锁稳定的ASWBs，推动其在电网规模和海洋能源存储应用中的潜力。</w:t>
      </w:r>
    </w:p>
    <w:p>
      <w:pPr>
        <w:spacing w:before="0" w:after="200" w:lineRule="auto" w:line="276"/>
      </w:pPr>
      <w:r>
        <w:rPr>
          <w:b/>
        </w:rPr>
        <w:t xml:space="preserve">Abstract (EN): </w:t>
      </w:r>
      <w:r>
        <w:t>Aqueous seawater‐based batteries (ASWBs) are promising for low‐cost, sustainable energy storage but are limited by highly reactive free water in pure seawater (PSW), which leads to electrode degradation and poor cycling stability. Herein, we address this bottleneck by an entropy‐enhanced cosolvent approach using an eco‐friendly, low‐cost modified seawater (MSW) electrolyte (ethylene glycol as the cosolvent) for ASWBs. EG molecules increase the short‐range entropy of the MSW, forming discrete, small clusters that increase Na</w:t>
      </w:r>
      <w:r>
        <w:t xml:space="preserve"> </w:t>
      </w:r>
      <w:r>
        <w:t>+</w:t>
      </w:r>
      <w:r>
        <w:t xml:space="preserve"> </w:t>
      </w:r>
      <w:r>
        <w:t>mobility and reduce free water activity by disrupting the native H‐bonding network of PSW. Combining this MSW electrolyte with a high‐entropy hexacyanoferrate (HEHCF) cathode results in exceptional cycling lifespan (&amp;gt;20,000 cycles) at a high current density of 7000 mA g</w:t>
      </w:r>
      <w:r>
        <w:t xml:space="preserve"> </w:t>
      </w:r>
      <w:r>
        <w:t>−1</w:t>
      </w:r>
      <w:r>
        <w:t xml:space="preserve"> </w:t>
      </w:r>
      <w:r>
        <w:t>, with 96.50% capacity retention and full charge–discharge in 35–39 s. This outstanding performance stems from a pseudocapacitive‐dominant charge‐storage mechanism, reversible monoclinic↔cubic phase transitions in HEHCF, and suppressed parasitic reactions. This work provides a cost‐effective, scalable electrolyte‐engineering strategy to unlock stable ASWBs, advancing their potential for grid‐scale and marine energy‐storage applications.</w:t>
      </w:r>
    </w:p>
    <w:p>
      <w:pPr>
        <w:spacing w:before="120" w:after="120"/>
      </w:pPr>
      <w:r>
        <w:rPr>
          <w:sz w:val="18"/>
        </w:rPr>
        <w:t>——————————————————————————————————————————————————————————————————————</w:t>
      </w:r>
    </w:p>
    <w:p>
      <w:pPr>
        <w:spacing w:before="160" w:after="40" w:line="240" w:lineRule="auto"/>
      </w:pPr>
      <w:r>
        <w:rPr>
          <w:b/>
        </w:rPr>
        <w:t xml:space="preserve">[5] </w:t>
      </w:r>
      <w:hyperlink r:id="rId50">
        <w:r>
          <w:rPr>
            <w:color w:val="1155CC"/>
            <w:u w:val="single"/>
          </w:rPr>
          <w:t>[ASAP] 阴极限制的多硫化物保留释放重新编程高负载Li–S电池中的Li2S沉积</w:t>
        </w:r>
      </w:hyperlink>
    </w:p>
    <w:p>
      <w:pPr>
        <w:spacing w:before="0" w:after="80"/>
      </w:pPr>
      <w:r>
        <w:rPr>
          <w:i/>
          <w:sz w:val="20"/>
        </w:rPr>
        <w:t>EN: [ASAP] Cathode-Confined Polysulfide Retention-Release Reprograms Li2S Deposition in High-Loading Li–S Batteries</w:t>
      </w:r>
    </w:p>
    <w:p>
      <w:pPr>
        <w:spacing w:before="0" w:after="120"/>
      </w:pPr>
      <w:r>
        <w:rPr>
          <w:b/>
        </w:rPr>
        <w:t xml:space="preserve">Source: </w:t>
      </w:r>
      <w:r>
        <w:t>ACS Energy Letters: Latest Articles (ACS Publications)</w:t>
      </w:r>
      <w:r>
        <w:t xml:space="preserve">    </w:t>
      </w:r>
      <w:r>
        <w:rPr>
          <w:b/>
        </w:rPr>
        <w:t xml:space="preserve">Pub date: </w:t>
      </w:r>
      <w:r>
        <w:t>2026-04-28 19:37:02+00:00</w:t>
      </w:r>
      <w:r>
        <w:t xml:space="preserve">    </w:t>
      </w:r>
      <w:r>
        <w:rPr>
          <w:b/>
        </w:rPr>
        <w:t xml:space="preserve">DOI: </w:t>
      </w:r>
      <w:hyperlink r:id="rId51">
        <w:r>
          <w:rPr>
            <w:color w:val="1155CC"/>
            <w:u w:val="single"/>
          </w:rPr>
          <w:t>10.1021/acsenergylett.6c00653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52">
        <w:r>
          <w:rPr>
            <w:color w:val="1155CC"/>
            <w:u w:val="single"/>
          </w:rPr>
          <w:t>隧道结构MoO3正极实现的超低应变钙和镁离子存储</w:t>
        </w:r>
      </w:hyperlink>
    </w:p>
    <w:p>
      <w:pPr>
        <w:spacing w:before="0" w:after="80"/>
      </w:pPr>
      <w:r>
        <w:rPr>
          <w:i/>
          <w:sz w:val="20"/>
        </w:rPr>
        <w:t>EN: Ultra‐Low‐Strain Calcium and Magnesium Ion Storage Enabled by Tunnel‐Structured MoO3 Positive Electrode</w:t>
      </w:r>
    </w:p>
    <w:p>
      <w:pPr>
        <w:spacing w:before="0" w:after="120"/>
      </w:pPr>
      <w:r>
        <w:rPr>
          <w:b/>
        </w:rPr>
        <w:t xml:space="preserve">Source: </w:t>
      </w:r>
      <w:r>
        <w:t>Wiley: Advanced Energy Materials: Table of Contents</w:t>
      </w:r>
      <w:r>
        <w:t xml:space="preserve">    </w:t>
      </w:r>
      <w:r>
        <w:rPr>
          <w:b/>
        </w:rPr>
        <w:t xml:space="preserve">Pub date: </w:t>
      </w:r>
      <w:r>
        <w:t>2026-04-29 06:22:27+00:00</w:t>
      </w:r>
      <w:r>
        <w:t xml:space="preserve">    </w:t>
      </w:r>
      <w:r>
        <w:rPr>
          <w:b/>
        </w:rPr>
        <w:t xml:space="preserve">DOI: </w:t>
      </w:r>
      <w:hyperlink r:id="rId53">
        <w:r>
          <w:rPr>
            <w:color w:val="1155CC"/>
            <w:u w:val="single"/>
          </w:rPr>
          <w:t>10.1002/aenm.71006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54">
        <w:r>
          <w:rPr>
            <w:color w:val="1155CC"/>
            <w:u w:val="single"/>
          </w:rPr>
          <w:t>废旧高镍层状正极的升级再造：单晶结构修复的机制指导框架</w:t>
        </w:r>
      </w:hyperlink>
    </w:p>
    <w:p>
      <w:pPr>
        <w:spacing w:before="0" w:after="80"/>
      </w:pPr>
      <w:r>
        <w:rPr>
          <w:i/>
          <w:sz w:val="20"/>
        </w:rPr>
        <w:t>EN: Upcycling of Spent High‐Nickel Layered Cathodes: A Mechanism‐Guided Framework for Single‐Crystal Structural Healing</w:t>
      </w:r>
    </w:p>
    <w:p>
      <w:pPr>
        <w:spacing w:before="0" w:after="120"/>
      </w:pPr>
      <w:r>
        <w:rPr>
          <w:b/>
        </w:rPr>
        <w:t xml:space="preserve">Source: </w:t>
      </w:r>
      <w:r>
        <w:t>Wiley: Advanced Energy Materials: Table of Contents</w:t>
      </w:r>
      <w:r>
        <w:t xml:space="preserve">    </w:t>
      </w:r>
      <w:r>
        <w:rPr>
          <w:b/>
        </w:rPr>
        <w:t xml:space="preserve">Pub date: </w:t>
      </w:r>
      <w:r>
        <w:t>2026-04-29 06:31:00+00:00</w:t>
      </w:r>
      <w:r>
        <w:t xml:space="preserve">    </w:t>
      </w:r>
      <w:r>
        <w:rPr>
          <w:b/>
        </w:rPr>
        <w:t xml:space="preserve">DOI: </w:t>
      </w:r>
      <w:hyperlink r:id="rId55">
        <w:r>
          <w:rPr>
            <w:color w:val="1155CC"/>
            <w:u w:val="single"/>
          </w:rPr>
          <w:t>10.1002/aenm.71013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56">
        <w:r>
          <w:rPr>
            <w:color w:val="1155CC"/>
            <w:u w:val="single"/>
          </w:rPr>
          <w:t>协同电流收集器和电解质添加剂实现低N/P比的10,000次循环锌碘电池</w:t>
        </w:r>
      </w:hyperlink>
    </w:p>
    <w:p>
      <w:pPr>
        <w:spacing w:before="0" w:after="80"/>
      </w:pPr>
      <w:r>
        <w:rPr>
          <w:i/>
          <w:sz w:val="20"/>
        </w:rPr>
        <w:t>EN: Synergistic Current Collector and Electrolyte Additive Enable 10 000‐Cycle Zinc Iodine Batteries with Low N/P Ratios</w:t>
      </w:r>
    </w:p>
    <w:p>
      <w:pPr>
        <w:spacing w:before="0" w:after="120"/>
      </w:pPr>
      <w:r>
        <w:rPr>
          <w:b/>
        </w:rPr>
        <w:t xml:space="preserve">Source: </w:t>
      </w:r>
      <w:r>
        <w:t>Wiley: Advanced Energy Materials: Table of Contents</w:t>
      </w:r>
      <w:r>
        <w:t xml:space="preserve">    </w:t>
      </w:r>
      <w:r>
        <w:rPr>
          <w:b/>
        </w:rPr>
        <w:t xml:space="preserve">Pub date: </w:t>
      </w:r>
      <w:r>
        <w:t>2026-04-29 06:39:52+00:00</w:t>
      </w:r>
      <w:r>
        <w:t xml:space="preserve">    </w:t>
      </w:r>
      <w:r>
        <w:rPr>
          <w:b/>
        </w:rPr>
        <w:t xml:space="preserve">DOI: </w:t>
      </w:r>
      <w:hyperlink r:id="rId57">
        <w:r>
          <w:rPr>
            <w:color w:val="1155CC"/>
            <w:u w:val="single"/>
          </w:rPr>
          <w:t>10.1002/aenm.71015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[9] </w:t>
      </w:r>
      <w:hyperlink r:id="rId58">
        <w:r>
          <w:rPr>
            <w:color w:val="1155CC"/>
            <w:u w:val="single"/>
          </w:rPr>
          <w:t>钠锰六氰锰酸盐中的氧化还原复杂性及其对钠离子储存性能的影响</w:t>
        </w:r>
      </w:hyperlink>
    </w:p>
    <w:p>
      <w:pPr>
        <w:spacing w:before="0" w:after="80"/>
      </w:pPr>
      <w:r>
        <w:rPr>
          <w:i/>
          <w:sz w:val="20"/>
        </w:rPr>
        <w:t>EN: Redox Complexity in Sodium Manganese Hexacyanomanganate and Its Influence on Sodium‐Ion Storage Performance</w:t>
      </w:r>
    </w:p>
    <w:p>
      <w:pPr>
        <w:spacing w:before="0" w:after="120"/>
      </w:pPr>
      <w:r>
        <w:rPr>
          <w:b/>
        </w:rPr>
        <w:t xml:space="preserve">Source: </w:t>
      </w:r>
      <w:r>
        <w:t>Wiley: Advanced Energy Materials: Table of Contents</w:t>
      </w:r>
      <w:r>
        <w:t xml:space="preserve">    </w:t>
      </w:r>
      <w:r>
        <w:rPr>
          <w:b/>
        </w:rPr>
        <w:t xml:space="preserve">Pub date: </w:t>
      </w:r>
      <w:r>
        <w:t>2026-04-29 07:18:43+00:00</w:t>
      </w:r>
      <w:r>
        <w:t xml:space="preserve">    </w:t>
      </w:r>
      <w:r>
        <w:rPr>
          <w:b/>
        </w:rPr>
        <w:t xml:space="preserve">DOI: </w:t>
      </w:r>
      <w:hyperlink r:id="rId59">
        <w:r>
          <w:rPr>
            <w:color w:val="1155CC"/>
            <w:u w:val="single"/>
          </w:rPr>
          <w:t>10.1002/aenm.70993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【负极】</w:t>
      </w:r>
    </w:p>
    <w:p>
      <w:pPr>
        <w:spacing w:before="160" w:after="40" w:line="240" w:lineRule="auto"/>
      </w:pPr>
      <w:r>
        <w:rPr>
          <w:b/>
        </w:rPr>
        <w:t xml:space="preserve">[1] </w:t>
      </w:r>
      <w:hyperlink r:id="rId60">
        <w:r>
          <w:rPr>
            <w:color w:val="1155CC"/>
            <w:u w:val="single"/>
          </w:rPr>
          <w:t>具有赝电容动力学的钠亲和宿主用于稳健的无阳极钠金属电池</w:t>
        </w:r>
      </w:hyperlink>
    </w:p>
    <w:p>
      <w:pPr>
        <w:spacing w:before="0" w:after="80"/>
      </w:pPr>
      <w:r>
        <w:rPr>
          <w:i/>
          <w:sz w:val="20"/>
        </w:rPr>
        <w:t>EN: Sodiophilic Hosts With Pseudocapacitive Kinetics for Robust Anode‐Free Sodium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2026-04-25 06:05:36+00:00</w:t>
      </w:r>
      <w:r>
        <w:t xml:space="preserve">    </w:t>
      </w:r>
      <w:r>
        <w:rPr>
          <w:b/>
        </w:rPr>
        <w:t xml:space="preserve">DOI: </w:t>
      </w:r>
      <w:hyperlink r:id="rId61">
        <w:r>
          <w:rPr>
            <w:color w:val="1155CC"/>
            <w:u w:val="single"/>
          </w:rPr>
          <w:t>10.1002/anie.9106635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无阳极钠金属电池（AFSMBs）承诺高能量密度和简化的制造，但需要在每个循环中完全剥离后在集电器表面重复钠成核。我们提出了一种策略，利用具有赝电容动力学的亲钠宿主实现AFSMBs中耐用且高效的成核过程，并为这些宿主提供可扩展的合成路线。具体而言，通过原位自组装将赝电容T-Nb2O5整合到无定形碳纳米管（aCNTs）中，构建了高度亲钠的宿主。实验和理论结果表明，T-Nb2O5域可以同时保持其结构完整性，最小化钠消耗，加速钠传输，并确保可逆的氧化还原反应，从而建立稳固的成核位点。因此，T-Nb2O5@aCNTs宿主实现了高度可逆且均匀的钠沉积，在半电池中提供了99.98%的超高平均库仑效率，超过800个循环，并在对称电池中在苛刻条件下长时间循环超过900小时。当与高质量负载的Na3V2(PO4)3配对时</w:t>
      </w:r>
    </w:p>
    <w:p>
      <w:pPr>
        <w:spacing w:before="0" w:after="200" w:lineRule="auto" w:line="276"/>
      </w:pPr>
      <w:r>
        <w:rPr>
          <w:b/>
        </w:rPr>
        <w:t xml:space="preserve">Abstract (EN): </w:t>
      </w:r>
      <w:r>
        <w:t>Anode‐free sodium metal batteries (AFSMBs) promise high energy density and simplified fabrication, yet require repeated sodium nucleation on the current collector surface after the complete stripping in each cycle. Here, we present a strategy utilizing sodiophilic hosts with pseudocapacitive kinetics to realize durable and efficient nucleation processes in AFSMBs, together with a scalable synthesis route for these hosts. To illustrate, a highly sodiophilic host was constructed by integrating pseudocapacitive T‐Nb</w:t>
      </w:r>
      <w:r>
        <w:rPr>
          <w:vertAlign w:val="subscript"/>
        </w:rPr>
        <w:t>2</w:t>
      </w:r>
      <w:r>
        <w:t>O</w:t>
      </w:r>
      <w:r>
        <w:rPr>
          <w:vertAlign w:val="subscript"/>
        </w:rPr>
        <w:t>5</w:t>
      </w:r>
      <w:r>
        <w:t>into amorphous carbon nanotubes (aCNTs) through in situ self‐assembly. Experimental and theoretical results reveal that T‐Nb</w:t>
      </w:r>
      <w:r>
        <w:rPr>
          <w:vertAlign w:val="subscript"/>
        </w:rPr>
        <w:t>2</w:t>
      </w:r>
      <w:r>
        <w:t>O</w:t>
      </w:r>
      <w:r>
        <w:rPr>
          <w:vertAlign w:val="subscript"/>
        </w:rPr>
        <w:t>5</w:t>
      </w:r>
      <w:r>
        <w:t>domains can simultaneously preserve their structural integrity, minimize Na consumption, accelerate Na transport, and ensure reversible redox reactions, thereby establishing robust nucleation sites. Consequently, the T‐Nb</w:t>
      </w:r>
      <w:r>
        <w:rPr>
          <w:vertAlign w:val="subscript"/>
        </w:rPr>
        <w:t>2</w:t>
      </w:r>
      <w:r>
        <w:t>O</w:t>
      </w:r>
      <w:r>
        <w:rPr>
          <w:vertAlign w:val="subscript"/>
        </w:rPr>
        <w:t>5</w:t>
      </w:r>
      <w:r>
        <w:t>@aCNTs host achieves highly reversible and uniform Na deposition, delivering an ultrahigh average Coulombic efficiency of 99.98% over 800 cycles in half‐cells and long cycling over 900 h in symmetric cells under harsh conditions. When paired with a high‐mass‐loading Na</w:t>
      </w:r>
      <w:r>
        <w:rPr>
          <w:vertAlign w:val="subscript"/>
        </w:rPr>
        <w:t>3</w:t>
      </w:r>
      <w:r>
        <w:t>V</w:t>
      </w:r>
      <w:r>
        <w:rPr>
          <w:vertAlign w:val="subscript"/>
        </w:rPr>
        <w:t>2</w:t>
      </w:r>
      <w:r>
        <w:t>(PO</w:t>
      </w:r>
      <w:r>
        <w:rPr>
          <w:vertAlign w:val="subscript"/>
        </w:rPr>
        <w:t>4</w:t>
      </w:r>
      <w:r>
        <w:t>)</w:t>
      </w:r>
      <w:r>
        <w:rPr>
          <w:vertAlign w:val="subscript"/>
        </w:rPr>
        <w:t>3</w:t>
      </w:r>
      <w:r>
        <w:t>cathode (15 or 30 mg cm</w:t>
      </w:r>
      <w:r>
        <w:t xml:space="preserve"> </w:t>
      </w:r>
      <w:r>
        <w:t>−2</w:t>
      </w:r>
      <w:r>
        <w:t xml:space="preserve"> </w:t>
      </w:r>
      <w:r>
        <w:t>), the full cells exhibit high energy density and stable cycling performance. Moreover, the anode‐free pouch cell maintains favorable capacity retention over 100 cycles at 2 C. The proposed host design concept with scalable manufacturing capability opens a universal pathway toward practical high‐performance AFSMBs.</w:t>
      </w:r>
    </w:p>
    <w:p>
      <w:pPr>
        <w:spacing w:before="120" w:after="120"/>
      </w:pPr>
      <w:r>
        <w:rPr>
          <w:sz w:val="18"/>
        </w:rPr>
        <w:t>——————————————————————————————————————————————————————————————————————</w:t>
      </w:r>
    </w:p>
    <w:p>
      <w:pPr>
        <w:spacing w:before="160" w:after="40" w:line="240" w:lineRule="auto"/>
      </w:pPr>
      <w:r>
        <w:rPr>
          <w:b/>
        </w:rPr>
        <w:t xml:space="preserve">[2] </w:t>
      </w:r>
      <w:hyperlink r:id="rId62">
        <w:r>
          <w:rPr>
            <w:color w:val="1155CC"/>
            <w:u w:val="single"/>
          </w:rPr>
          <w:t>[ASAP] 通过纳米壳种子设计恢复可充电碱性锌电池中逸出的锌酸盐</w:t>
        </w:r>
      </w:hyperlink>
    </w:p>
    <w:p>
      <w:pPr>
        <w:spacing w:before="0" w:after="80"/>
      </w:pPr>
      <w:r>
        <w:rPr>
          <w:i/>
          <w:sz w:val="20"/>
        </w:rPr>
        <w:t>EN: [ASAP] Restoring Escaped Zincate in Rechargeable Alkaline Zinc Batteries with a Seed-in-Nanoshell Design</w:t>
      </w:r>
    </w:p>
    <w:p>
      <w:pPr>
        <w:spacing w:before="0" w:after="120"/>
      </w:pPr>
      <w:r>
        <w:rPr>
          <w:b/>
        </w:rPr>
        <w:t xml:space="preserve">Source: </w:t>
      </w:r>
      <w:r>
        <w:t>ACS Energy Letters: Latest Articles (ACS Publications)</w:t>
      </w:r>
      <w:r>
        <w:t xml:space="preserve">    </w:t>
      </w:r>
      <w:r>
        <w:rPr>
          <w:b/>
        </w:rPr>
        <w:t xml:space="preserve">Pub date: </w:t>
      </w:r>
      <w:r>
        <w:t>2026-04-26 16:53:54+00:00</w:t>
      </w:r>
      <w:r>
        <w:t xml:space="preserve">    </w:t>
      </w:r>
      <w:r>
        <w:rPr>
          <w:b/>
        </w:rPr>
        <w:t xml:space="preserve">DOI: </w:t>
      </w:r>
      <w:hyperlink r:id="rId63">
        <w:r>
          <w:rPr>
            <w:color w:val="1155CC"/>
            <w:u w:val="single"/>
          </w:rPr>
          <w:t>10.1021/acsenergylett.6c00301</w:t>
        </w:r>
      </w:hyperlink>
    </w:p>
    <w:p>
      <w:pPr>
        <w:spacing w:before="0" w:after="120"/>
      </w:pPr>
      <w:r>
        <w:rPr>
          <w:b/>
        </w:rPr>
        <w:t xml:space="preserve">Notes: </w:t>
      </w:r>
      <w:r>
        <w:t>abstract_source=openalex</w:t>
      </w:r>
    </w:p>
    <w:p>
      <w:pPr>
        <w:spacing w:before="0" w:after="80" w:lineRule="auto" w:line="276"/>
      </w:pPr>
      <w:r>
        <w:rPr>
          <w:b/>
        </w:rPr>
        <w:t xml:space="preserve">摘要（ZH）: </w:t>
      </w:r>
      <w:r>
        <w:t>可充电碱性锌电池是安全且低成本的能量存储的有前途的候选者，但由于ZnO溶解导致不可逆的活性材料损失和快速的容量衰减。在此，我们报告了一种种子-纳米壳ZnO阳极结构，通过结合物理限制和溶解锌酸盐物种的电化学恢复来减轻溶解。ZnO颗粒被封装在一个离子筛碳纳米壳中，该纳米壳限制锌酸盐扩散，保持电导率，并稳定重复的固-液-固转变。纳米壳中掺入的银（Ag）纳米颗粒作为亲锌成核种子，降低了锌沉积障碍，并在充电过程中将溶解的锌酸盐重新沉积回金属锌。这种限制启用的恢复机制将锌酸盐溶解从不可逆损失路径转变为可恢复过程，使其在苛刻测试条件下表现出更好的性能。该阳极在-40°C下也能提供227.9 mAh g−1。最后，展示了ZnO@Ag的可扩展的数十克合成，强调了该策略在先进水系锌电池中的实际潜力。</w:t>
      </w:r>
    </w:p>
    <w:p>
      <w:pPr>
        <w:spacing w:before="0" w:after="200" w:lineRule="auto" w:line="276"/>
      </w:pPr>
      <w:r>
        <w:rPr>
          <w:b/>
        </w:rPr>
        <w:t xml:space="preserve">Abstract (EN): </w:t>
      </w:r>
      <w:r>
        <w:t>Rechargeable alkaline zinc batteries are promising candidates for safe and low-cost energy storage, but suffer from ZnO dissolution that causes irreversible active material loss and rapid capacity decay. Here, we report a seed-in-nanoshell ZnO anode architecture that mitigates dissolution by combining physical confinement with electrochemical restoration of dissolved zincate species. ZnO particles are encapsulated within an ion-sieving carbon nanoshell that restricts zincate diffusion, maintains electrical conductivity, and stabilizes repeated solid–solution–solid transformations. Silver (Ag) nanoparticles incorporated into the nanoshell act as zincophilic nucleation seeds, lowering the Zn deposition barrier and directing the redeposition of dissolved zincate back to metallic Zn during charging. This confinement-enabled restoration mechanism converts zincate dissolution from an irreversible loss pathway into a recoverable process, enabling improved performance under harsh test conditions. The anode also delivers 227.9 mAh g−1 at −40 °C. Finally, a scalable tens-of-gram synthesis of ZnO@Ag is demonstrated, underscoring the practical potential of this strategy for advanced aqueous zinc batteries.</w:t>
      </w:r>
    </w:p>
    <w:p>
      <w:pPr>
        <w:spacing w:before="120" w:after="120"/>
      </w:pPr>
      <w:r>
        <w:rPr>
          <w:sz w:val="18"/>
        </w:rPr>
        <w:t>——————————————————————————————————————————————————————————————————————</w:t>
      </w:r>
    </w:p>
    <w:p>
      <w:pPr>
        <w:spacing w:before="160" w:after="40" w:line="240" w:lineRule="auto"/>
      </w:pPr>
      <w:r>
        <w:rPr>
          <w:b/>
        </w:rPr>
        <w:t xml:space="preserve">[3] </w:t>
      </w:r>
      <w:hyperlink r:id="rId64">
        <w:r>
          <w:rPr>
            <w:color w:val="1155CC"/>
            <w:u w:val="single"/>
          </w:rPr>
          <w:t>通过交谈活性聚合物功能化碳纳米管在高面积负载电极中增强锂金属电池的动力学和双界面稳定性（Adv. Mater. 24/2026）</w:t>
        </w:r>
      </w:hyperlink>
    </w:p>
    <w:p>
      <w:pPr>
        <w:spacing w:before="0" w:after="80"/>
      </w:pPr>
      <w:r>
        <w:rPr>
          <w:i/>
          <w:sz w:val="20"/>
        </w:rPr>
        <w:t>EN: Enhanced Kinetics and Dual‐Interfacial Stability in High‐Areal‐Loading Electrodes for Lithium Metal Batteries via Crosstalk‐Active Polymer‐Functionalized Carbon Nanotubes (Adv. Mater. 24/2026)</w:t>
      </w:r>
    </w:p>
    <w:p>
      <w:pPr>
        <w:spacing w:before="0" w:after="120"/>
      </w:pPr>
      <w:r>
        <w:rPr>
          <w:b/>
        </w:rPr>
        <w:t xml:space="preserve">Source: </w:t>
      </w:r>
      <w:r>
        <w:t>Wiley: Advanced Materials: Table of Contents</w:t>
      </w:r>
      <w:r>
        <w:t xml:space="preserve">    </w:t>
      </w:r>
      <w:r>
        <w:rPr>
          <w:b/>
        </w:rPr>
        <w:t xml:space="preserve">Pub date: </w:t>
      </w:r>
      <w:r>
        <w:t>2026-04-27 11:41:43+00:00</w:t>
      </w:r>
      <w:r>
        <w:t xml:space="preserve">    </w:t>
      </w:r>
      <w:r>
        <w:rPr>
          <w:b/>
        </w:rPr>
        <w:t xml:space="preserve">DOI: </w:t>
      </w:r>
      <w:hyperlink r:id="rId65">
        <w:r>
          <w:rPr>
            <w:color w:val="1155CC"/>
            <w:u w:val="single"/>
          </w:rPr>
          <w:t>10.1002/adma.73135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66">
        <w:r>
          <w:rPr>
            <w:color w:val="1155CC"/>
            <w:u w:val="single"/>
          </w:rPr>
          <w:t>金属玻璃的动态局部化域使高容量SbBi负极用于钾离子电池</w:t>
        </w:r>
      </w:hyperlink>
    </w:p>
    <w:p>
      <w:pPr>
        <w:spacing w:before="0" w:after="80"/>
      </w:pPr>
      <w:r>
        <w:rPr>
          <w:i/>
          <w:sz w:val="20"/>
        </w:rPr>
        <w:t>EN: Dynamic localized domains of metallic glasses enable high-capacity SbBi anode for potassium ion batteries</w:t>
      </w:r>
    </w:p>
    <w:p>
      <w:pPr>
        <w:spacing w:before="0" w:after="120"/>
      </w:pPr>
      <w:r>
        <w:rPr>
          <w:b/>
        </w:rPr>
        <w:t xml:space="preserve">Source: </w:t>
      </w:r>
      <w:r>
        <w:t>RSC - Energy Environ. Sci. latest articles</w:t>
      </w:r>
      <w:r>
        <w:t xml:space="preserve">    </w:t>
      </w:r>
      <w:r>
        <w:rPr>
          <w:b/>
        </w:rPr>
        <w:t xml:space="preserve">Pub date: </w:t>
      </w:r>
      <w:r>
        <w:t>2026-04-27 23:00:00+00:00</w:t>
      </w:r>
    </w:p>
    <w:p>
      <w:pPr>
        <w:spacing w:before="0" w:after="120"/>
      </w:pPr>
      <w:r>
        <w:rPr>
          <w:b/>
        </w:rPr>
        <w:t xml:space="preserve">Notes: </w:t>
      </w:r>
      <w:r>
        <w:t>abstract_source=rsc_html</w:t>
      </w:r>
    </w:p>
    <w:p>
      <w:pPr>
        <w:spacing w:before="0" w:after="80" w:lineRule="auto" w:line="276"/>
      </w:pPr>
      <w:r>
        <w:rPr>
          <w:b/>
        </w:rPr>
        <w:t xml:space="preserve">摘要（ZH）: </w:t>
      </w:r>
      <w:r>
        <w:t>采用金属玻璃（MG）合金是一种有前景的策略，可以克服钾离子电池（PIBs）负极的挑战，包括严重的体积膨胀、缓慢的动力学和容量限制。然而，过多的MG会导致低库仑效率和循环稳定性差。在此，我们提出了变形诱导膨胀模型，以构建MG的动态局部域来控制非晶化程度。通过选择双金属间化合物Cu2Sb@SbBi2异质结复合材料作为PIBs的负极，MG动态局部域的优势得到了充分证明。嵌入型Cu2Sb和合金型SbBi2之间的界面将产生巨大的膨胀缠结，这是由于异质结的两种不同钾化/去钾化行为导致的体积变化巨大差异。结果，由于变形诱导的膨胀机制，生成了MG的动态局部域。得益于这种具有MG动态局部域的独特特性，Cu2Sb@SbBi2负极提供了672 mAh g-1的高可逆容量和84.6%的初始库仑效率。这项工作展示了一种动态局部域非晶化调控工程方法，以实现高性能合金负极用于PIBs。</w:t>
      </w:r>
    </w:p>
    <w:p>
      <w:pPr>
        <w:spacing w:before="0" w:after="200" w:lineRule="auto" w:line="276"/>
      </w:pPr>
      <w:r>
        <w:rPr>
          <w:b/>
        </w:rPr>
        <w:t xml:space="preserve">Abstract (EN): </w:t>
      </w:r>
      <w:r>
        <w:t>Alloys with metallic glasses (MG) is a promising strategy to overcome the challenges, including severe volume expansion, sluggish kinetics, and limiting capacity, as anodes for potassium-ion batteries (PIBs). However, excessive MG will lead to low Coulombic efficiency and poor cycling stability. Here, we propose model of deformation-induced dilatation to construct the dynamic localized domains of MG to control the amorphization degree. By selecting the dual-intermetallic Cu2Sb@SbBi2 heterojunctional composite as anode for PIBs, the advantages of dynamic localized domains of MG are well proved. The interface between intercalation-type Cu2Sb and alloy-type SbBi2 will generate huge dilatation entanglement owing to the huge difference in volume variety deriving from two distinctive potassiation/depotassiation behaviours of heterojunction. As a result, the dynamic localized domains of MG are generated owing to the deformation-induced dilatation mechanism. Benefiting from this distinctive feature with dynamic localized domains of MG, the Cu2Sb@SbBi2 anode delivers a high reversible capacity of 672 mAh g-1 and an initial Coulombic efficiency of 84.6%. This work demonstrates a dynamic localized domains amorphization regulation engineering approach to achieve high-performance alloy anodes for PIBs.</w:t>
      </w:r>
    </w:p>
    <w:p>
      <w:pPr>
        <w:spacing w:before="120" w:after="120"/>
      </w:pPr>
      <w:r>
        <w:rPr>
          <w:sz w:val="18"/>
        </w:rPr>
        <w:t>——————————————————————————————————————————————————————————————————————</w:t>
      </w:r>
    </w:p>
    <w:p>
      <w:pPr>
        <w:spacing w:before="160" w:after="40" w:line="240" w:lineRule="auto"/>
      </w:pPr>
      <w:r>
        <w:rPr>
          <w:b/>
        </w:rPr>
        <w:t xml:space="preserve">[5] </w:t>
      </w:r>
      <w:hyperlink r:id="rId67">
        <w:r>
          <w:rPr>
            <w:color w:val="1155CC"/>
            <w:u w:val="single"/>
          </w:rPr>
          <w:t>[ASAP] 椰子启发的三壳结构硅/碳负极用于耐用的锂离子电池</w:t>
        </w:r>
      </w:hyperlink>
    </w:p>
    <w:p>
      <w:pPr>
        <w:spacing w:before="0" w:after="80"/>
      </w:pPr>
      <w:r>
        <w:rPr>
          <w:i/>
          <w:sz w:val="20"/>
        </w:rPr>
        <w:t>EN: [ASAP] Coconut-Inspired Sandwich Three-Shell-Structured Silicon/Carbon Anode for Durable Lithium-Ion Batteries</w:t>
      </w:r>
    </w:p>
    <w:p>
      <w:pPr>
        <w:spacing w:before="0" w:after="120"/>
      </w:pPr>
      <w:r>
        <w:rPr>
          <w:b/>
        </w:rPr>
        <w:t xml:space="preserve">Source: </w:t>
      </w:r>
      <w:r>
        <w:t>ACS Energy Letters: Latest Articles (ACS Publications)</w:t>
      </w:r>
      <w:r>
        <w:t xml:space="preserve">    </w:t>
      </w:r>
      <w:r>
        <w:rPr>
          <w:b/>
        </w:rPr>
        <w:t xml:space="preserve">Pub date: </w:t>
      </w:r>
      <w:r>
        <w:t>2026-04-29 12:40:54+00:00</w:t>
      </w:r>
      <w:r>
        <w:t xml:space="preserve">    </w:t>
      </w:r>
      <w:r>
        <w:rPr>
          <w:b/>
        </w:rPr>
        <w:t xml:space="preserve">DOI: </w:t>
      </w:r>
      <w:hyperlink r:id="rId68">
        <w:r>
          <w:rPr>
            <w:color w:val="1155CC"/>
            <w:u w:val="single"/>
          </w:rPr>
          <w:t>10.1021/acsenergylett.6c00810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【电解质】</w:t>
      </w:r>
    </w:p>
    <w:p>
      <w:pPr>
        <w:spacing w:before="160" w:after="40" w:line="240" w:lineRule="auto"/>
      </w:pPr>
      <w:r>
        <w:rPr>
          <w:b/>
        </w:rPr>
        <w:t xml:space="preserve">[1] </w:t>
      </w:r>
      <w:hyperlink r:id="rId69">
        <w:r>
          <w:rPr>
            <w:color w:val="1155CC"/>
            <w:u w:val="single"/>
          </w:rPr>
          <w:t>溶剂-阴离子平衡电解质实现高倍率镁金属电池</w:t>
        </w:r>
      </w:hyperlink>
    </w:p>
    <w:p>
      <w:pPr>
        <w:spacing w:before="0" w:after="80"/>
      </w:pPr>
      <w:r>
        <w:rPr>
          <w:i/>
          <w:sz w:val="20"/>
        </w:rPr>
        <w:t>EN: Solvent–Anion Counterpoised Electrolyte Enables High‐Rate Magnesium Metal Batteries</w:t>
      </w:r>
    </w:p>
    <w:p>
      <w:pPr>
        <w:spacing w:before="0" w:after="120"/>
      </w:pPr>
      <w:r>
        <w:rPr>
          <w:b/>
        </w:rPr>
        <w:t xml:space="preserve">Source: </w:t>
      </w:r>
      <w:r>
        <w:t>Wiley: Angewandte Chemie International Edition: Table of Contents</w:t>
      </w:r>
      <w:r>
        <w:t xml:space="preserve">    </w:t>
      </w:r>
      <w:r>
        <w:rPr>
          <w:b/>
        </w:rPr>
        <w:t xml:space="preserve">Pub date: </w:t>
      </w:r>
      <w:r>
        <w:t>2026-04-25 05:56:05+00:00</w:t>
      </w:r>
      <w:r>
        <w:t xml:space="preserve">    </w:t>
      </w:r>
      <w:r>
        <w:rPr>
          <w:b/>
        </w:rPr>
        <w:t xml:space="preserve">DOI: </w:t>
      </w:r>
      <w:hyperlink r:id="rId70">
        <w:r>
          <w:rPr>
            <w:color w:val="1155CC"/>
            <w:u w:val="single"/>
          </w:rPr>
          <w:t>10.1002/anie.2598559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镁电池是有前景的后锂能源存储候选者，但由于镁离子（Mg2+）解溶的高能量障碍，导致电荷转移动力学缓慢。在此，我们解决了由Mg2+的高电荷密度引起的紧凑且顽固的溶剂化鞘，其特征是强静电结合。为了有效削弱配位强度并降低解溶障碍，我们利用机器学习识别在能量上平衡Mg2+‐溶剂和Mg2+‐阴离子相互作用的电解质。这种平衡状态导致溶剂化壳的全面削弱。通过原位拉曼光谱验证，这种环境促进了同步解溶路径，并诱导了基于MgH2的固态电解质界面，根本上加速了界面动力学。筛选出的胺基电解质在1 mA cm−2下实现了0.06 V的低过电位Mg2+还原，全电池在高倍率性能下维持50 C循环，Mg/氟化碳电池在0.5 C下提供918 mAh g−1。这一范式将设计重点从单一溶剂化转向多价电解质中的集体能量平衡。</w:t>
      </w:r>
    </w:p>
    <w:p>
      <w:pPr>
        <w:spacing w:before="0" w:after="200" w:lineRule="auto" w:line="276"/>
      </w:pPr>
      <w:r>
        <w:rPr>
          <w:b/>
        </w:rPr>
        <w:t xml:space="preserve">Abstract (EN): </w:t>
      </w:r>
      <w:r>
        <w:t>Magnesium batteries are compelling post‐lithium energy storage candidates but suffer from sluggish charge transfer kinetics, fundamentally restricted by the high energy barrier of Mg</w:t>
      </w:r>
      <w:r>
        <w:t xml:space="preserve"> </w:t>
      </w:r>
      <w:r>
        <w:t>2+</w:t>
      </w:r>
      <w:r>
        <w:t xml:space="preserve"> </w:t>
      </w:r>
      <w:r>
        <w:t>desolvation. Herein, we address the compact and tenacious solvation sheath induced by the high charge density of Mg</w:t>
      </w:r>
      <w:r>
        <w:t xml:space="preserve"> </w:t>
      </w:r>
      <w:r>
        <w:t>2+</w:t>
      </w:r>
      <w:r>
        <w:t xml:space="preserve"> </w:t>
      </w:r>
      <w:r>
        <w:t>, characterized by strong electrostatic binding. To effectively weaken the coordination strength and lower the desolvation barrier, we utilize machine learning to identify electrolytes that energetically balance Mg</w:t>
      </w:r>
      <w:r>
        <w:t xml:space="preserve"> </w:t>
      </w:r>
      <w:r>
        <w:t>2+</w:t>
      </w:r>
      <w:r>
        <w:t xml:space="preserve"> </w:t>
      </w:r>
      <w:r>
        <w:t>‐solvent and Mg</w:t>
      </w:r>
      <w:r>
        <w:t xml:space="preserve"> </w:t>
      </w:r>
      <w:r>
        <w:t>2+</w:t>
      </w:r>
      <w:r>
        <w:t xml:space="preserve"> </w:t>
      </w:r>
      <w:r>
        <w:t>‐anion interactions. This counterpoise state leads to a comprehensive weakening of the solvation shell. As corroborated by in situ Raman spectroscopy, this environment facilitates a synchronous desolvation pathway and induces a robust MgH</w:t>
      </w:r>
      <w:r>
        <w:rPr>
          <w:vertAlign w:val="subscript"/>
        </w:rPr>
        <w:t>2</w:t>
      </w:r>
      <w:r>
        <w:t>‐based solid‐electrolyte interphase, fundamentally accelerating interfacial kinetics. The screened amine‐based electrolyte empowers low‐overpotential Mg</w:t>
      </w:r>
      <w:r>
        <w:t xml:space="preserve"> </w:t>
      </w:r>
      <w:r>
        <w:t>2+</w:t>
      </w:r>
      <w:r>
        <w:t xml:space="preserve"> </w:t>
      </w:r>
      <w:r>
        <w:t>reduction of 0.06 V at 1 mA cm</w:t>
      </w:r>
      <w:r>
        <w:t xml:space="preserve"> </w:t>
      </w:r>
      <w:r>
        <w:t>−2</w:t>
      </w:r>
      <w:r>
        <w:t xml:space="preserve"> </w:t>
      </w:r>
      <w:r>
        <w:t>, and full cells with high‐rate performance sustain 50 C cycling, and a Mg/fluorinated carbon cell delivers 918 mAh g</w:t>
      </w:r>
      <w:r>
        <w:t xml:space="preserve"> </w:t>
      </w:r>
      <w:r>
        <w:t>−1</w:t>
      </w:r>
      <w:r>
        <w:t xml:space="preserve"> </w:t>
      </w:r>
      <w:r>
        <w:t>at 0.5 C. This paradigm shifts the design focus from individual solvation to collective energy equilibration in multivalent electrolytes.</w:t>
      </w:r>
    </w:p>
    <w:p>
      <w:pPr>
        <w:spacing w:before="120" w:after="120"/>
      </w:pPr>
      <w:r>
        <w:rPr>
          <w:sz w:val="18"/>
        </w:rPr>
        <w:t>——————————————————————————————————————————————————————————————————————</w:t>
      </w:r>
    </w:p>
    <w:p>
      <w:pPr>
        <w:spacing w:before="160" w:after="40" w:line="240" w:lineRule="auto"/>
      </w:pPr>
      <w:r>
        <w:rPr>
          <w:b/>
        </w:rPr>
        <w:t xml:space="preserve">[2] </w:t>
      </w:r>
      <w:hyperlink r:id="rId71">
        <w:r>
          <w:rPr>
            <w:color w:val="1155CC"/>
            <w:u w:val="single"/>
          </w:rPr>
          <w:t>固态电池中的自加热和热梯度：朋友还是敌人？</w:t>
        </w:r>
      </w:hyperlink>
    </w:p>
    <w:p>
      <w:pPr>
        <w:spacing w:before="0" w:after="80"/>
      </w:pPr>
      <w:r>
        <w:rPr>
          <w:i/>
          <w:sz w:val="20"/>
        </w:rPr>
        <w:t>EN: Self‐Heating and Thermal Gradient in Solid‐State Batteries: Friend or Foe?</w:t>
      </w:r>
    </w:p>
    <w:p>
      <w:pPr>
        <w:spacing w:before="0" w:after="120"/>
      </w:pPr>
      <w:r>
        <w:rPr>
          <w:b/>
        </w:rPr>
        <w:t xml:space="preserve">Source: </w:t>
      </w:r>
      <w:r>
        <w:t>Wiley: Advanced Energy Materials: Table of Contents</w:t>
      </w:r>
      <w:r>
        <w:t xml:space="preserve">    </w:t>
      </w:r>
      <w:r>
        <w:rPr>
          <w:b/>
        </w:rPr>
        <w:t xml:space="preserve">Pub date: </w:t>
      </w:r>
      <w:r>
        <w:t>2026-04-25 06:06:53+00:00</w:t>
      </w:r>
      <w:r>
        <w:t xml:space="preserve">    </w:t>
      </w:r>
      <w:r>
        <w:rPr>
          <w:b/>
        </w:rPr>
        <w:t xml:space="preserve">DOI: </w:t>
      </w:r>
      <w:hyperlink r:id="rId72">
        <w:r>
          <w:rPr>
            <w:color w:val="1155CC"/>
            <w:u w:val="single"/>
          </w:rPr>
          <w:t>10.1002/aenm.70978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电池（SSBs）因其优越的能量和功率密度以及增强的安全性，有望应对电动交通日益增长的需求。实现其潜力需要克服基本的机制挑战，包括固体-固体点接触、化学-机械相互作用和界面不稳定性。在此，我们揭示了操作过程中动态热-电化学梯度和内在热生成的根本起源。通过利用其在热调节环境下的自加热特征，我们划定了整合材料、电极配置和操作模式的设计空间，从而通过增强的热响应性实现性能改进。热梯度的方向性受到阴极结构的关键影响，并与由此产生的温度分布、梯度和界面稳定性相关。此外，我们提出了转向无阳极SSBs的有力理由，这种电池通过自加热实现更大的热利用和性能收益。我们基于机制中心的SSB设计的新颖生成-保留-强化-引导（GRID）工作流程，强调其内在的热特征是高功率应用的关键杠杆。</w:t>
      </w:r>
    </w:p>
    <w:p>
      <w:pPr>
        <w:spacing w:before="0" w:after="200" w:lineRule="auto" w:line="276"/>
      </w:pPr>
      <w:r>
        <w:rPr>
          <w:b/>
        </w:rPr>
        <w:t xml:space="preserve">Abstract (EN): </w:t>
      </w:r>
      <w:r>
        <w:t>Solid‐state batteries (SSBs) are poised to tackle the growing demands of electrified mobility due to their superior energy and power density with enhanced safety. Realizing their potential necessitates overcoming fundamental mechanistic challenges, including solid–solid point contacts, chemo–mechanical interactions, and interfacial instability. Here, we uncover the underpinning origins of dynamic thermo‐electrochemical gradients and intrinsic heat generation during operation. By harnessing their self‐heating signature under thermally modulated environments, we delineate design spaces that integrate materials, electrode configurations, and operational regimes, enabling performance improvements through enhanced thermal responsiveness. The directionality of thermal gradients is critically informed by the cathode architecture and correlates to the resulting temperature profiles, gradients, and interface stability. Further, we present a compelling case for transitioning to anode‐free SSBs that yield greater thermal utilization and performance benefits from self‐heating. Our novel Generate‐Retain‐Intensify‐Direct (GRID) workflow based on a mechanism‐centric SSB design, highlights its intrinsic thermal signature as a key lever for high‐power applications.</w:t>
      </w:r>
    </w:p>
    <w:p>
      <w:pPr>
        <w:spacing w:before="120" w:after="120"/>
      </w:pPr>
      <w:r>
        <w:rPr>
          <w:sz w:val="18"/>
        </w:rPr>
        <w:t>——————————————————————————————————————————————————————————————————————</w:t>
      </w:r>
    </w:p>
    <w:p>
      <w:pPr>
        <w:spacing w:before="160" w:after="40" w:line="240" w:lineRule="auto"/>
      </w:pPr>
      <w:r>
        <w:rPr>
          <w:b/>
        </w:rPr>
        <w:t xml:space="preserve">[3] </w:t>
      </w:r>
      <w:hyperlink r:id="rId73">
        <w:r>
          <w:rPr>
            <w:color w:val="1155CC"/>
            <w:u w:val="single"/>
          </w:rPr>
          <w:t>通过双重抑制阳极枝晶和阴极阳离子无序增强长循环NCM-Li全固态电池的内部磁场</w:t>
        </w:r>
      </w:hyperlink>
    </w:p>
    <w:p>
      <w:pPr>
        <w:spacing w:before="0" w:after="80"/>
      </w:pPr>
      <w:r>
        <w:rPr>
          <w:i/>
          <w:sz w:val="20"/>
        </w:rPr>
        <w:t>EN: Enhanced Internal Magnetic Field for Long‐Cycle NCM‐Li All‐Solid‐State Batteries via Dual‐Inhibition of Anode Dendrite and Cathode Cation Disorder</w:t>
      </w:r>
    </w:p>
    <w:p>
      <w:pPr>
        <w:spacing w:before="0" w:after="120"/>
      </w:pPr>
      <w:r>
        <w:rPr>
          <w:b/>
        </w:rPr>
        <w:t xml:space="preserve">Source: </w:t>
      </w:r>
      <w:r>
        <w:t>Wiley: Advanced Materials: Table of Contents</w:t>
      </w:r>
      <w:r>
        <w:t xml:space="preserve">    </w:t>
      </w:r>
      <w:r>
        <w:rPr>
          <w:b/>
        </w:rPr>
        <w:t xml:space="preserve">Pub date: </w:t>
      </w:r>
      <w:r>
        <w:t>2026-04-25 11:08:25+00:00</w:t>
      </w:r>
      <w:r>
        <w:t xml:space="preserve">    </w:t>
      </w:r>
      <w:r>
        <w:rPr>
          <w:b/>
        </w:rPr>
        <w:t xml:space="preserve">DOI: </w:t>
      </w:r>
      <w:hyperlink r:id="rId74">
        <w:r>
          <w:rPr>
            <w:color w:val="1155CC"/>
            <w:u w:val="single"/>
          </w:rPr>
          <w:t>10.1002/adma.73186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固态电池结合了锂金属负极和高电压富镍层状氧化物（LiNixCoyMn1–x–yO2，x ≥ 0.8）（NCM）正极，为下一代电池提供了高能量密度的前景。尽管固态电解质预计会在安全性和性能上优于传统液态电解质，但它们仍未能防止负极表面不均匀的锂沉积。此外，虽然固态电解质可以部分抑制正极-电解质界面的寄生反应，但缓解由Li/Ni反位无序引起的结构退化仍然具有挑战性。在此，我们通过在固态电解质中加入Fe3O4纳米棒，展示了电池循环过程中内部磁场增强两个数量级。增强的磁场通过磁流体动力学效应改变了锂离子在负极上的沉积行为，并同时通过调节Ni3+的自旋态抑制了正极的结构退化。增强的内部磁场贯穿整个NCM||Li全固态电池的生命周期，提高了其循环稳定性。</w:t>
      </w:r>
    </w:p>
    <w:p>
      <w:pPr>
        <w:spacing w:before="0" w:after="200" w:lineRule="auto" w:line="276"/>
      </w:pPr>
      <w:r>
        <w:rPr>
          <w:b/>
        </w:rPr>
        <w:t xml:space="preserve">Abstract (EN): </w:t>
      </w:r>
      <w:r>
        <w:t>Solid‐state batteries, which incorporate a Li metal anode and a high‐voltage Ni‐rich layered oxide (LiNi</w:t>
      </w:r>
      <w:r>
        <w:t xml:space="preserve"> </w:t>
      </w:r>
      <w:r>
        <w:t>x</w:t>
      </w:r>
      <w:r>
        <w:t xml:space="preserve"> </w:t>
      </w:r>
      <w:r>
        <w:t>Co</w:t>
      </w:r>
      <w:r>
        <w:t xml:space="preserve"> </w:t>
      </w:r>
      <w:r>
        <w:t>y</w:t>
      </w:r>
      <w:r>
        <w:t xml:space="preserve"> </w:t>
      </w:r>
      <w:r>
        <w:t>Mn</w:t>
      </w:r>
      <w:r>
        <w:t xml:space="preserve"> </w:t>
      </w:r>
      <w:r>
        <w:t>1–x–y</w:t>
      </w:r>
      <w:r>
        <w:t xml:space="preserve"> </w:t>
      </w:r>
      <w:r>
        <w:t>O</w:t>
      </w:r>
      <w:r>
        <w:rPr>
          <w:vertAlign w:val="subscript"/>
        </w:rPr>
        <w:t>2</w:t>
      </w:r>
      <w:r>
        <w:t>,</w:t>
      </w:r>
      <w:r>
        <w:t xml:space="preserve"> </w:t>
      </w:r>
      <w:r>
        <w:t>x</w:t>
      </w:r>
      <w:r>
        <w:t xml:space="preserve"> </w:t>
      </w:r>
      <w:r>
        <w:t>≥ 0.8) (NCM) cathode, offer the promise of high energy density for next‐generation batteries. Although solid‐state electrolytes are anticipated to enhance safety and performance over conventional liquid‐state electrolytes, they still fail to prevent non‐uniform lithium deposition on the anode surface. Moreover, while solid‐state electrolytes can partially suppress parasitic reactions at the cathode‐electrolyte interface, mitigating structural degradation caused by Li/Ni antisite disorder remains challenging. Herein, we demonstrate a two‐orders‐of‐magnitude enhancement in the internal magnetic field during battery cycling by incorporating Fe</w:t>
      </w:r>
      <w:r>
        <w:rPr>
          <w:vertAlign w:val="subscript"/>
        </w:rPr>
        <w:t>3</w:t>
      </w:r>
      <w:r>
        <w:t>O</w:t>
      </w:r>
      <w:r>
        <w:rPr>
          <w:vertAlign w:val="subscript"/>
        </w:rPr>
        <w:t>4</w:t>
      </w:r>
      <w:r>
        <w:t>nanorods within the solid electrolyte. The strengthened magnetic field alters the deposition behavior of lithium ions on the anode via the magnetohydrodynamic effect and, concurrently, suppresses the structural degradation of the cathode by regulating the spin state of Ni</w:t>
      </w:r>
      <w:r>
        <w:rPr>
          <w:vertAlign w:val="subscript"/>
        </w:rPr>
        <w:t>3</w:t>
      </w:r>
      <w:r>
        <w:t>+</w:t>
      </w:r>
      <w:r>
        <w:t xml:space="preserve"> </w:t>
      </w:r>
      <w:r>
        <w:t>. The enhanced internal magnetic field applies throughout the entire life of the NCM||Li all‐solid‐state battery, improving its cycling stability. Unlike external magnetic fields, this internal approach requires no complex equipment and avoids integration challenges.</w:t>
      </w:r>
    </w:p>
    <w:p>
      <w:pPr>
        <w:spacing w:before="120" w:after="120"/>
      </w:pPr>
      <w:r>
        <w:rPr>
          <w:sz w:val="18"/>
        </w:rPr>
        <w:t>——————————————————————————————————————————————————————————————————————</w:t>
      </w:r>
    </w:p>
    <w:p>
      <w:pPr>
        <w:spacing w:before="160" w:after="40" w:line="240" w:lineRule="auto"/>
      </w:pPr>
      <w:r>
        <w:rPr>
          <w:b/>
        </w:rPr>
        <w:t xml:space="preserve">[4] </w:t>
      </w:r>
      <w:hyperlink r:id="rId75">
        <w:r>
          <w:rPr>
            <w:color w:val="1155CC"/>
            <w:u w:val="single"/>
          </w:rPr>
          <w:t>[ASAP] 金属–硫电池中固态电解质的进展与前景</w:t>
        </w:r>
      </w:hyperlink>
    </w:p>
    <w:p>
      <w:pPr>
        <w:spacing w:before="0" w:after="80"/>
      </w:pPr>
      <w:r>
        <w:rPr>
          <w:i/>
          <w:sz w:val="20"/>
        </w:rPr>
        <w:t>EN: [ASAP] Progress and Prospects of Solid-State Electrolytes in Metal–Sulfur Batteries</w:t>
      </w:r>
    </w:p>
    <w:p>
      <w:pPr>
        <w:spacing w:before="0" w:after="120"/>
      </w:pPr>
      <w:r>
        <w:rPr>
          <w:b/>
        </w:rPr>
        <w:t xml:space="preserve">Source: </w:t>
      </w:r>
      <w:r>
        <w:t>ACS Energy Letters: Latest Articles (ACS Publications)</w:t>
      </w:r>
      <w:r>
        <w:t xml:space="preserve">    </w:t>
      </w:r>
      <w:r>
        <w:rPr>
          <w:b/>
        </w:rPr>
        <w:t xml:space="preserve">Pub date: </w:t>
      </w:r>
      <w:r>
        <w:t>2026-04-27 10:48:46+00:00</w:t>
      </w:r>
      <w:r>
        <w:t xml:space="preserve">    </w:t>
      </w:r>
      <w:r>
        <w:rPr>
          <w:b/>
        </w:rPr>
        <w:t xml:space="preserve">DOI: </w:t>
      </w:r>
      <w:hyperlink r:id="rId76">
        <w:r>
          <w:rPr>
            <w:color w:val="1155CC"/>
            <w:u w:val="single"/>
          </w:rPr>
          <w:t>10.1021/acsenergylett.5c03200</w:t>
        </w:r>
      </w:hyperlink>
    </w:p>
    <w:p>
      <w:pPr>
        <w:spacing w:before="0" w:after="120"/>
      </w:pPr>
      <w:r>
        <w:rPr>
          <w:b/>
        </w:rPr>
        <w:t xml:space="preserve">Notes: </w:t>
      </w:r>
      <w:r>
        <w:t>abstract_source=openalex</w:t>
      </w:r>
    </w:p>
    <w:p>
      <w:pPr>
        <w:spacing w:before="0" w:after="80" w:lineRule="auto" w:line="276"/>
      </w:pPr>
      <w:r>
        <w:rPr>
          <w:b/>
        </w:rPr>
        <w:t xml:space="preserve">摘要（ZH）: </w:t>
      </w:r>
      <w:r>
        <w:t>金属-硫（M-S）电池，包括锂-硫（Li-S）、钠-硫（Na-S）、锌-硫（Zn-S）和镁-硫（Mg-S），结合了非常高的理论容量、低活性材料成本和对过渡金属的最小依赖。它们的实际应用仍然受到多硫化物溶解、阴极导电性差、体积变化大以及金属阳极枝晶形成的限制。本文综述了基于无机陶瓷、聚合物和混合框架的固态电解质（SSEs），这些电解质正在开发以解决这些问题。我们采用以界面为中心的问题解决视角，讨论SSE离子传输、界面化学和机械性能如何共同控制多硫化物的限制、硫的利用、体积变化的适应性和金属阳极的稳定性。通过比较代表性系统，我们提取了复合结构和界面工程的设计规则。剩余的挑战包括适中的室温导电性、界面电阻、脆性和可扩展加工，并为安全、高能量密度的M-S电池提出了未来的研究方向。</w:t>
      </w:r>
    </w:p>
    <w:p>
      <w:pPr>
        <w:spacing w:before="0" w:after="200" w:lineRule="auto" w:line="276"/>
      </w:pPr>
      <w:r>
        <w:rPr>
          <w:b/>
        </w:rPr>
        <w:t xml:space="preserve">Abstract (EN): </w:t>
      </w:r>
      <w:r>
        <w:t>Metal–sulfur (M-S) batteries, including lithium–sulfur (Li–S), sodium–sulfur (Na–S), zinc–sulfur (Zn–S), and magnesium–sulfur (Mg–S), combine very high theoretical capacities with low active-material cost and minimal reliance on transition metals. Their practical deployment is still limited by polysulfide dissolution, poor cathode conductivity, large volume change, and dendrite formation at metal anodes. This review focuses on solid-state electrolytes (SSEs) based on inorganic ceramics, polymers, and hybrid frameworks that are being developed to address these issues. We adopt an interphase-centered, problem-solving perspective and discuss how SSE ionic transport, interfacial chemistry, and mechanical properties jointly control polysulfide confinement, sulfur utilization, volume-change accommodation, and metal-anode stability. By comparing representative systems, we extract design rules for composite architecture and interface engineering. Remaining challenges, including modest room-temperature conductivity, interfacial resistance, brittleness, and scalable processing, are highlighted, and future research directions are outlined for safe, high-energy-density M-S batteries.</w:t>
      </w:r>
    </w:p>
    <w:p>
      <w:pPr>
        <w:spacing w:before="120" w:after="120"/>
      </w:pPr>
      <w:r>
        <w:rPr>
          <w:sz w:val="18"/>
        </w:rPr>
        <w:t>——————————————————————————————————————————————————————————————————————</w:t>
      </w:r>
    </w:p>
    <w:p>
      <w:pPr>
        <w:spacing w:before="160" w:after="40" w:line="240" w:lineRule="auto"/>
      </w:pPr>
      <w:r>
        <w:rPr>
          <w:b/>
        </w:rPr>
        <w:t xml:space="preserve">[5] </w:t>
      </w:r>
      <w:hyperlink r:id="rId77">
        <w:r>
          <w:rPr>
            <w:color w:val="1155CC"/>
            <w:u w:val="single"/>
          </w:rPr>
          <w:t>[ASAP] 无氟醚的去甲基化以协调Li+传输动力学和氧化稳定性</w:t>
        </w:r>
      </w:hyperlink>
    </w:p>
    <w:p>
      <w:pPr>
        <w:spacing w:before="0" w:after="80"/>
      </w:pPr>
      <w:r>
        <w:rPr>
          <w:i/>
          <w:sz w:val="20"/>
        </w:rPr>
        <w:t>EN: [ASAP] Demethylation of Fluorine-Free Ethers to Reconcile Li+ Transport Kinetics and Oxidation Stability</w:t>
      </w:r>
    </w:p>
    <w:p>
      <w:pPr>
        <w:spacing w:before="0" w:after="120"/>
      </w:pPr>
      <w:r>
        <w:rPr>
          <w:b/>
        </w:rPr>
        <w:t xml:space="preserve">Source: </w:t>
      </w:r>
      <w:r>
        <w:t>Journal of the American Chemical Society: Latest Articles (ACS Publications)</w:t>
      </w:r>
      <w:r>
        <w:t xml:space="preserve">    </w:t>
      </w:r>
      <w:r>
        <w:rPr>
          <w:b/>
        </w:rPr>
        <w:t xml:space="preserve">Pub date: </w:t>
      </w:r>
      <w:r>
        <w:t>2026-04-28 19:31:44+00:00</w:t>
      </w:r>
      <w:r>
        <w:t xml:space="preserve">    </w:t>
      </w:r>
      <w:r>
        <w:rPr>
          <w:b/>
        </w:rPr>
        <w:t xml:space="preserve">DOI: </w:t>
      </w:r>
      <w:hyperlink r:id="rId78">
        <w:r>
          <w:rPr>
            <w:color w:val="1155CC"/>
            <w:u w:val="single"/>
          </w:rPr>
          <w:t>10.1021/jacs.6c00214</w:t>
        </w:r>
      </w:hyperlink>
    </w:p>
    <w:p>
      <w:pPr>
        <w:spacing w:before="0" w:after="120"/>
      </w:pPr>
      <w:r>
        <w:rPr>
          <w:b/>
        </w:rPr>
        <w:t xml:space="preserve">Notes: </w:t>
      </w:r>
      <w:r>
        <w:t>abstract_source=pubmed</w:t>
      </w:r>
    </w:p>
    <w:p>
      <w:pPr>
        <w:spacing w:before="0" w:after="80" w:lineRule="auto" w:line="276"/>
      </w:pPr>
      <w:r>
        <w:rPr>
          <w:b/>
        </w:rPr>
        <w:t xml:space="preserve">摘要（ZH）: </w:t>
      </w:r>
      <w:r>
        <w:t>Li+传输动力学和氧化稳定性在快速充电和低温电解质设计中往往相互制约。现有策略主要依赖于含氟溶剂、稀释剂和添加剂形成富含无机氟的界面层，以促进界面Li+去溶剂化并抑制电极和电解质的降解。然而，这些方法通常会引发环境和成本问题，同时限制了盐的解离和Li+在体相电解质中的传导。在此，我们报告了无氟醚的去甲基化同时减少了空间位阻并削弱了超共轭自由基稳定性，从而在保持石墨结构完整性和增强氧化稳定性的同时实现了快速Li+传导和去溶剂化。这一策略与广泛采用的甲基化方法相反，后者通过甲基取代减少反应性α-H位点以实现弱溶剂化电解质和增强的氧化阻力。作为概念验证，从2,5-二甲基四氢呋喃（2,5-THF）到2-甲基四氢呋喃（2-THF）最终到四氢呋喃（THF）的逐步去甲基化促进了双(氟磺酰)亚胺锂（LiFSI）的解离并提高了固有的分子稳定性。此外，在负极和正极表面形成的有效无机富氟界面层确保了快速Li+去溶剂化和电化学稳定性。配制的电解质的1 Ah石墨∥LiNi0.8Co0.1Mn0.1O2软包电池在室温下以1C（1000次循环）保持85.14%的容量</w:t>
      </w:r>
    </w:p>
    <w:p>
      <w:pPr>
        <w:spacing w:before="0" w:after="200" w:lineRule="auto" w:line="276"/>
      </w:pPr>
      <w:r>
        <w:rPr>
          <w:b/>
        </w:rPr>
        <w:t xml:space="preserve">Abstract (EN): </w:t>
      </w:r>
      <w:r>
        <w:t>Li+ transport kinetics and oxidation stability are often mutually constrained in fast-charging and low-temperature electrolyte design. Existing strategies rely heavily on fluorinated solvents, diluents, and additives to form inorganic fluorine-rich interphases that facilitate interfacial Li+ desolvation and suppress electrode and electrolyte degradation. However, these approaches often raise environmental and cost concerns while limiting the salt dissociation and Li+ conduction in bulk electrolytes. Herein, we report that demethylation of fluorine-free ethers simultaneously reduces steric hindrance and weakens hyperconjugative radical stabilization, thereby enabling fast Li+ conduction and desolvation while preserving graphite structural integrity and enhancing oxidation stability. This strategy is the inverse of the widely adopted methylation approach, where methyl substitution reduces reactive α-H sites to achieve weakly solvating electrolytes and enhanced oxidation resistance. As a proof of concept, stepwise demethylation from 2,5-dimethyltetrahydrofuran (2,5-THF) to 2-methyltetrahydrofuran (2-THF) and ultimately to tetrahydrofuran (THF) facilitates the dissociation of lithium bis(fluorosulfonyl)imide (LiFSI) and improves the inherent molecular stability. Moreover, the effective inorganic fluorine-rich interphase formed at both negative and positive electrode surfaces ensures fast Li+ desolvation and electrochemical stability. The 1 Ah graphite∥LiNi0.8Co0.1Mn0.1O2 pouch cell with the formulated electrolyte retains 85.14% capacity at 1C (1000 cycles) under room temperature and 80.31% at 0.2C (200 cycles) under -20 °C. Our demethylation strategy expands molecular design principles of electrolyte solvents, advancing the development of robust lithium-ion batteries capable of operating under extreme conditions.</w:t>
      </w:r>
    </w:p>
    <w:p>
      <w:pPr>
        <w:spacing w:before="120" w:after="120"/>
      </w:pPr>
      <w:r>
        <w:rPr>
          <w:sz w:val="18"/>
        </w:rPr>
        <w:t>——————————————————————————————————————————————————————————————————————</w:t>
      </w:r>
    </w:p>
    <w:p>
      <w:pPr>
        <w:spacing w:before="160" w:after="40" w:line="240" w:lineRule="auto"/>
      </w:pPr>
      <w:r>
        <w:rPr>
          <w:b/>
        </w:rPr>
        <w:t xml:space="preserve">[6] </w:t>
      </w:r>
      <w:hyperlink r:id="rId56">
        <w:r>
          <w:rPr>
            <w:color w:val="1155CC"/>
            <w:u w:val="single"/>
          </w:rPr>
          <w:t>协同电流收集器和电解质添加剂实现低N/P比的10,000次循环锌碘电池</w:t>
        </w:r>
      </w:hyperlink>
    </w:p>
    <w:p>
      <w:pPr>
        <w:spacing w:before="0" w:after="80"/>
      </w:pPr>
      <w:r>
        <w:rPr>
          <w:i/>
          <w:sz w:val="20"/>
        </w:rPr>
        <w:t>EN: Synergistic Current Collector and Electrolyte Additive Enable 10 000‐Cycle Zinc Iodine Batteries with Low N/P Ratios</w:t>
      </w:r>
    </w:p>
    <w:p>
      <w:pPr>
        <w:spacing w:before="0" w:after="120"/>
      </w:pPr>
      <w:r>
        <w:rPr>
          <w:b/>
        </w:rPr>
        <w:t xml:space="preserve">Source: </w:t>
      </w:r>
      <w:r>
        <w:t>Wiley: Advanced Energy Materials: Table of Contents</w:t>
      </w:r>
      <w:r>
        <w:t xml:space="preserve">    </w:t>
      </w:r>
      <w:r>
        <w:rPr>
          <w:b/>
        </w:rPr>
        <w:t xml:space="preserve">Pub date: </w:t>
      </w:r>
      <w:r>
        <w:t>2026-04-29 06:39:52+00:00</w:t>
      </w:r>
      <w:r>
        <w:t xml:space="preserve">    </w:t>
      </w:r>
      <w:r>
        <w:rPr>
          <w:b/>
        </w:rPr>
        <w:t xml:space="preserve">DOI: </w:t>
      </w:r>
      <w:hyperlink r:id="rId57">
        <w:r>
          <w:rPr>
            <w:color w:val="1155CC"/>
            <w:u w:val="single"/>
          </w:rPr>
          <w:t>10.1002/aenm.71015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【非活性材料等】</w:t>
      </w:r>
    </w:p>
    <w:p>
      <w:pPr>
        <w:spacing w:before="160" w:after="40" w:line="240" w:lineRule="auto"/>
      </w:pPr>
      <w:r>
        <w:rPr>
          <w:b/>
        </w:rPr>
        <w:t xml:space="preserve">[1] </w:t>
      </w:r>
      <w:hyperlink r:id="rId79">
        <w:r>
          <w:rPr>
            <w:color w:val="1155CC"/>
            <w:u w:val="single"/>
          </w:rPr>
          <w:t>AI驱动的电池智能用于电动汽车的能源管理：提高安全性、性能和寿命的策略——综述</w:t>
        </w:r>
      </w:hyperlink>
    </w:p>
    <w:p>
      <w:pPr>
        <w:spacing w:before="0" w:after="80"/>
      </w:pPr>
      <w:r>
        <w:rPr>
          <w:i/>
          <w:sz w:val="20"/>
        </w:rPr>
        <w:t>EN: AI-driven battery intelligence for energy management in electric vehicles: Strategies to enhance safety, performance, and lifetime — A review</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80">
        <w:r>
          <w:rPr>
            <w:color w:val="1155CC"/>
            <w:u w:val="single"/>
          </w:rPr>
          <w:t>构建稳健的Cl桥以在180秒内实现废旧正极的超快速浸出</w:t>
        </w:r>
      </w:hyperlink>
    </w:p>
    <w:p>
      <w:pPr>
        <w:spacing w:before="0" w:after="80"/>
      </w:pPr>
      <w:r>
        <w:rPr>
          <w:i/>
          <w:sz w:val="20"/>
        </w:rPr>
        <w:t>EN: Constructing Robust Cl‐Bridge for Ultrafast Leaching of Spent Cathodes in 180 s</w:t>
      </w:r>
    </w:p>
    <w:p>
      <w:pPr>
        <w:spacing w:before="0" w:after="120"/>
      </w:pPr>
      <w:r>
        <w:rPr>
          <w:b/>
        </w:rPr>
        <w:t xml:space="preserve">Source: </w:t>
      </w:r>
      <w:r>
        <w:t>Wiley: Angewandte Chemie International Edition: Table of Contents</w:t>
      </w:r>
      <w:r>
        <w:t xml:space="preserve">    </w:t>
      </w:r>
      <w:r>
        <w:rPr>
          <w:b/>
        </w:rPr>
        <w:t xml:space="preserve">Pub date: </w:t>
      </w:r>
      <w:r>
        <w:t>2026-04-27 03:46:55+00:00</w:t>
      </w:r>
      <w:r>
        <w:t xml:space="preserve">    </w:t>
      </w:r>
      <w:r>
        <w:rPr>
          <w:b/>
        </w:rPr>
        <w:t xml:space="preserve">DOI: </w:t>
      </w:r>
      <w:hyperlink r:id="rId81">
        <w:r>
          <w:rPr>
            <w:color w:val="1155CC"/>
            <w:u w:val="single"/>
          </w:rPr>
          <w:t>10.1002/anie.2577325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还原性配位介质，特别是Cl−，在废旧电池回收的浸出过程中起着关键作用。然而，反应物质的传质不良和还原性有限通常导致关键金属的浸出动力学缓慢。在此，我们提出了一种构建稳健氯化物桥的策略，以增强Cl−在固液反应界面的富集和反应性。基于此，开发的具有Cl-SO3H桥的回收系统在仅180秒内实现了Li、Ni、Co和Mn的完全浸出。具体而言，磺酸基团中的硫原子表现出高电子供体能力，增强了Cl−在此桥中的亲核性和还原能力。这促进了Cl−与废旧正极表面金属离子的快速迁移和配位，加速了金属─氧键的断裂。此外，本文设计了一种基于溶剂再生和再利用的闭环回收路线。与传统湿法冶金工艺相比，该系统将废旧电池回收的整体经济效率提高了近四倍，同时将碳排放减半。</w:t>
      </w:r>
    </w:p>
    <w:p>
      <w:pPr>
        <w:spacing w:before="0" w:after="200" w:lineRule="auto" w:line="276"/>
      </w:pPr>
      <w:r>
        <w:rPr>
          <w:b/>
        </w:rPr>
        <w:t xml:space="preserve">Abstract (EN): </w:t>
      </w:r>
      <w:r>
        <w:t>Reductive coordination medium, especially Cl</w:t>
      </w:r>
      <w:r>
        <w:t xml:space="preserve"> </w:t>
      </w:r>
      <w:r>
        <w:t>−</w:t>
      </w:r>
      <w:r>
        <w:t>, play a pivotal role in leaching processes for spent batteries recycling. However, poor mass transfer and limited reducibility of the reactive species often lead to sluggish leaching kinetics of critical metals. Herein, we propose a strategy to construct a robust chloride bridge that enhances the enrichment and reactivity of Cl</w:t>
      </w:r>
      <w:r>
        <w:t xml:space="preserve"> </w:t>
      </w:r>
      <w:r>
        <w:t>−</w:t>
      </w:r>
      <w:r>
        <w:t>at the solid–liquid reaction interface. Based on this, the developed recycling system with a Cl‐SO</w:t>
      </w:r>
      <w:r>
        <w:rPr>
          <w:vertAlign w:val="subscript"/>
        </w:rPr>
        <w:t>3</w:t>
      </w:r>
      <w:r>
        <w:t>H bridge achieves complete leaching of Li, Ni, Co, and Mn within just 180 s. Specifically, the sulfur atom in the sulfonic acid group exhibits a high electron‐donating ability, which enhances the nucleophilicity and reducing capacity of Cl</w:t>
      </w:r>
      <w:r>
        <w:t xml:space="preserve"> </w:t>
      </w:r>
      <w:r>
        <w:t>−</w:t>
      </w:r>
      <w:r>
        <w:t>within this bridge. This facilitates rapid migration and coordination of Cl</w:t>
      </w:r>
      <w:r>
        <w:t xml:space="preserve"> </w:t>
      </w:r>
      <w:r>
        <w:t>−</w:t>
      </w:r>
      <w:r>
        <w:t>with metal ions on the spent cathode surface, accelerating the cleavage of metal─oxygen bonds. Furthermore, a closed‐loop recycling route based on solvent regeneration and reuse was designed in this work. Compared with conventional hydrometallurgical processes, this system improves the overall economic efficiency of spent battery recycling by nearly fourfold while halving carbon emissions.</w:t>
      </w:r>
    </w:p>
    <w:p>
      <w:pPr>
        <w:spacing w:before="120" w:after="120"/>
      </w:pPr>
      <w:r>
        <w:rPr>
          <w:sz w:val="18"/>
        </w:rPr>
        <w:t>——————————————————————————————————————————————————————————————————————</w:t>
      </w:r>
    </w:p>
    <w:p>
      <w:pPr>
        <w:spacing w:before="160" w:after="40" w:line="240" w:lineRule="auto"/>
      </w:pPr>
      <w:r>
        <w:rPr>
          <w:b/>
        </w:rPr>
        <w:t xml:space="preserve">[3] </w:t>
      </w:r>
      <w:hyperlink r:id="rId82">
        <w:r>
          <w:rPr>
            <w:color w:val="1155CC"/>
            <w:u w:val="single"/>
          </w:rPr>
          <w:t>用于电池再利用、回收和再制造的人工智能</w:t>
        </w:r>
      </w:hyperlink>
    </w:p>
    <w:p>
      <w:pPr>
        <w:spacing w:before="0" w:after="80"/>
      </w:pPr>
      <w:r>
        <w:rPr>
          <w:i/>
          <w:sz w:val="20"/>
        </w:rPr>
        <w:t>EN: Artificial intelligence for battery reuse, recycling and remanufacturing</w:t>
      </w:r>
    </w:p>
    <w:p>
      <w:pPr>
        <w:spacing w:before="0" w:after="120"/>
      </w:pPr>
      <w:r>
        <w:rPr>
          <w:b/>
        </w:rPr>
        <w:t xml:space="preserve">Source: </w:t>
      </w:r>
      <w:r>
        <w:t>Nature Reviews Clean Technology</w:t>
      </w:r>
      <w:r>
        <w:t xml:space="preserve">    </w:t>
      </w:r>
      <w:r>
        <w:rPr>
          <w:b/>
        </w:rPr>
        <w:t xml:space="preserve">Pub date: </w:t>
      </w:r>
      <w:r>
        <w:t>2026-04-28 00:00:00+00:00</w:t>
      </w:r>
      <w:r>
        <w:t xml:space="preserve">    </w:t>
      </w:r>
      <w:r>
        <w:rPr>
          <w:b/>
        </w:rPr>
        <w:t xml:space="preserve">DOI: </w:t>
      </w:r>
      <w:hyperlink r:id="rId83">
        <w:r>
          <w:rPr>
            <w:color w:val="1155CC"/>
            <w:u w:val="single"/>
          </w:rPr>
          <w:t>10.1038/s44359-026-00167-0</w:t>
        </w:r>
      </w:hyperlink>
    </w:p>
    <w:p>
      <w:pPr>
        <w:spacing w:before="0" w:after="120"/>
      </w:pPr>
      <w:r>
        <w:rPr>
          <w:b/>
        </w:rPr>
        <w:t xml:space="preserve">Notes: </w:t>
      </w:r>
      <w:r>
        <w:t>abstract_source=nature_html</w:t>
      </w:r>
    </w:p>
    <w:p>
      <w:pPr>
        <w:spacing w:before="0" w:after="80" w:lineRule="auto" w:line="276"/>
      </w:pPr>
      <w:r>
        <w:rPr>
          <w:b/>
        </w:rPr>
        <w:t xml:space="preserve">摘要（ZH）: </w:t>
      </w:r>
      <w:r>
        <w:t>锂离子电池在退役时通常仍保留其额定容量的70-80%，这在其供应链中造成了经济和环境挑战。尽管再利用、回收和再制造提供了恢复这种未充分利用价值的替代方案，但由于缺乏关于电池退役状态的可靠数据，其实施受到阻碍，使得难以确定这些替代方案是否、何时以及如何应用。在这篇观点文章中，我们讨论了人工智能（AI）如何通过在整个电池生命周期中实现自适应、数据驱动的决策来帮助克服数据障碍。AI工具可以根据电池数据的稀缺性和异质性进行定制，并与数据管理、模型建立和模型部署相结合。例如，当数据不可用时可以使用基于物理的建模，当数据有限时可以使用现场传感，当数据共享受限时可以使用联邦AI。退役电池的管理可以从在这些数据不确定性下足够准确、稳定、可解释、可转移和可部署的AI工具中受益。进一步将AI应用于退役电池状态检查、预处理、再利用和治理，可能为大规模安全高效的电池生命周期管理提供框架。</w:t>
      </w:r>
    </w:p>
    <w:p>
      <w:pPr>
        <w:spacing w:before="0" w:after="200" w:lineRule="auto" w:line="276"/>
      </w:pPr>
      <w:r>
        <w:rPr>
          <w:b/>
        </w:rPr>
        <w:t xml:space="preserve">Abstract (EN): </w:t>
      </w:r>
      <w:r>
        <w:t>Lithium-ion batteries are often retired while still retaining 70–80% of their rated capacity, creating economic and environmental challenges across their supply chain. Although reuse, recycling and remanufacturing offer alternatives to recover this otherwise under-utilized value, their implementation is hindered by the lack of reliable data on battery condition at retirement, making it difficult to determine whether, when and how these alternatives should be applied. In this Perspective, we discuss how artificial intelligence (AI) can help to overcome data barriers by enabling adaptive, data-informed decision-making throughout the battery life cycle. AI tools can be tailored to battery data scarcity and heterogeneity contexts, and integrated with data curation, model establishment and model deployment. For example, physics-based modelling can be used when data are unavailable, field-sensing when data are limited and federated AI when data sharing is restricted. Management of retired batteries can benefit from AI tools that are adequately accurate, stable, interpretable, transferable and deployable under these data uncertainties. Further adoption of AI into retired battery condition inspection, pretreatment, reutilization and governance could offer a framework towards safe and efficient battery life-cycle management at scale.</w:t>
      </w:r>
    </w:p>
    <w:p>
      <w:pPr>
        <w:spacing w:before="120" w:after="120"/>
      </w:pPr>
      <w:r>
        <w:rPr>
          <w:sz w:val="18"/>
        </w:rPr>
        <w:t>——————————————————————————————————————————————————————————————————————</w:t>
      </w:r>
    </w:p>
    <w:p>
      <w:pPr>
        <w:spacing w:before="160" w:after="40" w:line="240" w:lineRule="auto"/>
      </w:pPr>
      <w:r>
        <w:rPr>
          <w:b/>
        </w:rPr>
        <w:t xml:space="preserve">[4] </w:t>
      </w:r>
      <w:hyperlink r:id="rId84">
        <w:r>
          <w:rPr>
            <w:color w:val="1155CC"/>
            <w:u w:val="single"/>
          </w:rPr>
          <w:t>水凝胶的原位热聚合抑制Leidenfrost效应至1,000°C以进行高温热管理</w:t>
        </w:r>
      </w:hyperlink>
    </w:p>
    <w:p>
      <w:pPr>
        <w:spacing w:before="0" w:after="80"/>
      </w:pPr>
      <w:r>
        <w:rPr>
          <w:i/>
          <w:sz w:val="20"/>
        </w:rPr>
        <w:t>EN: In situ thermal polymerization of hydrogel suppresses Leidenfrost effect up to 1,000°C for high-temperature thermal management</w:t>
      </w:r>
    </w:p>
    <w:p>
      <w:pPr>
        <w:spacing w:before="0" w:after="120"/>
      </w:pPr>
      <w:r>
        <w:rPr>
          <w:b/>
        </w:rPr>
        <w:t xml:space="preserve">Source: </w:t>
      </w:r>
      <w:r>
        <w:t>Joule</w:t>
      </w:r>
      <w:r>
        <w:t xml:space="preserve">    </w:t>
      </w:r>
      <w:r>
        <w:rPr>
          <w:b/>
        </w:rPr>
        <w:t xml:space="preserve">Pub date: </w:t>
      </w:r>
      <w:r>
        <w:t>2026-04-28 00:00:00+00:00</w:t>
      </w:r>
      <w:r>
        <w:t xml:space="preserve">    </w:t>
      </w:r>
      <w:r>
        <w:rPr>
          <w:b/>
        </w:rPr>
        <w:t xml:space="preserve">DOI: </w:t>
      </w:r>
      <w:hyperlink r:id="rId85">
        <w:r>
          <w:rPr>
            <w:color w:val="1155CC"/>
            <w:u w:val="single"/>
          </w:rPr>
          <w:t>10.1016/j.joule.2026.102440</w:t>
        </w:r>
      </w:hyperlink>
    </w:p>
    <w:p>
      <w:pPr>
        <w:spacing w:before="0" w:after="120"/>
      </w:pPr>
      <w:r>
        <w:rPr>
          <w:b/>
        </w:rPr>
        <w:t xml:space="preserve">Notes: </w:t>
      </w:r>
      <w:r>
        <w:t>abstract_source=rss_cell</w:t>
      </w:r>
    </w:p>
    <w:p>
      <w:pPr>
        <w:spacing w:before="0" w:after="80" w:lineRule="auto" w:line="276"/>
      </w:pPr>
      <w:r>
        <w:rPr>
          <w:b/>
        </w:rPr>
        <w:t xml:space="preserve">摘要（ZH）: </w:t>
      </w:r>
      <w:r>
        <w:t>一种两性离子单体溶液通过热触发的原位聚合抑制了Leidenfrost效应，温度可达1,000°C。这在1,000°C的喷雾冷却中产生了四倍于纯水的冷却效率，并将电池热失控期间的冷却时间减半。</w:t>
      </w:r>
    </w:p>
    <w:p>
      <w:pPr>
        <w:spacing w:before="0" w:after="200" w:lineRule="auto" w:line="276"/>
      </w:pPr>
      <w:r>
        <w:rPr>
          <w:b/>
        </w:rPr>
        <w:t xml:space="preserve">Abstract (EN): </w:t>
      </w:r>
      <w:r>
        <w:t>A zwitterionic monomer solution suppresses the Leidenfrost effect up to 1,000°C via thermally triggered in situ polymerization. This yields a cooling efficiency four times that of pure water in spray cooling at 1,000°C and halves the cooling time during battery thermal runaway.</w:t>
      </w:r>
    </w:p>
    <w:p>
      <w:pPr>
        <w:spacing w:before="120" w:after="120"/>
      </w:pPr>
      <w:r>
        <w:rPr>
          <w:sz w:val="18"/>
        </w:rPr>
        <w:t>——————————————————————————————————————————————————————————————————————</w:t>
      </w:r>
    </w:p>
    <w:p>
      <w:pPr>
        <w:spacing w:before="160" w:after="120"/>
      </w:pPr>
      <w:r>
        <w:rPr>
          <w:b/>
          <w:sz w:val="28"/>
        </w:rPr>
        <w:t>【其他储能器件】</w:t>
      </w:r>
    </w:p>
    <w:p>
      <w:pPr>
        <w:spacing w:before="160" w:after="40" w:line="240" w:lineRule="auto"/>
      </w:pPr>
      <w:r>
        <w:rPr>
          <w:b/>
        </w:rPr>
        <w:t xml:space="preserve">[1] </w:t>
      </w:r>
      <w:hyperlink r:id="rId86">
        <w:r>
          <w:rPr>
            <w:color w:val="1155CC"/>
            <w:u w:val="single"/>
          </w:rPr>
          <w:t>抑制氢气析出的氧化还原介导铝-空气燃料电池用于耐久发电</w:t>
        </w:r>
      </w:hyperlink>
    </w:p>
    <w:p>
      <w:pPr>
        <w:spacing w:before="0" w:after="80"/>
      </w:pPr>
      <w:r>
        <w:rPr>
          <w:i/>
          <w:sz w:val="20"/>
        </w:rPr>
        <w:t>EN: Redox‐Mediated Aluminum–Air Fuel Cells With Suppressed Hydrogen Evolution for Durable Power Generation</w:t>
      </w:r>
    </w:p>
    <w:p>
      <w:pPr>
        <w:spacing w:before="0" w:after="120"/>
      </w:pPr>
      <w:r>
        <w:rPr>
          <w:b/>
        </w:rPr>
        <w:t xml:space="preserve">Source: </w:t>
      </w:r>
      <w:r>
        <w:t>Wiley: Advanced Energy Materials: Table of Contents</w:t>
      </w:r>
      <w:r>
        <w:t xml:space="preserve">    </w:t>
      </w:r>
      <w:r>
        <w:rPr>
          <w:b/>
        </w:rPr>
        <w:t xml:space="preserve">Pub date: </w:t>
      </w:r>
      <w:r>
        <w:t>2026-04-28 05:11:11+00:00</w:t>
      </w:r>
      <w:r>
        <w:t xml:space="preserve">    </w:t>
      </w:r>
      <w:r>
        <w:rPr>
          <w:b/>
        </w:rPr>
        <w:t xml:space="preserve">DOI: </w:t>
      </w:r>
      <w:hyperlink r:id="rId87">
        <w:r>
          <w:rPr>
            <w:color w:val="1155CC"/>
            <w:u w:val="single"/>
          </w:rPr>
          <w:t>10.1002/aenm.71004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铝（Al）由于其卓越的理论容量、丰富的地球储量和环境兼容性，是金属-空气系统中一种有前途的阳极材料。然而，其在碱性介质中的实际发展受到寄生腐蚀和表面钝化的阻碍，这些问题源于热力学上有利的氢气析出反应（HER），导致法拉第效率低。在此，我们引入了一种氧化还原介导的铝-空气燃料电池（RM-AAFC），其中HER通过可溶性氧化还原介质7,8-二羟基-2-苯嗪磺酸（DHPS）在动力学上被抑制，该介质在Al-电解质界面形成竞争性电子转移路径，将法拉第效率从36.1%提高到92.5%，而不影响反应动力学。当与基于沉淀和络合的铝酸盐提取策略结合时，该系统在持续运行期间提供了210 mW cm^−2的峰值功率密度和403.2 Ah L^−1的体积容量。这些发现强调了氧化还原介导化学作为一种普遍且可扩展的策略，用于减轻水系金属-空气能量系统中的界面寄生反应。</w:t>
      </w:r>
    </w:p>
    <w:p>
      <w:pPr>
        <w:spacing w:before="0" w:after="200" w:lineRule="auto" w:line="276"/>
      </w:pPr>
      <w:r>
        <w:rPr>
          <w:b/>
        </w:rPr>
        <w:t xml:space="preserve">Abstract (EN): </w:t>
      </w:r>
      <w:r>
        <w:t>Aluminum (Al) is a promising anode material for metal–air systems owing to its exceptional theoretical capacity, earth abundance, and environmental compatibility. However, its practical development in alkaline media is hindered by parasitic corrosion and surface passivation arising from the thermodynamically favored hydrogen evolution reaction (HER), resulting in low Faradaic efficiency. Herein, we introduce a redox‐mediated aluminum–air fuel cell (RM‐AAFC) in which HER is kinetically suppressed by a soluble redox mediator, 7,8‐dihydroxy‐2‐phenazine sulfonic acid (DHPS), which forms a competitive electron transfer pathway at the Al–electrolyte interface, boosting Faradaic efficiency from 36.1% to 92.5% without compromising the reaction kinetics. When integrated with precipitation‐ and complexation‐ based aluminate extraction strategies, the system delivers a peak power density of 210 mW cm</w:t>
      </w:r>
      <w:r>
        <w:t xml:space="preserve"> </w:t>
      </w:r>
      <w:r>
        <w:t>−2</w:t>
      </w:r>
      <w:r>
        <w:t xml:space="preserve"> </w:t>
      </w:r>
      <w:r>
        <w:t>and a volumetric capacity of 403.2 Ah L</w:t>
      </w:r>
      <w:r>
        <w:t xml:space="preserve"> </w:t>
      </w:r>
      <w:r>
        <w:t>−1</w:t>
      </w:r>
      <w:r>
        <w:t xml:space="preserve"> </w:t>
      </w:r>
      <w:r>
        <w:t>during sustained operation. These findings highlight redox‐mediated chemistry as a general and scalable strategy for mitigating interfacial parasitic reactions in aqueous metal–air energy systems.</w:t>
      </w:r>
    </w:p>
    <w:p>
      <w:pPr>
        <w:spacing w:before="120" w:after="120"/>
      </w:pPr>
      <w:r>
        <w:rPr>
          <w:sz w:val="18"/>
        </w:rPr>
        <w:t>——————————————————————————————————————————————————————————————————————</w:t>
      </w:r>
    </w:p>
    <w:p>
      <w:pPr>
        <w:spacing w:before="160" w:after="40" w:line="240" w:lineRule="auto"/>
      </w:pPr>
      <w:r>
        <w:rPr>
          <w:b/>
        </w:rPr>
        <w:t xml:space="preserve">[2] </w:t>
      </w:r>
      <w:hyperlink r:id="rId88">
        <w:r>
          <w:rPr>
            <w:color w:val="1155CC"/>
            <w:u w:val="single"/>
          </w:rPr>
          <w:t>在热再生流动电池中桥接热和冷电池的氧化还原不对称性以提高功率密度</w:t>
        </w:r>
      </w:hyperlink>
    </w:p>
    <w:p>
      <w:pPr>
        <w:spacing w:before="0" w:after="80"/>
      </w:pPr>
      <w:r>
        <w:rPr>
          <w:i/>
          <w:sz w:val="20"/>
        </w:rPr>
        <w:t>EN: Bridging Redox Asymmetry in Hot and Cold Cells for Boosted Power Density in Thermally Regenerative Flow Batteries</w:t>
      </w:r>
    </w:p>
    <w:p>
      <w:pPr>
        <w:spacing w:before="0" w:after="120"/>
      </w:pPr>
      <w:r>
        <w:rPr>
          <w:b/>
        </w:rPr>
        <w:t xml:space="preserve">Source: </w:t>
      </w:r>
      <w:r>
        <w:t>RSC - Energy Environ. Sci. latest articles</w:t>
      </w:r>
      <w:r>
        <w:t xml:space="preserve">    </w:t>
      </w:r>
      <w:r>
        <w:rPr>
          <w:b/>
        </w:rPr>
        <w:t xml:space="preserve">Pub date: </w:t>
      </w:r>
      <w:r>
        <w:t>2026-04-28 23:00:00+00:00</w:t>
      </w:r>
    </w:p>
    <w:p>
      <w:pPr>
        <w:spacing w:before="0" w:after="120"/>
      </w:pPr>
      <w:r>
        <w:rPr>
          <w:b/>
        </w:rPr>
        <w:t xml:space="preserve">Notes: </w:t>
      </w:r>
      <w:r>
        <w:t>abstract_source=rsc_html</w:t>
      </w:r>
    </w:p>
    <w:p>
      <w:pPr>
        <w:spacing w:before="0" w:after="80" w:lineRule="auto" w:line="276"/>
      </w:pPr>
      <w:r>
        <w:rPr>
          <w:b/>
        </w:rPr>
        <w:t xml:space="preserve">摘要（ZH）: </w:t>
      </w:r>
      <w:r>
        <w:t>热再生流动电池（TRFBs）为收集低品位废热提供了一条有前途的途径，然而，其功率输出受到冷、热电池之间逆反应中氧化还原反应动力学不匹配的限制。在这项工作中，以I-/I3-和[Fe(CN)6]3-/4-氧化还原对为例，开发了一种特定于电池的电极设计策略，以弥合热、冷电池之间的氧化还原不对称性，从而实现TRFBs中的高效热电转换。在冷电池中，P型Co3O4电极通过促进空穴介导的电子提取和降低扩散阻抗来促进氧化反应，而在热电池中，具有富硫表面的N型CoS2电极提供富电子活性位点，有效降低还原反应的活化能。这种反应特定的设计策略符合每个热单元的热力学和动力学要求，显著提高了功率输出。优化后的TRFB在温差（∆T）为30 K时提供了1.41 mW·m-2·K-2的归一化功率密度，几乎是最先进TRFBs的两倍，效率达到卡诺效率的4.7%。此外，该系统在∆T为45 K时在70小时内保持了2.3 W·m-2的有效功率密度。这项工作展示了弥合冷、热电池中氧化还原不对称性以实现高效热电转换的潜力，为TRFBs的实际应用提供了新方向。</w:t>
      </w:r>
    </w:p>
    <w:p>
      <w:pPr>
        <w:spacing w:before="0" w:after="200" w:lineRule="auto" w:line="276"/>
      </w:pPr>
      <w:r>
        <w:rPr>
          <w:b/>
        </w:rPr>
        <w:t xml:space="preserve">Abstract (EN): </w:t>
      </w:r>
      <w:r>
        <w:t>Thermally regenerative flow batteries (TRFBs) offer a promising route for harvesting low-grade waste heat, however, their power output is constrained by the mismatch in redox reaction kinetics during the reverse reactions between the cold and hot cells. In this work, using the I-/I3- and [Fe(CN)6]3-/4- redox pairs as an example, a cell-specific electrode design strategy that bridges the redox asymmetry between the hot and cold cells is developed to enable efficient thermoelectric conversion in TRFBs. In the cold cell, the P-type Co3O4 electrode promotes the oxidation reaction by facilitating hole-mediated electron extraction and reducing diffusion impedance, while in the hot cell, the N-type CoS2 electrode with a sulfur-rich surface provides electron-rich active sites, effectively lowering the activation energy of the reduction reaction. This reaction-specific design strategy aligns with the thermodynamic and kinetic requirements of each thermal unit, significantly boosting the power output. The optimised TRFB delivers a normalised power density of 1.41 mW·m-2·K-2 at a temperature difference (∆T) of 30 K, nearly double that of state-of-the-art TRFBs, with an efficiency reaching 4.7% of the Carnot efficiency. Moreover, the system maintains an effective power density of 2.3 W·m-2 over 70 hours at ∆T of 45 K. This work demonstrates the potential of bridging redox asymmetry in cold and hot cells to achieve efficient thermoelectric conversion, providing a new direction for the practical application of TRFBs.</w:t>
      </w:r>
    </w:p>
    <w:p>
      <w:pPr>
        <w:spacing w:before="120" w:after="120"/>
      </w:pPr>
      <w:r>
        <w:rPr>
          <w:sz w:val="18"/>
        </w:rPr>
        <w:t>——————————————————————————————————————————————————————————————————————</w:t>
      </w:r>
    </w:p>
    <w:p>
      <w:pPr>
        <w:spacing w:before="160" w:after="40" w:line="240" w:lineRule="auto"/>
      </w:pPr>
      <w:r>
        <w:rPr>
          <w:b/>
        </w:rPr>
        <w:t xml:space="preserve">[3] </w:t>
      </w:r>
      <w:hyperlink r:id="rId89">
        <w:r>
          <w:rPr>
            <w:color w:val="1155CC"/>
            <w:u w:val="single"/>
          </w:rPr>
          <w:t>水性多硫化物氧化还原液流电池中阳离子电催化剂的界面工程</w:t>
        </w:r>
      </w:hyperlink>
    </w:p>
    <w:p>
      <w:pPr>
        <w:spacing w:before="0" w:after="80"/>
      </w:pPr>
      <w:r>
        <w:rPr>
          <w:i/>
          <w:sz w:val="20"/>
        </w:rPr>
        <w:t>EN: Interfacial engineering with cationic electrocatalysts in aqueous polysulfide redox flow batteries</w:t>
      </w:r>
    </w:p>
    <w:p>
      <w:pPr>
        <w:spacing w:before="0" w:after="120"/>
      </w:pPr>
      <w:r>
        <w:rPr>
          <w:b/>
        </w:rPr>
        <w:t xml:space="preserve">Source: </w:t>
      </w:r>
      <w:r>
        <w:t>Joule</w:t>
      </w:r>
      <w:r>
        <w:t xml:space="preserve">    </w:t>
      </w:r>
      <w:r>
        <w:rPr>
          <w:b/>
        </w:rPr>
        <w:t xml:space="preserve">Pub date: </w:t>
      </w:r>
      <w:r>
        <w:t>2026-04-29 00:00:00+00:00</w:t>
      </w:r>
      <w:r>
        <w:t xml:space="preserve">    </w:t>
      </w:r>
      <w:r>
        <w:rPr>
          <w:b/>
        </w:rPr>
        <w:t xml:space="preserve">DOI: </w:t>
      </w:r>
      <w:hyperlink r:id="rId90">
        <w:r>
          <w:rPr>
            <w:color w:val="1155CC"/>
            <w:u w:val="single"/>
          </w:rPr>
          <w:t>10.1016/j.joule.2026.102434</w:t>
        </w:r>
      </w:hyperlink>
    </w:p>
    <w:p>
      <w:pPr>
        <w:spacing w:before="0" w:after="120"/>
      </w:pPr>
      <w:r>
        <w:rPr>
          <w:b/>
        </w:rPr>
        <w:t xml:space="preserve">Notes: </w:t>
      </w:r>
      <w:r>
        <w:t>abstract_source=rss_cell</w:t>
      </w:r>
    </w:p>
    <w:p>
      <w:pPr>
        <w:spacing w:before="0" w:after="80" w:lineRule="auto" w:line="276"/>
      </w:pPr>
      <w:r>
        <w:rPr>
          <w:b/>
        </w:rPr>
        <w:t xml:space="preserve">摘要（ZH）: </w:t>
      </w:r>
      <w:r>
        <w:t>本研究确定界面传质限制是多硫化物流动电池的主要功率瓶颈。提出了一种界面工程策略，采用阳离子催化剂中和表面排斥，旨在将反应速率提高两个数量级，实现高功率性能和用于电网规模储能的卓越长期循环稳定性。</w:t>
      </w:r>
    </w:p>
    <w:p>
      <w:pPr>
        <w:spacing w:before="0" w:after="200" w:lineRule="auto" w:line="276"/>
      </w:pPr>
      <w:r>
        <w:rPr>
          <w:b/>
        </w:rPr>
        <w:t xml:space="preserve">Abstract (EN): </w:t>
      </w:r>
      <w:r>
        <w:t>This study identifies interfacial mass-transport limitations as the primary power bottleneck in polysulfide flow batteries. An interfacial engineering strategy, employing a cationic catalyst to neutralize surface repulsion, is proposed to increase reaction rates by two orders of magnitude, achieving high-power performance and exceptional long-term cycling stability for grid-scale storage.</w:t>
      </w:r>
    </w:p>
    <w:p>
      <w:pPr>
        <w:spacing w:before="120" w:after="120"/>
      </w:pPr>
      <w:r>
        <w:rPr>
          <w:sz w:val="18"/>
        </w:rPr>
        <w:t>——————————————————————————————————————————————————————————————————————</w:t>
      </w:r>
    </w:p>
    <w:p>
      <w:pPr>
        <w:spacing w:before="160" w:after="120"/>
      </w:pPr>
      <w:r>
        <w:rPr>
          <w:b/>
          <w:sz w:val="28"/>
        </w:rPr>
        <w:t>【热能】</w:t>
      </w:r>
    </w:p>
    <w:p>
      <w:pPr>
        <w:spacing w:before="160" w:after="40" w:line="240" w:lineRule="auto"/>
      </w:pPr>
      <w:r>
        <w:rPr>
          <w:b/>
        </w:rPr>
        <w:t xml:space="preserve">[1] </w:t>
      </w:r>
      <w:hyperlink r:id="rId91">
        <w:r>
          <w:rPr>
            <w:color w:val="1155CC"/>
            <w:u w:val="single"/>
          </w:rPr>
          <w:t>基于MPC的负载控制，具有动态温度安全约束的熔盐储能与热电机组耦合</w:t>
        </w:r>
      </w:hyperlink>
    </w:p>
    <w:p>
      <w:pPr>
        <w:spacing w:before="0" w:after="80"/>
      </w:pPr>
      <w:r>
        <w:rPr>
          <w:i/>
          <w:sz w:val="20"/>
        </w:rPr>
        <w:t>EN: MPC-based load control with dynamic temperature safety constraints for molten salt energy storage coupled with thermal power units</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92">
        <w:r>
          <w:rPr>
            <w:color w:val="1155CC"/>
            <w:u w:val="single"/>
          </w:rPr>
          <w:t>[ASAP] 多面体单元诱导的混合键合和四谷带结构在Ag0.5CdBi4.5Se8中用于增强热电性能的理性设计</w:t>
        </w:r>
      </w:hyperlink>
    </w:p>
    <w:p>
      <w:pPr>
        <w:spacing w:before="0" w:after="80"/>
      </w:pPr>
      <w:r>
        <w:rPr>
          <w:i/>
          <w:sz w:val="20"/>
        </w:rPr>
        <w:t>EN: [ASAP] Rational Design of Multi-Polyhedral Units-Induced Hybrid Bonding and Quadruple-Valley Band Structure in Ag0.5CdBi4.5Se8 for Enhanced Thermoelectric Performance</w:t>
      </w:r>
    </w:p>
    <w:p>
      <w:pPr>
        <w:spacing w:before="0" w:after="120"/>
      </w:pPr>
      <w:r>
        <w:rPr>
          <w:b/>
        </w:rPr>
        <w:t xml:space="preserve">Source: </w:t>
      </w:r>
      <w:r>
        <w:t>Journal of the American Chemical Society: Latest Articles (ACS Publications)</w:t>
      </w:r>
      <w:r>
        <w:t xml:space="preserve">    </w:t>
      </w:r>
      <w:r>
        <w:rPr>
          <w:b/>
        </w:rPr>
        <w:t xml:space="preserve">Pub date: </w:t>
      </w:r>
      <w:r>
        <w:t>2026-04-26 17:42:21+00:00</w:t>
      </w:r>
      <w:r>
        <w:t xml:space="preserve">    </w:t>
      </w:r>
      <w:r>
        <w:rPr>
          <w:b/>
        </w:rPr>
        <w:t xml:space="preserve">DOI: </w:t>
      </w:r>
      <w:hyperlink r:id="rId93">
        <w:r>
          <w:rPr>
            <w:color w:val="1155CC"/>
            <w:u w:val="single"/>
          </w:rPr>
          <w:t>10.1021/jacs.6c02253</w:t>
        </w:r>
      </w:hyperlink>
    </w:p>
    <w:p>
      <w:pPr>
        <w:spacing w:before="0" w:after="120"/>
      </w:pPr>
      <w:r>
        <w:rPr>
          <w:b/>
        </w:rPr>
        <w:t xml:space="preserve">Notes: </w:t>
      </w:r>
      <w:r>
        <w:t>abstract_source=pubmed</w:t>
      </w:r>
    </w:p>
    <w:p>
      <w:pPr>
        <w:spacing w:before="0" w:after="80" w:lineRule="auto" w:line="276"/>
      </w:pPr>
      <w:r>
        <w:rPr>
          <w:b/>
        </w:rPr>
        <w:t xml:space="preserve">摘要（ZH）: </w:t>
      </w:r>
      <w:r>
        <w:t>我们报道了一种高性能热电pavonite化合物Ag0.5CdBi4.5Se8，其具有由五种不同多面体单元（[AgSe6]、[CdSe6]、[(Bi1)Se5]、[(Bi2)Se6]和[(Bi3)Se6]）组装而成的独特准超晶格结构。自然排列的Bi-Se多面体具有不同的畸变和晶体学环境，能够实现多方向轨道重叠，形成具有0.07 eV小能量分离的四重谷导带。这种电子结构同时增强了载流子传输并保持了高Seebeck系数。此外，固有的混合键合网络，由交替的强弱键以及共存的离子和共价特性组成，加上源自[AgSe6]/[CdSe6]八面体的显著声学-光学声子耦合，导致在823 K时极低的晶格热导率为0.24 W m-1 K-1。虽然固有的Se空位使得原始材料成为n型简并半导体，但Sb掺杂和Se过量允许在广泛范围内（2.39 × 1019-4.81 × 1020 cm-3）精确调节载流子浓度，从而进一步优化电传输。在2.52 × 1020 cm-3的最佳载流子浓度下，Ag0.5CdBi4.5Se8在823 K时实现了0.96的峰值热电ZT，优于大多数先前报道的pavonite衍生物。这项工作验证了利用化合物引人注目的多多面体集成作为解耦电子-声子传输的强大策略，从而为高性能热电材料的合理设计提供了见解。</w:t>
      </w:r>
    </w:p>
    <w:p>
      <w:pPr>
        <w:spacing w:before="0" w:after="200" w:lineRule="auto" w:line="276"/>
      </w:pPr>
      <w:r>
        <w:rPr>
          <w:b/>
        </w:rPr>
        <w:t xml:space="preserve">Abstract (EN): </w:t>
      </w:r>
      <w:r>
        <w:t>We report a high-performance thermoelectric pavonite compound, Ag0.5CdBi4.5Se8, featuring a unique quasi-superlattice structure assembled from five distinct polyhedral units ([AgSe6], [CdSe6], [(Bi1)Se5], [(Bi2)Se6], and [(Bi3)Se6]). Naturally arranged Bi-Se polyhedra with different distortions and crystallographic environments enable multidirectional orbital overlap, forming a quadruple-valley conduction band with a small energy separation of 0.07 eV. This electronic structure simultaneously enhances carrier transport and maintains a high Seebeck coefficient. Moreover, the inherently hybrid bonding network, which consists of alternating strong and weak bonds alongside coexisting ionic and covalent characters, combined with pronounced acoustic-optical phonon coupling originating from the [AgSe6]/[CdSe6] octahedra, results in an extremely low lattice thermal conductivity of 0.24 W m-1 K-1 at 823 K. While intrinsic Se vacancies render the pristine material an n-type degenerate semiconductor, Sb doping and Se-excess allow precise tuning of carrier concentration over a wide range (2.39 × 1019-4.81 × 1020 cm-3), enabling further optimization of electrical transport. At an optimal carrier concentration of 2.52 × 1020 cm-3, Ag0.5CdBi4.5Se8 achieves a peak thermoelectric ZT of 0.96 at 823 K, outperforming most previously reported pavonite derivatives. This work validates the utilization of the compound's intriguing multipolyhedral integration as a robust strategy to decouple electron-phonon transport, thereby providing insights for the rational design of high-performance thermoelectric materials.</w:t>
      </w:r>
    </w:p>
    <w:p>
      <w:pPr>
        <w:spacing w:before="120" w:after="120"/>
      </w:pPr>
      <w:r>
        <w:rPr>
          <w:sz w:val="18"/>
        </w:rPr>
        <w:t>——————————————————————————————————————————————————————————————————————</w:t>
      </w:r>
    </w:p>
    <w:p>
      <w:pPr>
        <w:spacing w:before="160" w:after="120"/>
      </w:pPr>
      <w:r>
        <w:rPr>
          <w:b/>
          <w:sz w:val="28"/>
        </w:rPr>
        <w:t>【氢氨醇】</w:t>
      </w:r>
    </w:p>
    <w:p>
      <w:pPr>
        <w:spacing w:before="160" w:after="40" w:line="240" w:lineRule="auto"/>
      </w:pPr>
      <w:r>
        <w:rPr>
          <w:b/>
        </w:rPr>
        <w:t xml:space="preserve">[1] </w:t>
      </w:r>
      <w:hyperlink r:id="rId94">
        <w:r>
          <w:rPr>
            <w:color w:val="1155CC"/>
            <w:u w:val="single"/>
          </w:rPr>
          <w:t>电网韧性的氢能储存系统：多维度的综合评审和未来方向</w:t>
        </w:r>
      </w:hyperlink>
    </w:p>
    <w:p>
      <w:pPr>
        <w:spacing w:before="0" w:after="80"/>
      </w:pPr>
      <w:r>
        <w:rPr>
          <w:i/>
          <w:sz w:val="20"/>
        </w:rPr>
        <w:t>EN: Hydrogen energy storage systems for power grid resilience: A comprehensive review and future directions from multidimensional aspects</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95">
        <w:r>
          <w:rPr>
            <w:color w:val="1155CC"/>
            <w:u w:val="single"/>
          </w:rPr>
          <w:t>绿色氢枢纽的综合评审：技术、服务、挑战和未来展望</w:t>
        </w:r>
      </w:hyperlink>
    </w:p>
    <w:p>
      <w:pPr>
        <w:spacing w:before="0" w:after="80"/>
      </w:pPr>
      <w:r>
        <w:rPr>
          <w:i/>
          <w:sz w:val="20"/>
        </w:rPr>
        <w:t>EN: A comprehensive review of green hydrogen hubs: Technologies, services, challenges, and future perspectives</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96">
        <w:r>
          <w:rPr>
            <w:color w:val="1155CC"/>
            <w:u w:val="single"/>
          </w:rPr>
          <w:t>通过基于“3D+1D”建模框架的新型蛇形点组合流场设计提高大规模质子交换膜电解槽的性能</w:t>
        </w:r>
      </w:hyperlink>
    </w:p>
    <w:p>
      <w:pPr>
        <w:spacing w:before="0" w:after="80"/>
      </w:pPr>
      <w:r>
        <w:rPr>
          <w:i/>
          <w:sz w:val="20"/>
        </w:rPr>
        <w:t>EN: Enhanced performance of large-scale proton exchange membrane electrolyzers through a novel serpentine-point combined flow field design based on “3D+1D” modeling framework</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97">
        <w:r>
          <w:rPr>
            <w:color w:val="1155CC"/>
            <w:u w:val="single"/>
          </w:rPr>
          <w:t>在中温氢气生产中使用锂基吸附剂的吸附增强化学循环重整中增强甲烷转化</w:t>
        </w:r>
      </w:hyperlink>
    </w:p>
    <w:p>
      <w:pPr>
        <w:spacing w:before="0" w:after="80"/>
      </w:pPr>
      <w:r>
        <w:rPr>
          <w:i/>
          <w:sz w:val="20"/>
        </w:rPr>
        <w:t>EN: Enhanced methane conversion in sorption enhanced chemical looping reforming for mid temperature hydrogen production using lithium-based sorbents</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98">
        <w:r>
          <w:rPr>
            <w:color w:val="1155CC"/>
            <w:u w:val="single"/>
          </w:rPr>
          <w:t>太阳能-微波协同系统水分解两步制氢的实验研究</w:t>
        </w:r>
      </w:hyperlink>
    </w:p>
    <w:p>
      <w:pPr>
        <w:spacing w:before="0" w:after="80"/>
      </w:pPr>
      <w:r>
        <w:rPr>
          <w:i/>
          <w:sz w:val="20"/>
        </w:rPr>
        <w:t>EN: Experimental study on two-step hydrogen production from water decomposition by solar-microwave synergism system</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 </w:t>
      </w:r>
      <w:hyperlink r:id="rId99">
        <w:r>
          <w:rPr>
            <w:color w:val="1155CC"/>
            <w:u w:val="single"/>
          </w:rPr>
          <w:t>可再生氢：PPA和附加性要求对选定欧洲国家的系统性影响</w:t>
        </w:r>
      </w:hyperlink>
    </w:p>
    <w:p>
      <w:pPr>
        <w:spacing w:before="0" w:after="80"/>
      </w:pPr>
      <w:r>
        <w:rPr>
          <w:i/>
          <w:sz w:val="20"/>
        </w:rPr>
        <w:t>EN: Renewable hydrogen: The system-wide impact of PPAs and additionality requirements for selected European countries</w:t>
      </w:r>
    </w:p>
    <w:p>
      <w:pPr>
        <w:spacing w:before="0" w:after="120"/>
      </w:pPr>
      <w:r>
        <w:rPr>
          <w:b/>
        </w:rPr>
        <w:t xml:space="preserve">Source: </w:t>
      </w:r>
      <w:r>
        <w:t>ScienceDirect Publication: Energy Policy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 </w:t>
      </w:r>
      <w:hyperlink r:id="rId100">
        <w:r>
          <w:rPr>
            <w:color w:val="1155CC"/>
            <w:u w:val="single"/>
          </w:rPr>
          <w:t>促进氢气，减少排放：低碳氢气的监管设计</w:t>
        </w:r>
      </w:hyperlink>
    </w:p>
    <w:p>
      <w:pPr>
        <w:spacing w:before="0" w:after="80"/>
      </w:pPr>
      <w:r>
        <w:rPr>
          <w:i/>
          <w:sz w:val="20"/>
        </w:rPr>
        <w:t>EN: Boosting hydrogen, slashing emissions: the regulatory design of low-carbon hydrogen</w:t>
      </w:r>
    </w:p>
    <w:p>
      <w:pPr>
        <w:spacing w:before="0" w:after="120"/>
      </w:pPr>
      <w:r>
        <w:rPr>
          <w:b/>
        </w:rPr>
        <w:t xml:space="preserve">Source: </w:t>
      </w:r>
      <w:r>
        <w:t>ScienceDirect Publication: Energy Policy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 </w:t>
      </w:r>
      <w:hyperlink r:id="rId101">
        <w:r>
          <w:rPr>
            <w:color w:val="1155CC"/>
            <w:u w:val="single"/>
          </w:rPr>
          <w:t>具有优化的三重金属负载、尺寸和有序度的优越金属间Pt-Co/C催化剂用于高效稳定的H2-空气燃料电池</w:t>
        </w:r>
      </w:hyperlink>
    </w:p>
    <w:p>
      <w:pPr>
        <w:spacing w:before="0" w:after="80"/>
      </w:pPr>
      <w:r>
        <w:rPr>
          <w:i/>
          <w:sz w:val="20"/>
        </w:rPr>
        <w:t>EN: Superior Intermetallic Pt‐Co/C Catalysts With Optimized Triply Metal‐Loading, Size, and Ordering‐Degree for High‐Efficiency and Stable H2–Air Fuel Cells</w:t>
      </w:r>
    </w:p>
    <w:p>
      <w:pPr>
        <w:spacing w:before="0" w:after="120"/>
      </w:pPr>
      <w:r>
        <w:rPr>
          <w:b/>
        </w:rPr>
        <w:t xml:space="preserve">Source: </w:t>
      </w:r>
      <w:r>
        <w:t>Wiley: Advanced Materials: Table of Contents</w:t>
      </w:r>
      <w:r>
        <w:t xml:space="preserve">    </w:t>
      </w:r>
      <w:r>
        <w:rPr>
          <w:b/>
        </w:rPr>
        <w:t xml:space="preserve">Pub date: </w:t>
      </w:r>
      <w:r>
        <w:t>2026-04-25 06:35:27+00:00</w:t>
      </w:r>
      <w:r>
        <w:t xml:space="preserve">    </w:t>
      </w:r>
      <w:r>
        <w:rPr>
          <w:b/>
        </w:rPr>
        <w:t xml:space="preserve">DOI: </w:t>
      </w:r>
      <w:hyperlink r:id="rId102">
        <w:r>
          <w:rPr>
            <w:color w:val="1155CC"/>
            <w:u w:val="single"/>
          </w:rPr>
          <w:t>10.1002/adma.202523080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基于Pt的金属间化合物（IMCs）是氧还原反应（ORR）的有前途的电催化剂。本研究通过优化的L-半胱氨酸盐酸盐辅助浸渍法，制备了小尺寸（2–4 nm）且具有高Pt负载（40–60 wt.%）和有序度（42%–91%）的Pt-Co IMCs。除了加热速率和煅烧温度外，金属负载被确定为控制IMCs形成的关键因素。定量XRD分析显示，在40%负载时，IMCs比例达到78.8%（29.4% L1</w:t>
      </w:r>
      <w:r>
        <w:rPr>
          <w:vertAlign w:val="subscript"/>
        </w:rPr>
        <w:t>0</w:t>
      </w:r>
      <w:r>
        <w:t>-PtCo-IMC + 50.4% L1</w:t>
      </w:r>
      <w:r>
        <w:rPr>
          <w:vertAlign w:val="subscript"/>
        </w:rPr>
        <w:t>2</w:t>
      </w:r>
      <w:r>
        <w:t>-Pt</w:t>
      </w:r>
      <w:r>
        <w:rPr>
          <w:vertAlign w:val="subscript"/>
        </w:rPr>
        <w:t>3</w:t>
      </w:r>
      <w:r>
        <w:t>Co-IMC），在50%负载时达到峰值94.5%（68.4% L1</w:t>
      </w:r>
      <w:r>
        <w:rPr>
          <w:vertAlign w:val="subscript"/>
        </w:rPr>
        <w:t>0</w:t>
      </w:r>
      <w:r>
        <w:t>-PtCo-IMC + 26.1% L1</w:t>
      </w:r>
      <w:r>
        <w:rPr>
          <w:vertAlign w:val="subscript"/>
        </w:rPr>
        <w:t>2</w:t>
      </w:r>
      <w:r>
        <w:t>-Pt</w:t>
      </w:r>
      <w:r>
        <w:rPr>
          <w:vertAlign w:val="subscript"/>
        </w:rPr>
        <w:t>3</w:t>
      </w:r>
      <w:r>
        <w:t>Co-IMC），在60%负载时下降到31.6%（仅L1</w:t>
      </w:r>
      <w:r>
        <w:rPr>
          <w:vertAlign w:val="subscript"/>
        </w:rPr>
        <w:t>0</w:t>
      </w:r>
      <w:r>
        <w:t>-PtCo-IMC）。具有最高L1</w:t>
      </w:r>
      <w:r>
        <w:rPr>
          <w:vertAlign w:val="subscript"/>
        </w:rPr>
        <w:t>0</w:t>
      </w:r>
      <w:r>
        <w:t>-PtCo含量的50% Pt-Co-IMCs/C提供了最佳的ORR性能，实现了0.80 A mg</w:t>
      </w:r>
      <w:r>
        <w:t xml:space="preserve"> </w:t>
      </w:r>
      <w:r>
        <w:t>Pt</w:t>
      </w:r>
      <w:r>
        <w:t xml:space="preserve"> </w:t>
      </w:r>
      <w:r>
        <w:t>−1的质量活性，是商业PtCo-TKK的1.7倍。在H</w:t>
      </w:r>
      <w:r>
        <w:rPr>
          <w:vertAlign w:val="subscript"/>
        </w:rPr>
        <w:t>2</w:t>
      </w:r>
      <w:r>
        <w:t>-空气膜电极组件测试中，Pt用量为0.16 mg cm</w:t>
      </w:r>
      <w:r>
        <w:t xml:space="preserve"> </w:t>
      </w:r>
      <w:r>
        <w:t>−2</w:t>
      </w:r>
      <w:r>
        <w:t xml:space="preserve"> </w:t>
      </w:r>
      <w:r>
        <w:t>时，在2.0 A cm</w:t>
      </w:r>
      <w:r>
        <w:t xml:space="preserve"> </w:t>
      </w:r>
      <w:r>
        <w:t>−2</w:t>
      </w:r>
      <w:r>
        <w:t xml:space="preserve"> </w:t>
      </w:r>
      <w:r>
        <w:t>下实现了0.603 V的电压。</w:t>
      </w:r>
    </w:p>
    <w:p>
      <w:pPr>
        <w:spacing w:before="0" w:after="200" w:lineRule="auto" w:line="276"/>
      </w:pPr>
      <w:r>
        <w:rPr>
          <w:b/>
        </w:rPr>
        <w:t xml:space="preserve">Abstract (EN): </w:t>
      </w:r>
      <w:r>
        <w:t>Pt‐based intermetallic compounds (IMCs) are promising electrocatalysts for oxygen reduction reaction (ORR). This work presents small‐sized (2–4 nm) Pt‐Co IMCs with both high Pt loading (40–60 wt.%) and ordering degree (42%–91%) via an optimized L‐cysteine hydrochloride‐assisted impregnation. Besides heating rate and calcination temperature, metal loading is identified as a critical factor governing IMCs formation. Quantitative XRD analysis reveals that the IMCs fraction reaches 78.8% (29.4% L1</w:t>
      </w:r>
      <w:r>
        <w:rPr>
          <w:vertAlign w:val="subscript"/>
        </w:rPr>
        <w:t>0</w:t>
      </w:r>
      <w:r>
        <w:t>‐PtCo‐IMC + 50.4% L1</w:t>
      </w:r>
      <w:r>
        <w:rPr>
          <w:vertAlign w:val="subscript"/>
        </w:rPr>
        <w:t>2</w:t>
      </w:r>
      <w:r>
        <w:t>‐Pt</w:t>
      </w:r>
      <w:r>
        <w:rPr>
          <w:vertAlign w:val="subscript"/>
        </w:rPr>
        <w:t>3</w:t>
      </w:r>
      <w:r>
        <w:t>Co‐IMC) at 40% loading, peaks at 94.5% (68.4% L1</w:t>
      </w:r>
      <w:r>
        <w:rPr>
          <w:vertAlign w:val="subscript"/>
        </w:rPr>
        <w:t>0</w:t>
      </w:r>
      <w:r>
        <w:t>‐PtCo‐IMC + 26.1% L1</w:t>
      </w:r>
      <w:r>
        <w:rPr>
          <w:vertAlign w:val="subscript"/>
        </w:rPr>
        <w:t>2</w:t>
      </w:r>
      <w:r>
        <w:t>‐Pt</w:t>
      </w:r>
      <w:r>
        <w:rPr>
          <w:vertAlign w:val="subscript"/>
        </w:rPr>
        <w:t>3</w:t>
      </w:r>
      <w:r>
        <w:t>Co‐IMC) at 50% loading, and declines to 31.6% (solely L1</w:t>
      </w:r>
      <w:r>
        <w:rPr>
          <w:vertAlign w:val="subscript"/>
        </w:rPr>
        <w:t>0</w:t>
      </w:r>
      <w:r>
        <w:t>‐PtCo‐IMC) at 60% loading. The 50% Pt‐Co‐IMCs/C with the highest L1</w:t>
      </w:r>
      <w:r>
        <w:rPr>
          <w:vertAlign w:val="subscript"/>
        </w:rPr>
        <w:t>0</w:t>
      </w:r>
      <w:r>
        <w:t>‐PtCo content delivers the best ORR performance, achieving a mass activity of 0.80 A mg</w:t>
      </w:r>
      <w:r>
        <w:t xml:space="preserve"> </w:t>
      </w:r>
      <w:r>
        <w:t>Pt</w:t>
      </w:r>
      <w:r>
        <w:t xml:space="preserve"> </w:t>
      </w:r>
      <w:r>
        <w:t>−1</w:t>
      </w:r>
      <w:r>
        <w:t xml:space="preserve"> </w:t>
      </w:r>
      <w:r>
        <w:t>—1.7 times that of commercial PtCo‐TKK. In membrane electrode assembly tests under H</w:t>
      </w:r>
      <w:r>
        <w:rPr>
          <w:vertAlign w:val="subscript"/>
        </w:rPr>
        <w:t>2</w:t>
      </w:r>
      <w:r>
        <w:t>‐air with a low Pt usage of 0.16 mg cm</w:t>
      </w:r>
      <w:r>
        <w:t xml:space="preserve"> </w:t>
      </w:r>
      <w:r>
        <w:t>−</w:t>
      </w:r>
      <w:r>
        <w:rPr>
          <w:vertAlign w:val="subscript"/>
        </w:rPr>
        <w:t>2</w:t>
      </w:r>
      <w:r>
        <w:t>, a voltage of 0.603 V is achieved at 2.0 A cm</w:t>
      </w:r>
      <w:r>
        <w:t xml:space="preserve"> </w:t>
      </w:r>
      <w:r>
        <w:t>−</w:t>
      </w:r>
      <w:r>
        <w:rPr>
          <w:vertAlign w:val="subscript"/>
        </w:rPr>
        <w:t>2</w:t>
      </w:r>
      <w:r>
        <w:t>, with only 11.4% voltage decay after 30 000 cycles. Density functional theory calculations corroborate the activity trend of L1</w:t>
      </w:r>
      <w:r>
        <w:rPr>
          <w:vertAlign w:val="subscript"/>
        </w:rPr>
        <w:t>0</w:t>
      </w:r>
      <w:r>
        <w:t>‐PtCo &amp;gt;L1</w:t>
      </w:r>
      <w:r>
        <w:rPr>
          <w:vertAlign w:val="subscript"/>
        </w:rPr>
        <w:t>2</w:t>
      </w:r>
      <w:r>
        <w:t>‐Pt</w:t>
      </w:r>
      <w:r>
        <w:rPr>
          <w:vertAlign w:val="subscript"/>
        </w:rPr>
        <w:t>3</w:t>
      </w:r>
      <w:r>
        <w:t>Co &amp;gt;disordered PtCo, thereby rationalizing the loading‐dependent ORR activity. The synergistic effect between optimized</w:t>
      </w:r>
      <w:r>
        <w:t xml:space="preserve"> </w:t>
      </w:r>
      <w:r>
        <w:t>*</w:t>
      </w:r>
      <w:r>
        <w:t xml:space="preserve"> </w:t>
      </w:r>
      <w:r>
        <w:t>OH desorption kinetics in the rate‐determining step and strong Pt‐Co</w:t>
      </w:r>
      <w:r>
        <w:t xml:space="preserve"> </w:t>
      </w:r>
      <w:r>
        <w:t>d</w:t>
      </w:r>
      <w:r>
        <w:t xml:space="preserve"> </w:t>
      </w:r>
      <w:r>
        <w:t>‐</w:t>
      </w:r>
      <w:r>
        <w:t xml:space="preserve"> </w:t>
      </w:r>
      <w:r>
        <w:t>d</w:t>
      </w:r>
      <w:r>
        <w:t xml:space="preserve"> </w:t>
      </w:r>
      <w:r>
        <w:t>orbital coupling jointly enhances the activity and stability.</w:t>
      </w:r>
    </w:p>
    <w:p>
      <w:pPr>
        <w:spacing w:before="120" w:after="120"/>
      </w:pPr>
      <w:r>
        <w:rPr>
          <w:sz w:val="18"/>
        </w:rPr>
        <w:t>——————————————————————————————————————————————————————————————————————</w:t>
      </w:r>
    </w:p>
    <w:p>
      <w:pPr>
        <w:spacing w:before="160" w:after="40" w:line="240" w:lineRule="auto"/>
      </w:pPr>
      <w:r>
        <w:rPr>
          <w:b/>
        </w:rPr>
        <w:t xml:space="preserve">[9] </w:t>
      </w:r>
      <w:hyperlink r:id="rId103">
        <w:r>
          <w:rPr>
            <w:color w:val="1155CC"/>
            <w:u w:val="single"/>
          </w:rPr>
          <w:t>HyDRA：用于磁性氢液化的大规模测试平台</w:t>
        </w:r>
      </w:hyperlink>
    </w:p>
    <w:p>
      <w:pPr>
        <w:spacing w:before="0" w:after="80"/>
      </w:pPr>
      <w:r>
        <w:rPr>
          <w:i/>
          <w:sz w:val="20"/>
        </w:rPr>
        <w:t>EN: HyDRA: A large-scale test bench for magnetic hydrogen liquefaction</w:t>
      </w:r>
    </w:p>
    <w:p>
      <w:pPr>
        <w:spacing w:before="0" w:after="120"/>
      </w:pPr>
      <w:r>
        <w:rPr>
          <w:b/>
        </w:rPr>
        <w:t xml:space="preserve">Source: </w:t>
      </w:r>
      <w:r>
        <w:t>ScienceDirect Publication: Applied Energy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04">
        <w:r>
          <w:rPr>
            <w:color w:val="1155CC"/>
            <w:u w:val="single"/>
          </w:rPr>
          <w:t>量子启发的多模式多目标优化用于可再生能源系统中电动和氢能交通的集成：巴基斯坦伊斯兰堡的案例研究</w:t>
        </w:r>
      </w:hyperlink>
    </w:p>
    <w:p>
      <w:pPr>
        <w:spacing w:before="0" w:after="80"/>
      </w:pPr>
      <w:r>
        <w:rPr>
          <w:i/>
          <w:sz w:val="20"/>
        </w:rPr>
        <w:t>EN: Quantum-inspired multi-modal multi-objective optimization for integrated electric and hydrogen mobility in renewable energy systems: Case study in Islamabad, Pakistan</w:t>
      </w:r>
    </w:p>
    <w:p>
      <w:pPr>
        <w:spacing w:before="0" w:after="120"/>
      </w:pPr>
      <w:r>
        <w:rPr>
          <w:b/>
        </w:rPr>
        <w:t xml:space="preserve">Source: </w:t>
      </w:r>
      <w:r>
        <w:t>ScienceDirect Publication: Applied Energy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 </w:t>
      </w:r>
      <w:hyperlink r:id="rId105">
        <w:r>
          <w:rPr>
            <w:color w:val="1155CC"/>
            <w:u w:val="single"/>
          </w:rPr>
          <w:t>胡萝卜加大棒：加速氢能和电转X经济的工具的比较分析</w:t>
        </w:r>
      </w:hyperlink>
    </w:p>
    <w:p>
      <w:pPr>
        <w:spacing w:before="0" w:after="80"/>
      </w:pPr>
      <w:r>
        <w:rPr>
          <w:i/>
          <w:sz w:val="20"/>
        </w:rPr>
        <w:t>EN: Carrot and stick: A comparative analysis of instruments for accelerating the hydrogen and power-to-X economy</w:t>
      </w:r>
    </w:p>
    <w:p>
      <w:pPr>
        <w:spacing w:before="0" w:after="120"/>
      </w:pPr>
      <w:r>
        <w:rPr>
          <w:b/>
        </w:rPr>
        <w:t xml:space="preserve">Source: </w:t>
      </w:r>
      <w:r>
        <w:t>ScienceDirect Publication: Energy Policy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 </w:t>
      </w:r>
      <w:hyperlink r:id="rId106">
        <w:r>
          <w:rPr>
            <w:color w:val="1155CC"/>
            <w:u w:val="single"/>
          </w:rPr>
          <w:t>可调离子浸出驱动高熵合金中活性位点的自我补充，用于超稳定的氢气演化电极</w:t>
        </w:r>
      </w:hyperlink>
    </w:p>
    <w:p>
      <w:pPr>
        <w:spacing w:before="0" w:after="80"/>
      </w:pPr>
      <w:r>
        <w:rPr>
          <w:i/>
          <w:sz w:val="20"/>
        </w:rPr>
        <w:t>EN: Tunable ions leaching drives active-site self-replenishment in high-entropy alloy for ultra-stable hydrogen evolution electrode</w:t>
      </w:r>
    </w:p>
    <w:p>
      <w:pPr>
        <w:spacing w:before="0" w:after="120"/>
      </w:pPr>
      <w:r>
        <w:rPr>
          <w:b/>
        </w:rPr>
        <w:t xml:space="preserve">Source: </w:t>
      </w:r>
      <w:r>
        <w:t>Joule</w:t>
      </w:r>
      <w:r>
        <w:t xml:space="preserve">    </w:t>
      </w:r>
      <w:r>
        <w:rPr>
          <w:b/>
        </w:rPr>
        <w:t xml:space="preserve">Pub date: </w:t>
      </w:r>
      <w:r>
        <w:t>2026-04-28 00:00:00+00:00</w:t>
      </w:r>
      <w:r>
        <w:t xml:space="preserve">    </w:t>
      </w:r>
      <w:r>
        <w:rPr>
          <w:b/>
        </w:rPr>
        <w:t xml:space="preserve">DOI: </w:t>
      </w:r>
      <w:hyperlink r:id="rId107">
        <w:r>
          <w:rPr>
            <w:color w:val="1155CC"/>
            <w:u w:val="single"/>
          </w:rPr>
          <w:t>10.1016/j.joule.2026.102436</w:t>
        </w:r>
      </w:hyperlink>
    </w:p>
    <w:p>
      <w:pPr>
        <w:spacing w:before="0" w:after="120"/>
      </w:pPr>
      <w:r>
        <w:rPr>
          <w:b/>
        </w:rPr>
        <w:t xml:space="preserve">Notes: </w:t>
      </w:r>
      <w:r>
        <w:t>abstract_source=rss_cell</w:t>
      </w:r>
    </w:p>
    <w:p>
      <w:pPr>
        <w:spacing w:before="0" w:after="80" w:lineRule="auto" w:line="276"/>
      </w:pPr>
      <w:r>
        <w:rPr>
          <w:b/>
        </w:rPr>
        <w:t xml:space="preserve">摘要（ZH）: </w:t>
      </w:r>
      <w:r>
        <w:t>工业氢气生产需要高度耐用且具有成本效益的电极。本研究介绍了一种突破性的“自补充”策略用于高熵合金催化剂。这些电极不是仅仅抵抗降解，而是通过控制牺牲元素的浸出来持续再生新的活性位点。这种动态更新机制在工业电流下实现了10,000小时的稳定氢气演化。在商业规模电解槽中验证，这种方法为开发超耐用电极用于可持续能源应用提供了一个通用框架。</w:t>
      </w:r>
    </w:p>
    <w:p>
      <w:pPr>
        <w:spacing w:before="0" w:after="200" w:lineRule="auto" w:line="276"/>
      </w:pPr>
      <w:r>
        <w:rPr>
          <w:b/>
        </w:rPr>
        <w:t xml:space="preserve">Abstract (EN): </w:t>
      </w:r>
      <w:r>
        <w:t>Industrial hydrogen production requires highly durable and cost-effective electrodes. This study introduces a breakthrough “self-replenishment” strategy for high-entropy alloy catalysts. Instead of merely resisting degradation, these electrodes employ controlled leaching of sacrificial elements to continuously regenerate fresh active sites. This dynamic renewal mechanism achieves an outstanding 10,000 h of stable hydrogen evolution at industrial currents. Validated in commercial-scale electrolyzers, this approach provides a universal framework for developing ultra-durable electrodes for sustainable energy applications.</w:t>
      </w:r>
    </w:p>
    <w:p>
      <w:pPr>
        <w:spacing w:before="120" w:after="120"/>
      </w:pPr>
      <w:r>
        <w:rPr>
          <w:sz w:val="18"/>
        </w:rPr>
        <w:t>——————————————————————————————————————————————————————————————————————</w:t>
      </w:r>
    </w:p>
    <w:p>
      <w:pPr>
        <w:spacing w:before="160" w:after="40" w:line="240" w:lineRule="auto"/>
      </w:pPr>
      <w:r>
        <w:rPr>
          <w:b/>
        </w:rPr>
        <w:t xml:space="preserve">[13] </w:t>
      </w:r>
      <w:hyperlink r:id="rId108">
        <w:r>
          <w:rPr>
            <w:color w:val="1155CC"/>
            <w:u w:val="single"/>
          </w:rPr>
          <w:t>工业规模碱性水电解槽堆中空间热不均匀性和热点形成的实验和数值分析</w:t>
        </w:r>
      </w:hyperlink>
    </w:p>
    <w:p>
      <w:pPr>
        <w:spacing w:before="0" w:after="80"/>
      </w:pPr>
      <w:r>
        <w:rPr>
          <w:i/>
          <w:sz w:val="20"/>
        </w:rPr>
        <w:t>EN: Experimental and numerical analysis of spatial thermal non-uniformity and hotspot formation in an industrial-scale alkaline water electrolyzer stack</w:t>
      </w:r>
    </w:p>
    <w:p>
      <w:pPr>
        <w:spacing w:before="0" w:after="120"/>
      </w:pPr>
      <w:r>
        <w:rPr>
          <w:b/>
        </w:rPr>
        <w:t xml:space="preserve">Source: </w:t>
      </w:r>
      <w:r>
        <w:t>ScienceDirect Publication: Applied Energy</w:t>
      </w:r>
      <w:r>
        <w:t xml:space="preserve">    </w:t>
      </w:r>
      <w:r>
        <w:rPr>
          <w:b/>
        </w:rPr>
        <w:t xml:space="preserve">Pub date: </w:t>
      </w:r>
      <w:r>
        <w:t>2026-04-28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 </w:t>
      </w:r>
      <w:hyperlink r:id="rId109">
        <w:r>
          <w:rPr>
            <w:color w:val="1155CC"/>
            <w:u w:val="single"/>
          </w:rPr>
          <w:t>用于联合热能和储能的氨固体吸附</w:t>
        </w:r>
      </w:hyperlink>
    </w:p>
    <w:p>
      <w:pPr>
        <w:spacing w:before="0" w:after="80"/>
      </w:pPr>
      <w:r>
        <w:rPr>
          <w:i/>
          <w:sz w:val="20"/>
        </w:rPr>
        <w:t>EN: Ammonia solid sorption for combined heat and energy storage</w:t>
      </w:r>
    </w:p>
    <w:p>
      <w:pPr>
        <w:spacing w:before="0" w:after="120"/>
      </w:pPr>
      <w:r>
        <w:rPr>
          <w:b/>
        </w:rPr>
        <w:t xml:space="preserve">Source: </w:t>
      </w:r>
      <w:r>
        <w:t>Nature Reviews Clean Technology</w:t>
      </w:r>
      <w:r>
        <w:t xml:space="preserve">    </w:t>
      </w:r>
      <w:r>
        <w:rPr>
          <w:b/>
        </w:rPr>
        <w:t xml:space="preserve">Pub date: </w:t>
      </w:r>
      <w:r>
        <w:t>2026-04-28 00:00:00+00:00</w:t>
      </w:r>
      <w:r>
        <w:t xml:space="preserve">    </w:t>
      </w:r>
      <w:r>
        <w:rPr>
          <w:b/>
        </w:rPr>
        <w:t xml:space="preserve">DOI: </w:t>
      </w:r>
      <w:hyperlink r:id="rId110">
        <w:r>
          <w:rPr>
            <w:color w:val="1155CC"/>
            <w:u w:val="single"/>
          </w:rPr>
          <w:t>10.1038/s44359-026-00166-1</w:t>
        </w:r>
      </w:hyperlink>
    </w:p>
    <w:p>
      <w:pPr>
        <w:spacing w:before="0" w:after="120"/>
      </w:pPr>
      <w:r>
        <w:rPr>
          <w:b/>
        </w:rPr>
        <w:t xml:space="preserve">Notes: </w:t>
      </w:r>
      <w:r>
        <w:t>abstract_source=nature_html</w:t>
      </w:r>
    </w:p>
    <w:p>
      <w:pPr>
        <w:spacing w:before="0" w:after="80" w:lineRule="auto" w:line="276"/>
      </w:pPr>
      <w:r>
        <w:rPr>
          <w:b/>
        </w:rPr>
        <w:t xml:space="preserve">摘要（ZH）: </w:t>
      </w:r>
      <w:r>
        <w:t>氨是一种潜在的无碳能源替代品。然而，氨的储存和运输限制了其部署，因为大多数司法管辖区对氨的处理施加了严格的规定，因其具有危险性。在这篇观点文章中，我们描述了固体吸附技术及其在氨-热联合储存中的发展。结合氨和热储存可以使吸附材料实现约10 MJ l−1的总储能密度。理想的氨储存吸附材料将结合高能量密度、长期的稳健性以及优越的热和质量传递特性。卤化物、氢键有机框架和石墨烯气凝胶等材料可能适合用于氨吸附。例如，金属有机框架材料已被证明可以连续运行4年。此外，通过绕过液相，吸附技术可以减轻传统氨储存中常见的安全风险。考虑到绿色氨的生产和使用，可以根据其热力学和动力学特性识别和优化用于多功能固体氨储存的材料。</w:t>
      </w:r>
    </w:p>
    <w:p>
      <w:pPr>
        <w:spacing w:before="0" w:after="200" w:lineRule="auto" w:line="276"/>
      </w:pPr>
      <w:r>
        <w:rPr>
          <w:b/>
        </w:rPr>
        <w:t xml:space="preserve">Abstract (EN): </w:t>
      </w:r>
      <w:r>
        <w:t>Ammonia is a potential alternative carbon-free energy source. However, ammonia storage and transportation restrict deployment, as most jurisdictions impose strict regulations on ammonia handling due to its hazardous nature. In this Perspective, we describe solid-sorption technology and its development for ammonia–thermal combined storage. Combining ammonia and heat storage allows for sorption materials to achieve overall stored energy densities on the order of ~10 MJ l−1. An ideal sorption material for ammonia storage will combine high energy density with long-term robustness and superior heat and mass transfer properties. Materials such as halides, hydrogen-bonded organic frameworks and graphene aerogels could be suitable for ammonia sorption. For example, metal–organic framework materials have been demonstrated in continuous operation for 4 years. Furthermore, safety risks common in conventional ammonia storage could be mitigated in sorption technology through bypassing the liquid phase. Considering green ammonia production and use could enable the identification and optimization of materials for multifunctional solid ammonia storage based on their thermodynamic and kinetic properties.</w:t>
      </w:r>
    </w:p>
    <w:p>
      <w:pPr>
        <w:spacing w:before="120" w:after="120"/>
      </w:pPr>
      <w:r>
        <w:rPr>
          <w:sz w:val="18"/>
        </w:rPr>
        <w:t>——————————————————————————————————————————————————————————————————————</w:t>
      </w:r>
    </w:p>
    <w:p>
      <w:pPr>
        <w:spacing w:before="160" w:after="40" w:line="240" w:lineRule="auto"/>
      </w:pPr>
      <w:r>
        <w:rPr>
          <w:b/>
        </w:rPr>
        <w:t xml:space="preserve">[15] </w:t>
      </w:r>
      <w:hyperlink r:id="rId111">
        <w:r>
          <w:rPr>
            <w:color w:val="1155CC"/>
            <w:u w:val="single"/>
          </w:rPr>
          <w:t>太阳能驱动的光热制氢：最新进展和未来展望</w:t>
        </w:r>
      </w:hyperlink>
    </w:p>
    <w:p>
      <w:pPr>
        <w:spacing w:before="0" w:after="80"/>
      </w:pPr>
      <w:r>
        <w:rPr>
          <w:i/>
          <w:sz w:val="20"/>
        </w:rPr>
        <w:t>EN: Solar‐Driven Photothermal Hydrogen Production: Recent Advances and Future Perspectives</w:t>
      </w:r>
    </w:p>
    <w:p>
      <w:pPr>
        <w:spacing w:before="0" w:after="120"/>
      </w:pPr>
      <w:r>
        <w:rPr>
          <w:b/>
        </w:rPr>
        <w:t xml:space="preserve">Source: </w:t>
      </w:r>
      <w:r>
        <w:t>Wiley: Advanced Energy Materials: Table of Contents</w:t>
      </w:r>
      <w:r>
        <w:t xml:space="preserve">    </w:t>
      </w:r>
      <w:r>
        <w:rPr>
          <w:b/>
        </w:rPr>
        <w:t xml:space="preserve">Pub date: </w:t>
      </w:r>
      <w:r>
        <w:t>2026-04-28 05:04:52+00:00</w:t>
      </w:r>
      <w:r>
        <w:t xml:space="preserve">    </w:t>
      </w:r>
      <w:r>
        <w:rPr>
          <w:b/>
        </w:rPr>
        <w:t xml:space="preserve">DOI: </w:t>
      </w:r>
      <w:hyperlink r:id="rId112">
        <w:r>
          <w:rPr>
            <w:color w:val="1155CC"/>
            <w:u w:val="single"/>
          </w:rPr>
          <w:t>10.1002/aenm.70941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光热氢气生产已成为一种有前景的太阳能到氢气（STH）转换策略，它整合了光子和热能收集以克服传统光催化的固有限制。本文综述了光热氢气生产的最新进展，强调了光吸收、载流子弛豫和非辐射热生成如何协同实现高效催化转换。文章重点介绍了增强光热转换和优化载流子动力学的结构和界面工程策略，包括纳米尺度调制、核壳和空心结构以及等离子体耦合。除了材料层面的设计，文章还讨论了热环境工程的新兴概念，通过“蒸发-转换”耦合将反应界面从液-固相重构为气-固相，从而提高能量利用率和氢气演化动力学。机制见解进一步与机器学习辅助催化剂发现的最新发展相结合，提供了一条数据驱动的路径，通向光热系统的智能设计。最后，本文概述了实现高效、稳定和可扩展的太阳能驱动光热氢气生产的挑战和未来机遇，提供了一个将基础理解与实际应用相结合的概念框架。</w:t>
      </w:r>
    </w:p>
    <w:p>
      <w:pPr>
        <w:spacing w:before="0" w:after="200" w:lineRule="auto" w:line="276"/>
      </w:pPr>
      <w:r>
        <w:rPr>
          <w:b/>
        </w:rPr>
        <w:t xml:space="preserve">Abstract (EN): </w:t>
      </w:r>
      <w:r>
        <w:t>Photothermal hydrogen production has emerged as a promising solar‐to‐hydrogen (STH) conversion strategy that integrates photon and thermal energy harvesting to overcome the intrinsic limitations of conventional photocatalysis. This review provides a comprehensive overview of recent advances in photothermal hydrogen production, emphasizing how light absorption, charge carrier relaxation, and nonradiative heat generation synergistically enable efficient catalytic conversion. The structural and interfacial engineering strategies, including nanoscale modulation, core–shell and hollow architectures, and plasmonic coupling, that enhance light‐heat conversion and optimize carrier dynamics are highlighted. Beyond material‐level design, the emerging concept of thermal environment engineering is discussed, which reconstructs reaction interfaces from liquid‐solid to gas‐solid phases through “evaporation‐conversion” coupling, thereby improving energy utilization and hydrogen evolution kinetics. Mechanistic insights are further connected to recent developments in machine learning‐assisted catalyst discovery, which offers a data‐driven pathway toward intelligent design of photothermal systems. Finally, the review outlines the challenges and future opportunities for achieving high‐efficiency, stable, and scalable solar‐driven photothermal hydrogen production, providing a conceptual framework that bridges fundamental understanding with practical implementation.</w:t>
      </w:r>
    </w:p>
    <w:p>
      <w:pPr>
        <w:spacing w:before="120" w:after="120"/>
      </w:pPr>
      <w:r>
        <w:rPr>
          <w:sz w:val="18"/>
        </w:rPr>
        <w:t>——————————————————————————————————————————————————————————————————————</w:t>
      </w:r>
    </w:p>
    <w:p>
      <w:pPr>
        <w:spacing w:before="160" w:after="40" w:line="240" w:lineRule="auto"/>
      </w:pPr>
      <w:r>
        <w:rPr>
          <w:b/>
        </w:rPr>
        <w:t xml:space="preserve">[16] </w:t>
      </w:r>
      <w:hyperlink r:id="rId113">
        <w:r>
          <w:rPr>
            <w:color w:val="1155CC"/>
            <w:u w:val="single"/>
          </w:rPr>
          <w:t>加速OH−传输以实现5000小时稳定的千瓦级碱性水电解</w:t>
        </w:r>
      </w:hyperlink>
    </w:p>
    <w:p>
      <w:pPr>
        <w:spacing w:before="0" w:after="80"/>
      </w:pPr>
      <w:r>
        <w:rPr>
          <w:i/>
          <w:sz w:val="20"/>
        </w:rPr>
        <w:t>EN: Accelerating OH− Transport for 5000‐Hour‐Stable Kilowatt‐Scale Alkaline Water Electrolysis</w:t>
      </w:r>
    </w:p>
    <w:p>
      <w:pPr>
        <w:spacing w:before="0" w:after="120"/>
      </w:pPr>
      <w:r>
        <w:rPr>
          <w:b/>
        </w:rPr>
        <w:t xml:space="preserve">Source: </w:t>
      </w:r>
      <w:r>
        <w:t>Wiley: Advanced Materials: Table of Contents</w:t>
      </w:r>
      <w:r>
        <w:t xml:space="preserve">    </w:t>
      </w:r>
      <w:r>
        <w:rPr>
          <w:b/>
        </w:rPr>
        <w:t xml:space="preserve">Pub date: </w:t>
      </w:r>
      <w:r>
        <w:t>2026-04-28 06:34:31+00:00</w:t>
      </w:r>
      <w:r>
        <w:t xml:space="preserve">    </w:t>
      </w:r>
      <w:r>
        <w:rPr>
          <w:b/>
        </w:rPr>
        <w:t xml:space="preserve">DOI: </w:t>
      </w:r>
      <w:hyperlink r:id="rId114">
        <w:r>
          <w:rPr>
            <w:color w:val="1155CC"/>
            <w:u w:val="single"/>
          </w:rPr>
          <w:t>10.1002/adma.73220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高电流密度下增强OH−反应物连续供应到阳极催化位点对于碱性水电解槽（AWE）的发展至关重要。在此，通过使用稀土氧化物簇（REOx）重新配置界面氢键网络展示了一种促进OH−传输的策略。这种结构调节实现了OH−传输速率的近三倍增加。机制分析表明，稀土的引入削弱了*OH中间体中的氧与界面H2O分子之间的电荷-偶极相互作用，促进了从刚性、有序的界面水结构向更孤立、松散的配置的过渡。在一系列REOx/NiCo2S4催化剂中，孤立水物种比例、OH−传输速率和OER活性之间的线性相关性支持了这一机制。使用DyOx/NiCo2S4组装的总活性面积为1334 cm2的17个电池的千瓦级AWE。</w:t>
      </w:r>
    </w:p>
    <w:p>
      <w:pPr>
        <w:spacing w:before="0" w:after="200" w:lineRule="auto" w:line="276"/>
      </w:pPr>
      <w:r>
        <w:rPr>
          <w:b/>
        </w:rPr>
        <w:t xml:space="preserve">Abstract (EN): </w:t>
      </w:r>
      <w:r>
        <w:t>Enhancing the continuous supply of OH</w:t>
      </w:r>
      <w:r>
        <w:t xml:space="preserve"> </w:t>
      </w:r>
      <w:r>
        <w:t>−</w:t>
      </w:r>
      <w:r>
        <w:t>reactants to anode catalytic sites under high current density is critical for the development of alkaline water electrolyzer (AWE). Herein, a strategy for promoting OH</w:t>
      </w:r>
      <w:r>
        <w:t xml:space="preserve"> </w:t>
      </w:r>
      <w:r>
        <w:t>−</w:t>
      </w:r>
      <w:r>
        <w:t>transport is demonstrated by using rare earth oxide clusters (REO</w:t>
      </w:r>
      <w:r>
        <w:t xml:space="preserve"> </w:t>
      </w:r>
      <w:r>
        <w:t>x</w:t>
      </w:r>
      <w:r>
        <w:t xml:space="preserve"> </w:t>
      </w:r>
      <w:r>
        <w:t>) to reconfigure interfacial hydrogen bond networks. This structural modulation achieves a nearly threefold increase in the OH</w:t>
      </w:r>
      <w:r>
        <w:t xml:space="preserve"> </w:t>
      </w:r>
      <w:r>
        <w:t>−</w:t>
      </w:r>
      <w:r>
        <w:t>transport rate. Mechanistic analysis reveals that the incorporation of rare earth weakens the charge‐dipole interaction between the oxygen in the</w:t>
      </w:r>
      <w:r>
        <w:t xml:space="preserve"> </w:t>
      </w:r>
      <w:r>
        <w:t>*</w:t>
      </w:r>
      <w:r>
        <w:t xml:space="preserve"> </w:t>
      </w:r>
      <w:r>
        <w:t>OH intermediate and interfacial H</w:t>
      </w:r>
      <w:r>
        <w:rPr>
          <w:vertAlign w:val="subscript"/>
        </w:rPr>
        <w:t>2</w:t>
      </w:r>
      <w:r>
        <w:t>O molecules, promoting the transition from a rigid, ordered interfacial water structure to a more isolated, loose configuration. A linear correlation among the proportions of isolated water species, OH</w:t>
      </w:r>
      <w:r>
        <w:t xml:space="preserve"> </w:t>
      </w:r>
      <w:r>
        <w:t>−</w:t>
      </w:r>
      <w:r>
        <w:t>transport rates, and OER activity across a series of REO</w:t>
      </w:r>
      <w:r>
        <w:t xml:space="preserve"> </w:t>
      </w:r>
      <w:r>
        <w:t>x</w:t>
      </w:r>
      <w:r>
        <w:t xml:space="preserve"> </w:t>
      </w:r>
      <w:r>
        <w:t>/NiCo</w:t>
      </w:r>
      <w:r>
        <w:rPr>
          <w:vertAlign w:val="subscript"/>
        </w:rPr>
        <w:t>2</w:t>
      </w:r>
      <w:r>
        <w:t>S</w:t>
      </w:r>
      <w:r>
        <w:rPr>
          <w:vertAlign w:val="subscript"/>
        </w:rPr>
        <w:t>4</w:t>
      </w:r>
      <w:r>
        <w:t>catalysts supports this mechanism. A kilowatt‐scale AWE consisting of 17 cells with a total active area of 1334 cm</w:t>
      </w:r>
      <w:r>
        <w:rPr>
          <w:vertAlign w:val="subscript"/>
        </w:rPr>
        <w:t>2</w:t>
      </w:r>
      <w:r>
        <w:t>was assembled using a DyO</w:t>
      </w:r>
      <w:r>
        <w:t xml:space="preserve"> </w:t>
      </w:r>
      <w:r>
        <w:t>x</w:t>
      </w:r>
      <w:r>
        <w:t xml:space="preserve"> </w:t>
      </w:r>
      <w:r>
        <w:t>/NiCo</w:t>
      </w:r>
      <w:r>
        <w:rPr>
          <w:vertAlign w:val="subscript"/>
        </w:rPr>
        <w:t>2</w:t>
      </w:r>
      <w:r>
        <w:t>S</w:t>
      </w:r>
      <w:r>
        <w:rPr>
          <w:vertAlign w:val="subscript"/>
        </w:rPr>
        <w:t>4</w:t>
      </w:r>
      <w:r>
        <w:t>anode. For the first time, the system operated stably for over 5,000 h at a current of 39.25 A under industrial operating conditions, achieving a cumulative hydrogen output of 1,400 Nm</w:t>
      </w:r>
      <w:r>
        <w:rPr>
          <w:vertAlign w:val="subscript"/>
        </w:rPr>
        <w:t>3</w:t>
      </w:r>
      <w:r>
        <w:t>. This work highlights the potential of manipulating the electrode‐electrolyte interface to enhance catalyst performance in producing industrial‐scale green hydrogen.</w:t>
      </w:r>
    </w:p>
    <w:p>
      <w:pPr>
        <w:spacing w:before="120" w:after="120"/>
      </w:pPr>
      <w:r>
        <w:rPr>
          <w:sz w:val="18"/>
        </w:rPr>
        <w:t>——————————————————————————————————————————————————————————————————————</w:t>
      </w:r>
    </w:p>
    <w:p>
      <w:pPr>
        <w:spacing w:before="160" w:after="40" w:line="240" w:lineRule="auto"/>
      </w:pPr>
      <w:r>
        <w:rPr>
          <w:b/>
        </w:rPr>
        <w:t xml:space="preserve">[17] </w:t>
      </w:r>
      <w:hyperlink r:id="rId115">
        <w:r>
          <w:rPr>
            <w:color w:val="1155CC"/>
            <w:u w:val="single"/>
          </w:rPr>
          <w:t>近零碳排放氢电共生系统的热力学分析，该系统与太阳能驱动的化学循环燃料转换和能量存储相结合</w:t>
        </w:r>
      </w:hyperlink>
    </w:p>
    <w:p>
      <w:pPr>
        <w:spacing w:before="0" w:after="80"/>
      </w:pPr>
      <w:r>
        <w:rPr>
          <w:i/>
          <w:sz w:val="20"/>
        </w:rPr>
        <w:t>EN: Thermodynamic analysis of a near-zero carbon emissions hydrogen-electricity cogeneration system coupled with solar driven chemical looping fuel conversion and energy storage</w:t>
      </w:r>
    </w:p>
    <w:p>
      <w:pPr>
        <w:spacing w:before="0" w:after="120"/>
      </w:pPr>
      <w:r>
        <w:rPr>
          <w:b/>
        </w:rPr>
        <w:t xml:space="preserve">Source: </w:t>
      </w:r>
      <w:r>
        <w:t>ScienceDirect Publication: Applied Energy</w:t>
      </w:r>
      <w:r>
        <w:t xml:space="preserve">    </w:t>
      </w:r>
      <w:r>
        <w:rPr>
          <w:b/>
        </w:rPr>
        <w:t xml:space="preserve">Pub date: </w:t>
      </w:r>
      <w:r>
        <w:t>2026-04-29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116">
        <w:r>
          <w:rPr>
            <w:color w:val="1155CC"/>
            <w:u w:val="single"/>
          </w:rPr>
          <w:t>考虑多重不确定性的加氢站动态价格决策模型研究</w:t>
        </w:r>
      </w:hyperlink>
    </w:p>
    <w:p>
      <w:pPr>
        <w:spacing w:before="0" w:after="80"/>
      </w:pPr>
      <w:r>
        <w:rPr>
          <w:i/>
          <w:sz w:val="20"/>
        </w:rPr>
        <w:t>EN: Research on the dynamic price decision model of hydrogen refueling stations considering multiple uncertainties</w:t>
      </w:r>
    </w:p>
    <w:p>
      <w:pPr>
        <w:spacing w:before="0" w:after="120"/>
      </w:pPr>
      <w:r>
        <w:rPr>
          <w:b/>
        </w:rPr>
        <w:t xml:space="preserve">Source: </w:t>
      </w:r>
      <w:r>
        <w:t>ScienceDirect Publication: Applied Energy</w:t>
      </w:r>
      <w:r>
        <w:t xml:space="preserve">    </w:t>
      </w:r>
      <w:r>
        <w:rPr>
          <w:b/>
        </w:rPr>
        <w:t xml:space="preserve">Pub date: </w:t>
      </w:r>
      <w:r>
        <w:t>2026-04-29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117">
        <w:r>
          <w:rPr>
            <w:color w:val="1155CC"/>
            <w:u w:val="single"/>
          </w:rPr>
          <w:t>通过CO2介导的质子耦合电子存储实现氢气演化与连续辐照的解耦</w:t>
        </w:r>
      </w:hyperlink>
    </w:p>
    <w:p>
      <w:pPr>
        <w:spacing w:before="0" w:after="80"/>
      </w:pPr>
      <w:r>
        <w:rPr>
          <w:i/>
          <w:sz w:val="20"/>
        </w:rPr>
        <w:t>EN: Decoupling Hydrogen Evolution From Continuous Irradiation via CO2‐Mediated Proton‐Coupled Electron Storage</w:t>
      </w:r>
    </w:p>
    <w:p>
      <w:pPr>
        <w:spacing w:before="0" w:after="120"/>
      </w:pPr>
      <w:r>
        <w:rPr>
          <w:b/>
        </w:rPr>
        <w:t xml:space="preserve">Source: </w:t>
      </w:r>
      <w:r>
        <w:t>Wiley: Angewandte Chemie International Edition: Table of Contents</w:t>
      </w:r>
      <w:r>
        <w:t xml:space="preserve">    </w:t>
      </w:r>
      <w:r>
        <w:rPr>
          <w:b/>
        </w:rPr>
        <w:t xml:space="preserve">Pub date: </w:t>
      </w:r>
      <w:r>
        <w:t>2026-04-29 07:55:03+00:00</w:t>
      </w:r>
      <w:r>
        <w:t xml:space="preserve">    </w:t>
      </w:r>
      <w:r>
        <w:rPr>
          <w:b/>
        </w:rPr>
        <w:t xml:space="preserve">DOI: </w:t>
      </w:r>
      <w:hyperlink r:id="rId118">
        <w:r>
          <w:rPr>
            <w:color w:val="1155CC"/>
            <w:u w:val="single"/>
          </w:rPr>
          <w:t>10.1002/anie.4189062</w:t>
        </w:r>
      </w:hyperlink>
    </w:p>
    <w:p>
      <w:pPr>
        <w:spacing w:before="0" w:after="120"/>
      </w:pPr>
      <w:r>
        <w:rPr>
          <w:b/>
        </w:rPr>
        <w:t xml:space="preserve">Notes: </w:t>
      </w:r>
      <w:r>
        <w:t>abstract_source=pubmed</w:t>
      </w:r>
    </w:p>
    <w:p>
      <w:pPr>
        <w:spacing w:before="0" w:after="80" w:lineRule="auto" w:line="276"/>
      </w:pPr>
      <w:r>
        <w:rPr>
          <w:b/>
        </w:rPr>
        <w:t xml:space="preserve">摘要（ZH）: </w:t>
      </w:r>
      <w:r>
        <w:t>太阳能的间歇性特性和高压氢气储存/运输的安全性问题对太阳能驱动的氢气生产的广泛采用构成了关键挑战。为了解决这些挑战，我们探索了一种具有原子分散Cu位点的金属有机框架/聚合物碳氮化物（PCN）异质结构（Cu@MOF/PCN-n，n = 1-5，代表Cu@MOF-303初始质量百分比为1%-5%）。优化的Cu@MOF/PCN-3能够储存太阳能，并通过CO2介导的质子耦合电子储存将H2演化与连续照射解耦。在CO2气氛下，Cu@MOF/PCN-3在光照下表现出卓越的光电子储存能力，并在黑暗中实现了2.88 mmol g-1的显著H2生产率，比Ar控制系统提高了3.2倍。实验和理论研究表明，CO2作为双功能电子-质子介质，通过可逆羧化稳定光电子，同时通过*COOH中间体促进质子转移，从而将H2演化与连续照射解耦。单个Cu位点在调节电子提取和质子耦合中起着关键作用，有效克服了CO2还原和氢气演化反应（HER）之间的热力学竞争。这项工作为CO2介导的暗光催化建立了新的范式，提供了克服太阳能间歇性和安全氢气储存关键挑战的双重解决方案。</w:t>
      </w:r>
    </w:p>
    <w:p>
      <w:pPr>
        <w:spacing w:before="0" w:after="200" w:lineRule="auto" w:line="276"/>
      </w:pPr>
      <w:r>
        <w:rPr>
          <w:b/>
        </w:rPr>
        <w:t xml:space="preserve">Abstract (EN): </w:t>
      </w:r>
      <w:r>
        <w:t>The intermittent nature of solar energy and the safety concerns of high-pressure hydrogen storage/transportation pose critical challenges to the widespread adoption of solar-driven hydrogen production. To address these challenges, we explored a metal-organic framework/polymeric carbon nitride (PCN) heterostructure with atomically dispersed Cu sites (Cu@MOF/PCN-n, n = 1-5, representing the initial mass percent of Cu@MOF-303 as 1%-5%). The optimized Cu@MOF/PCN-3 enables solar energy storage and decouples H2 evolution from continuous irradiation through CO2-mediated proton-coupled electron storage. Under CO2 atmosphere, Cu@MOF/PCN-3 demonstrates exceptional photoelectron storage capabilities under illumination and achieves a remarkable H2 production rate of 2.88 mmol g-1 in the dark, 3.2-fold enhancement compared to Ar-controlled systems. Experimental and theoretical investigations demonstrate that CO2 serves as a bifunctional electron-proton mediator, stabilizing photoelectrons via reversible carboxylation while facilitating proton transfer through *COOH intermediates, thereby decoupling H2 evolution from continuous irradiation. The single Cu site plays a pivotal role in regulating electron extraction and proton coupling, effectively overcoming the thermodynamic competition between CO2 reduction and hydrogen evolution reaction (HER). This work establishes a new paradigm for CO2-mediated dark photocatalysis, offering a dual solution to overcome the critical challenges of solar intermittency and safe H2 storage.</w:t>
      </w:r>
    </w:p>
    <w:p>
      <w:pPr>
        <w:spacing w:before="120" w:after="120"/>
      </w:pPr>
      <w:r>
        <w:rPr>
          <w:sz w:val="18"/>
        </w:rPr>
        <w:t>——————————————————————————————————————————————————————————————————————</w:t>
      </w:r>
    </w:p>
    <w:p>
      <w:pPr>
        <w:spacing w:before="160" w:after="40" w:line="240" w:lineRule="auto"/>
      </w:pPr>
      <w:r>
        <w:rPr>
          <w:b/>
        </w:rPr>
        <w:t xml:space="preserve">[20] </w:t>
      </w:r>
      <w:hyperlink r:id="rId119">
        <w:r>
          <w:rPr>
            <w:color w:val="1155CC"/>
            <w:u w:val="single"/>
          </w:rPr>
          <w:t>用于工业规模阴离子交换膜水电解的波动耐受型非贵金属双功能Ni-Co-B整体电极</w:t>
        </w:r>
      </w:hyperlink>
    </w:p>
    <w:p>
      <w:pPr>
        <w:spacing w:before="0" w:after="80"/>
      </w:pPr>
      <w:r>
        <w:rPr>
          <w:i/>
          <w:sz w:val="20"/>
        </w:rPr>
        <w:t>EN: Fluctuation-tolerant non-precious bifunctional Ni-Co-B monolithic electrodes for industrial-scale anion exchange membrane water electrolysis</w:t>
      </w:r>
    </w:p>
    <w:p>
      <w:pPr>
        <w:spacing w:before="0" w:after="120"/>
      </w:pPr>
      <w:r>
        <w:rPr>
          <w:b/>
        </w:rPr>
        <w:t xml:space="preserve">Source: </w:t>
      </w:r>
      <w:r>
        <w:t>RSC - Energy Environ. Sci. latest articles</w:t>
      </w:r>
      <w:r>
        <w:t xml:space="preserve">    </w:t>
      </w:r>
      <w:r>
        <w:rPr>
          <w:b/>
        </w:rPr>
        <w:t xml:space="preserve">Pub date: </w:t>
      </w:r>
      <w:r>
        <w:t>2026-04-29 23:00:00+00:00</w:t>
      </w:r>
    </w:p>
    <w:p>
      <w:pPr>
        <w:spacing w:before="0" w:after="120"/>
      </w:pPr>
      <w:r>
        <w:rPr>
          <w:b/>
        </w:rPr>
        <w:t xml:space="preserve">Notes: </w:t>
      </w:r>
      <w:r>
        <w:t>abstract_source=rsc_html</w:t>
      </w:r>
    </w:p>
    <w:p>
      <w:pPr>
        <w:spacing w:before="0" w:after="80" w:lineRule="auto" w:line="276"/>
      </w:pPr>
      <w:r>
        <w:rPr>
          <w:b/>
        </w:rPr>
        <w:t xml:space="preserve">摘要（ZH）: </w:t>
      </w:r>
      <w:r>
        <w:t>为了解决使用间歇性可再生能源的阴离子交换膜水电解（AEM-WE）面临的稳定性挑战，本研究成功开发了一种耐波动的双功能镍钴硼（a-NiCoB）整体电极。电极独特的均匀整体设计消除了传统的脆弱基底-催化剂异质界面，导致在高电流密度超过4 A cm−2时对剧烈气泡冲击表现出显著的稳定性。同时，钴掺杂与原位表面重构之间的协同作用促进了精确的电子结构调控，有效抑制了活性镍的溶解。因此，a-NiCoB电极在1 M KOH电解液中表现出优异的催化活性和强大的稳定性，在波动条件下提供超低过电位（HER（氢气演化反应）：72 mV；OER（氧气演化反应）：254 mV），并且在1 A cm−2下经过350小时和10500次强烈启动-停止循环后，其HER/OER性能保持不变。使用a-NiCoB作为阳极和阴极的AEM电解槽在60 oC下1 M KOH中仅需1.82 V即可达到1000 mA cm−2。令人鼓舞的是，它还可以在1440个循环中承受50-2000 mA cm−2之间的剧烈波动负载，并且加速启动/关闭循环几乎没有衰减。这项工作通过结构设计和成分调控协同优化了活性和耐久性，为绿色氢能的规模化发展提供了一条极具前景的技术路径。</w:t>
      </w:r>
    </w:p>
    <w:p>
      <w:pPr>
        <w:spacing w:before="0" w:after="200" w:lineRule="auto" w:line="276"/>
      </w:pPr>
      <w:r>
        <w:rPr>
          <w:b/>
        </w:rPr>
        <w:t xml:space="preserve">Abstract (EN): </w:t>
      </w:r>
      <w:r>
        <w:t>To address the stability challenges faced by anion exchange membrane water electrolysis (AEM-WE) using intermittent renewable energy, a fluctuation-tolerant bifunctional nickel-cobalt-boron (a-NiCoB) monolithic electrode was successfully developed in this study. The unique homogeneous monolithic design of the electrode eliminates the traditional fragile substrate-catalyst heterogeneous interfaces, leading to remarkable stability against vigorous bubble impact at high current density over 4 A cm−2. Meanwhile, the synergy between Co-doping and in-situ surface reconstruction facilitates precise electronic structure modulation, effectively suppressing active Ni dissolution. Consequently, the a-NiCoB electrode exhibits superior catalytic activity and robust stability under fluctuating conditions in 1 M KOH electrolyte, delivering ultralow overpotentials at 100 mA cm−2 (HER (hydrogen evolution reaction): 72 mV; OER (oxygen evolution reaction): 254 mV) and its HER/OER performance remains undegraded after 350 h and 10500 intensive start-stop cycles at 1 A cm−2. AEM electrolyzer with a-NiCoB as both anode and cathode, requires only 1.82 V to reach 1000 mA cm−2 in 1 M KOH at 60 oC. Encouragingly, it can also sustain vigorous fluctuating load between 50-2000 mA cm−2 over 1,440 cycles and the accelerated startup/shutdown cycle with negligible decay. This work synergistically optimizes activity and durability through structural design and compositional regulation, offering a highly promising technological pathway for the scalable development of green hydrogen energy.</w:t>
      </w:r>
    </w:p>
    <w:p>
      <w:pPr>
        <w:spacing w:before="120" w:after="120"/>
      </w:pPr>
      <w:r>
        <w:rPr>
          <w:sz w:val="18"/>
        </w:rPr>
        <w:t>——————————————————————————————————————————————————————————————————————</w:t>
      </w:r>
    </w:p>
    <w:p>
      <w:pPr>
        <w:spacing w:before="160" w:after="120"/>
      </w:pPr>
      <w:r>
        <w:rPr>
          <w:b/>
          <w:sz w:val="28"/>
        </w:rPr>
        <w:t>【产业降碳】</w:t>
      </w:r>
    </w:p>
    <w:p>
      <w:pPr>
        <w:spacing w:before="160" w:after="40" w:line="240" w:lineRule="auto"/>
      </w:pPr>
      <w:r>
        <w:rPr>
          <w:b/>
        </w:rPr>
        <w:t xml:space="preserve">[1] </w:t>
      </w:r>
      <w:hyperlink r:id="rId120">
        <w:r>
          <w:rPr>
            <w:color w:val="1155CC"/>
            <w:u w:val="single"/>
          </w:rPr>
          <w:t>中国私人乘用车的脱碳：金属需求和隐含排放的动态材料流动评估</w:t>
        </w:r>
      </w:hyperlink>
    </w:p>
    <w:p>
      <w:pPr>
        <w:spacing w:before="0" w:after="80"/>
      </w:pPr>
      <w:r>
        <w:rPr>
          <w:i/>
          <w:sz w:val="20"/>
        </w:rPr>
        <w:t>EN: Decarbonizing China’s private passenger vehicles: A dynamic material flow assessment of metal demands and embodied emissions</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21">
        <w:r>
          <w:rPr>
            <w:color w:val="1155CC"/>
            <w:u w:val="single"/>
          </w:rPr>
          <w:t>《通货膨胀削减法案》和《一个大而美丽的法案》对美国能源系统的影响</w:t>
        </w:r>
      </w:hyperlink>
    </w:p>
    <w:p>
      <w:pPr>
        <w:spacing w:before="0" w:after="80"/>
      </w:pPr>
      <w:r>
        <w:rPr>
          <w:i/>
          <w:sz w:val="20"/>
        </w:rPr>
        <w:t>EN: Impacts of the Inflation Reduction Act and One Big Beautiful Bill Act on the US energy system</w:t>
      </w:r>
    </w:p>
    <w:p>
      <w:pPr>
        <w:spacing w:before="0" w:after="120"/>
      </w:pPr>
      <w:r>
        <w:rPr>
          <w:b/>
        </w:rPr>
        <w:t xml:space="preserve">Source: </w:t>
      </w:r>
      <w:r>
        <w:t>Nature Reviews Clean Technology</w:t>
      </w:r>
      <w:r>
        <w:t xml:space="preserve">    </w:t>
      </w:r>
      <w:r>
        <w:rPr>
          <w:b/>
        </w:rPr>
        <w:t xml:space="preserve">Pub date: </w:t>
      </w:r>
      <w:r>
        <w:t>2026-04-29 00:00:00+00:00</w:t>
      </w:r>
      <w:r>
        <w:t xml:space="preserve">    </w:t>
      </w:r>
      <w:r>
        <w:rPr>
          <w:b/>
        </w:rPr>
        <w:t xml:space="preserve">DOI: </w:t>
      </w:r>
      <w:hyperlink r:id="rId122">
        <w:r>
          <w:rPr>
            <w:color w:val="1155CC"/>
            <w:u w:val="single"/>
          </w:rPr>
          <w:t>10.1038/s44359-026-00168-z</w:t>
        </w:r>
      </w:hyperlink>
    </w:p>
    <w:p>
      <w:pPr>
        <w:spacing w:before="0" w:after="120"/>
      </w:pPr>
      <w:r>
        <w:rPr>
          <w:b/>
        </w:rPr>
        <w:t xml:space="preserve">Notes: </w:t>
      </w:r>
      <w:r>
        <w:t>abstract_source=nature_html</w:t>
      </w:r>
    </w:p>
    <w:p>
      <w:pPr>
        <w:spacing w:before="0" w:after="80" w:lineRule="auto" w:line="276"/>
      </w:pPr>
      <w:r>
        <w:rPr>
          <w:b/>
        </w:rPr>
        <w:t xml:space="preserve">摘要（ZH）: </w:t>
      </w:r>
      <w:r>
        <w:t>美国《通胀削减法案》（IRA）被描述为迄今为止美国最大的联邦气候立法。本综述描述了IRA对清洁能源部署的影响，直至2025年中期，并总结了IRA和2025年预算法案《一个大而美丽的法案》（OBBBA）下的排放和清洁能源预测，该法案修改了许多IRA税收抵免的资格和时间表。在各项研究中，IRA预计将放大现有的去碳化趋势，到2035年相对于无IRA基线大约翻倍减排，并带来空气质量和健康的短期协同效益。IRA预计将在未来十年内大约翻倍清洁电力投资——包括可再生能源、储能、核能和碳捕获设备容量。它还预计将降低家庭和企业的能源支出，到2035年每户每年减少68美元到430美元，相对于没有IRA的情况。在OBBBA下，排放和电力部门投资的模型化结果向没有IRA的反事实情况转变，远离OBBBA之前的IRA基线。然而，即使没有IRA中的抵免，考虑到太阳能、电池和风能的竞争力以及电力需求的上升，总投资仍预计保持在历史范围的上限附近。</w:t>
      </w:r>
    </w:p>
    <w:p>
      <w:pPr>
        <w:spacing w:before="0" w:after="200" w:lineRule="auto" w:line="276"/>
      </w:pPr>
      <w:r>
        <w:rPr>
          <w:b/>
        </w:rPr>
        <w:t xml:space="preserve">Abstract (EN): </w:t>
      </w:r>
      <w:r>
        <w:t>The US Inflation Reduction Act (IRA) was described as the largest federal climate legislation in the USA to date. This Review describes impacts of IRA on clean energy deployment through mid-2025 and summarizes projections for emissions and clean energy under IRA and the 2025 budget law, the One Big Beautiful Bill Act (OBBBA), which modifies eligibility and timelines for many IRA tax credits. Across studies, IRA was expected to amplify pre-existing decarbonization trends, roughly doubling emissions reductions by 2035 relative to a no-IRA baseline, with associated near-term co-benefits for air quality and health. IRA had been expected to approximately double clean electricity investment — including renewables, energy storage, nuclear and carbon-capture-equipped capacity — over the next decade. It was also expected to lower energy expenditures for households and businesses, on the order of $68 to $430 per household per year by 2035 relative to a case without IRA. Under OBBBA, modelled outcomes for emissions and electric-sector investments shift towards the counterfactual without IRA and away from the pre-OBBBA IRA baseline. However, even without the credits in IRA, aggregate investment is still projected to remain near the upper end of the historical range, given the competitiveness of solar, batteries and wind alongside rising electricity demand.</w:t>
      </w:r>
    </w:p>
    <w:p>
      <w:pPr>
        <w:spacing w:before="120" w:after="120"/>
      </w:pPr>
      <w:r>
        <w:rPr>
          <w:sz w:val="18"/>
        </w:rPr>
        <w:t>——————————————————————————————————————————————————————————————————————</w:t>
      </w:r>
    </w:p>
    <w:p>
      <w:pPr>
        <w:spacing w:before="160" w:after="120"/>
      </w:pPr>
      <w:r>
        <w:rPr>
          <w:b/>
          <w:sz w:val="28"/>
        </w:rPr>
        <w:t>【CCUS】</w:t>
      </w:r>
    </w:p>
    <w:p>
      <w:pPr>
        <w:spacing w:before="160" w:after="40" w:line="240" w:lineRule="auto"/>
      </w:pPr>
      <w:r>
        <w:rPr>
          <w:b/>
        </w:rPr>
        <w:t xml:space="preserve">[1] </w:t>
      </w:r>
      <w:hyperlink r:id="rId123">
        <w:r>
          <w:rPr>
            <w:color w:val="1155CC"/>
            <w:u w:val="single"/>
          </w:rPr>
          <w:t>由胺诱导的集成CO2捕获和转化用于有效的电催化N-甲基化</w:t>
        </w:r>
      </w:hyperlink>
    </w:p>
    <w:p>
      <w:pPr>
        <w:spacing w:before="0" w:after="80"/>
      </w:pPr>
      <w:r>
        <w:rPr>
          <w:i/>
          <w:sz w:val="20"/>
        </w:rPr>
        <w:t>EN: Integrated CO2 Capture and Conversion Induced by Amines for Effective Electrocatalytic N‐Methylation</w:t>
      </w:r>
    </w:p>
    <w:p>
      <w:pPr>
        <w:spacing w:before="0" w:after="120"/>
      </w:pPr>
      <w:r>
        <w:rPr>
          <w:b/>
        </w:rPr>
        <w:t xml:space="preserve">Source: </w:t>
      </w:r>
      <w:r>
        <w:t>Wiley: Angewandte Chemie International Edition: Table of Contents</w:t>
      </w:r>
      <w:r>
        <w:t xml:space="preserve">    </w:t>
      </w:r>
      <w:r>
        <w:rPr>
          <w:b/>
        </w:rPr>
        <w:t xml:space="preserve">Pub date: </w:t>
      </w:r>
      <w:r>
        <w:t>2026-04-25 05:10:46+00:00</w:t>
      </w:r>
      <w:r>
        <w:t xml:space="preserve">    </w:t>
      </w:r>
      <w:r>
        <w:rPr>
          <w:b/>
        </w:rPr>
        <w:t xml:space="preserve">DOI: </w:t>
      </w:r>
      <w:hyperlink r:id="rId124">
        <w:r>
          <w:rPr>
            <w:color w:val="1155CC"/>
            <w:u w:val="single"/>
          </w:rPr>
          <w:t>10.1002/anie.2285211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胺的N-甲基化是合成有价值化合物的重要转化。然而，传统的N-甲基化方法通常依赖于危险试剂。作为可持续C1来源的CO</w:t>
      </w:r>
      <w:r>
        <w:rPr>
          <w:vertAlign w:val="subscript"/>
        </w:rPr>
        <w:t>2</w:t>
      </w:r>
      <w:r>
        <w:t>电还原提供了一种有吸引力的替代方案。然而，CO</w:t>
      </w:r>
      <w:r>
        <w:rPr>
          <w:vertAlign w:val="subscript"/>
        </w:rPr>
        <w:t>2</w:t>
      </w:r>
      <w:r>
        <w:t>的直接电化学活化需要高过电位，通常导致低法拉第效率（FE）。本研究提出了一种用于胺N-甲基化的CO</w:t>
      </w:r>
      <w:r>
        <w:rPr>
          <w:vertAlign w:val="subscript"/>
        </w:rPr>
        <w:t>2</w:t>
      </w:r>
      <w:r>
        <w:t>捕获-转化途径。高浓度的亲核哌啶优先捕获CO</w:t>
      </w:r>
      <w:r>
        <w:rPr>
          <w:vertAlign w:val="subscript"/>
        </w:rPr>
        <w:t>2</w:t>
      </w:r>
      <w:r>
        <w:t>，使自发的C─N偶联成为可能，通过</w:t>
      </w:r>
      <w:r>
        <w:rPr>
          <w:vertAlign w:val="subscript"/>
        </w:rPr>
        <w:t>13</w:t>
      </w:r>
      <w:r>
        <w:t>C核磁共振波谱证实。此外，N-甲基哌啶（NMP）通过电还原过程生成。原位拉曼光谱和理论计算揭示了关键哌啶鎓中间体的形成，并提供了其在后续电还原中的作用的见解。该途径有效抑制了CO</w:t>
      </w:r>
      <w:r>
        <w:rPr>
          <w:vertAlign w:val="subscript"/>
        </w:rPr>
        <w:t>2</w:t>
      </w:r>
      <w:r>
        <w:t>电还原的典型副反应，在-0.6 V对Ag/AgCl时实现了71.6%的高NMP FE。此外，CO</w:t>
      </w:r>
      <w:r>
        <w:rPr>
          <w:vertAlign w:val="subscript"/>
        </w:rPr>
        <w:t>2</w:t>
      </w:r>
      <w:r>
        <w:t>捕获-转化途径产生了各种N-甲基化胺，如二甲胺和1-甲基乙二胺，具有优异的FE，高</w:t>
      </w:r>
    </w:p>
    <w:p>
      <w:pPr>
        <w:spacing w:before="0" w:after="200" w:lineRule="auto" w:line="276"/>
      </w:pPr>
      <w:r>
        <w:rPr>
          <w:b/>
        </w:rPr>
        <w:t xml:space="preserve">Abstract (EN): </w:t>
      </w:r>
      <w:r>
        <w:t>N‐Methylation of amines is a crucial transformation for synthesizing valuable compounds. However, conventional N‐methylation methods often rely on hazardous reagents. The electroreduction of CO</w:t>
      </w:r>
      <w:r>
        <w:rPr>
          <w:vertAlign w:val="subscript"/>
        </w:rPr>
        <w:t>2</w:t>
      </w:r>
      <w:r>
        <w:t>as a sustainable C1 source presents an attractive alternative. Nevertheless, the direct electrochemical activation of CO</w:t>
      </w:r>
      <w:r>
        <w:rPr>
          <w:vertAlign w:val="subscript"/>
        </w:rPr>
        <w:t>2</w:t>
      </w:r>
      <w:r>
        <w:t>requires high overpotentials, often leading to a low Faradaic efficiency (FE). This study presents a CO</w:t>
      </w:r>
      <w:r>
        <w:rPr>
          <w:vertAlign w:val="subscript"/>
        </w:rPr>
        <w:t>2</w:t>
      </w:r>
      <w:r>
        <w:t>capture‒conversion pathway for the N‐methylation of amines. High concentrations of nucleophilic piperidine preferentially capture CO</w:t>
      </w:r>
      <w:r>
        <w:rPr>
          <w:vertAlign w:val="subscript"/>
        </w:rPr>
        <w:t>2</w:t>
      </w:r>
      <w:r>
        <w:t>, enabling spontaneous C─N coupling, as confirmed by</w:t>
      </w:r>
      <w:r>
        <w:rPr>
          <w:vertAlign w:val="subscript"/>
        </w:rPr>
        <w:t>13</w:t>
      </w:r>
      <w:r>
        <w:t>C nuclear magnetic resonance spectroscopy. Moreover,</w:t>
      </w:r>
      <w:r>
        <w:t xml:space="preserve"> </w:t>
      </w:r>
      <w:r>
        <w:t>N</w:t>
      </w:r>
      <w:r>
        <w:t xml:space="preserve"> </w:t>
      </w:r>
      <w:r>
        <w:t>‐methyl piperidine (NMP) is produced through an electroreduction process. In situ Raman spectroscopy and theoretical calculations reveal the formation of a key piperidinium intermediate and provide insights into its role in subsequent electroreduction. This pathway effectively suppresses side reactions typical of CO</w:t>
      </w:r>
      <w:r>
        <w:rPr>
          <w:vertAlign w:val="subscript"/>
        </w:rPr>
        <w:t>2</w:t>
      </w:r>
      <w:r>
        <w:t>electroreduction, achieving a high NMP FE of 71.6% at −0.6 V versus Ag/AgCl. Furthermore, the CO</w:t>
      </w:r>
      <w:r>
        <w:rPr>
          <w:vertAlign w:val="subscript"/>
        </w:rPr>
        <w:t>2</w:t>
      </w:r>
      <w:r>
        <w:t>capture‒conversion pathway produces various N‐methylated amines, such as dimethylamine and 1‐methyl ethylenediamine, with excellent FEs, highlighting the generality and advantages of this approach.</w:t>
      </w:r>
    </w:p>
    <w:p>
      <w:pPr>
        <w:spacing w:before="120" w:after="120"/>
      </w:pPr>
      <w:r>
        <w:rPr>
          <w:sz w:val="18"/>
        </w:rPr>
        <w:t>——————————————————————————————————————————————————————————————————————</w:t>
      </w:r>
    </w:p>
    <w:p>
      <w:pPr>
        <w:spacing w:before="160" w:after="40" w:line="240" w:lineRule="auto"/>
      </w:pPr>
      <w:r>
        <w:rPr>
          <w:b/>
        </w:rPr>
        <w:t xml:space="preserve">[2] </w:t>
      </w:r>
      <w:hyperlink r:id="rId125">
        <w:r>
          <w:rPr>
            <w:color w:val="1155CC"/>
            <w:u w:val="single"/>
          </w:rPr>
          <w:t>在富羟基异质结上通过电还原CO2实现超低过电位CO生产</w:t>
        </w:r>
      </w:hyperlink>
    </w:p>
    <w:p>
      <w:pPr>
        <w:spacing w:before="0" w:after="80"/>
      </w:pPr>
      <w:r>
        <w:rPr>
          <w:i/>
          <w:sz w:val="20"/>
        </w:rPr>
        <w:t>EN: Ultralow‐Overpotential CO Production from Electroreduction of CO2 on a Hydroxyl‐Enriched Heterojunction</w:t>
      </w:r>
    </w:p>
    <w:p>
      <w:pPr>
        <w:spacing w:before="0" w:after="120"/>
      </w:pPr>
      <w:r>
        <w:rPr>
          <w:b/>
        </w:rPr>
        <w:t xml:space="preserve">Source: </w:t>
      </w:r>
      <w:r>
        <w:t>Wiley: Advanced Energy Materials: Table of Contents</w:t>
      </w:r>
      <w:r>
        <w:t xml:space="preserve">    </w:t>
      </w:r>
      <w:r>
        <w:rPr>
          <w:b/>
        </w:rPr>
        <w:t xml:space="preserve">Pub date: </w:t>
      </w:r>
      <w:r>
        <w:t>2026-04-27 07:25:39+00:00</w:t>
      </w:r>
      <w:r>
        <w:t xml:space="preserve">    </w:t>
      </w:r>
      <w:r>
        <w:rPr>
          <w:b/>
        </w:rPr>
        <w:t xml:space="preserve">DOI: </w:t>
      </w:r>
      <w:hyperlink r:id="rId126">
        <w:r>
          <w:rPr>
            <w:color w:val="1155CC"/>
            <w:u w:val="single"/>
          </w:rPr>
          <w:t>10.1002/aenm.71003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化学CO2还原（eCO2R）为生产有价值的化学品或燃料提供了一种有效的解决方案，以缓解能源危机和环境挑战。降低eCO2R所需产物的过电位对于实现高能效至关重要。在此，CuO/In2O3（Cu4.2In1）纳米片（NSs）p-n异质结通过内建电场增强表面羟基覆盖，从而大大降低了eCO2R生产CO的过电位。CO的法拉第效率在极低的过电位（130 mV）下达到96.5%，这是已报道的CO生产催化剂中最低之一。此外，eCO2R系统与商业三结太阳能电池集成，展示了7.9%的平均太阳能到CO转换能效，CO生产速率为0.73 mmol h−1 cm−2。CuO/In2O3（Cu4.2In1）N之间的内建电场</w:t>
      </w:r>
    </w:p>
    <w:p>
      <w:pPr>
        <w:spacing w:before="0" w:after="200" w:lineRule="auto" w:line="276"/>
      </w:pPr>
      <w:r>
        <w:rPr>
          <w:b/>
        </w:rPr>
        <w:t xml:space="preserve">Abstract (EN): </w:t>
      </w:r>
      <w:r>
        <w:t>Electrochemical CO</w:t>
      </w:r>
      <w:r>
        <w:rPr>
          <w:vertAlign w:val="subscript"/>
        </w:rPr>
        <w:t>2</w:t>
      </w:r>
      <w:r>
        <w:t>reduction (eCO</w:t>
      </w:r>
      <w:r>
        <w:rPr>
          <w:vertAlign w:val="subscript"/>
        </w:rPr>
        <w:t>2</w:t>
      </w:r>
      <w:r>
        <w:t>R) to valuable chemicals or fuels offers an effective solution to alleviate the energy crisis and environmental challenges. Reducing the overpotential of a desired product for eCO</w:t>
      </w:r>
      <w:r>
        <w:rPr>
          <w:vertAlign w:val="subscript"/>
        </w:rPr>
        <w:t>2</w:t>
      </w:r>
      <w:r>
        <w:t>R is paramount to achieving high energy efficiency. Herein, CuO/In</w:t>
      </w:r>
      <w:r>
        <w:rPr>
          <w:vertAlign w:val="subscript"/>
        </w:rPr>
        <w:t>2</w:t>
      </w:r>
      <w:r>
        <w:t>O</w:t>
      </w:r>
      <w:r>
        <w:rPr>
          <w:vertAlign w:val="subscript"/>
        </w:rPr>
        <w:t>3</w:t>
      </w:r>
      <w:r>
        <w:t>(Cu</w:t>
      </w:r>
      <w:r>
        <w:t xml:space="preserve"> </w:t>
      </w:r>
      <w:r>
        <w:t>4.2</w:t>
      </w:r>
      <w:r>
        <w:t xml:space="preserve"> </w:t>
      </w:r>
      <w:r>
        <w:t>In</w:t>
      </w:r>
      <w:r>
        <w:rPr>
          <w:vertAlign w:val="subscript"/>
        </w:rPr>
        <w:t>1</w:t>
      </w:r>
      <w:r>
        <w:t>) nanosheets (NSs) p‐n heterojunction with the built‐in electric field which enhances the surficial hydroxyl coverage achieving the greatly decreased overpotential for CO production by eCO</w:t>
      </w:r>
      <w:r>
        <w:rPr>
          <w:vertAlign w:val="subscript"/>
        </w:rPr>
        <w:t>2</w:t>
      </w:r>
      <w:r>
        <w:t>R. The Faraday efficiency of CO attains 96.5% under an impressively low overpotential (130 mV), which is one of the lowest among the reported catalysts for CO production. Additionally, the eCO</w:t>
      </w:r>
      <w:r>
        <w:rPr>
          <w:vertAlign w:val="subscript"/>
        </w:rPr>
        <w:t>2</w:t>
      </w:r>
      <w:r>
        <w:t>R system integrates with a commercial triple‐junction solar cell exhibiting an average solar‐to‐CO conversion energy efficiency of 7.9%, with the CO production rate of 0.73 mmol h</w:t>
      </w:r>
      <w:r>
        <w:t xml:space="preserve"> </w:t>
      </w:r>
      <w:r>
        <w:t>−1</w:t>
      </w:r>
      <w:r>
        <w:t xml:space="preserve"> </w:t>
      </w:r>
      <w:r>
        <w:t>cm</w:t>
      </w:r>
      <w:r>
        <w:t xml:space="preserve"> </w:t>
      </w:r>
      <w:r>
        <w:t>−2</w:t>
      </w:r>
      <w:r>
        <w:t xml:space="preserve"> </w:t>
      </w:r>
      <w:r>
        <w:t>. The built‐in electric field between the CuO/In</w:t>
      </w:r>
      <w:r>
        <w:rPr>
          <w:vertAlign w:val="subscript"/>
        </w:rPr>
        <w:t>2</w:t>
      </w:r>
      <w:r>
        <w:t>O</w:t>
      </w:r>
      <w:r>
        <w:rPr>
          <w:vertAlign w:val="subscript"/>
        </w:rPr>
        <w:t>3</w:t>
      </w:r>
      <w:r>
        <w:t>(Cu</w:t>
      </w:r>
      <w:r>
        <w:t xml:space="preserve"> </w:t>
      </w:r>
      <w:r>
        <w:t>4.2</w:t>
      </w:r>
      <w:r>
        <w:t xml:space="preserve"> </w:t>
      </w:r>
      <w:r>
        <w:t>In</w:t>
      </w:r>
      <w:r>
        <w:rPr>
          <w:vertAlign w:val="subscript"/>
        </w:rPr>
        <w:t>1</w:t>
      </w:r>
      <w:r>
        <w:t>) NSs heterojunction increases the oxidation states of Cu ions (Cu</w:t>
      </w:r>
      <w:r>
        <w:t xml:space="preserve"> </w:t>
      </w:r>
      <w:r>
        <w:t>δ+</w:t>
      </w:r>
      <w:r>
        <w:t xml:space="preserve"> </w:t>
      </w:r>
      <w:r>
        <w:t>, δ = 2.14), which enhances the surficial hydroxyl coverage by the strong electrostatic attraction at low overpotentials, consequently stabilizing</w:t>
      </w:r>
      <w:r>
        <w:t xml:space="preserve"> </w:t>
      </w:r>
      <w:r>
        <w:t>*</w:t>
      </w:r>
      <w:r>
        <w:t xml:space="preserve"> </w:t>
      </w:r>
      <w:r>
        <w:t>COOH intermediate and facilitating the desorption of</w:t>
      </w:r>
      <w:r>
        <w:t xml:space="preserve"> </w:t>
      </w:r>
      <w:r>
        <w:t>*</w:t>
      </w:r>
      <w:r>
        <w:t xml:space="preserve"> </w:t>
      </w:r>
      <w:r>
        <w:t>CO. This work provides a new solution to achieve energy efficient eCO</w:t>
      </w:r>
      <w:r>
        <w:rPr>
          <w:vertAlign w:val="subscript"/>
        </w:rPr>
        <w:t>2</w:t>
      </w:r>
      <w:r>
        <w:t>R by the surficial hydroxyl coverage manipulation.</w:t>
      </w:r>
    </w:p>
    <w:p>
      <w:pPr>
        <w:spacing w:before="120" w:after="120"/>
      </w:pPr>
      <w:r>
        <w:rPr>
          <w:sz w:val="18"/>
        </w:rPr>
        <w:t>——————————————————————————————————————————————————————————————————————</w:t>
      </w:r>
    </w:p>
    <w:p>
      <w:pPr>
        <w:spacing w:before="160" w:after="40" w:line="240" w:lineRule="auto"/>
      </w:pPr>
      <w:r>
        <w:rPr>
          <w:b/>
        </w:rPr>
        <w:t xml:space="preserve">[3] </w:t>
      </w:r>
      <w:hyperlink r:id="rId127">
        <w:r>
          <w:rPr>
            <w:color w:val="1155CC"/>
            <w:u w:val="single"/>
          </w:rPr>
          <w:t>[ASAP] 金属有机框架中的分子探测用于选择性气体吸附和分离</w:t>
        </w:r>
      </w:hyperlink>
    </w:p>
    <w:p>
      <w:pPr>
        <w:spacing w:before="0" w:after="80"/>
      </w:pPr>
      <w:r>
        <w:rPr>
          <w:i/>
          <w:sz w:val="20"/>
        </w:rPr>
        <w:t>EN: [ASAP] Molecular Probing in a Metal–Organic Framework for Selective Gas Adsorption and Separation</w:t>
      </w:r>
    </w:p>
    <w:p>
      <w:pPr>
        <w:spacing w:before="0" w:after="120"/>
      </w:pPr>
      <w:r>
        <w:rPr>
          <w:b/>
        </w:rPr>
        <w:t xml:space="preserve">Source: </w:t>
      </w:r>
      <w:r>
        <w:t>Journal of the American Chemical Society: Latest Articles (ACS Publications)</w:t>
      </w:r>
      <w:r>
        <w:t xml:space="preserve">    </w:t>
      </w:r>
      <w:r>
        <w:rPr>
          <w:b/>
        </w:rPr>
        <w:t xml:space="preserve">Pub date: </w:t>
      </w:r>
      <w:r>
        <w:t>2026-04-27 18:00:46+00:00</w:t>
      </w:r>
      <w:r>
        <w:t xml:space="preserve">    </w:t>
      </w:r>
      <w:r>
        <w:rPr>
          <w:b/>
        </w:rPr>
        <w:t xml:space="preserve">DOI: </w:t>
      </w:r>
      <w:hyperlink r:id="rId128">
        <w:r>
          <w:rPr>
            <w:color w:val="1155CC"/>
            <w:u w:val="single"/>
          </w:rPr>
          <w:t>10.1021/jacs.5c21431</w:t>
        </w:r>
      </w:hyperlink>
    </w:p>
    <w:p>
      <w:pPr>
        <w:spacing w:before="0" w:after="120"/>
      </w:pPr>
      <w:r>
        <w:rPr>
          <w:b/>
        </w:rPr>
        <w:t xml:space="preserve">Notes: </w:t>
      </w:r>
      <w:r>
        <w:t>abstract_source=pubmed</w:t>
      </w:r>
    </w:p>
    <w:p>
      <w:pPr>
        <w:spacing w:before="0" w:after="80" w:lineRule="auto" w:line="276"/>
      </w:pPr>
      <w:r>
        <w:rPr>
          <w:b/>
        </w:rPr>
        <w:t xml:space="preserve">摘要（ZH）: </w:t>
      </w:r>
      <w:r>
        <w:t>金属有机框架（MOFs）在选择性气体吸附和分离方面具有显著潜力。然而，在纳米尺寸的MOFs中实验揭示集体主客体相互作用和协同结合位点在原子水平上仍然具有挑战性，从而合理化其分离偏好。在此，我们报告了一种分子探测策略，结合低温3D电子衍射（cryo-3D ED），用于指导MOFs中的选择性气体吸附和分离。通过低温3D ED的原子级结构分析，故意选择分子探针来绘制候选MOF中气体吸附物的结合域，从而合理化MOF最有可能偏好的分离情景。作为示例，CO2和Xe探针揭示了已报道的MOF SU-100中的多种主客体相互作用，包括范德华力、配位键和偶极-偶极相互作用。检测到基于协同双开放金属位点的额外吸附位点，使得具有Bδ--Aδ+-Bδ-构型的气体分子能够额外吸附。基于上述结果，该MOF在吸附SO2方面表现出显著性能，即高吸附量、优异的稳定性以及在CO2和N2存在下有效去除微量SO2，这在烟气脱硫以实现CO2捕获和回收方面具有重要意义。</w:t>
      </w:r>
    </w:p>
    <w:p>
      <w:pPr>
        <w:spacing w:before="0" w:after="200" w:lineRule="auto" w:line="276"/>
      </w:pPr>
      <w:r>
        <w:rPr>
          <w:b/>
        </w:rPr>
        <w:t xml:space="preserve">Abstract (EN): </w:t>
      </w:r>
      <w:r>
        <w:t>Metal-organic frameworks (MOFs) hold significant potential for selective gas adsorption and separation. However, it remains challenging to experimentally reveal collective host-guest interactions and cooperative binding sites at the atomic level in nanosized MOFs and thereby rationalize their separation preferences. Here, we report a molecular probing strategy combined with cryo-3D ED for guiding the selective gas adsorption and separation in MOFs. Molecular probes were purposefully selected to map the binding domains of gas adsorbates in the candidate MOF via atomic-level structural analysis by cryo-3D ED, thereby rationalizing which separation scenario the MOF is most likely to favor. As an example, CO2 and Xe probes reveal multiple host-guest interactions in a reported MOF SU-100, including van der Waals force, coordination bonds, and dipole-dipole interactions. Additional adsorption sites based on cooperative dual open metal sites were detected, enabling extra adsorption of gas molecules with a Bδ--Aδ+-Bδ- configuration. Based on above results, the MOF shows remarkable performance for adsorbing SO2, i.e., high uptake, excellent stability, and effective removal of trace SO2 in the presence of CO2 and N2, which is of great importance in the desulfurization of flue gas toward CO2 capture and recycling.</w:t>
      </w:r>
    </w:p>
    <w:p>
      <w:pPr>
        <w:spacing w:before="120" w:after="120"/>
      </w:pPr>
      <w:r>
        <w:rPr>
          <w:sz w:val="18"/>
        </w:rPr>
        <w:t>——————————————————————————————————————————————————————————————————————</w:t>
      </w:r>
    </w:p>
    <w:p>
      <w:pPr>
        <w:spacing w:before="160" w:after="40" w:line="240" w:lineRule="auto"/>
      </w:pPr>
      <w:r>
        <w:rPr>
          <w:b/>
        </w:rPr>
        <w:t xml:space="preserve">[4] </w:t>
      </w:r>
      <w:hyperlink r:id="rId129">
        <w:r>
          <w:rPr>
            <w:color w:val="1155CC"/>
            <w:u w:val="single"/>
          </w:rPr>
          <w:t>为什么在减缓碳排放的竞赛中，树木和技术都很重要</w:t>
        </w:r>
      </w:hyperlink>
    </w:p>
    <w:p>
      <w:pPr>
        <w:spacing w:before="0" w:after="80"/>
      </w:pPr>
      <w:r>
        <w:rPr>
          <w:i/>
          <w:sz w:val="20"/>
        </w:rPr>
        <w:t>EN: Why both trees and technology are important in the race to mitigate carbon emissions</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130">
        <w:r>
          <w:rPr>
            <w:color w:val="1155CC"/>
            <w:u w:val="single"/>
          </w:rPr>
          <w:t>10.1038/d41586-026-01300-6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 </w:t>
      </w:r>
      <w:hyperlink r:id="rId131">
        <w:r>
          <w:rPr>
            <w:color w:val="1155CC"/>
            <w:u w:val="single"/>
          </w:rPr>
          <w:t>分级COF基光催化剂中的空间级联位点实现C─C偶联以选择性光还原CO2为乙烯</w:t>
        </w:r>
      </w:hyperlink>
    </w:p>
    <w:p>
      <w:pPr>
        <w:spacing w:before="0" w:after="80"/>
      </w:pPr>
      <w:r>
        <w:rPr>
          <w:i/>
          <w:sz w:val="20"/>
        </w:rPr>
        <w:t>EN: Spatial Cascade Sites in Hierarchical COF‐Based Photocatalyst Enable C─C Coupling for Selective CO2 Photoreduction to Ethylene</w:t>
      </w:r>
    </w:p>
    <w:p>
      <w:pPr>
        <w:spacing w:before="0" w:after="120"/>
      </w:pPr>
      <w:r>
        <w:rPr>
          <w:b/>
        </w:rPr>
        <w:t xml:space="preserve">Source: </w:t>
      </w:r>
      <w:r>
        <w:t>Wiley: Advanced Materials: Table of Contents</w:t>
      </w:r>
      <w:r>
        <w:t xml:space="preserve">    </w:t>
      </w:r>
      <w:r>
        <w:rPr>
          <w:b/>
        </w:rPr>
        <w:t xml:space="preserve">Pub date: </w:t>
      </w:r>
      <w:r>
        <w:t>2026-04-28 05:50:12+00:00</w:t>
      </w:r>
      <w:r>
        <w:t xml:space="preserve">    </w:t>
      </w:r>
      <w:r>
        <w:rPr>
          <w:b/>
        </w:rPr>
        <w:t xml:space="preserve">DOI: </w:t>
      </w:r>
      <w:hyperlink r:id="rId132">
        <w:r>
          <w:rPr>
            <w:color w:val="1155CC"/>
            <w:u w:val="single"/>
          </w:rPr>
          <w:t>10.1002/adma.73201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O2光还原为多碳（C2+）产品是一种极具吸引力的CO2利用途径；然而，C2+产品的产率和选择性受到缓慢的多电子-质子转移和迟缓的C─C偶联动力学的严重限制。在此，我们通过在非化学计量的硫化铟上生长亚胺-吡啶共价有机框架并在界面边缘引入孤立的Ni单原子位点，构建了分层串联光催化剂IS@COF‐Ni。空间隔离位点之间的协同效应促进了*CO二聚化，有效降低了高速率乙烯（C2H4）生成的动力学障碍。因此，与其单独组分相比，IS@COF‐Ni异质结在无添加剂的情况下，通过水蒸气光催化CO2还原实现了异常高的C2H4生产率和选择性。原位光谱表征和理论计算表明，IS@COF‐Ni建立了低能量的电子和质子转移路径，而异质结界面有效稳定了吸附的CO（*CO）中间体，通过邻近的偶联促进了C─C键的形成。</w:t>
      </w:r>
    </w:p>
    <w:p>
      <w:pPr>
        <w:spacing w:before="0" w:after="200" w:lineRule="auto" w:line="276"/>
      </w:pPr>
      <w:r>
        <w:rPr>
          <w:b/>
        </w:rPr>
        <w:t xml:space="preserve">Abstract (EN): </w:t>
      </w:r>
      <w:r>
        <w:t>The photoreduction of CO</w:t>
      </w:r>
      <w:r>
        <w:rPr>
          <w:vertAlign w:val="subscript"/>
        </w:rPr>
        <w:t>2</w:t>
      </w:r>
      <w:r>
        <w:t>into multi‐carbon (C</w:t>
      </w:r>
      <w:r>
        <w:t xml:space="preserve"> </w:t>
      </w:r>
      <w:r>
        <w:t>2+</w:t>
      </w:r>
      <w:r>
        <w:t xml:space="preserve"> </w:t>
      </w:r>
      <w:r>
        <w:t>) products is a highly attractive route for CO</w:t>
      </w:r>
      <w:r>
        <w:rPr>
          <w:vertAlign w:val="subscript"/>
        </w:rPr>
        <w:t>2</w:t>
      </w:r>
      <w:r>
        <w:t>utilization; however, the yield and selectivity of C</w:t>
      </w:r>
      <w:r>
        <w:t xml:space="preserve"> </w:t>
      </w:r>
      <w:r>
        <w:t>2+</w:t>
      </w:r>
      <w:r>
        <w:t xml:space="preserve"> </w:t>
      </w:r>
      <w:r>
        <w:t>products are seriously limited by slow multi‐electron–proton transfer and sluggish C─C coupling kinetics. Herein, we construct a hierarchical tandem photocatalyst IS@COF‐Ni by growing imine‐pyridine covalent organic frameworks on non‐stoichiometric indium sulfide and introducing isolated Ni single‐atom sites at the interfacial edges. The synergistic effect between the spatially segregated sites promotes *CO dimerization, effectively lowering the kinetic barrier for high‐rate ethylene (C</w:t>
      </w:r>
      <w:r>
        <w:rPr>
          <w:vertAlign w:val="subscript"/>
        </w:rPr>
        <w:t>2</w:t>
      </w:r>
      <w:r>
        <w:t>H</w:t>
      </w:r>
      <w:r>
        <w:rPr>
          <w:vertAlign w:val="subscript"/>
        </w:rPr>
        <w:t>4</w:t>
      </w:r>
      <w:r>
        <w:t>) generation. Thus, compared with its individual components, the IS@COF‐Ni heterojunction achieves exceptionally high C</w:t>
      </w:r>
      <w:r>
        <w:rPr>
          <w:vertAlign w:val="subscript"/>
        </w:rPr>
        <w:t>2</w:t>
      </w:r>
      <w:r>
        <w:t>H</w:t>
      </w:r>
      <w:r>
        <w:rPr>
          <w:vertAlign w:val="subscript"/>
        </w:rPr>
        <w:t>4</w:t>
      </w:r>
      <w:r>
        <w:t>productivity and selectivity in photocatalytic CO</w:t>
      </w:r>
      <w:r>
        <w:rPr>
          <w:vertAlign w:val="subscript"/>
        </w:rPr>
        <w:t>2</w:t>
      </w:r>
      <w:r>
        <w:t>reduction with water vapor in the absence of additives. In situ spectroscopic characterizations and theoretical calculations reveal that IS@COF‐Ni establishes a low‐energy pathway for electron and proton transfer, while the heterojunction interface effectively stabilizes the adsorbed CO (*CO) intermediate, facilitating C─C bond formation via coupling of adjacent *CO species to generate C</w:t>
      </w:r>
      <w:r>
        <w:rPr>
          <w:vertAlign w:val="subscript"/>
        </w:rPr>
        <w:t>2</w:t>
      </w:r>
      <w:r>
        <w:t>H</w:t>
      </w:r>
      <w:r>
        <w:rPr>
          <w:vertAlign w:val="subscript"/>
        </w:rPr>
        <w:t>4</w:t>
      </w:r>
      <w:r>
        <w:t>. This work provides a strategic approach for designing photocatalysts toward selective CO</w:t>
      </w:r>
      <w:r>
        <w:rPr>
          <w:vertAlign w:val="subscript"/>
        </w:rPr>
        <w:t>2</w:t>
      </w:r>
      <w:r>
        <w:t>‐to‐C</w:t>
      </w:r>
      <w:r>
        <w:t xml:space="preserve"> </w:t>
      </w:r>
      <w:r>
        <w:t>2+</w:t>
      </w:r>
      <w:r>
        <w:t xml:space="preserve"> </w:t>
      </w:r>
      <w:r>
        <w:t>conversion.</w:t>
      </w:r>
    </w:p>
    <w:p>
      <w:pPr>
        <w:spacing w:before="120" w:after="120"/>
      </w:pPr>
      <w:r>
        <w:rPr>
          <w:sz w:val="18"/>
        </w:rPr>
        <w:t>——————————————————————————————————————————————————————————————————————</w:t>
      </w:r>
    </w:p>
    <w:p>
      <w:pPr>
        <w:spacing w:before="160" w:after="40" w:line="240" w:lineRule="auto"/>
      </w:pPr>
      <w:r>
        <w:rPr>
          <w:b/>
        </w:rPr>
        <w:t xml:space="preserve">[6] </w:t>
      </w:r>
      <w:hyperlink r:id="rId133">
        <w:r>
          <w:rPr>
            <w:color w:val="1155CC"/>
            <w:u w:val="single"/>
          </w:rPr>
          <w:t>三乙胺捕获的CO2的反应捕获和电转化为高浓度甲酸</w:t>
        </w:r>
      </w:hyperlink>
    </w:p>
    <w:p>
      <w:pPr>
        <w:spacing w:before="0" w:after="80"/>
      </w:pPr>
      <w:r>
        <w:rPr>
          <w:i/>
          <w:sz w:val="20"/>
        </w:rPr>
        <w:t>EN: Reactive capture and electro-conversion of triethylamine-captured CO2 to high-concentration formic acid</w:t>
      </w:r>
    </w:p>
    <w:p>
      <w:pPr>
        <w:spacing w:before="0" w:after="120"/>
      </w:pPr>
      <w:r>
        <w:rPr>
          <w:b/>
        </w:rPr>
        <w:t xml:space="preserve">Source: </w:t>
      </w:r>
      <w:r>
        <w:t>Joule</w:t>
      </w:r>
      <w:r>
        <w:t xml:space="preserve">    </w:t>
      </w:r>
      <w:r>
        <w:rPr>
          <w:b/>
        </w:rPr>
        <w:t xml:space="preserve">Pub date: </w:t>
      </w:r>
      <w:r>
        <w:t>2026-04-29 00:00:00+00:00</w:t>
      </w:r>
      <w:r>
        <w:t xml:space="preserve">    </w:t>
      </w:r>
      <w:r>
        <w:rPr>
          <w:b/>
        </w:rPr>
        <w:t xml:space="preserve">DOI: </w:t>
      </w:r>
      <w:hyperlink r:id="rId134">
        <w:r>
          <w:rPr>
            <w:color w:val="1155CC"/>
            <w:u w:val="single"/>
          </w:rPr>
          <w:t>10.1016/j.joule.2026.102437</w:t>
        </w:r>
      </w:hyperlink>
    </w:p>
    <w:p>
      <w:pPr>
        <w:spacing w:before="0" w:after="120"/>
      </w:pPr>
      <w:r>
        <w:rPr>
          <w:b/>
        </w:rPr>
        <w:t xml:space="preserve">Notes: </w:t>
      </w:r>
      <w:r>
        <w:t>abstract_source=rss_cell</w:t>
      </w:r>
    </w:p>
    <w:p>
      <w:pPr>
        <w:spacing w:before="0" w:after="80" w:lineRule="auto" w:line="276"/>
      </w:pPr>
      <w:r>
        <w:rPr>
          <w:b/>
        </w:rPr>
        <w:t xml:space="preserve">摘要（ZH）: </w:t>
      </w:r>
      <w:r>
        <w:t>反应捕获和转化（RCC）能够直接将捕获的CO2转化为有价值的化学品，而无需耗能的加工，但它主要局限于气体产品或难以分离的低浓度液体。本研究展示了一种基于三乙胺（TREA）的集成电化学RCC系统，结合CO2捕获、转化和分离，从捕获的CO2中生产高纯度甲酸，提高了经济可行性并减少了环境影响。该系统实现了94%的CO2转化率，并生产出高达98 wt %的甲酸。</w:t>
      </w:r>
    </w:p>
    <w:p>
      <w:pPr>
        <w:spacing w:before="0" w:after="200" w:lineRule="auto" w:line="276"/>
      </w:pPr>
      <w:r>
        <w:rPr>
          <w:b/>
        </w:rPr>
        <w:t xml:space="preserve">Abstract (EN): </w:t>
      </w:r>
      <w:r>
        <w:t>Reactive capture and conversion (RCC) enables direct conversion of captured CO2 into valuable chemicals without energy-intensive processing, but it has largely been limited to gas products or low-concentration liquids with challenging separation. This study demonstrates an integrated triethylamine (TREA)-based electrochemical RCC system combining CO2 capture, conversion, and separation to produce high-purity formic acid from captured CO2, improving economic viability and reducing environmental impact. The system achieves a 94% CO2 conversion yield and produces up to 98 wt % formic acid.</w:t>
      </w:r>
    </w:p>
    <w:p>
      <w:pPr>
        <w:spacing w:before="120" w:after="120"/>
      </w:pPr>
      <w:r>
        <w:rPr>
          <w:sz w:val="18"/>
        </w:rPr>
        <w:t>——————————————————————————————————————————————————————————————————————</w:t>
      </w:r>
    </w:p>
    <w:p>
      <w:pPr>
        <w:spacing w:before="160" w:after="40" w:line="240" w:lineRule="auto"/>
      </w:pPr>
      <w:r>
        <w:rPr>
          <w:b/>
        </w:rPr>
        <w:t xml:space="preserve">[7] </w:t>
      </w:r>
      <w:hyperlink r:id="rId135">
        <w:r>
          <w:rPr>
            <w:color w:val="1155CC"/>
            <w:u w:val="single"/>
          </w:rPr>
          <w:t>通过阳离子门控分子筛实现的静电驱动二氧化碳与乙炔的尺寸筛分</w:t>
        </w:r>
      </w:hyperlink>
    </w:p>
    <w:p>
      <w:pPr>
        <w:spacing w:before="0" w:after="80"/>
      </w:pPr>
      <w:r>
        <w:rPr>
          <w:i/>
          <w:sz w:val="20"/>
        </w:rPr>
        <w:t>EN: Electrostatically Driven Size‐Sieving of Carbon Dioxide From Acetylene Enabled by a Cation‐Gated Molecular Sieve</w:t>
      </w:r>
    </w:p>
    <w:p>
      <w:pPr>
        <w:spacing w:before="0" w:after="120"/>
      </w:pPr>
      <w:r>
        <w:rPr>
          <w:b/>
        </w:rPr>
        <w:t xml:space="preserve">Source: </w:t>
      </w:r>
      <w:r>
        <w:t>Wiley: Advanced Materials: Table of Contents</w:t>
      </w:r>
      <w:r>
        <w:t xml:space="preserve">    </w:t>
      </w:r>
      <w:r>
        <w:rPr>
          <w:b/>
        </w:rPr>
        <w:t xml:space="preserve">Pub date: </w:t>
      </w:r>
      <w:r>
        <w:t>2026-04-29 06:21:22+00:00</w:t>
      </w:r>
      <w:r>
        <w:t xml:space="preserve">    </w:t>
      </w:r>
      <w:r>
        <w:rPr>
          <w:b/>
        </w:rPr>
        <w:t xml:space="preserve">DOI: </w:t>
      </w:r>
      <w:hyperlink r:id="rId136">
        <w:r>
          <w:rPr>
            <w:color w:val="1155CC"/>
            <w:u w:val="single"/>
          </w:rPr>
          <w:t>10.1002/adma.73196</w:t>
        </w:r>
      </w:hyperlink>
    </w:p>
    <w:p>
      <w:pPr>
        <w:spacing w:before="0" w:after="120"/>
      </w:pPr>
      <w:r>
        <w:rPr>
          <w:b/>
        </w:rPr>
        <w:t xml:space="preserve">Notes: </w:t>
      </w:r>
      <w:r>
        <w:t>abstract_source=pubmed</w:t>
      </w:r>
    </w:p>
    <w:p>
      <w:pPr>
        <w:spacing w:before="0" w:after="80" w:lineRule="auto" w:line="276"/>
      </w:pPr>
      <w:r>
        <w:rPr>
          <w:b/>
        </w:rPr>
        <w:t xml:space="preserve">摘要（ZH）: </w:t>
      </w:r>
      <w:r>
        <w:t>开发分子筛对于石化行业中的气体分离至关重要，节能但非常具有挑战性。目前报道的用于逆向CO2/C2H2分离的分子筛非常稀少，并且存在低CO2容量和在受限纳米孔内扩散不良的问题。在此，我们报告了一种静电驱动的CO2从C2H2中筛分的多孔阳离子门控分子筛（Na-RHO），具有高CO2容量和快速扩散。Na-RHO具有大孔腔（10.7 Å），通过小的Na+门控孔窗（3.4 Å）相互连接，其中Na+门控孔窗由于静电驱动的筛分效应能够完全排除C2H2，而大孔腔提供足够的孔空间以快速扩散吸收大量CO2。通过气体吸附等温线和理论计算研究了Na-RHO的这种静电驱动的分子筛分机制，在环境条件下实现了创纪录的高CO2/C2H2选择性（3.35 × 106）和CO2吸附容量（188.0 cm3 cm-3）。突破性实验表明，Na-RHO可以直接从CO2/C2H2混合物中分离CO2杂质，迄今为止具有最高的动态选择性（70.4）和C2H2生产率（150.6 L kg-1）。这项工作为设计具有高气体容量和扩散效率的分子筛提供了一种新策略。</w:t>
      </w:r>
    </w:p>
    <w:p>
      <w:pPr>
        <w:spacing w:before="0" w:after="200" w:lineRule="auto" w:line="276"/>
      </w:pPr>
      <w:r>
        <w:rPr>
          <w:b/>
        </w:rPr>
        <w:t xml:space="preserve">Abstract (EN): </w:t>
      </w:r>
      <w:r>
        <w:t>Developing molecular sieves is vital, energy-saving, but very challenging for gas separations in the petrochemical industry. Current molecular sieves reported for inverse CO2/C2H2 separation are very scarce and suffer from low CO2 capacity and poor diffusion within the restricted nanopores. Herein, we report an electrostatically driven size-sieving of CO2 from C2H2 in a porous cation-gated molecular sieve (Na-RHO) with high CO2 capacity and fast diffusion. Na-RHO features large pore cavities (10.7 Å) interconnected by small Na+-gated pore windows (3.4 Å), in which the Na+-gated pore windows enable a complete size-exclusion of C2H2 due to the electrostatically driven sieving effect, and large pore cavities provide enough pore spaces to take up large amount of CO2 with fast diffusion. Such an electrostatically driven molecular-sieving mechanism for Na-RHO was studied by gas sorption isotherms and theoretical calculations, leading to both the record-high CO2/C2H2 selectivity (3.35 × 106) and CO2 uptake capacity (188.0 cm3 cm-3) at ambient conditions. Breakthrough experiments show that Na-RHO can directly separate CO2 impurity from CO2/C2H2 mixtures, with the highest dynamic selectivity (70.4) and C2H2 productivity (150.6 L kg-1) by far. This work provides a new strategy for designing more efficient molecular sieves with high gas capacity and diffusion for gas separations.</w:t>
      </w:r>
    </w:p>
    <w:p>
      <w:pPr>
        <w:spacing w:before="120" w:after="120"/>
      </w:pPr>
      <w:r>
        <w:rPr>
          <w:sz w:val="18"/>
        </w:rPr>
        <w:t>——————————————————————————————————————————————————————————————————————</w:t>
      </w:r>
    </w:p>
    <w:p>
      <w:pPr>
        <w:spacing w:before="160" w:after="40" w:line="240" w:lineRule="auto"/>
      </w:pPr>
      <w:r>
        <w:rPr>
          <w:b/>
        </w:rPr>
        <w:t xml:space="preserve">[8] </w:t>
      </w:r>
      <w:hyperlink r:id="rId137">
        <w:r>
          <w:rPr>
            <w:color w:val="1155CC"/>
            <w:u w:val="single"/>
          </w:rPr>
          <w:t>选择性CO2电解至多碳产品的机制见解</w:t>
        </w:r>
      </w:hyperlink>
    </w:p>
    <w:p>
      <w:pPr>
        <w:spacing w:before="0" w:after="80"/>
      </w:pPr>
      <w:r>
        <w:rPr>
          <w:i/>
          <w:sz w:val="20"/>
        </w:rPr>
        <w:t>EN: Mechanistic Insights for Selective CO2 Electrolysis to Multicarbon Products</w:t>
      </w:r>
    </w:p>
    <w:p>
      <w:pPr>
        <w:spacing w:before="0" w:after="120"/>
      </w:pPr>
      <w:r>
        <w:rPr>
          <w:b/>
        </w:rPr>
        <w:t xml:space="preserve">Source: </w:t>
      </w:r>
      <w:r>
        <w:t>Wiley: Advanced Energy Materials: Table of Contents</w:t>
      </w:r>
      <w:r>
        <w:t xml:space="preserve">    </w:t>
      </w:r>
      <w:r>
        <w:rPr>
          <w:b/>
        </w:rPr>
        <w:t xml:space="preserve">Pub date: </w:t>
      </w:r>
      <w:r>
        <w:t>2026-04-29 06:36:24+00:00</w:t>
      </w:r>
      <w:r>
        <w:t xml:space="preserve">    </w:t>
      </w:r>
      <w:r>
        <w:rPr>
          <w:b/>
        </w:rPr>
        <w:t xml:space="preserve">DOI: </w:t>
      </w:r>
      <w:hyperlink r:id="rId138">
        <w:r>
          <w:rPr>
            <w:color w:val="1155CC"/>
            <w:u w:val="single"/>
          </w:rPr>
          <w:t>10.1002/aenm.71009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120"/>
      </w:pPr>
      <w:r>
        <w:rPr>
          <w:b/>
          <w:sz w:val="28"/>
        </w:rPr>
        <w:t>【UNCATEGORIZED】</w:t>
      </w:r>
    </w:p>
    <w:p>
      <w:pPr>
        <w:spacing w:before="160" w:after="40" w:line="240" w:lineRule="auto"/>
      </w:pPr>
      <w:r>
        <w:rPr>
          <w:b/>
        </w:rPr>
        <w:t xml:space="preserve">[1] </w:t>
      </w:r>
      <w:hyperlink r:id="rId139">
        <w:r>
          <w:rPr>
            <w:color w:val="1155CC"/>
            <w:u w:val="single"/>
          </w:rPr>
          <w:t>SAF：满足日益增长的航空燃料需求的有前途的方法</w:t>
        </w:r>
      </w:hyperlink>
    </w:p>
    <w:p>
      <w:pPr>
        <w:spacing w:before="0" w:after="80"/>
      </w:pPr>
      <w:r>
        <w:rPr>
          <w:i/>
          <w:sz w:val="20"/>
        </w:rPr>
        <w:t>EN: SAF: a promising approach to meet growing jet fuel demand</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 </w:t>
      </w:r>
      <w:hyperlink r:id="rId140">
        <w:r>
          <w:rPr>
            <w:color w:val="1155CC"/>
            <w:u w:val="single"/>
          </w:rPr>
          <w:t>风力涡轮机的计算流体动力学和数字孪生：综述</w:t>
        </w:r>
      </w:hyperlink>
    </w:p>
    <w:p>
      <w:pPr>
        <w:spacing w:before="0" w:after="80"/>
      </w:pPr>
      <w:r>
        <w:rPr>
          <w:i/>
          <w:sz w:val="20"/>
        </w:rPr>
        <w:t>EN: Computational fluid dynamics and digital twins for wind turbines: A review</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 </w:t>
      </w:r>
      <w:hyperlink r:id="rId141">
        <w:r>
          <w:rPr>
            <w:color w:val="1155CC"/>
            <w:u w:val="single"/>
          </w:rPr>
          <w:t>迈向智能和弹性微电网：可再生能源整合的机器学习方法调查</w:t>
        </w:r>
      </w:hyperlink>
    </w:p>
    <w:p>
      <w:pPr>
        <w:spacing w:before="0" w:after="80"/>
      </w:pPr>
      <w:r>
        <w:rPr>
          <w:i/>
          <w:sz w:val="20"/>
        </w:rPr>
        <w:t>EN: Toward intelligent and resilient microgrids: A survey of machine learning approaches for renewable energy integration</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 </w:t>
      </w:r>
      <w:hyperlink r:id="rId142">
        <w:r>
          <w:rPr>
            <w:color w:val="1155CC"/>
            <w:u w:val="single"/>
          </w:rPr>
          <w:t>点击/释放反应和SO2回收用于多通道动态手性光学材料</w:t>
        </w:r>
      </w:hyperlink>
    </w:p>
    <w:p>
      <w:pPr>
        <w:spacing w:before="0" w:after="80"/>
      </w:pPr>
      <w:r>
        <w:rPr>
          <w:i/>
          <w:sz w:val="20"/>
        </w:rPr>
        <w:t>EN: Click/release reaction and SO2 recycling for multichannel dynamic chiroptical materials</w:t>
      </w:r>
    </w:p>
    <w:p>
      <w:pPr>
        <w:spacing w:before="0" w:after="120"/>
      </w:pPr>
      <w:r>
        <w:rPr>
          <w:b/>
        </w:rPr>
        <w:t xml:space="preserve">Source: </w:t>
      </w:r>
      <w:r>
        <w:t>Nature Communications</w:t>
      </w:r>
      <w:r>
        <w:t xml:space="preserve">    </w:t>
      </w:r>
      <w:r>
        <w:rPr>
          <w:b/>
        </w:rPr>
        <w:t xml:space="preserve">Pub date: </w:t>
      </w:r>
      <w:r>
        <w:t>2026-04-25 00:00:00+00:00</w:t>
      </w:r>
      <w:r>
        <w:t xml:space="preserve">    </w:t>
      </w:r>
      <w:r>
        <w:rPr>
          <w:b/>
        </w:rPr>
        <w:t xml:space="preserve">DOI: </w:t>
      </w:r>
      <w:hyperlink r:id="rId143">
        <w:r>
          <w:rPr>
            <w:color w:val="1155CC"/>
            <w:u w:val="single"/>
          </w:rPr>
          <w:t>10.1038/s41467-026-72552-z</w:t>
        </w:r>
      </w:hyperlink>
    </w:p>
    <w:p>
      <w:pPr>
        <w:spacing w:before="0" w:after="120"/>
      </w:pPr>
      <w:r>
        <w:rPr>
          <w:b/>
        </w:rPr>
        <w:t xml:space="preserve">Notes: </w:t>
      </w:r>
      <w:r>
        <w:t>abstract_source=nature_html</w:t>
      </w:r>
    </w:p>
    <w:p>
      <w:pPr>
        <w:spacing w:before="0" w:after="80" w:lineRule="auto" w:line="276"/>
      </w:pPr>
      <w:r>
        <w:rPr>
          <w:b/>
        </w:rPr>
        <w:t xml:space="preserve">摘要（ZH）: </w:t>
      </w:r>
      <w:r>
        <w:t>通过结合共价和非共价策略构建动态手性材料仍然是一项新兴且具有挑战性的任务。在此，我们报告了使用一种特殊的点击释放反应来创建多通道动态手性光学系统的独特示例。我们利用手性基团修饰的噻吩S,S-二氧化物与环辛炔之间的高效逆电子需求Diels-Alder反应。该反应有效地破坏了光诱导电子转移路径，从而实现了高量子产率的绿色荧光发射。此外，反应在原位发生，诱导结构从纳米球到囊泡或从微片到螺旋纳米管的演变，进而触发圆偏振发光的出现。关键是，这种点击反应释放出一个SO2分子。通过引入荧光染料，我们能够选择性地捕获SO2，激活其红色荧光并触发从绿色发光发色团的能量转移。这种优雅的设计使我们能够通过点击反应和随后的SO2回收协同介导，实现对双通道手性光学系统的动态控制，具有独立的绿色和红色发射。该反应在聚集体中的高效性，加上产物的高量子产率和副产物回收提供的卓越原子经济性，提供了一种通过非共价组装和共价反应构建手性超分子材料的高效策略。</w:t>
      </w:r>
    </w:p>
    <w:p>
      <w:pPr>
        <w:spacing w:before="0" w:after="200" w:lineRule="auto" w:line="276"/>
      </w:pPr>
      <w:r>
        <w:rPr>
          <w:b/>
        </w:rPr>
        <w:t xml:space="preserve">Abstract (EN): </w:t>
      </w:r>
      <w:r>
        <w:t>Constructing dynamic chiral materials via a combined covalent and non-covalent strategy remains an emerging and challenging task. Here, we report a unique example of this strategy using a specialized click-and-release reaction to create a multichannel dynamic chiroptical system. We utilize a highly efficient inverse electron demand Diels-Alder reaction between a chiral-moiety-grafted thiophene S,S-dioxide and a cyclooctyne. This reaction effectively disrupts a photoinduced electron transfer pathway, enabling a high quantum yield green fluorescence emission. Furthermore, the reaction occurs in-situ, inducing a structural evolution from nanospheres to vesicles or from micro-sheets to helical nanotubes, which in turn triggers the appearance of circularly polarized luminescence. Crucially, this click reaction releases a SO2 molecule. By introducing a fluorescent dye, we are able to selectively capture the SO2, which activates its red fluorescence and triggers an energy transfer from the green-emitting chromophore. This elegant design allows us to achieve dynamic control over a dual-channel chiroptical system, with independent green and red emissions, mediated synergistically by the click reaction and subsequent SO2 recovery. The efficiency of this in-situ reaction within the aggregates, coupled with the high quantum yield of the products and the exceptional atom economy provided by byproduct recycling, offers a highly effective strategy for constructing chiral supramolecular materials via non-covalent assembly and covalent reaction.</w:t>
      </w:r>
    </w:p>
    <w:p>
      <w:pPr>
        <w:spacing w:before="120" w:after="120"/>
      </w:pPr>
      <w:r>
        <w:rPr>
          <w:sz w:val="18"/>
        </w:rPr>
        <w:t>——————————————————————————————————————————————————————————————————————</w:t>
      </w:r>
    </w:p>
    <w:p>
      <w:pPr>
        <w:spacing w:before="160" w:after="40" w:line="240" w:lineRule="auto"/>
      </w:pPr>
      <w:r>
        <w:rPr>
          <w:b/>
        </w:rPr>
        <w:t xml:space="preserve">[5] </w:t>
      </w:r>
      <w:hyperlink r:id="rId144">
        <w:r>
          <w:rPr>
            <w:color w:val="1155CC"/>
            <w:u w:val="single"/>
          </w:rPr>
          <w:t>背侧前额叶皮层驱动小鼠的固执行为</w:t>
        </w:r>
      </w:hyperlink>
    </w:p>
    <w:p>
      <w:pPr>
        <w:spacing w:before="0" w:after="80"/>
      </w:pPr>
      <w:r>
        <w:rPr>
          <w:i/>
          <w:sz w:val="20"/>
        </w:rPr>
        <w:t>EN: Dorsal prefrontal cortex drives perseverative behavior in mice</w:t>
      </w:r>
    </w:p>
    <w:p>
      <w:pPr>
        <w:spacing w:before="0" w:after="120"/>
      </w:pPr>
      <w:r>
        <w:rPr>
          <w:b/>
        </w:rPr>
        <w:t xml:space="preserve">Source: </w:t>
      </w:r>
      <w:r>
        <w:t>Nature Communications</w:t>
      </w:r>
      <w:r>
        <w:t xml:space="preserve">    </w:t>
      </w:r>
      <w:r>
        <w:rPr>
          <w:b/>
        </w:rPr>
        <w:t xml:space="preserve">Pub date: </w:t>
      </w:r>
      <w:r>
        <w:t>2026-04-25 00:00:00+00:00</w:t>
      </w:r>
      <w:r>
        <w:t xml:space="preserve">    </w:t>
      </w:r>
      <w:r>
        <w:rPr>
          <w:b/>
        </w:rPr>
        <w:t xml:space="preserve">DOI: </w:t>
      </w:r>
      <w:hyperlink r:id="rId145">
        <w:r>
          <w:rPr>
            <w:color w:val="1155CC"/>
            <w:u w:val="single"/>
          </w:rPr>
          <w:t>10.1038/s41467-026-71664-w</w:t>
        </w:r>
      </w:hyperlink>
    </w:p>
    <w:p>
      <w:pPr>
        <w:spacing w:before="0" w:after="120"/>
      </w:pPr>
      <w:r>
        <w:rPr>
          <w:b/>
        </w:rPr>
        <w:t xml:space="preserve">Notes: </w:t>
      </w:r>
      <w:r>
        <w:t>abstract_source=nature_html</w:t>
      </w:r>
    </w:p>
    <w:p>
      <w:pPr>
        <w:spacing w:before="0" w:after="80" w:lineRule="auto" w:line="276"/>
      </w:pPr>
      <w:r>
        <w:rPr>
          <w:b/>
        </w:rPr>
        <w:t xml:space="preserve">摘要（ZH）: </w:t>
      </w:r>
      <w:r>
        <w:t>重复一个动作而其他动作会产生更大回报的行为是常见的，但其目的和神经机制尚不清楚。在此，我们展示了背侧前额叶皮层，特别是前次级运动皮层（MOs）在小鼠执行动态奖励学习任务时的神经相关性和因果作用。听觉提示信号指示小鼠将轮子向左或向右转动，每个动作的奖励概率在块中切换。小鼠表现出固执行为，获得次优奖励，但在重复选择时速度更快。Neuropixels记录发现几乎专门在前MOs中，神经元的活动与固执行为相关并预测快速反应时间。在选择期间光遗传学抑制该区域减少了固执行为并减慢了反应速度。相比之下，在选择时间失活内侧前额叶皮层没有影响，但在奖励交付后失活会损害学习。因此，在此任务中，前MOs反映了固执决策变量，并且对于介导该决策变量对选择和反应时间的影响是必要的。</w:t>
      </w:r>
    </w:p>
    <w:p>
      <w:pPr>
        <w:spacing w:before="0" w:after="200" w:lineRule="auto" w:line="276"/>
      </w:pPr>
      <w:r>
        <w:rPr>
          <w:b/>
        </w:rPr>
        <w:t xml:space="preserve">Abstract (EN): </w:t>
      </w:r>
      <w:r>
        <w:t>Perseveration – repeating one action when others would generate larger rewards – is a common behavior, but neither its purpose nor neuronal mechanisms are understood. Here we demonstrate a neural correlate and causal role of dorsal prefrontal cortex, specifically anterior secondary motor cortex (MOs) in perseveration in mice performing a dynamic reward learning task. An auditory go cue signaled mice to turn a wheel either left or right, with the reward probability of each action switching in blocks. Mice perseverated, gaining suboptimal reward, but were faster when making repeated choices. Neuropixels recordings found neurons whose activity correlated with perseveration and predicted rapid reaction times, almost exclusively in anterior MOs. Optogenetically inhibiting this region during the choice period reduced perseveration and slowed reactions. In contrast, inactivating medial prefrontal cortex at choice time had no effect, but inactivating it after reward delivery impaired learning. In this task, therefore, anterior MOs reflects a perseverative decision variable, and is necessary for mediating the effect of this decision variable on choice and reaction time.</w:t>
      </w:r>
    </w:p>
    <w:p>
      <w:pPr>
        <w:spacing w:before="120" w:after="120"/>
      </w:pPr>
      <w:r>
        <w:rPr>
          <w:sz w:val="18"/>
        </w:rPr>
        <w:t>——————————————————————————————————————————————————————————————————————</w:t>
      </w:r>
    </w:p>
    <w:p>
      <w:pPr>
        <w:spacing w:before="160" w:after="40" w:line="240" w:lineRule="auto"/>
      </w:pPr>
      <w:r>
        <w:rPr>
          <w:b/>
        </w:rPr>
        <w:t xml:space="preserve">[6] </w:t>
      </w:r>
      <w:hyperlink r:id="rId146">
        <w:r>
          <w:rPr>
            <w:color w:val="1155CC"/>
            <w:u w:val="single"/>
          </w:rPr>
          <w:t>超越MPB工程：高熵设计辅助的增强压电性和热稳定性</w:t>
        </w:r>
      </w:hyperlink>
    </w:p>
    <w:p>
      <w:pPr>
        <w:spacing w:before="0" w:after="80"/>
      </w:pPr>
      <w:r>
        <w:rPr>
          <w:i/>
          <w:sz w:val="20"/>
        </w:rPr>
        <w:t>EN: Beyond MPB engineering: enhanced piezoelectricity and thermal stability assisted by high-entropy design</w:t>
      </w:r>
    </w:p>
    <w:p>
      <w:pPr>
        <w:spacing w:before="0" w:after="120"/>
      </w:pPr>
      <w:r>
        <w:rPr>
          <w:b/>
        </w:rPr>
        <w:t xml:space="preserve">Source: </w:t>
      </w:r>
      <w:r>
        <w:t>Nature Communications</w:t>
      </w:r>
      <w:r>
        <w:t xml:space="preserve">    </w:t>
      </w:r>
      <w:r>
        <w:rPr>
          <w:b/>
        </w:rPr>
        <w:t xml:space="preserve">Pub date: </w:t>
      </w:r>
      <w:r>
        <w:t>2026-04-25 00:00:00+00:00</w:t>
      </w:r>
      <w:r>
        <w:t xml:space="preserve">    </w:t>
      </w:r>
      <w:r>
        <w:rPr>
          <w:b/>
        </w:rPr>
        <w:t xml:space="preserve">DOI: </w:t>
      </w:r>
      <w:hyperlink r:id="rId147">
        <w:r>
          <w:rPr>
            <w:color w:val="1155CC"/>
            <w:u w:val="single"/>
          </w:rPr>
          <w:t>10.1038/s41467-026-72335-6</w:t>
        </w:r>
      </w:hyperlink>
    </w:p>
    <w:p>
      <w:pPr>
        <w:spacing w:before="0" w:after="120"/>
      </w:pPr>
      <w:r>
        <w:rPr>
          <w:b/>
        </w:rPr>
        <w:t xml:space="preserve">Notes: </w:t>
      </w:r>
      <w:r>
        <w:t>abstract_source=nature_html</w:t>
      </w:r>
    </w:p>
    <w:p>
      <w:pPr>
        <w:spacing w:before="0" w:after="80" w:lineRule="auto" w:line="276"/>
      </w:pPr>
      <w:r>
        <w:rPr>
          <w:b/>
        </w:rPr>
        <w:t xml:space="preserve">摘要（ZH）: </w:t>
      </w:r>
      <w:r>
        <w:t>追求同时具有高压电响应和强热稳定性的铁电材料仍然是一个重要挑战。我们介绍了一种将形变相边界（MPB）工程与高熵（HE）设计相结合的策略，应用于一种新型五元Pb(Yb1/2Nb1/2)O3-Pb(Zn1/3Nb2/3)O3-Pb(Fe1/2Nb1/2)O3-PbZrO3-PbTiO3 (PYN-PZN-PFN-PZ-PT)钙钛矿陶瓷。与中熵对应物相比，高熵成分提供了优越的压电系数580 pC/N和卓越的热稳定性，性能保持至285°C。这种增强源于HE设计的两个协同效应：稳定、平坦的自由能景观促进了有利的纳米尺度域结构并改善了去极化行为，以及HE驱动的晶粒细化和抑制电荷传输带来的更高电阻率（250°C时为1012 Ω·cm）。这项工作表明，HE设计是缓解Pb基弛豫铁电体中压电响应与去极化温度之间传统权衡的有效策略。</w:t>
      </w:r>
    </w:p>
    <w:p>
      <w:pPr>
        <w:spacing w:before="0" w:after="200" w:lineRule="auto" w:line="276"/>
      </w:pPr>
      <w:r>
        <w:rPr>
          <w:b/>
        </w:rPr>
        <w:t xml:space="preserve">Abstract (EN): </w:t>
      </w:r>
      <w:r>
        <w:t>The pursuit of ferroelectric materials that combine a high piezoelectric response with robust thermal stability remains a paramount challenge. We introduce a strategy that integrates morphotropic phase boundary (MPB) engineering with high-entropy (HE) design in a novel quinary Pb(Yb1/2Nb1/2)O3-Pb(Zn1/3Nb2/3)O3-Pb(Fe1/2Nb1/2)O3-PbZrO3-PbTiO3 (PYN-PZN-PFN-PZ-PT) perovskite ceramic. Compared to a medium-entropy counterpart, the high-entropy composition yields a superior piezoelectric coefficient of 580 pC/N and exceptional thermal stability, with performance retained up to 285 °C. This enhancement arises from two synergistic effects of the HE design: a stabilized, flattened free-energy landscape that promotes a favorable nanoscale domain structure and improves depolarization behavior, together with higher electrical resistivity (1012 Ω·cm at 250 °C) arising from HE-driven grain refinement and suppressed charge transport. This work demonstrates that HE design serves as an effective strategy to mitigate the traditional trade-off between piezoelectric response and depolarization temperature in Pb-based relaxor ferroelectrics.</w:t>
      </w:r>
    </w:p>
    <w:p>
      <w:pPr>
        <w:spacing w:before="120" w:after="120"/>
      </w:pPr>
      <w:r>
        <w:rPr>
          <w:sz w:val="18"/>
        </w:rPr>
        <w:t>——————————————————————————————————————————————————————————————————————</w:t>
      </w:r>
    </w:p>
    <w:p>
      <w:pPr>
        <w:spacing w:before="160" w:after="40" w:line="240" w:lineRule="auto"/>
      </w:pPr>
      <w:r>
        <w:rPr>
          <w:b/>
        </w:rPr>
        <w:t xml:space="preserve">[7] </w:t>
      </w:r>
      <w:hyperlink r:id="rId148">
        <w:r>
          <w:rPr>
            <w:color w:val="1155CC"/>
            <w:u w:val="single"/>
          </w:rPr>
          <w:t>浮游动物和细尺度过程对海洋生物泵有多重要？</w:t>
        </w:r>
      </w:hyperlink>
    </w:p>
    <w:p>
      <w:pPr>
        <w:spacing w:before="0" w:after="80"/>
      </w:pPr>
      <w:r>
        <w:rPr>
          <w:i/>
          <w:sz w:val="20"/>
        </w:rPr>
        <w:t>EN: How much do zooplankton and fine-scale processes matter for the ocean biological pump?</w:t>
      </w:r>
    </w:p>
    <w:p>
      <w:pPr>
        <w:spacing w:before="0" w:after="120"/>
      </w:pPr>
      <w:r>
        <w:rPr>
          <w:b/>
        </w:rPr>
        <w:t xml:space="preserve">Source: </w:t>
      </w:r>
      <w:r>
        <w:t>Nature Communications</w:t>
      </w:r>
      <w:r>
        <w:t xml:space="preserve">    </w:t>
      </w:r>
      <w:r>
        <w:rPr>
          <w:b/>
        </w:rPr>
        <w:t xml:space="preserve">Pub date: </w:t>
      </w:r>
      <w:r>
        <w:t>2026-04-25 00:00:00+00:00</w:t>
      </w:r>
      <w:r>
        <w:t xml:space="preserve">    </w:t>
      </w:r>
      <w:r>
        <w:rPr>
          <w:b/>
        </w:rPr>
        <w:t xml:space="preserve">DOI: </w:t>
      </w:r>
      <w:hyperlink r:id="rId149">
        <w:r>
          <w:rPr>
            <w:color w:val="1155CC"/>
            <w:u w:val="single"/>
          </w:rPr>
          <w:t>10.1038/s41467-026-72144-x</w:t>
        </w:r>
      </w:hyperlink>
    </w:p>
    <w:p>
      <w:pPr>
        <w:spacing w:before="0" w:after="120"/>
      </w:pPr>
      <w:r>
        <w:rPr>
          <w:b/>
        </w:rPr>
        <w:t xml:space="preserve">Notes: </w:t>
      </w:r>
      <w:r>
        <w:t>abstract_source=nature_html</w:t>
      </w:r>
    </w:p>
    <w:p>
      <w:pPr>
        <w:spacing w:before="0" w:after="80" w:lineRule="auto" w:line="276"/>
      </w:pPr>
      <w:r>
        <w:rPr>
          <w:b/>
        </w:rPr>
        <w:t xml:space="preserve">摘要（ZH）: </w:t>
      </w:r>
      <w:r>
        <w:t>海洋生物碳泵通过多种途径将碳储存在远离大气的地方，包括重力沉降、物理运输和生物垂直迁移。对其规模的稳健评估仍然具有挑战性。传统方法通常分别量化这些途径，可能导致重复计算，遗漏诸如细尺度物理过程和大规模日常垂直迁移等高频过程，并强调颗粒碳而忽视非颗粒通量。在此，我们应用一个统一框架，在一个高分辨率（3公里）理想化的北大西洋模型中同时量化所有途径，该模型解决了季节性生物物理动态，包括从公里尺度锋面到区域生物群落的浮游动物迁移。我们表明，细尺度物理和迁移泵共同贡献了15-20%的碳储存。它们的储存主要由非颗粒碳通量（溶解有机碳运输、浮游动物呼吸）主导。细尺度动态通过物理运输直接调节出口深度和储存时间尺度，并通过塑造快速沉降的富碳丝状体和控制浮游动物迁移深度间接调节。充分测量和表示这些途径在下一代观测和模型中是量化碳储存及其对变异性响应的关键。</w:t>
      </w:r>
    </w:p>
    <w:p>
      <w:pPr>
        <w:spacing w:before="0" w:after="200" w:lineRule="auto" w:line="276"/>
      </w:pPr>
      <w:r>
        <w:rPr>
          <w:b/>
        </w:rPr>
        <w:t xml:space="preserve">Abstract (EN): </w:t>
      </w:r>
      <w:r>
        <w:t>The ocean biological carbon pump stores carbon away from the atmosphere through multiple pathways, including gravitational settling, physical transport, and organism vertical migration. Robust assessments of its magnitude remain challenging. Traditional approaches often quantify pathways separately, risking double-counting, missing high-frequency processes such as fine-scale physics and daily vertical migration over large scales, and emphasizing particulate carbon while overlooking non-particulate fluxes. Here, we apply a unified framework that quantifies all pathways simultaneously in a high-resolution (3 km) idealized North Atlantic model resolving seasonal biophysical dynamics, including zooplankton migration, from kilometer-scale fronts to regional biomes. We show that fine-scale physical and migrant pumps together contribute 15-20% of carbon storage. Their storage is dominated by non-particulate carbon fluxes (dissolved organic carbon transport, zooplankton respiration). Fine-scale dynamics modulate export depth and storage timescales both directly, through physical transport, and indirectly, by shaping fast-sinking carbon-rich filaments and controlling zooplankton migration depth. Adequately measuring and representing these pathways in next-generation observations and models is key to quantify carbon storage and its response to variability.</w:t>
      </w:r>
    </w:p>
    <w:p>
      <w:pPr>
        <w:spacing w:before="120" w:after="120"/>
      </w:pPr>
      <w:r>
        <w:rPr>
          <w:sz w:val="18"/>
        </w:rPr>
        <w:t>——————————————————————————————————————————————————————————————————————</w:t>
      </w:r>
    </w:p>
    <w:p>
      <w:pPr>
        <w:spacing w:before="160" w:after="40" w:line="240" w:lineRule="auto"/>
      </w:pPr>
      <w:r>
        <w:rPr>
          <w:b/>
        </w:rPr>
        <w:t xml:space="preserve">[8] </w:t>
      </w:r>
      <w:hyperlink r:id="rId150">
        <w:r>
          <w:rPr>
            <w:color w:val="1155CC"/>
            <w:u w:val="single"/>
          </w:rPr>
          <w:t>用于摩擦电和静电发电机的电力管理，实现连续和稳定的电力供应</w:t>
        </w:r>
      </w:hyperlink>
    </w:p>
    <w:p>
      <w:pPr>
        <w:spacing w:before="0" w:after="80"/>
      </w:pPr>
      <w:r>
        <w:rPr>
          <w:i/>
          <w:sz w:val="20"/>
        </w:rPr>
        <w:t>EN: Power management for triboelectric and electrostatic generators enabling continuous and stable power delivery</w:t>
      </w:r>
    </w:p>
    <w:p>
      <w:pPr>
        <w:spacing w:before="0" w:after="120"/>
      </w:pPr>
      <w:r>
        <w:rPr>
          <w:b/>
        </w:rPr>
        <w:t xml:space="preserve">Source: </w:t>
      </w:r>
      <w:r>
        <w:t>Nature Communications</w:t>
      </w:r>
      <w:r>
        <w:t xml:space="preserve">    </w:t>
      </w:r>
      <w:r>
        <w:rPr>
          <w:b/>
        </w:rPr>
        <w:t xml:space="preserve">Pub date: </w:t>
      </w:r>
      <w:r>
        <w:t>2026-04-25 00:00:00+00:00</w:t>
      </w:r>
      <w:r>
        <w:t xml:space="preserve">    </w:t>
      </w:r>
      <w:r>
        <w:rPr>
          <w:b/>
        </w:rPr>
        <w:t xml:space="preserve">DOI: </w:t>
      </w:r>
      <w:hyperlink r:id="rId151">
        <w:r>
          <w:rPr>
            <w:color w:val="1155CC"/>
            <w:u w:val="single"/>
          </w:rPr>
          <w:t>10.1038/s41467-026-72323-w</w:t>
        </w:r>
      </w:hyperlink>
    </w:p>
    <w:p>
      <w:pPr>
        <w:spacing w:before="0" w:after="120"/>
      </w:pPr>
      <w:r>
        <w:rPr>
          <w:b/>
        </w:rPr>
        <w:t xml:space="preserve">Notes: </w:t>
      </w:r>
      <w:r>
        <w:t>abstract_source=nature_html</w:t>
      </w:r>
    </w:p>
    <w:p>
      <w:pPr>
        <w:spacing w:before="0" w:after="80" w:lineRule="auto" w:line="276"/>
      </w:pPr>
      <w:r>
        <w:rPr>
          <w:b/>
        </w:rPr>
        <w:t xml:space="preserve">摘要（ZH）: </w:t>
      </w:r>
      <w:r>
        <w:t>电源管理对于有效利用从摩擦电和静电发电机收集的能量至关重要。然而，当前策略在控制和转换方面存在挑战，如开关设计效率低下和负载依赖输出，导致为实际电子设备供电时性能显著下降。在此，我们提出了一种高效且通用的电源管理策略以改善能量利用。它具有一个自供电峰值检测开关以增强能量收集，一个电压提升策略以改善AC–DC转换，以及一个动态分配收集能量以确保连续稳定电源供应的能量调节模块。得益于开关的功率提升机制，电源管理后的输出功率达到发电机最佳AC输出的1.08倍。这使得由55毫米半径的驻极体发电机在36转/分钟下供电的20 dBm LoRa节点能够可靠运行。这项工作促进了摩擦电和静电发电机在实际电子系统中的集成。</w:t>
      </w:r>
    </w:p>
    <w:p>
      <w:pPr>
        <w:spacing w:before="0" w:after="200" w:lineRule="auto" w:line="276"/>
      </w:pPr>
      <w:r>
        <w:rPr>
          <w:b/>
        </w:rPr>
        <w:t xml:space="preserve">Abstract (EN): </w:t>
      </w:r>
      <w:r>
        <w:t>Power management is essential for effectively utilizing energy harvested from triboelectric and electrostatic generators. However, current strategies suffer from control and conversion challenges such as inefficient switch designs and load-dependent outputs, resulting in substantial performance degradation when powering practical electronics. Here, we present an efficient and universal power management strategy to improve energy utilization. It features a self-powered peak-detection switch for enhancing energy harvesting, a voltage elevation strategy to improve AC–DC conversion, and an energy regulation module that dynamically allocates the harvested energy to ensure a continuous and stable power supply. Benefiting from the switch’s power-boosting mechanism, the output power after power management reaches 1.08 times the generator’s optimal AC output. This enables the reliable operation of a 20 dBm LoRa node powered by a 55-mm-radius electret generator at 36 rpm. This work facilitates the integration of triboelectric and electrostatic generators into practical electronic systems.</w:t>
      </w:r>
    </w:p>
    <w:p>
      <w:pPr>
        <w:spacing w:before="120" w:after="120"/>
      </w:pPr>
      <w:r>
        <w:rPr>
          <w:sz w:val="18"/>
        </w:rPr>
        <w:t>——————————————————————————————————————————————————————————————————————</w:t>
      </w:r>
    </w:p>
    <w:p>
      <w:pPr>
        <w:spacing w:before="160" w:after="40" w:line="240" w:lineRule="auto"/>
      </w:pPr>
      <w:r>
        <w:rPr>
          <w:b/>
        </w:rPr>
        <w:t xml:space="preserve">[9] </w:t>
      </w:r>
      <w:hyperlink r:id="rId152">
        <w:r>
          <w:rPr>
            <w:color w:val="1155CC"/>
            <w:u w:val="single"/>
          </w:rPr>
          <w:t>考虑动态储能储备的配电系统弹性导向混合运行策略</w:t>
        </w:r>
      </w:hyperlink>
    </w:p>
    <w:p>
      <w:pPr>
        <w:spacing w:before="0" w:after="80"/>
      </w:pPr>
      <w:r>
        <w:rPr>
          <w:i/>
          <w:sz w:val="20"/>
        </w:rPr>
        <w:t>EN: Resilience-oriented hybrid operation strategy for distribution systems considering dynamic energy storage reserves</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 </w:t>
      </w:r>
      <w:hyperlink r:id="rId153">
        <w:r>
          <w:rPr>
            <w:color w:val="1155CC"/>
            <w:u w:val="single"/>
          </w:rPr>
          <w:t>纳米电镀电池催化剂：连接电化学和热催化</w:t>
        </w:r>
      </w:hyperlink>
    </w:p>
    <w:p>
      <w:pPr>
        <w:spacing w:before="0" w:after="80"/>
      </w:pPr>
      <w:r>
        <w:rPr>
          <w:i/>
          <w:sz w:val="20"/>
        </w:rPr>
        <w:t>EN: Nanogalvanic cell catalysts: bridging electrochemical and thermal catalysis</w:t>
      </w:r>
    </w:p>
    <w:p>
      <w:pPr>
        <w:spacing w:before="0" w:after="120"/>
      </w:pPr>
      <w:r>
        <w:rPr>
          <w:b/>
        </w:rPr>
        <w:t xml:space="preserve">Source: </w:t>
      </w:r>
      <w:r>
        <w:t>National Science Review Advance Access</w:t>
      </w:r>
      <w:r>
        <w:t xml:space="preserve">    </w:t>
      </w:r>
      <w:r>
        <w:rPr>
          <w:b/>
        </w:rPr>
        <w:t xml:space="preserve">Pub date: </w:t>
      </w:r>
      <w:r>
        <w:t>2026-04-25 00:00:00+00:00</w:t>
      </w:r>
      <w:r>
        <w:t xml:space="preserve">    </w:t>
      </w:r>
      <w:r>
        <w:rPr>
          <w:b/>
        </w:rPr>
        <w:t xml:space="preserve">DOI: </w:t>
      </w:r>
      <w:hyperlink r:id="rId154">
        <w:r>
          <w:rPr>
            <w:color w:val="1155CC"/>
            <w:u w:val="single"/>
          </w:rPr>
          <w:t>10.1093/nsr/nwag186</w:t>
        </w:r>
      </w:hyperlink>
    </w:p>
    <w:p>
      <w:pPr>
        <w:spacing w:before="0" w:after="120"/>
      </w:pPr>
      <w:r>
        <w:rPr>
          <w:b/>
        </w:rPr>
        <w:t xml:space="preserve">Notes: </w:t>
      </w:r>
      <w:r>
        <w:t>abstract_source=rss_oup</w:t>
      </w:r>
    </w:p>
    <w:p>
      <w:pPr>
        <w:spacing w:before="0" w:after="80" w:lineRule="auto" w:line="276"/>
      </w:pPr>
      <w:r>
        <w:rPr>
          <w:b/>
        </w:rPr>
        <w:t xml:space="preserve">摘要（ZH）: </w:t>
      </w:r>
      <w:r>
        <w:t>选择性硝基芳烃加氢为苯胺面临难以解决的活性-选择性权衡：传统的Horiuti-Polanyi (H-P)催化通过自由H*物种触发共存不饱和基团的过度加氢。在此，我们报告了Pt@C/TiO2作为纳米原电池催化剂（NGC），通过将协同质子-电子转移（CPET）整合到异相催化中，桥接了电化学和热催化。在Pt@C/TiO2中，被超薄碳壳包裹的Pt纳米颗粒催化H2氧化，而TiO2则进行硝基还原。质子通过溶剂氢键网络迁移，电子通过导电的TiO2支撑体转移，实现了类似CPET的还原，大大绕过了H-P路径而无需直接的底物-Pt接触。电化学耦合分析证实了原电池操作。Pt@C/TiO2从4-硝基苯乙烯中提供了接近定量的转化率和&gt;97%的选择性生成4-氨基苯乙烯，而碳壳阻止了CO/硫进入Pt，提供了卓越的抗中毒性和稳定性。这种NGC范式提供了一种结合电催化选择性和热过程简便性的位点分离氧化还原催化的一般策略。</w:t>
      </w:r>
    </w:p>
    <w:p>
      <w:pPr>
        <w:spacing w:before="0" w:after="200" w:lineRule="auto" w:line="276"/>
      </w:pPr>
      <w:r>
        <w:rPr>
          <w:b/>
        </w:rPr>
        <w:t xml:space="preserve">Abstract (EN): </w:t>
      </w:r>
      <w:r>
        <w:t>Selective nitroarene hydrogenation to anilines faces an intractable activity-selectivity trade-off: conventional Horiuti-Polanyi (H-P) catalysis triggers over-hydrogenation of coexisting unsaturated groups via free H* species. Herein, we report Pt@C/TiO2 as a nanogalvanic cell catalyst (NGC) that bridges electrochemical and thermal catalysis by integrating concerted proton–electron transfer (CPET) into heterogeneous catalysis. In Pt@C/TiO2, Pt nanoparticles wrapped by an ultrathin carbon shell catalyze H2 oxidation, whereas TiO2 hosts nitro reduction. Protons migrate through solvent hydrogen-bond networks and electrons transfer through the conductive TiO2 support, enabling a CPET-like reduction that largely bypasses the H-P route without direct substrate-Pt contact. Electrochemical coupling analyses corroborate galvanic-cell operation. Pt@C/TiO2 affords near-quantitative conversion and &gt; 97% selectivity to 4-aminostyrene from 4-nitrostyrene, while the carbon shell blocks CO/sulfur access to Pt, delivering exceptional poisoning tolerance and stability. This NGC paradigm offers a general strategy for site-separated redox catalysis combining electrocatalytic selectivity with thermal-process simplicity.</w:t>
      </w:r>
    </w:p>
    <w:p>
      <w:pPr>
        <w:spacing w:before="120" w:after="120"/>
      </w:pPr>
      <w:r>
        <w:rPr>
          <w:sz w:val="18"/>
        </w:rPr>
        <w:t>——————————————————————————————————————————————————————————————————————</w:t>
      </w:r>
    </w:p>
    <w:p>
      <w:pPr>
        <w:spacing w:before="160" w:after="40" w:line="240" w:lineRule="auto"/>
      </w:pPr>
      <w:r>
        <w:rPr>
          <w:b/>
        </w:rPr>
        <w:t xml:space="preserve">[11] </w:t>
      </w:r>
      <w:hyperlink r:id="rId155">
        <w:r>
          <w:rPr>
            <w:color w:val="1155CC"/>
            <w:u w:val="single"/>
          </w:rPr>
          <w:t>通过测深和类型学绘图揭示中国淡水湖泊储存热点</w:t>
        </w:r>
      </w:hyperlink>
    </w:p>
    <w:p>
      <w:pPr>
        <w:spacing w:before="0" w:after="80"/>
      </w:pPr>
      <w:r>
        <w:rPr>
          <w:i/>
          <w:sz w:val="20"/>
        </w:rPr>
        <w:t>EN: China’s freshwater lake storage hotspots revealed by bathymetry and typology mapping</w:t>
      </w:r>
    </w:p>
    <w:p>
      <w:pPr>
        <w:spacing w:before="0" w:after="120"/>
      </w:pPr>
      <w:r>
        <w:rPr>
          <w:b/>
        </w:rPr>
        <w:t xml:space="preserve">Source: </w:t>
      </w:r>
      <w:r>
        <w:t>National Science Review Advance Access</w:t>
      </w:r>
      <w:r>
        <w:t xml:space="preserve">    </w:t>
      </w:r>
      <w:r>
        <w:rPr>
          <w:b/>
        </w:rPr>
        <w:t xml:space="preserve">Pub date: </w:t>
      </w:r>
      <w:r>
        <w:t>2026-04-25 00:00:00+00:00</w:t>
      </w:r>
      <w:r>
        <w:t xml:space="preserve">    </w:t>
      </w:r>
      <w:r>
        <w:rPr>
          <w:b/>
        </w:rPr>
        <w:t xml:space="preserve">DOI: </w:t>
      </w:r>
      <w:hyperlink r:id="rId156">
        <w:r>
          <w:rPr>
            <w:color w:val="1155CC"/>
            <w:u w:val="single"/>
          </w:rPr>
          <w:t>10.1093/nsr/nwag245</w:t>
        </w:r>
      </w:hyperlink>
    </w:p>
    <w:p>
      <w:pPr>
        <w:spacing w:before="0" w:after="120"/>
      </w:pPr>
      <w:r>
        <w:rPr>
          <w:b/>
        </w:rPr>
        <w:t xml:space="preserve">Notes: </w:t>
      </w:r>
      <w:r>
        <w:t>abstract_source=rss_oup</w:t>
      </w:r>
    </w:p>
    <w:p>
      <w:pPr>
        <w:spacing w:before="0" w:after="80" w:lineRule="auto" w:line="276"/>
      </w:pPr>
      <w:r>
        <w:rPr>
          <w:b/>
        </w:rPr>
        <w:t xml:space="preserve">摘要（ZH）: </w:t>
      </w:r>
      <w:r>
        <w:t>一个国家的淡水安全在根本上受到其水资源总量和空间分布的限制，然而这种一阶信息在大规模上仍然显得非常不确定。对于中国来说，虽然拥有世界五分之一的人口，但其可再生淡水资源仅占全球的7%，这种知识差距尤为关键。尽管几十年的卫星观测已经跟踪了湖泊表面积和水位的变化，但全国湖泊的总储水量仍然未知，无法进行其水安全的稳健评估。在此，我们首次展示了中国所有大于1平方公里的天然湖泊的全国尺度的水深和类型评估。我们揭示了总湖泊水量约为1,174立方公里（不确定范围：1,081–1,285立方公里），其中包括约335立方公里的淡水和约839立方公里的盐水。虽然西部内陆在数量上以盐湖为主，但我们的体积评估揭示了一种反直觉的模式，即由于其异常的深度，少数大型开放湖泊储存了全国湖泊淡水的约65%。淡水湖热点呈现出显著的地理-人口对比。这种不平衡导致人均天然湖泊淡水储存量存在更显著的差异，青藏高原湖区约为20,680立方米，而东部平原湖区仅为65立方米，差异近330倍。值得注意的是，东部人口稠密地区集中了大量水库，这种人工储存的分布有助于缓解</w:t>
      </w:r>
    </w:p>
    <w:p>
      <w:pPr>
        <w:spacing w:before="0" w:after="200" w:lineRule="auto" w:line="276"/>
      </w:pPr>
      <w:r>
        <w:rPr>
          <w:b/>
        </w:rPr>
        <w:t xml:space="preserve">Abstract (EN): </w:t>
      </w:r>
      <w:r>
        <w:t>A nation’s freshwater security is fundamentally constrained by the total volume and spatial distribution of its water resources, yet this first-order information remains remarkably uncertain at large scales. For China, home to one-fifth of the world’s population but only 7% of its total renewable freshwater resources, this knowledge gap is particularly critical. While decades of satellite observations have tracked changes in lake surface area and water level, the total storage volume of the nation’s lakes have remained unknown, precluding a robust assessment of its water security. Here, we present the first national-scale bathymetric and typologic assessment of all natural lakes in China larger than 1 km². We reveal a total lake water volume of approximately 1,174 km³ (uncertainty range: 1,081–1,285 km³), comprising ∼335 km³ of freshwater and ∼839 km³ of saline water. While the western interior is numerically dominated by saline lakes, our volumetric assessment reveals a counterintuitive pattern in which a few large open lakes store ∼65% of the nation’s lacustrine freshwater due to their exceptional depth. The freshwater lake hotspots present a marked geographic-demographic contrast. This imbalance results in a more significant disparity in per-capita natural lake freshwater storage, with approximately 20,680 m³ per person in the Tibetan Plateau lake zone versus only 65 m³ in the eastern plain lake zone, a nearly 330-fold difference. Notably, a vast network of reservoirs is concentrated in the populous eastern region, and this distribution of artificial storage helps mitigate the spatial unevenness of total surface freshwater resources. Our findings not only establish a definitive baseline for China’s lake water resources but also demonstrate how lakebed geomorphologic features influence national-scale lacustrine freshwater distribution, highlighting the critical need for targeted protection strategies and the efficient utilization of these lake freshwater reserves.</w:t>
      </w:r>
    </w:p>
    <w:p>
      <w:pPr>
        <w:spacing w:before="120" w:after="120"/>
      </w:pPr>
      <w:r>
        <w:rPr>
          <w:sz w:val="18"/>
        </w:rPr>
        <w:t>——————————————————————————————————————————————————————————————————————</w:t>
      </w:r>
    </w:p>
    <w:p>
      <w:pPr>
        <w:spacing w:before="160" w:after="40" w:line="240" w:lineRule="auto"/>
      </w:pPr>
      <w:r>
        <w:rPr>
          <w:b/>
        </w:rPr>
        <w:t xml:space="preserve">[12] </w:t>
      </w:r>
      <w:hyperlink r:id="rId157">
        <w:r>
          <w:rPr>
            <w:color w:val="1155CC"/>
            <w:u w:val="single"/>
          </w:rPr>
          <w:t>微/纳米马达中的人工趋化性</w:t>
        </w:r>
      </w:hyperlink>
    </w:p>
    <w:p>
      <w:pPr>
        <w:spacing w:before="0" w:after="80"/>
      </w:pPr>
      <w:r>
        <w:rPr>
          <w:i/>
          <w:sz w:val="20"/>
        </w:rPr>
        <w:t>EN: Artificial chemotaxis in micro/nanomotors</w:t>
      </w:r>
    </w:p>
    <w:p>
      <w:pPr>
        <w:spacing w:before="0" w:after="120"/>
      </w:pPr>
      <w:r>
        <w:rPr>
          <w:b/>
        </w:rPr>
        <w:t xml:space="preserve">Source: </w:t>
      </w:r>
      <w:r>
        <w:t>Nature Communications</w:t>
      </w:r>
      <w:r>
        <w:t xml:space="preserve">    </w:t>
      </w:r>
      <w:r>
        <w:rPr>
          <w:b/>
        </w:rPr>
        <w:t xml:space="preserve">Pub date: </w:t>
      </w:r>
      <w:r>
        <w:t>2026-04-25 00:00:00+00:00</w:t>
      </w:r>
      <w:r>
        <w:t xml:space="preserve">    </w:t>
      </w:r>
      <w:r>
        <w:rPr>
          <w:b/>
        </w:rPr>
        <w:t xml:space="preserve">DOI: </w:t>
      </w:r>
      <w:hyperlink r:id="rId158">
        <w:r>
          <w:rPr>
            <w:color w:val="1155CC"/>
            <w:u w:val="single"/>
          </w:rPr>
          <w:t>10.1038/s41467-026-72137-w</w:t>
        </w:r>
      </w:hyperlink>
    </w:p>
    <w:p>
      <w:pPr>
        <w:spacing w:before="0" w:after="120"/>
      </w:pPr>
      <w:r>
        <w:rPr>
          <w:b/>
        </w:rPr>
        <w:t xml:space="preserve">Notes: </w:t>
      </w:r>
      <w:r>
        <w:t>abstract_source=nature_html</w:t>
      </w:r>
    </w:p>
    <w:p>
      <w:pPr>
        <w:spacing w:before="0" w:after="80" w:lineRule="auto" w:line="276"/>
      </w:pPr>
      <w:r>
        <w:rPr>
          <w:b/>
        </w:rPr>
        <w:t xml:space="preserve">摘要（ZH）: </w:t>
      </w:r>
      <w:r>
        <w:t>趋化性是物体对化学梯度的定向运动，这一过程驱动了微/纳米马达的导航，使其向自主方向控制的生物启发过渡成为可能。然而，目前的研究缺乏一致的机制性解释、定义和标准化的实验验证。本文综述了主动趋化性的关键物理原理，调查了产生化学梯度和量化响应的实验策略，并研究了个体趋化机制和长程各向异性化学相互作用如何产生集体行为，同时概述了潜在的应用。这些努力共同建立了一个原则性的工程框架，以推进趋化性作为合成微/纳米马达中一种稳健的功能导航模式。</w:t>
      </w:r>
    </w:p>
    <w:p>
      <w:pPr>
        <w:spacing w:before="0" w:after="200" w:lineRule="auto" w:line="276"/>
      </w:pPr>
      <w:r>
        <w:rPr>
          <w:b/>
        </w:rPr>
        <w:t xml:space="preserve">Abstract (EN): </w:t>
      </w:r>
      <w:r>
        <w:t>Chemotaxis is the directional motion of objects in response to chemical gradients, a process that drives navigation in micro/nanomotors, enabling a bio-inspired transition toward autonomous direction control. However, current studies lack consistent mechanistic justification, definition, and standardized experimental validation. This review summarizes key physical principles governing active chemotaxis, surveys experimental strategies for generating chemical gradients and quantifying responses, and examines how individual chemotactic mechanisms and long-range, anisotropic chemical interactions give rise to emergent collective behaviors, while outlining prospective applications. Together, these efforts establish a principled engineering framework for advancing chemotaxis as a robust functional navigation modality in synthetic micro/nanomotors.</w:t>
      </w:r>
    </w:p>
    <w:p>
      <w:pPr>
        <w:spacing w:before="120" w:after="120"/>
      </w:pPr>
      <w:r>
        <w:rPr>
          <w:sz w:val="18"/>
        </w:rPr>
        <w:t>——————————————————————————————————————————————————————————————————————</w:t>
      </w:r>
    </w:p>
    <w:p>
      <w:pPr>
        <w:spacing w:before="160" w:after="40" w:line="240" w:lineRule="auto"/>
      </w:pPr>
      <w:r>
        <w:rPr>
          <w:b/>
        </w:rPr>
        <w:t xml:space="preserve">[13] </w:t>
      </w:r>
      <w:hyperlink r:id="rId159">
        <w:r>
          <w:rPr>
            <w:color w:val="1155CC"/>
            <w:u w:val="single"/>
          </w:rPr>
          <w:t>HaploC-tools揭示单倍型特异性染色体构象和染色质状态</w:t>
        </w:r>
      </w:hyperlink>
    </w:p>
    <w:p>
      <w:pPr>
        <w:spacing w:before="0" w:after="80"/>
      </w:pPr>
      <w:r>
        <w:rPr>
          <w:i/>
          <w:sz w:val="20"/>
        </w:rPr>
        <w:t>EN: HaploC-tools reveal haplotype-specific chromosome conformation and chromatin states</w:t>
      </w:r>
    </w:p>
    <w:p>
      <w:pPr>
        <w:spacing w:before="0" w:after="120"/>
      </w:pPr>
      <w:r>
        <w:rPr>
          <w:b/>
        </w:rPr>
        <w:t xml:space="preserve">Source: </w:t>
      </w:r>
      <w:r>
        <w:t>Nature Communications</w:t>
      </w:r>
      <w:r>
        <w:t xml:space="preserve">    </w:t>
      </w:r>
      <w:r>
        <w:rPr>
          <w:b/>
        </w:rPr>
        <w:t xml:space="preserve">Pub date: </w:t>
      </w:r>
      <w:r>
        <w:t>2026-04-25 00:00:00+00:00</w:t>
      </w:r>
      <w:r>
        <w:t xml:space="preserve">    </w:t>
      </w:r>
      <w:r>
        <w:rPr>
          <w:b/>
        </w:rPr>
        <w:t xml:space="preserve">DOI: </w:t>
      </w:r>
      <w:hyperlink r:id="rId160">
        <w:r>
          <w:rPr>
            <w:color w:val="1155CC"/>
            <w:u w:val="single"/>
          </w:rPr>
          <w:t>10.1038/s41467-026-72326-7</w:t>
        </w:r>
      </w:hyperlink>
    </w:p>
    <w:p>
      <w:pPr>
        <w:spacing w:before="0" w:after="120"/>
      </w:pPr>
      <w:r>
        <w:rPr>
          <w:b/>
        </w:rPr>
        <w:t xml:space="preserve">Notes: </w:t>
      </w:r>
      <w:r>
        <w:t>abstract_source=nature_html</w:t>
      </w:r>
    </w:p>
    <w:p>
      <w:pPr>
        <w:spacing w:before="0" w:after="80" w:lineRule="auto" w:line="276"/>
      </w:pPr>
      <w:r>
        <w:rPr>
          <w:b/>
        </w:rPr>
        <w:t xml:space="preserve">摘要（ZH）: </w:t>
      </w:r>
      <w:r>
        <w:t>同源染色体的序列在杂合单核苷酸多态性（SNPs）的存在上有所不同。这些差异是否转化为“杂合”染色质三维结构仍然在很大程度上未被探索。在此，我们设计了HaploC工具，以优化从高通量染色体构象捕获（Hi-C）数据中进行全染色体分相，并引入量身定制的方法来推断单倍型特异的拷贝数变异、边界绝缘和染色质区隔。我们使用Haplo-C工具分析了超过100个Hi-C数据集，包括正常和癌细胞模型，代表了探索单倍型特异染色质构象的独特资源。利用这一数据集，我们展示了CTCF结合位点的SNPs导致同源染色体之间显著不同的接触绝缘，并发现癌症中广泛存在的单倍型特异区隔，由H3K9me3的不对称丧失驱动。这些结果暗示单倍型特异染色质配置可能是疾病出现和进展中的一种新的表型重编程机制。</w:t>
      </w:r>
    </w:p>
    <w:p>
      <w:pPr>
        <w:spacing w:before="0" w:after="200" w:lineRule="auto" w:line="276"/>
      </w:pPr>
      <w:r>
        <w:rPr>
          <w:b/>
        </w:rPr>
        <w:t xml:space="preserve">Abstract (EN): </w:t>
      </w:r>
      <w:r>
        <w:t>The sequences of homologous chromosomes differ in the presence of heterozygous single nucleotide polymorphisms (SNPs). Whether these differences translate into “heterozygous” chromatin three-dimensional structures is still largely unexplored. Here, we design HaploC-tools to optimize whole-chromosome phasing from high-throughput chromosome conformation capture (Hi-C) data and introduce tailored approaches to infer haplotype-specific copy number variants, boundary insulation, and chromatin compartmentalization. We use Haplo-C tools to analyze &gt; 100 Hi-C dataset, including normal and cancer cell models, representing a unique resource to explore haplotype-specific chromatin conformation. Leveraging this dataset, we show that SNPs at CTCF binding sites lead to significantly different contact insulation between homologous chromosomes and discover widespread haplotype-specific compartments in cancer, driven by asymmetric loss of H3K9me3. These results implicate haplotype-specific chromatin configuration as a potential new mechanism of phenotypic reprogramming in disease emergence and progression.</w:t>
      </w:r>
    </w:p>
    <w:p>
      <w:pPr>
        <w:spacing w:before="120" w:after="120"/>
      </w:pPr>
      <w:r>
        <w:rPr>
          <w:sz w:val="18"/>
        </w:rPr>
        <w:t>——————————————————————————————————————————————————————————————————————</w:t>
      </w:r>
    </w:p>
    <w:p>
      <w:pPr>
        <w:spacing w:before="160" w:after="40" w:line="240" w:lineRule="auto"/>
      </w:pPr>
      <w:r>
        <w:rPr>
          <w:b/>
        </w:rPr>
        <w:t xml:space="preserve">[14] </w:t>
      </w:r>
      <w:hyperlink r:id="rId161">
        <w:r>
          <w:rPr>
            <w:color w:val="1155CC"/>
            <w:u w:val="single"/>
          </w:rPr>
          <w:t>气候风险与企业环境责任：能源转型政策的证据</w:t>
        </w:r>
      </w:hyperlink>
    </w:p>
    <w:p>
      <w:pPr>
        <w:spacing w:before="0" w:after="80"/>
      </w:pPr>
      <w:r>
        <w:rPr>
          <w:i/>
          <w:sz w:val="20"/>
        </w:rPr>
        <w:t>EN: Climate risk and firm environmental accountability: Evidence for energy transition policy</w:t>
      </w:r>
    </w:p>
    <w:p>
      <w:pPr>
        <w:spacing w:before="0" w:after="120"/>
      </w:pPr>
      <w:r>
        <w:rPr>
          <w:b/>
        </w:rPr>
        <w:t xml:space="preserve">Source: </w:t>
      </w:r>
      <w:r>
        <w:t>ScienceDirect Publication: Energy Policy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[15] </w:t>
      </w:r>
      <w:hyperlink r:id="rId162">
        <w:r>
          <w:rPr>
            <w:color w:val="1155CC"/>
            <w:u w:val="single"/>
          </w:rPr>
          <w:t>扭曲半导体双层中的反拓扑晶体和非阿贝尔液体</w:t>
        </w:r>
      </w:hyperlink>
    </w:p>
    <w:p>
      <w:pPr>
        <w:spacing w:before="0" w:after="80"/>
      </w:pPr>
      <w:r>
        <w:rPr>
          <w:i/>
          <w:sz w:val="20"/>
        </w:rPr>
        <w:t>EN: Anti-topological crystal and non-Abelian liquid in twisted semiconductor bilayers</w:t>
      </w:r>
    </w:p>
    <w:p>
      <w:pPr>
        <w:spacing w:before="0" w:after="120"/>
      </w:pPr>
      <w:r>
        <w:rPr>
          <w:b/>
        </w:rPr>
        <w:t xml:space="preserve">Source: </w:t>
      </w:r>
      <w:r>
        <w:t>Nature Communications</w:t>
      </w:r>
      <w:r>
        <w:t xml:space="preserve">    </w:t>
      </w:r>
      <w:r>
        <w:rPr>
          <w:b/>
        </w:rPr>
        <w:t xml:space="preserve">Pub date: </w:t>
      </w:r>
      <w:r>
        <w:t>2026-04-25 00:00:00+00:00</w:t>
      </w:r>
      <w:r>
        <w:t xml:space="preserve">    </w:t>
      </w:r>
      <w:r>
        <w:rPr>
          <w:b/>
        </w:rPr>
        <w:t xml:space="preserve">DOI: </w:t>
      </w:r>
      <w:hyperlink r:id="rId163">
        <w:r>
          <w:rPr>
            <w:color w:val="1155CC"/>
            <w:u w:val="single"/>
          </w:rPr>
          <w:t>10.1038/s41467-026-70916-z</w:t>
        </w:r>
      </w:hyperlink>
    </w:p>
    <w:p>
      <w:pPr>
        <w:spacing w:before="0" w:after="120"/>
      </w:pPr>
      <w:r>
        <w:rPr>
          <w:b/>
        </w:rPr>
        <w:t xml:space="preserve">Notes: </w:t>
      </w:r>
      <w:r>
        <w:t>abstract_source=nature_html</w:t>
      </w:r>
    </w:p>
    <w:p>
      <w:pPr>
        <w:spacing w:before="0" w:after="80" w:lineRule="auto" w:line="276"/>
      </w:pPr>
      <w:r>
        <w:rPr>
          <w:b/>
        </w:rPr>
        <w:t xml:space="preserve">摘要（ZH）: </w:t>
      </w:r>
      <w:r>
        <w:t>我们展示了在扭曲双层MoTe2的半填充第二莫尔带中，电子晶体与非阿贝尔分数Chern绝缘体紧密竞争。根据扭曲角度和微观模型，这些晶体可以具有非零或零Chern数C。C = 0晶体的出现是因为来自完整第一带（+1）和半满第二带（-1）的总Chern数贡献相互抵消。这是反直觉的，因为在给定谷中的前两个非相互作用带具有相同的Chern数+1。基于这两个原因，我们称这种晶体为反拓扑晶体。反拓扑晶体是一种新型的电子晶体，可能出现在填充因子n &gt; 1的多Chern带系统中。</w:t>
      </w:r>
    </w:p>
    <w:p>
      <w:pPr>
        <w:spacing w:before="0" w:after="200" w:lineRule="auto" w:line="276"/>
      </w:pPr>
      <w:r>
        <w:rPr>
          <w:b/>
        </w:rPr>
        <w:t xml:space="preserve">Abstract (EN): </w:t>
      </w:r>
      <w:r>
        <w:t>We show that electron crystals compete closely with non-Abelian fractional Chern insulators in the half-filled second moiré band of twisted bilayer MoTe2. Depending on the twist angle and microscopic model, these crystals can have non-zero or zero Chern numbers C. The C = 0 crystal occurs because contributions to the total Chern number from the full first band (+1) and half-full second band (-1) cancel. This is counterintuitive because the first two non-interacting bands in a given valley have the same Chern number + 1. For these two reasons, we call this crystal an anti-topological crystal. The anti-topological crystal is a novel type of electron crystal that may occur in systems with multiple Chern bands at filling factors n &gt; 1.</w:t>
      </w:r>
    </w:p>
    <w:p>
      <w:pPr>
        <w:spacing w:before="120" w:after="120"/>
      </w:pPr>
      <w:r>
        <w:rPr>
          <w:sz w:val="18"/>
        </w:rPr>
        <w:t>——————————————————————————————————————————————————————————————————————</w:t>
      </w:r>
    </w:p>
    <w:p>
      <w:pPr>
        <w:spacing w:before="160" w:after="40" w:line="240" w:lineRule="auto"/>
      </w:pPr>
      <w:r>
        <w:rPr>
          <w:b/>
        </w:rPr>
        <w:t xml:space="preserve">[16] </w:t>
      </w:r>
      <w:hyperlink r:id="rId164">
        <w:r>
          <w:rPr>
            <w:color w:val="1155CC"/>
            <w:u w:val="single"/>
          </w:rPr>
          <w:t>采用系统思维方法建模政府干预以减少能源贫困</w:t>
        </w:r>
      </w:hyperlink>
    </w:p>
    <w:p>
      <w:pPr>
        <w:spacing w:before="0" w:after="80"/>
      </w:pPr>
      <w:r>
        <w:rPr>
          <w:i/>
          <w:sz w:val="20"/>
        </w:rPr>
        <w:t>EN: A systems thinking approach to modelling government interventions for energy poverty reduction</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 </w:t>
      </w:r>
      <w:hyperlink r:id="rId165">
        <w:r>
          <w:rPr>
            <w:color w:val="1155CC"/>
            <w:u w:val="single"/>
          </w:rPr>
          <w:t>多时间尺度滚动优化协调社区能源系统中异构电动汽车和建筑负载灵活性，基于NGBoost的可再生能源预测</w:t>
        </w:r>
      </w:hyperlink>
    </w:p>
    <w:p>
      <w:pPr>
        <w:spacing w:before="0" w:after="80"/>
      </w:pPr>
      <w:r>
        <w:rPr>
          <w:i/>
          <w:sz w:val="20"/>
        </w:rPr>
        <w:t>EN: Multi-timescale rolling optimization coordinating heterogeneous EV and building load flexibility in community energy systems with NGBoost-based renewable forecast</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 </w:t>
      </w:r>
      <w:hyperlink r:id="rId166">
        <w:r>
          <w:rPr>
            <w:color w:val="1155CC"/>
            <w:u w:val="single"/>
          </w:rPr>
          <w:t>具有共享储能的非合作和合作博弈的数据中心集群双层两阶段计算-电力耦合调度模型</w:t>
        </w:r>
      </w:hyperlink>
    </w:p>
    <w:p>
      <w:pPr>
        <w:spacing w:before="0" w:after="80"/>
      </w:pPr>
      <w:r>
        <w:rPr>
          <w:i/>
          <w:sz w:val="20"/>
        </w:rPr>
        <w:t>EN: A Bi-level two-stage computing-electric power coupled scheduling model of data center cluster with shared energy storage incorporating non-cooperative and cooperative game</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[19] </w:t>
      </w:r>
      <w:hyperlink r:id="rId167">
        <w:r>
          <w:rPr>
            <w:color w:val="1155CC"/>
            <w:u w:val="single"/>
          </w:rPr>
          <w:t>开发和验证用于基于机器学习的建筑负荷预测的数据质量评估框架</w:t>
        </w:r>
      </w:hyperlink>
    </w:p>
    <w:p>
      <w:pPr>
        <w:spacing w:before="0" w:after="80"/>
      </w:pPr>
      <w:r>
        <w:rPr>
          <w:i/>
          <w:sz w:val="20"/>
        </w:rPr>
        <w:t>EN: Development and validation of a data quality assessment framework for machine learning-based building load prediction</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[20] </w:t>
      </w:r>
      <w:hyperlink r:id="rId168">
        <w:r>
          <w:rPr>
            <w:color w:val="1155CC"/>
            <w:u w:val="single"/>
          </w:rPr>
          <w:t>在能源感知生产调度中管理峰值需求的需求费用确定</w:t>
        </w:r>
      </w:hyperlink>
    </w:p>
    <w:p>
      <w:pPr>
        <w:spacing w:before="0" w:after="80"/>
      </w:pPr>
      <w:r>
        <w:rPr>
          <w:i/>
          <w:sz w:val="20"/>
        </w:rPr>
        <w:t>EN: Demand charge determination for managing peak demand in energy-aware production scheduling</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 </w:t>
      </w:r>
      <w:hyperlink r:id="rId169">
        <w:r>
          <w:rPr>
            <w:color w:val="1155CC"/>
            <w:u w:val="single"/>
          </w:rPr>
          <w:t>快速且公正的太阳能过渡的治理挑战</w:t>
        </w:r>
      </w:hyperlink>
    </w:p>
    <w:p>
      <w:pPr>
        <w:spacing w:before="0" w:after="80"/>
      </w:pPr>
      <w:r>
        <w:rPr>
          <w:i/>
          <w:sz w:val="20"/>
        </w:rPr>
        <w:t>EN: Governance challenges for a rapid and just solar energy transition</w:t>
      </w:r>
    </w:p>
    <w:p>
      <w:pPr>
        <w:spacing w:before="0" w:after="120"/>
      </w:pPr>
      <w:r>
        <w:rPr>
          <w:b/>
        </w:rPr>
        <w:t xml:space="preserve">Source: </w:t>
      </w:r>
      <w:r>
        <w:t>ScienceDirect Publication: Energy Policy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 </w:t>
      </w:r>
      <w:hyperlink r:id="rId170">
        <w:r>
          <w:rPr>
            <w:color w:val="1155CC"/>
            <w:u w:val="single"/>
          </w:rPr>
          <w:t>通过迭代LLM增强的强化学习实现自我激励用户偏好的自适应家庭能源管理</w:t>
        </w:r>
      </w:hyperlink>
    </w:p>
    <w:p>
      <w:pPr>
        <w:spacing w:before="0" w:after="80"/>
      </w:pPr>
      <w:r>
        <w:rPr>
          <w:i/>
          <w:sz w:val="20"/>
        </w:rPr>
        <w:t>EN: Adaptive home energy management to self-motivated user preferences via iterative LLM-augmented reinforcement learning</w:t>
      </w:r>
    </w:p>
    <w:p>
      <w:pPr>
        <w:spacing w:before="0" w:after="120"/>
      </w:pPr>
      <w:r>
        <w:rPr>
          <w:b/>
        </w:rPr>
        <w:t xml:space="preserve">Source: </w:t>
      </w:r>
      <w:r>
        <w:t>ScienceDirect Publication: Applied Energy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 </w:t>
      </w:r>
      <w:hyperlink r:id="rId171">
        <w:r>
          <w:rPr>
            <w:color w:val="1155CC"/>
            <w:u w:val="single"/>
          </w:rPr>
          <w:t>地缘政治风险与能源转型：欧洲的金融和区域相互依赖性</w:t>
        </w:r>
      </w:hyperlink>
    </w:p>
    <w:p>
      <w:pPr>
        <w:spacing w:before="0" w:after="80"/>
      </w:pPr>
      <w:r>
        <w:rPr>
          <w:i/>
          <w:sz w:val="20"/>
        </w:rPr>
        <w:t>EN: Geopolitical risk and energy transition: Financial and regional interdependencies in Europe</w:t>
      </w:r>
    </w:p>
    <w:p>
      <w:pPr>
        <w:spacing w:before="0" w:after="120"/>
      </w:pPr>
      <w:r>
        <w:rPr>
          <w:b/>
        </w:rPr>
        <w:t xml:space="preserve">Source: </w:t>
      </w:r>
      <w:r>
        <w:t>ScienceDirect Publication: Energy Policy</w:t>
      </w:r>
      <w:r>
        <w:t xml:space="preserve">    </w:t>
      </w:r>
      <w:r>
        <w:rPr>
          <w:b/>
        </w:rPr>
        <w:t xml:space="preserve">Pub date: </w:t>
      </w:r>
      <w:r>
        <w:t>2026-04-25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 </w:t>
      </w:r>
      <w:hyperlink r:id="rId172">
        <w:r>
          <w:rPr>
            <w:color w:val="1155CC"/>
            <w:u w:val="single"/>
          </w:rPr>
          <w:t>1,4-二锗环戊二烯：连续的循环σ*-π离域使重元素4π系统中芳香稳定化成为可能</w:t>
        </w:r>
      </w:hyperlink>
    </w:p>
    <w:p>
      <w:pPr>
        <w:spacing w:before="0" w:after="80"/>
      </w:pPr>
      <w:r>
        <w:rPr>
          <w:i/>
          <w:sz w:val="20"/>
        </w:rPr>
        <w:t>EN: 1,4‐Digermacyclopenta‐1,3‐diene: Continuous Cyclic σ*–π Delocalization Enables Aromatic Stabilization in a Heavy‐Element 4π System</w:t>
      </w:r>
    </w:p>
    <w:p>
      <w:pPr>
        <w:spacing w:before="0" w:after="120"/>
      </w:pPr>
      <w:r>
        <w:rPr>
          <w:b/>
        </w:rPr>
        <w:t xml:space="preserve">Source: </w:t>
      </w:r>
      <w:r>
        <w:t>Wiley: Angewandte Chemie International Edition: Table of Contents</w:t>
      </w:r>
      <w:r>
        <w:t xml:space="preserve">    </w:t>
      </w:r>
      <w:r>
        <w:rPr>
          <w:b/>
        </w:rPr>
        <w:t xml:space="preserve">Pub date: </w:t>
      </w:r>
      <w:r>
        <w:t>2026-04-25 05:04:09+00:00</w:t>
      </w:r>
      <w:r>
        <w:t xml:space="preserve">    </w:t>
      </w:r>
      <w:r>
        <w:rPr>
          <w:b/>
        </w:rPr>
        <w:t xml:space="preserve">DOI: </w:t>
      </w:r>
      <w:hyperlink r:id="rId173">
        <w:r>
          <w:rPr>
            <w:color w:val="1155CC"/>
            <w:u w:val="single"/>
          </w:rPr>
          <w:t>10.1002/anie.7558823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重元素系统中的芳香性可以通过轻元素框架中无法获得的非常规循环电子离域模式产生。在此，我们报告1,4-二锗环戊二烯作为一种不寻常的芳香系统，其中形式上4π电子框架通过协同σ*–π相互作用得到稳定。X射线晶体学揭示了一个近乎平面的[Ge</w:t>
      </w:r>
      <w:r>
        <w:rPr>
          <w:vertAlign w:val="subscript"/>
        </w:rPr>
        <w:t>2</w:t>
      </w:r>
      <w:r>
        <w:t>C</w:t>
      </w:r>
      <w:r>
        <w:rPr>
          <w:vertAlign w:val="subscript"/>
        </w:rPr>
        <w:t>3</w:t>
      </w:r>
      <w:r>
        <w:t>]环，而磁性和电子分析（NICS, GIMIC, ACID, 和EDDB）一致表明显著的芳香稳定性。特别是，GIMIC计算显示出明显的顺磁环电流，平均强度为+8.38 nA T</w:t>
      </w:r>
      <w:r>
        <w:t xml:space="preserve"> </w:t>
      </w:r>
      <w:r>
        <w:t>−1</w:t>
      </w:r>
      <w:r>
        <w:t xml:space="preserve"> </w:t>
      </w:r>
      <w:r>
        <w:t>。自然键轨道分析表明，这种稳定性源于涉及Ge–Ge键和相邻π轨道的σ*–π离域。尽管存在低能开壳层贡献（y ≈ 0.11），该系统仍主要为闭壳层。值得注意的是，该系统代表了一个罕见的案例，其中σ*–π相互作用形成连续的循环离域路径，导致一种独特形式的芳香稳定性。</w:t>
      </w:r>
    </w:p>
    <w:p>
      <w:pPr>
        <w:spacing w:before="0" w:after="200" w:lineRule="auto" w:line="276"/>
      </w:pPr>
      <w:r>
        <w:rPr>
          <w:b/>
        </w:rPr>
        <w:t xml:space="preserve">Abstract (EN): </w:t>
      </w:r>
      <w:r>
        <w:t>Aromaticity in heavy‐element systems can arise from unconventional modes of cyclic electron delocalization that are not accessible in lighter‐element frameworks. Herein, we report 1,4‐digermacyclopenta‐1,3‐diene as an unusual aromatic system in which a formally 4π electron framework is stabilized through cooperative σ*–π interactions. X‐ray crystallography reveals a nearly planar [Ge</w:t>
      </w:r>
      <w:r>
        <w:rPr>
          <w:vertAlign w:val="subscript"/>
        </w:rPr>
        <w:t>2</w:t>
      </w:r>
      <w:r>
        <w:t>C</w:t>
      </w:r>
      <w:r>
        <w:rPr>
          <w:vertAlign w:val="subscript"/>
        </w:rPr>
        <w:t>3</w:t>
      </w:r>
      <w:r>
        <w:t>] ring, while magnetic and electronic analyses (NICS, GIMIC, ACID, and EDDB) consistently indicate significant aromatic stabilization. In particular, GIMIC calculations show a pronounced diatropic ring current with an average strength of +8.38 nA T</w:t>
      </w:r>
      <w:r>
        <w:t xml:space="preserve"> </w:t>
      </w:r>
      <w:r>
        <w:t>−1</w:t>
      </w:r>
      <w:r>
        <w:t xml:space="preserve"> </w:t>
      </w:r>
      <w:r>
        <w:t>. Natural bond orbital analysis reveals that this stabilization originates from σ*–π delocalization involving the Ge–Ge bond and adjacent π orbitals. Despite a low‐lying open‐shell contribution (y ≈ 0.11), the system remains predominantly closed‐shell. Notably, this system represents a rare case in which σ*–π interactions form a continuous cyclic delocalization pathway, resulting in a distinct form of aromatic stabilization.</w:t>
      </w:r>
    </w:p>
    <w:p>
      <w:pPr>
        <w:spacing w:before="120" w:after="120"/>
      </w:pPr>
      <w:r>
        <w:rPr>
          <w:sz w:val="18"/>
        </w:rPr>
        <w:t>——————————————————————————————————————————————————————————————————————</w:t>
      </w:r>
    </w:p>
    <w:p>
      <w:pPr>
        <w:spacing w:before="160" w:after="40" w:line="240" w:lineRule="auto"/>
      </w:pPr>
      <w:r>
        <w:rPr>
          <w:b/>
        </w:rPr>
        <w:t xml:space="preserve">[25] </w:t>
      </w:r>
      <w:hyperlink r:id="rId174">
        <w:r>
          <w:rPr>
            <w:color w:val="1155CC"/>
            <w:u w:val="single"/>
          </w:rPr>
          <w:t>用超小纳米颗粒破坏氧化应激-炎症-角膜新生血管化循环</w:t>
        </w:r>
      </w:hyperlink>
    </w:p>
    <w:p>
      <w:pPr>
        <w:spacing w:before="0" w:after="80"/>
      </w:pPr>
      <w:r>
        <w:rPr>
          <w:i/>
          <w:sz w:val="20"/>
        </w:rPr>
        <w:t>EN: Disrupting the Oxidative Stress–Inflammation–Corneal Neovascularization Cycle with Ultrasmall Nanoparticles</w:t>
      </w:r>
    </w:p>
    <w:p>
      <w:pPr>
        <w:spacing w:before="0" w:after="120"/>
      </w:pPr>
      <w:r>
        <w:rPr>
          <w:b/>
        </w:rPr>
        <w:t xml:space="preserve">Source: </w:t>
      </w:r>
      <w:r>
        <w:t>Wiley: Advanced Materials: Table of Contents</w:t>
      </w:r>
      <w:r>
        <w:t xml:space="preserve">    </w:t>
      </w:r>
      <w:r>
        <w:rPr>
          <w:b/>
        </w:rPr>
        <w:t xml:space="preserve">Pub date: </w:t>
      </w:r>
      <w:r>
        <w:t>2026-04-25 05:07:25+00:00</w:t>
      </w:r>
      <w:r>
        <w:t xml:space="preserve">    </w:t>
      </w:r>
      <w:r>
        <w:rPr>
          <w:b/>
        </w:rPr>
        <w:t xml:space="preserve">DOI: </w:t>
      </w:r>
      <w:hyperlink r:id="rId175">
        <w:r>
          <w:rPr>
            <w:color w:val="1155CC"/>
            <w:u w:val="single"/>
          </w:rPr>
          <w:t>10.1002/adma.73114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角膜新生血管（CoNV）是角膜瘢痕和视力损害的主要原因。在其启动和进展过程中，炎症反应和氧化应激协同触发了氧化应激、炎症和血管生成的病理恶性循环，构成了严重的治疗挑战。在这项研究中，开发了一种使用超小聚多巴胺纳米颗粒（UPDA NPs）的非侵入性经上皮治疗策略，具有三重效果。其独特的小尺寸，约3 nm，大大增强了其自由基清除能力，并促进了优越的经上皮递送。广泛的研究表明，获得的UPDA NPs具有优异的抗炎、抗氧化和抗血管生成特性。通过清除活性氧（ROS）、激活核因子红细胞2相关因子2（NRF2）抗氧化途径，并抑制多种促血管生成信号级联，它们可以在分子、细胞和动物水平上破坏炎症、氧化应激和新生血管的病理循环。在碱烧伤小鼠模型中，UPDA NPs显著减少CoNV面积和长度，加速角膜修复，并且没有局部或系统毒性，为CoNV的精确治疗提供了一种具有转化潜力的新型纳米药物。</w:t>
      </w:r>
    </w:p>
    <w:p>
      <w:pPr>
        <w:spacing w:before="0" w:after="200" w:lineRule="auto" w:line="276"/>
      </w:pPr>
      <w:r>
        <w:rPr>
          <w:b/>
        </w:rPr>
        <w:t xml:space="preserve">Abstract (EN): </w:t>
      </w:r>
      <w:r>
        <w:t>Corneal neovascularization (CoNV) is a primary contributor to corneal scarring and vision impairment. During its initiation and progression, inflammatory reactions and oxidative stress synergistically trigger a pathological vicious cycle of oxidative stress, inflammation, and angiogenesis, posing a severe therapeutic challenge. In this study, a noninvasive transepithelial therapeutic strategy using ultrasmall polydopamine nanoparticles (UPDA NPs) with triple effects is developed. Their unique small size, approximately 3 nm, greatly enhances their radical‐scavenging capability and facilitates superior transepithelial delivery. Extensive research demonstrated that the obtained UPDA NPs possess excellent anti‐inflammatory, antioxidant, and anti‐angiogenic properties. By scavenging reactive oxygen species (ROS), activating the nuclear factor erythroid 2–related factor 2 (NRF2) antioxidant pathway, and suppressing multiple proangiogenic signaling cascades, they can disrupt the pathological cycle of inflammation, oxidative stress, and neovascularization at molecular, cellular, and animal levels. In an alkali‐burned mouse model, UPDA NPs notably reduce CoNV area and length, accelerate corneal repair, and exhibit no local or systemic toxicity, providing a new nanomedicine with translational potential for precise treatment of CoNV.</w:t>
      </w:r>
    </w:p>
    <w:p>
      <w:pPr>
        <w:spacing w:before="120" w:after="120"/>
      </w:pPr>
      <w:r>
        <w:rPr>
          <w:sz w:val="18"/>
        </w:rPr>
        <w:t>——————————————————————————————————————————————————————————————————————</w:t>
      </w:r>
    </w:p>
    <w:p>
      <w:pPr>
        <w:spacing w:before="160" w:after="40" w:line="240" w:lineRule="auto"/>
      </w:pPr>
      <w:r>
        <w:rPr>
          <w:b/>
        </w:rPr>
        <w:t xml:space="preserve">[26] </w:t>
      </w:r>
      <w:hyperlink r:id="rId176">
        <w:r>
          <w:rPr>
            <w:color w:val="1155CC"/>
            <w:u w:val="single"/>
          </w:rPr>
          <w:t>具有螺旋手性发光供体-受体自由基：明亮且光稳定的红色圆偏振发光和耳语画廊模式共振</w:t>
        </w:r>
      </w:hyperlink>
    </w:p>
    <w:p>
      <w:pPr>
        <w:spacing w:before="0" w:after="80"/>
      </w:pPr>
      <w:r>
        <w:rPr>
          <w:i/>
          <w:sz w:val="20"/>
        </w:rPr>
        <w:t>EN: Luminescent Donor‐Acceptor Radical With Propeller Chirality: Bright and Photostable Red Circularly Polarized Luminescence and Whispering Gallery Mode Resonance</w:t>
      </w:r>
    </w:p>
    <w:p>
      <w:pPr>
        <w:spacing w:before="0" w:after="120"/>
      </w:pPr>
      <w:r>
        <w:rPr>
          <w:b/>
        </w:rPr>
        <w:t xml:space="preserve">Source: </w:t>
      </w:r>
      <w:r>
        <w:t>Wiley: Angewandte Chemie International Edition: Table of Contents</w:t>
      </w:r>
      <w:r>
        <w:t xml:space="preserve">    </w:t>
      </w:r>
      <w:r>
        <w:rPr>
          <w:b/>
        </w:rPr>
        <w:t xml:space="preserve">Pub date: </w:t>
      </w:r>
      <w:r>
        <w:t>2026-04-25 05:10:49+00:00</w:t>
      </w:r>
      <w:r>
        <w:t xml:space="preserve">    </w:t>
      </w:r>
      <w:r>
        <w:rPr>
          <w:b/>
        </w:rPr>
        <w:t xml:space="preserve">DOI: </w:t>
      </w:r>
      <w:hyperlink r:id="rId177">
        <w:r>
          <w:rPr>
            <w:color w:val="1155CC"/>
            <w:u w:val="single"/>
          </w:rPr>
          <w:t>10.1002/anie.1914320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发光自由基是有机电子学、生物成像和量子应用的新兴材料类别。具有螺旋桨型手性的发光自由基的圆偏振发光（CPL）仍然具有挑战性，因为同时实现高光致发光量子产率（PLQY）、高稳定性和高消旋化障碍是困难的。通过将咔唑供体连接到TTBrM，获得了一系列溴化手性发光自由基CzTTBrM、2CzTTBrM和3CzTTBrM。供体-受体型设计通过电荷转移（CT）激发态诱导红至近红外（NIR）发射，具有显著高的PLQY（高达76%）和高光稳定性。新自由基具有高消旋化障碍（Δ</w:t>
      </w:r>
      <w:r>
        <w:t xml:space="preserve"> </w:t>
      </w:r>
      <w:r>
        <w:t>G</w:t>
      </w:r>
      <w:r>
        <w:t xml:space="preserve"> </w:t>
      </w:r>
      <w:r>
        <w:t>‡</w:t>
      </w:r>
      <w:r>
        <w:t xml:space="preserve"> </w:t>
      </w:r>
      <w:r>
        <w:t>(353K) = 27.9–29.1 kcal/mol），允许在室温下分离出光学纯化合物。光学纯自由基在红至NIR范围（650–800 nm）内表现出CPL，并显示出B</w:t>
      </w:r>
      <w:r>
        <w:t xml:space="preserve"> </w:t>
      </w:r>
      <w:r>
        <w:t>CPL</w:t>
      </w:r>
      <w:r>
        <w:t xml:space="preserve"> </w:t>
      </w:r>
      <w:r>
        <w:t>值（0.76–1.1），几乎比TTBrM（B</w:t>
      </w:r>
      <w:r>
        <w:t xml:space="preserve"> </w:t>
      </w:r>
      <w:r>
        <w:t>CPL</w:t>
      </w:r>
      <w:r>
        <w:t xml:space="preserve"> </w:t>
      </w:r>
      <w:r>
        <w:t>= 0.16）高一个数量级。此外，将这些自由基掺入聚苯乙烯微球中产生了耳语画廊模式（WGM）共振，标志着首次观察到来自发光自由基的WGM发射。该策略建立了一个整合自旋、手性和发光的多功能平台，为电致发光等应用提供了新的机会，</w:t>
      </w:r>
    </w:p>
    <w:p>
      <w:pPr>
        <w:spacing w:before="0" w:after="200" w:lineRule="auto" w:line="276"/>
      </w:pPr>
      <w:r>
        <w:rPr>
          <w:b/>
        </w:rPr>
        <w:t xml:space="preserve">Abstract (EN): </w:t>
      </w:r>
      <w:r>
        <w:t>Luminescent radicals are an emerging class of materials for organic electronics, bioimaging, and quantum applications. Circularly polarized luminescence (CPL) from luminescent radicals with propeller‐type chirality remains challenging because it is difficult to simultaneously achieve high photoluminescence quantum yield (PLQY), high stability, and high racemization barriers. A series of brominated chiral luminescent radicals, CzTTBrM, 2CzTTBrM, and 3CzTTBrM, was obtained by attaching carbazole donors to TTBrM. The donor‐acceptor‐type design induces red to near‐infrared (NIR) emission via charge transfer (CT) excited states with remarkably high PLQY (up to 76%) and high photostability. The new radicals possess high racemization barriers (Δ</w:t>
      </w:r>
      <w:r>
        <w:t xml:space="preserve"> </w:t>
      </w:r>
      <w:r>
        <w:t>G</w:t>
      </w:r>
      <w:r>
        <w:t xml:space="preserve"> </w:t>
      </w:r>
      <w:r>
        <w:t>‡</w:t>
      </w:r>
      <w:r>
        <w:t xml:space="preserve"> </w:t>
      </w:r>
      <w:r>
        <w:t>(353K) = 27.9–29.1 kcal/mol), allowing the isolation of enantiopure compounds at room temperature. The enantiopure radicals exhibit CPL with broad emission across the red to NIR range (650–800 nm) and display B</w:t>
      </w:r>
      <w:r>
        <w:t xml:space="preserve"> </w:t>
      </w:r>
      <w:r>
        <w:t>CPL</w:t>
      </w:r>
      <w:r>
        <w:t xml:space="preserve"> </w:t>
      </w:r>
      <w:r>
        <w:t>values (0.76–1.1), nearly one order of magnitude higher than that of TTBrM (B</w:t>
      </w:r>
      <w:r>
        <w:t xml:space="preserve"> </w:t>
      </w:r>
      <w:r>
        <w:t>CPL</w:t>
      </w:r>
      <w:r>
        <w:t xml:space="preserve"> </w:t>
      </w:r>
      <w:r>
        <w:t>= 0.16). Moreover, doping these radicals into polystyrene microspheres produces whispering gallery mode (WGM) resonances, marking the first observation of WGM emission from luminescent radicals. This strategy establishes a versatile platform for integrating spin, chirality, and luminescence, offering new opportunities for applications in electroluminescence, bioimaging, and quantum photonics.</w:t>
      </w:r>
    </w:p>
    <w:p>
      <w:pPr>
        <w:spacing w:before="120" w:after="120"/>
      </w:pPr>
      <w:r>
        <w:rPr>
          <w:sz w:val="18"/>
        </w:rPr>
        <w:t>——————————————————————————————————————————————————————————————————————</w:t>
      </w:r>
    </w:p>
    <w:p>
      <w:pPr>
        <w:spacing w:before="160" w:after="40" w:line="240" w:lineRule="auto"/>
      </w:pPr>
      <w:r>
        <w:rPr>
          <w:b/>
        </w:rPr>
        <w:t xml:space="preserve">[27] </w:t>
      </w:r>
      <w:hyperlink r:id="rId178">
        <w:r>
          <w:rPr>
            <w:color w:val="1155CC"/>
            <w:u w:val="single"/>
          </w:rPr>
          <w:t>界面质子耦合电子转移逆转水抑制以选择性5-羟甲基糠醛加氢</w:t>
        </w:r>
      </w:hyperlink>
    </w:p>
    <w:p>
      <w:pPr>
        <w:spacing w:before="0" w:after="80"/>
      </w:pPr>
      <w:r>
        <w:rPr>
          <w:i/>
          <w:sz w:val="20"/>
        </w:rPr>
        <w:t>EN: Interfacial Proton‐Coupled Electron Transfer Reverses Water Inhibition for Selective 5‐hydroxymethylfurfural Hydrogenation</w:t>
      </w:r>
    </w:p>
    <w:p>
      <w:pPr>
        <w:spacing w:before="0" w:after="120"/>
      </w:pPr>
      <w:r>
        <w:rPr>
          <w:b/>
        </w:rPr>
        <w:t xml:space="preserve">Source: </w:t>
      </w:r>
      <w:r>
        <w:t>Wiley: Angewandte Chemie International Edition: Table of Contents</w:t>
      </w:r>
      <w:r>
        <w:t xml:space="preserve">    </w:t>
      </w:r>
      <w:r>
        <w:rPr>
          <w:b/>
        </w:rPr>
        <w:t xml:space="preserve">Pub date: </w:t>
      </w:r>
      <w:r>
        <w:t>2026-04-25 05:16:16+00:00</w:t>
      </w:r>
      <w:r>
        <w:t xml:space="preserve">    </w:t>
      </w:r>
      <w:r>
        <w:rPr>
          <w:b/>
        </w:rPr>
        <w:t xml:space="preserve">DOI: </w:t>
      </w:r>
      <w:hyperlink r:id="rId179">
        <w:r>
          <w:rPr>
            <w:color w:val="1155CC"/>
            <w:u w:val="single"/>
          </w:rPr>
          <w:t>10.1002/anie.5203276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5-羟甲基糠醛（HMF）选择性水相加氢为2,5-双（羟甲基）呋喃（BHMF）对于生物质增值至关重要。虽然纳米级零价铁（nZVI）提供了一种可持续的无H</w:t>
      </w:r>
      <w:r>
        <w:rPr>
          <w:vertAlign w:val="subscript"/>
        </w:rPr>
        <w:t>2</w:t>
      </w:r>
      <w:r>
        <w:t>替代方案，但其效率受到阻碍底物进入的刚性界面水层的严重抑制，并驱动非选择性路径。在此，我们通过在nZVI上工程化原子分散的Ni位点来克服这一限制，以协调表面质子耦合电子转移（PCET）。从机制上讲，处于电子缺乏状态的单个Ni原子（Ni</w:t>
      </w:r>
      <w:r>
        <w:t xml:space="preserve"> </w:t>
      </w:r>
      <w:r>
        <w:t>δ+</w:t>
      </w:r>
      <w:r>
        <w:t xml:space="preserve"> </w:t>
      </w:r>
      <w:r>
        <w:t>）作为“电子泵”功能，建立了一个直接纵向内球通道，用于向HMF的-CHO基团传递电子。同时，Ni</w:t>
      </w:r>
      <w:r>
        <w:t xml:space="preserve"> </w:t>
      </w:r>
      <w:r>
        <w:t>δ+</w:t>
      </w:r>
      <w:r>
        <w:t xml:space="preserve"> </w:t>
      </w:r>
      <w:r>
        <w:t>位点通过削弱相邻晶格氧上的氢结合促进快速质子释放。Ni</w:t>
      </w:r>
      <w:r>
        <w:t xml:space="preserve"> </w:t>
      </w:r>
      <w:r>
        <w:t>δ+</w:t>
      </w:r>
      <w:r>
        <w:t xml:space="preserve"> </w:t>
      </w:r>
      <w:r>
        <w:t>诱导的电子调制将邻近的晶格Fe转变为强路易斯酸以极化体相水，创造了一个连续的横向质子穿梭到吸附的HMF。该正交PCET系统将电子选择性从10.6%（原始nZVI）大幅提升至81.6%，在环境条件下实现了&gt;95%的HMF转化（20–150 mM）和&gt;95%的BHMF选择性，性能远超原始nZVI（&lt;10%转化）。这项工作表明，工程化界面PCET路径可以显著提升</w:t>
      </w:r>
    </w:p>
    <w:p>
      <w:pPr>
        <w:spacing w:before="0" w:after="200" w:lineRule="auto" w:line="276"/>
      </w:pPr>
      <w:r>
        <w:rPr>
          <w:b/>
        </w:rPr>
        <w:t xml:space="preserve">Abstract (EN): </w:t>
      </w:r>
      <w:r>
        <w:t>The selective aqueous hydrogenation of 5‐hydroxymethylfurfural (HMF) to 2,5‐bis(hydroxymethyl)furan (BHMF) is pivotal for biomass valorization. While nanoscale zero‐valent iron (nZVI) offers a sustainable H</w:t>
      </w:r>
      <w:r>
        <w:rPr>
          <w:vertAlign w:val="subscript"/>
        </w:rPr>
        <w:t>2</w:t>
      </w:r>
      <w:r>
        <w:t>‐free alternative, its efficiency is severely suppressed by a rigid interfacial water layer that impedes substrate access and drives non‐selective pathways. Herein, we surmount this limitation by engineering atomically dispersed Ni sites on nZVI to orchestrate a surface proton‐coupled electron transfer (PCET). Mechanistically, single Ni atoms in the electron‐deficient state (Ni</w:t>
      </w:r>
      <w:r>
        <w:t xml:space="preserve"> </w:t>
      </w:r>
      <w:r>
        <w:t>δ+</w:t>
      </w:r>
      <w:r>
        <w:t xml:space="preserve"> </w:t>
      </w:r>
      <w:r>
        <w:t>) function as “electron pumps”, establishing a direct longitudinal inner‐sphere channel for electron delivery towards the −CHO group of HMF. Concurrently, the Ni</w:t>
      </w:r>
      <w:r>
        <w:t xml:space="preserve"> </w:t>
      </w:r>
      <w:r>
        <w:t>δ+</w:t>
      </w:r>
      <w:r>
        <w:t xml:space="preserve"> </w:t>
      </w:r>
      <w:r>
        <w:t>sites facilitate prompt proton release by weakening hydrogen binding on adjacent lattice oxygen. Ni</w:t>
      </w:r>
      <w:r>
        <w:t xml:space="preserve"> </w:t>
      </w:r>
      <w:r>
        <w:t>δ+</w:t>
      </w:r>
      <w:r>
        <w:t xml:space="preserve"> </w:t>
      </w:r>
      <w:r>
        <w:t>‐induced electronic modulation transforms proximal lattice Fe into strong Lewis acids to polarize bulk water, creating a continuous lateral proton shuttle to the adsorbed HMF. This orthogonal PCET system drastically boosts electron selectivity from 10.6% (pristine nZVI) to 81.6%, achieving &amp;gt;95% HMF conversion (20–150 mM) with &amp;gt;95% BHMF selectivity under ambient conditions, outperforming pristine nZVI (&amp;lt;10% conversion) by orders of magnitude. This work demonstrates that engineering interfacial PCET pathways can reverse classical solvent inhibition, opening a general route for efficient aqueous hydrogenation.</w:t>
      </w:r>
    </w:p>
    <w:p>
      <w:pPr>
        <w:spacing w:before="120" w:after="120"/>
      </w:pPr>
      <w:r>
        <w:rPr>
          <w:sz w:val="18"/>
        </w:rPr>
        <w:t>——————————————————————————————————————————————————————————————————————</w:t>
      </w:r>
    </w:p>
    <w:p>
      <w:pPr>
        <w:spacing w:before="160" w:after="40" w:line="240" w:lineRule="auto"/>
      </w:pPr>
      <w:r>
        <w:rPr>
          <w:b/>
        </w:rPr>
        <w:t xml:space="preserve">[28] </w:t>
      </w:r>
      <w:hyperlink r:id="rId180">
        <w:r>
          <w:rPr>
            <w:color w:val="1155CC"/>
            <w:u w:val="single"/>
          </w:rPr>
          <w:t>普鲁士蓝类似物中的三重活性位点用于高容量水系和海水铵离子电池</w:t>
        </w:r>
      </w:hyperlink>
    </w:p>
    <w:p>
      <w:pPr>
        <w:spacing w:before="0" w:after="80"/>
      </w:pPr>
      <w:r>
        <w:rPr>
          <w:i/>
          <w:sz w:val="20"/>
        </w:rPr>
        <w:t>EN: Triple Active Sites in Prussian Blue Analogues for High‐Capacity Aqueous and Seawater Ammonium Ion Batteries</w:t>
      </w:r>
    </w:p>
    <w:p>
      <w:pPr>
        <w:spacing w:before="0" w:after="120"/>
      </w:pPr>
      <w:r>
        <w:rPr>
          <w:b/>
        </w:rPr>
        <w:t xml:space="preserve">Source: </w:t>
      </w:r>
      <w:r>
        <w:t>Wiley: Advanced Energy Materials: Table of Contents</w:t>
      </w:r>
      <w:r>
        <w:t xml:space="preserve">    </w:t>
      </w:r>
      <w:r>
        <w:rPr>
          <w:b/>
        </w:rPr>
        <w:t xml:space="preserve">Pub date: </w:t>
      </w:r>
      <w:r>
        <w:t>2026-04-25 06:05:46+00:00</w:t>
      </w:r>
      <w:r>
        <w:t xml:space="preserve">    </w:t>
      </w:r>
      <w:r>
        <w:rPr>
          <w:b/>
        </w:rPr>
        <w:t xml:space="preserve">DOI: </w:t>
      </w:r>
      <w:hyperlink r:id="rId181">
        <w:r>
          <w:rPr>
            <w:color w:val="1155CC"/>
            <w:u w:val="single"/>
          </w:rPr>
          <w:t>10.1002/aenm.70988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水系铵离子电池作为一种安全、高功率和成本效益的能量存储设备，最近受到关注；然而，能够同时提供高容量、高电位和稳定循环性能的阴极材料的发展有限。在此，报道了一种通过双功能掺杂策略的普鲁士蓝类似物，具有三个氧化还原活性位点（Co、Mn和Fe），作为水系铵离子电池的高性能阴极材料。它实现了153 mAh g−1的高可逆容量，并在2500个循环中具有优异的循环稳定性，几乎没有容量衰减。密度泛函理论计算和电化学分析表明，Mn通过增强的电子耗尽激活了Co的氧化还原活性，而Co通过分裂Mn的简并轨道有效抑制了Jahn–Teller效应，保持了框架的长程结构完整性。将此阴极与VOx@聚吡咯阳极配对，在810.9 W kg−1的高比功率下可实现145.7 Wh kg−1的高比能量。这项工作提供了一种通过解锁多个活性位点和稳定晶格框架来优化电极材料的可行设计策略。</w:t>
      </w:r>
    </w:p>
    <w:p>
      <w:pPr>
        <w:spacing w:before="0" w:after="200" w:lineRule="auto" w:line="276"/>
      </w:pPr>
      <w:r>
        <w:rPr>
          <w:b/>
        </w:rPr>
        <w:t xml:space="preserve">Abstract (EN): </w:t>
      </w:r>
      <w:r>
        <w:t>Aqueous ammonium‐ion battery has recently gained attention as a safe, high‐power, and cost‐effective energy storage device; yet the development in cathode materials that can simultaneously deliver high capacity, high potential, and stable cycling performance is limited. Herein, a Prussian blue analog with three redox‐active sites (Co, Mn, and Fe) as a high‐performance cathode material for aqueous ammonium‐ion batteries by a dual function doping strategy is reported. It achieves a high reversible capacity of 153 mAh g</w:t>
      </w:r>
      <w:r>
        <w:t xml:space="preserve"> </w:t>
      </w:r>
      <w:r>
        <w:t>−1</w:t>
      </w:r>
      <w:r>
        <w:t xml:space="preserve"> </w:t>
      </w:r>
      <w:r>
        <w:t>and superior cycling stability over 2500 cycles with negligible capacity decay. Density functional theory calculations and electrochemical analysis reveal that Mn activates the redox activity of Co via the enhanced electron depletion, while Co effectively suppresses the Jahn–Teller effect through splitting the degenerate orbitals of Mn, preserving the long‐range structural integrity of the framework. Paring this cathode with the VO</w:t>
      </w:r>
      <w:r>
        <w:t xml:space="preserve"> </w:t>
      </w:r>
      <w:r>
        <w:t>x</w:t>
      </w:r>
      <w:r>
        <w:t xml:space="preserve"> </w:t>
      </w:r>
      <w:r>
        <w:t>@polypyrrole anode, a high specific energy of 145.7 Wh kg</w:t>
      </w:r>
      <w:r>
        <w:t xml:space="preserve"> </w:t>
      </w:r>
      <w:r>
        <w:t>−1</w:t>
      </w:r>
      <w:r>
        <w:t xml:space="preserve"> </w:t>
      </w:r>
      <w:r>
        <w:t>can be achieved at a high specific power of 810.9 W kg</w:t>
      </w:r>
      <w:r>
        <w:t xml:space="preserve"> </w:t>
      </w:r>
      <w:r>
        <w:t>−1</w:t>
      </w:r>
      <w:r>
        <w:t xml:space="preserve"> </w:t>
      </w:r>
      <w:r>
        <w:t>. This work offers a viable design strategy for the optimization of electrode materials through unlocking multiple active sites and stabilizing lattice frameworks.</w:t>
      </w:r>
    </w:p>
    <w:p>
      <w:pPr>
        <w:spacing w:before="120" w:after="120"/>
      </w:pPr>
      <w:r>
        <w:rPr>
          <w:sz w:val="18"/>
        </w:rPr>
        <w:t>——————————————————————————————————————————————————————————————————————</w:t>
      </w:r>
    </w:p>
    <w:p>
      <w:pPr>
        <w:spacing w:before="160" w:after="40" w:line="240" w:lineRule="auto"/>
      </w:pPr>
      <w:r>
        <w:rPr>
          <w:b/>
        </w:rPr>
        <w:t xml:space="preserve">[29] </w:t>
      </w:r>
      <w:hyperlink r:id="rId182">
        <w:r>
          <w:rPr>
            <w:color w:val="1155CC"/>
            <w:u w:val="single"/>
          </w:rPr>
          <w:t>用于慢性心力衰竭的纳米拦截策略：普鲁士蓝纳米颗粒通过CCL2隔离破坏成纤维细胞-免疫通信</w:t>
        </w:r>
      </w:hyperlink>
    </w:p>
    <w:p>
      <w:pPr>
        <w:spacing w:before="0" w:after="80"/>
      </w:pPr>
      <w:r>
        <w:rPr>
          <w:i/>
          <w:sz w:val="20"/>
        </w:rPr>
        <w:t>EN: A Nano‐Interception Strategy for Chronic Heart Failure: Prussian Blue Nanoparticles Disrupt Fibroblast‐Immune Communication via CCL2 Sequestration</w:t>
      </w:r>
    </w:p>
    <w:p>
      <w:pPr>
        <w:spacing w:before="0" w:after="120"/>
      </w:pPr>
      <w:r>
        <w:rPr>
          <w:b/>
        </w:rPr>
        <w:t xml:space="preserve">Source: </w:t>
      </w:r>
      <w:r>
        <w:t>Wiley: Advanced Materials: Table of Contents</w:t>
      </w:r>
      <w:r>
        <w:t xml:space="preserve">    </w:t>
      </w:r>
      <w:r>
        <w:rPr>
          <w:b/>
        </w:rPr>
        <w:t xml:space="preserve">Pub date: </w:t>
      </w:r>
      <w:r>
        <w:t>2026-04-25 06:31:53+00:00</w:t>
      </w:r>
      <w:r>
        <w:t xml:space="preserve">    </w:t>
      </w:r>
      <w:r>
        <w:rPr>
          <w:b/>
        </w:rPr>
        <w:t xml:space="preserve">DOI: </w:t>
      </w:r>
      <w:hyperlink r:id="rId183">
        <w:r>
          <w:rPr>
            <w:color w:val="1155CC"/>
            <w:u w:val="single"/>
          </w:rPr>
          <w:t>10.1002/adma.202520209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慢性心力衰竭（HF）由于缺乏有效破坏驱动疾病进展的病理性纤维-炎症网络的疗法，仍然是全球健康挑战。虽然当前的纳米医学策略通常针对孤立细胞类型的细胞内途径，但它们忽视了HF中心的多细胞串扰。在此，我们开发了可规模化合成的普鲁士蓝（PB）纳米颗粒，选择性地拦截CCL2-CCR2趋化因子轴，这是成纤维细胞-巨噬细胞通信的关键途径。小核RNA测序识别出小鼠和人类衰竭心脏中保守的促纤维炎症性心脏成纤维细胞亚群（POSTN</w:t>
      </w:r>
      <w:r>
        <w:t xml:space="preserve"> </w:t>
      </w:r>
      <w:r>
        <w:t>hi</w:t>
      </w:r>
      <w:r>
        <w:t xml:space="preserve"> </w:t>
      </w:r>
      <w:r>
        <w:t>CCL2</w:t>
      </w:r>
      <w:r>
        <w:t xml:space="preserve"> </w:t>
      </w:r>
      <w:r>
        <w:t>hi</w:t>
      </w:r>
      <w:r>
        <w:t xml:space="preserve"> </w:t>
      </w:r>
      <w:r>
        <w:t>），通过CCL2分泌招募CCR2</w:t>
      </w:r>
      <w:r>
        <w:t xml:space="preserve"> </w:t>
      </w:r>
      <w:r>
        <w:t>+</w:t>
      </w:r>
      <w:r>
        <w:t xml:space="preserve"> </w:t>
      </w:r>
      <w:r>
        <w:t>巨噬细胞。PB纳米颗粒对游离CCL2表现出超高亲和力（K</w:t>
      </w:r>
      <w:r>
        <w:t xml:space="preserve"> </w:t>
      </w:r>
      <w:r>
        <w:t>D</w:t>
      </w:r>
      <w:r>
        <w:t xml:space="preserve"> </w:t>
      </w:r>
      <w:r>
        <w:t>= 1.11 × 10</w:t>
      </w:r>
      <w:r>
        <w:t xml:space="preserve"> </w:t>
      </w:r>
      <w:r>
        <w:t>−10</w:t>
      </w:r>
      <w:r>
        <w:t xml:space="preserve"> </w:t>
      </w:r>
      <w:r>
        <w:t>m），通过与CRS1残基的特定C≡N界面相互作用诱导其N末端结构变形，从而阻止CCR2结合，这一机制不同于传统纳米材料。尽管在单一培养物中无效，PB纳米颗粒在小鼠和翻译猪压力超负荷HF模型中显著改善心脏功能和重塑，左心室舒张末期容积减少56.2%，纤维化减少40.5%，同时选择性耗竭</w:t>
      </w:r>
    </w:p>
    <w:p>
      <w:pPr>
        <w:spacing w:before="0" w:after="200" w:lineRule="auto" w:line="276"/>
      </w:pPr>
      <w:r>
        <w:rPr>
          <w:b/>
        </w:rPr>
        <w:t xml:space="preserve">Abstract (EN): </w:t>
      </w:r>
      <w:r>
        <w:t>Chronic heart failure (HF) remains a global health challenge due to the lack of therapies that effectively disrupt the pathological fibro‐inflammatory networks driving disease progression. While current nanomedicine strategies often target intracellular pathways in isolated cell types, they overlook the multicellular crosstalk central to HF. Here, we develop scalably synthesized Prussian blue (PB) nanoparticles that selectively intercept the CCL2‐CCR2 chemokine axis, a key pathway in fibroblast‐macrophage communication. Single‐nucleus RNA sequencing of murine and human failing hearts identifies a conserved pro‐fibroinflammatory cardiac fibroblast subpopulation (POSTN</w:t>
      </w:r>
      <w:r>
        <w:t xml:space="preserve"> </w:t>
      </w:r>
      <w:r>
        <w:t>hi</w:t>
      </w:r>
      <w:r>
        <w:t xml:space="preserve"> </w:t>
      </w:r>
      <w:r>
        <w:t>CCL2</w:t>
      </w:r>
      <w:r>
        <w:t xml:space="preserve"> </w:t>
      </w:r>
      <w:r>
        <w:t>hi</w:t>
      </w:r>
      <w:r>
        <w:t xml:space="preserve"> </w:t>
      </w:r>
      <w:r>
        <w:t>) that recruits CCR2</w:t>
      </w:r>
      <w:r>
        <w:t xml:space="preserve"> </w:t>
      </w:r>
      <w:r>
        <w:t>+</w:t>
      </w:r>
      <w:r>
        <w:t xml:space="preserve"> </w:t>
      </w:r>
      <w:r>
        <w:t>macrophages via CCL2 secretion. PB nanoparticles exhibit ultrahigh affinity (K</w:t>
      </w:r>
      <w:r>
        <w:t xml:space="preserve"> </w:t>
      </w:r>
      <w:r>
        <w:t>D</w:t>
      </w:r>
      <w:r>
        <w:t xml:space="preserve"> </w:t>
      </w:r>
      <w:r>
        <w:t>= 1.11 × 10</w:t>
      </w:r>
      <w:r>
        <w:t xml:space="preserve"> </w:t>
      </w:r>
      <w:r>
        <w:t>−10</w:t>
      </w:r>
      <w:r>
        <w:t xml:space="preserve"> </w:t>
      </w:r>
      <w:r>
        <w:t>m</w:t>
      </w:r>
      <w:r>
        <w:t xml:space="preserve"> </w:t>
      </w:r>
      <w:r>
        <w:t>) for free CCL2, inducing conformational distortion in its N‐terminal domain via specific C≡N interface interactions with CRS1 residues, thereby blocking CCR2 engagement, a mechanism distinct from conventional nanomaterials. Although ineffective in monocultures, PB nanoparticles robustly improve cardiac function and remodeling in murine and translational porcine pressure‐overload HF models, reducing left ventricular end‐diastolic volume by 56.2% and fibrosis by 40.5%, while selectively depleting CCR2</w:t>
      </w:r>
      <w:r>
        <w:t xml:space="preserve"> </w:t>
      </w:r>
      <w:r>
        <w:t>+</w:t>
      </w:r>
      <w:r>
        <w:t xml:space="preserve"> </w:t>
      </w:r>
      <w:r>
        <w:t>macrophages without systemic immunosuppression. Supported by scalable production (&amp;gt; 100 g/batch), long‐term stability, and biosafety, this work establishes a cell communication‐targeting nanomedicine strategy for network‐driven diseases like HF.</w:t>
      </w:r>
    </w:p>
    <w:p>
      <w:pPr>
        <w:spacing w:before="120" w:after="120"/>
      </w:pPr>
      <w:r>
        <w:rPr>
          <w:sz w:val="18"/>
        </w:rPr>
        <w:t>——————————————————————————————————————————————————————————————————————</w:t>
      </w:r>
    </w:p>
    <w:p>
      <w:pPr>
        <w:spacing w:before="160" w:after="40" w:line="240" w:lineRule="auto"/>
      </w:pPr>
      <w:r>
        <w:rPr>
          <w:b/>
        </w:rPr>
        <w:t xml:space="preserve">[30] </w:t>
      </w:r>
      <w:hyperlink r:id="rId184">
        <w:r>
          <w:rPr>
            <w:color w:val="1155CC"/>
            <w:u w:val="single"/>
          </w:rPr>
          <w:t>通过NHC催化的苯偶姻缩合实现的固有手性四苯乙烯类似物的不对称合成</w:t>
        </w:r>
      </w:hyperlink>
    </w:p>
    <w:p>
      <w:pPr>
        <w:spacing w:before="0" w:after="80"/>
      </w:pPr>
      <w:r>
        <w:rPr>
          <w:i/>
          <w:sz w:val="20"/>
        </w:rPr>
        <w:t>EN: Enantioselective Synthesis of Inherently Chiral Tetraphenylene Analogues Enabled by NHC‐Catalyzed Benzoin Condensation</w:t>
      </w:r>
    </w:p>
    <w:p>
      <w:pPr>
        <w:spacing w:before="0" w:after="120"/>
      </w:pPr>
      <w:r>
        <w:rPr>
          <w:b/>
        </w:rPr>
        <w:t xml:space="preserve">Source: </w:t>
      </w:r>
      <w:r>
        <w:t>Wiley: Angewandte Chemie International Edition: Table of Contents</w:t>
      </w:r>
      <w:r>
        <w:t xml:space="preserve">    </w:t>
      </w:r>
      <w:r>
        <w:rPr>
          <w:b/>
        </w:rPr>
        <w:t xml:space="preserve">Pub date: </w:t>
      </w:r>
      <w:r>
        <w:t>2026-04-25 11:07:17+00:00</w:t>
      </w:r>
      <w:r>
        <w:t xml:space="preserve">    </w:t>
      </w:r>
      <w:r>
        <w:rPr>
          <w:b/>
        </w:rPr>
        <w:t xml:space="preserve">DOI: </w:t>
      </w:r>
      <w:hyperlink r:id="rId185">
        <w:r>
          <w:rPr>
            <w:color w:val="1155CC"/>
            <w:u w:val="single"/>
          </w:rPr>
          <w:t>10.1002/anie.6712761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在此，我们报告了一种手性选择性的N-杂环卡宾（NHC）催化的双醛分子内苯偶姻反应，该反应具有1,1′:2′,1′′-三联苯连接，生成八元α-羟基酮，其中八个环原子中的六个是苯碳。苯富集的框架在构象上是不灵活的，因此本质上是手性的，采用鞍形构象。通过α-羟基酮基团的常规转化，手性选择性地制备了多种杂芳香和萘嵌入的四苯基类似物。密度泛函理论（DFT）计算阐明了反应机制，并提供了对立体选择性起源的见解。</w:t>
      </w:r>
    </w:p>
    <w:p>
      <w:pPr>
        <w:spacing w:before="0" w:after="200" w:lineRule="auto" w:line="276"/>
      </w:pPr>
      <w:r>
        <w:rPr>
          <w:b/>
        </w:rPr>
        <w:t xml:space="preserve">Abstract (EN): </w:t>
      </w:r>
      <w:r>
        <w:t>Herein, we report an enantioselective N‐heterocyclic carbene (NHC)‐catalyzed intramolecular benzoin reaction of bisaldehydes featuring a 1,1′:2′,1′′‐terphenyl linkage to afford eight‐membered α‐hydroxy ketones in which six of the eight ring atoms are benzene carbons. The benzene‐rich framework is conformationally inflexible and thus inherently chiral, adopting a saddle‐shaped conformation. A variety of heteroaromatic‐ and naphthalene‐embedded tetraphenylene analogues were prepared enantioselectively by routine transformations of the α‐hydroxy ketone moiety. Density functional theory (DFT) calculations elucidate the reaction mechanism and provide insights into the origin of the stereoselectivity.</w:t>
      </w:r>
    </w:p>
    <w:p>
      <w:pPr>
        <w:spacing w:before="120" w:after="120"/>
      </w:pPr>
      <w:r>
        <w:rPr>
          <w:sz w:val="18"/>
        </w:rPr>
        <w:t>——————————————————————————————————————————————————————————————————————</w:t>
      </w:r>
    </w:p>
    <w:p>
      <w:pPr>
        <w:spacing w:before="160" w:after="40" w:line="240" w:lineRule="auto"/>
      </w:pPr>
      <w:r>
        <w:rPr>
          <w:b/>
        </w:rPr>
        <w:t xml:space="preserve">[31] </w:t>
      </w:r>
      <w:hyperlink r:id="rId186">
        <w:r>
          <w:rPr>
            <w:color w:val="1155CC"/>
            <w:u w:val="single"/>
          </w:rPr>
          <w:t>锑族键的力量：As─As键驱动宽带隙、强NLO响应和大双折射在SrGa3Si4As11中</w:t>
        </w:r>
      </w:hyperlink>
    </w:p>
    <w:p>
      <w:pPr>
        <w:spacing w:before="0" w:after="80"/>
      </w:pPr>
      <w:r>
        <w:rPr>
          <w:i/>
          <w:sz w:val="20"/>
        </w:rPr>
        <w:t>EN: The Power of Pnictogen Bond: As─As Linkages Drive Wide Bandgap, Strong NLO Response and Large Birefringence in SrGa3Si4As11</w:t>
      </w:r>
    </w:p>
    <w:p>
      <w:pPr>
        <w:spacing w:before="0" w:after="120"/>
      </w:pPr>
      <w:r>
        <w:rPr>
          <w:b/>
        </w:rPr>
        <w:t xml:space="preserve">Source: </w:t>
      </w:r>
      <w:r>
        <w:t>Wiley: Angewandte Chemie International Edition: Table of Contents</w:t>
      </w:r>
      <w:r>
        <w:t xml:space="preserve">    </w:t>
      </w:r>
      <w:r>
        <w:rPr>
          <w:b/>
        </w:rPr>
        <w:t xml:space="preserve">Pub date: </w:t>
      </w:r>
      <w:r>
        <w:t>2026-04-25 11:07:49+00:00</w:t>
      </w:r>
      <w:r>
        <w:t xml:space="preserve">    </w:t>
      </w:r>
      <w:r>
        <w:rPr>
          <w:b/>
        </w:rPr>
        <w:t xml:space="preserve">DOI: </w:t>
      </w:r>
      <w:hyperlink r:id="rId187">
        <w:r>
          <w:rPr>
            <w:color w:val="1155CC"/>
            <w:u w:val="single"/>
          </w:rPr>
          <w:t>10.1002/anie.8887289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砷化物代表了一种设计长波长红外（IR）非线性光学（NLO）材料的有利平台；然而，固有的窄带隙限制了它们的应用。在这项工作中，通过引入As–As同原子键来消除As原子上的非键合电子对，首次在As富集的AII–BIII–CIV–As系统中合理设计并实验合成了四元砷化物NLO材料SrGa3Si4As11。该化合物在单轴六方晶系（P63空间群，No. 173）中结晶，由[SrAs9]多面体、[GaAs4]和[SiAs4]四面体组成，具有独特的As–As同原子键。As─As键的引入同时增强了NLO响应、带隙和双折射，表现出强相位匹配的二阶NLO响应（约8.0 × AgGaS2）、宽的砷化物带隙（约1.59 eV）、高激光诱导损伤阈值（约1.5 × ZnGeP2和约4.0 × AgGaS2）和</w:t>
      </w:r>
    </w:p>
    <w:p>
      <w:pPr>
        <w:spacing w:before="0" w:after="200" w:lineRule="auto" w:line="276"/>
      </w:pPr>
      <w:r>
        <w:rPr>
          <w:b/>
        </w:rPr>
        <w:t xml:space="preserve">Abstract (EN): </w:t>
      </w:r>
      <w:r>
        <w:t>Arsenides represent an advantageous platform for designing long‐wavelength infrared (IR) nonlinear optical (NLO) materials; however, the intrinsic narrow bandgaps hinder their applications. In this work, by introducing As–As homoatomic bonds to eliminate the nonbonding electron pairs on As atoms, the first experimentally verified quaternary arsenide NLO material SrGa</w:t>
      </w:r>
      <w:r>
        <w:rPr>
          <w:vertAlign w:val="subscript"/>
        </w:rPr>
        <w:t>3</w:t>
      </w:r>
      <w:r>
        <w:t>Si</w:t>
      </w:r>
      <w:r>
        <w:rPr>
          <w:vertAlign w:val="subscript"/>
        </w:rPr>
        <w:t>4</w:t>
      </w:r>
      <w:r>
        <w:t>As</w:t>
      </w:r>
      <w:r>
        <w:rPr>
          <w:vertAlign w:val="subscript"/>
        </w:rPr>
        <w:t>11</w:t>
      </w:r>
      <w:r>
        <w:t>was rationally designed within the As‐rich A</w:t>
      </w:r>
      <w:r>
        <w:t xml:space="preserve"> </w:t>
      </w:r>
      <w:r>
        <w:t>II</w:t>
      </w:r>
      <w:r>
        <w:t xml:space="preserve"> </w:t>
      </w:r>
      <w:r>
        <w:t>–B</w:t>
      </w:r>
      <w:r>
        <w:t xml:space="preserve"> </w:t>
      </w:r>
      <w:r>
        <w:t>III</w:t>
      </w:r>
      <w:r>
        <w:t xml:space="preserve"> </w:t>
      </w:r>
      <w:r>
        <w:t>–C</w:t>
      </w:r>
      <w:r>
        <w:t xml:space="preserve"> </w:t>
      </w:r>
      <w:r>
        <w:t>IV</w:t>
      </w:r>
      <w:r>
        <w:t xml:space="preserve"> </w:t>
      </w:r>
      <w:r>
        <w:t>–As system, and synthesized experimentally. The compound crystallizes in the uniaxial hexagonal system (</w:t>
      </w:r>
      <w:r>
        <w:t xml:space="preserve"> </w:t>
      </w:r>
      <w:r>
        <w:t>P</w:t>
      </w:r>
      <w:r>
        <w:rPr>
          <w:vertAlign w:val="subscript"/>
        </w:rPr>
        <w:t>6</w:t>
      </w:r>
      <w:r>
        <w:rPr>
          <w:vertAlign w:val="subscript"/>
        </w:rPr>
        <w:t>3</w:t>
      </w:r>
      <w:r>
        <w:t>space group, No. 173) and is composed of [SrAs</w:t>
      </w:r>
      <w:r>
        <w:rPr>
          <w:vertAlign w:val="subscript"/>
        </w:rPr>
        <w:t>9</w:t>
      </w:r>
      <w:r>
        <w:t>] polyhedra, [GaAs</w:t>
      </w:r>
      <w:r>
        <w:rPr>
          <w:vertAlign w:val="subscript"/>
        </w:rPr>
        <w:t>4</w:t>
      </w:r>
      <w:r>
        <w:t>] and [SiAs</w:t>
      </w:r>
      <w:r>
        <w:rPr>
          <w:vertAlign w:val="subscript"/>
        </w:rPr>
        <w:t>4</w:t>
      </w:r>
      <w:r>
        <w:t>] tetrahedra with unique As–As homoatomic bonding. The introduction of As─As bonds simultaneously enhances the NLO response, bandgap, and birefringence, demonstrating a strong phase‐matching second‐order NLO response (∼8.0 × AgGaS</w:t>
      </w:r>
      <w:r>
        <w:rPr>
          <w:vertAlign w:val="subscript"/>
        </w:rPr>
        <w:t>2</w:t>
      </w:r>
      <w:r>
        <w:t>), a wide arsenide bandgap (∼1.59 eV), a high laser‐induced damage threshold (∼1.5 × ZnGeP</w:t>
      </w:r>
      <w:r>
        <w:rPr>
          <w:vertAlign w:val="subscript"/>
        </w:rPr>
        <w:t>2</w:t>
      </w:r>
      <w:r>
        <w:t>and ∼4.0 × AgGaS</w:t>
      </w:r>
      <w:r>
        <w:rPr>
          <w:vertAlign w:val="subscript"/>
        </w:rPr>
        <w:t>2</w:t>
      </w:r>
      <w:r>
        <w:t>) and a large birefringence (Δ</w:t>
      </w:r>
      <w:r>
        <w:t xml:space="preserve"> </w:t>
      </w:r>
      <w:r>
        <w:t>n</w:t>
      </w:r>
      <w:r>
        <w:t xml:space="preserve"> </w:t>
      </w:r>
      <w:r>
        <w:t>= 0.10@2090 nm) in the compound. Both experimental and theoretical results confirm the positive contributions of As─As bonds to these superior properties. The results enrich the structural diversity of arsenides, and establish As‐rich arsenides incorporating homoatomic bonds as an emerging system for high‐performance IR NLO materials, with SrGa</w:t>
      </w:r>
      <w:r>
        <w:rPr>
          <w:vertAlign w:val="subscript"/>
        </w:rPr>
        <w:t>3</w:t>
      </w:r>
      <w:r>
        <w:t>Si</w:t>
      </w:r>
      <w:r>
        <w:rPr>
          <w:vertAlign w:val="subscript"/>
        </w:rPr>
        <w:t>4</w:t>
      </w:r>
      <w:r>
        <w:t>As</w:t>
      </w:r>
      <w:r>
        <w:rPr>
          <w:vertAlign w:val="subscript"/>
        </w:rPr>
        <w:t>11</w:t>
      </w:r>
      <w:r>
        <w:t>serving as a promising candidate.</w:t>
      </w:r>
    </w:p>
    <w:p>
      <w:pPr>
        <w:spacing w:before="120" w:after="120"/>
      </w:pPr>
      <w:r>
        <w:rPr>
          <w:sz w:val="18"/>
        </w:rPr>
        <w:t>——————————————————————————————————————————————————————————————————————</w:t>
      </w:r>
    </w:p>
    <w:p>
      <w:pPr>
        <w:spacing w:before="160" w:after="40" w:line="240" w:lineRule="auto"/>
      </w:pPr>
      <w:r>
        <w:rPr>
          <w:b/>
        </w:rPr>
        <w:t xml:space="preserve">[32] </w:t>
      </w:r>
      <w:hyperlink r:id="rId188">
        <w:r>
          <w:rPr>
            <w:color w:val="1155CC"/>
            <w:u w:val="single"/>
          </w:rPr>
          <w:t>Cu–La双原子催化剂通过双位点吸附实现电催化CO2还原热力学和动力学的协同优化</w:t>
        </w:r>
      </w:hyperlink>
    </w:p>
    <w:p>
      <w:pPr>
        <w:spacing w:before="0" w:after="80"/>
      </w:pPr>
      <w:r>
        <w:rPr>
          <w:i/>
          <w:sz w:val="20"/>
        </w:rPr>
        <w:t>EN: A Cu–La Dual‐Atomic Catalyst With Dual‐Site Adsorption Enables Synergistic Optimization of Thermodynamics and Kinetics of Electrocatalytic CO2 Reduction</w:t>
      </w:r>
    </w:p>
    <w:p>
      <w:pPr>
        <w:spacing w:before="0" w:after="120"/>
      </w:pPr>
      <w:r>
        <w:rPr>
          <w:b/>
        </w:rPr>
        <w:t xml:space="preserve">Source: </w:t>
      </w:r>
      <w:r>
        <w:t>Wiley: Angewandte Chemie International Edition: Table of Contents</w:t>
      </w:r>
      <w:r>
        <w:t xml:space="preserve">    </w:t>
      </w:r>
      <w:r>
        <w:rPr>
          <w:b/>
        </w:rPr>
        <w:t xml:space="preserve">Pub date: </w:t>
      </w:r>
      <w:r>
        <w:t>2026-04-25 11:09:45+00:00</w:t>
      </w:r>
      <w:r>
        <w:t xml:space="preserve">    </w:t>
      </w:r>
      <w:r>
        <w:rPr>
          <w:b/>
        </w:rPr>
        <w:t xml:space="preserve">DOI: </w:t>
      </w:r>
      <w:hyperlink r:id="rId189">
        <w:r>
          <w:rPr>
            <w:color w:val="1155CC"/>
            <w:u w:val="single"/>
          </w:rPr>
          <w:t>10.1002/anie.202521626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单原子催化剂在快速发展的电催化CO2还原（ECR）为CO的领域中面临以下主要挑战：中间体吸附强度之间的线性标度关系导致不利的ECR热力学；催化剂表面微环境中的低CO2/质子/电子浓度限制了ECR动力学。因此，我们合成了一种Cu–La双原子催化剂（DAC），以协同优化ECR的热力学和动力学。Cu–La DAC的Cu和La位点可以分别耦合*COOH的C和O原子，形成一种新颖的双位点*COOH吸附构型，不会转变为后续的*CO。Cu–La DAC可以有效打破线性标度关系并优化ECR热力学。此外，Cu和La具有不同的导电性、亲水性和CO2吸附能力，共同调节Cu–La DAC表面的微环境。这促进了电子、质子和CO2的高效供应，从而大大增强了动力学。这项工作结合了具有不同宏观性质和电子结构（微观）的Cu和La，基于DAC的双位点吸附协同优化热力学和动力学，为设计高性能催化剂和发现高效催化剂提供了新的见解。</w:t>
      </w:r>
    </w:p>
    <w:p>
      <w:pPr>
        <w:spacing w:before="0" w:after="200" w:lineRule="auto" w:line="276"/>
      </w:pPr>
      <w:r>
        <w:rPr>
          <w:b/>
        </w:rPr>
        <w:t xml:space="preserve">Abstract (EN): </w:t>
      </w:r>
      <w:r>
        <w:t>Single‐atomic catalysts face the following major challenges in the rapidly advancing field of electrocatalytic CO</w:t>
      </w:r>
      <w:r>
        <w:rPr>
          <w:vertAlign w:val="subscript"/>
        </w:rPr>
        <w:t>2</w:t>
      </w:r>
      <w:r>
        <w:t>reduction (ECR) to CO: linear scaling relationships between adsorption strengths of intermediates lead to unfavored ECR thermodynamics; low CO</w:t>
      </w:r>
      <w:r>
        <w:rPr>
          <w:vertAlign w:val="subscript"/>
        </w:rPr>
        <w:t>2</w:t>
      </w:r>
      <w:r>
        <w:t>/proton/electron concentrations within microenvironments on catalyst surfaces limit ECR kinetics. Consequently, we synthesized a Cu–La dual‐atomic catalyst (DAC) for synergistically optimizing the ECR thermodynamics and kinetics. The Cu and La sites of Cu–La DAC can respectively couple the C and O atoms of *COOH, forming a novel dual‐site *COOH adsorption configuration, which does not undergo a transition to subsequent *CO. Cu–La DAC can effectively break the linear scaling relationship and optimize the ECR thermodynamics. Furthermore, Cu and La, possessing distinct conductivity, hydrophilicity, and CO</w:t>
      </w:r>
      <w:r>
        <w:rPr>
          <w:vertAlign w:val="subscript"/>
        </w:rPr>
        <w:t>2</w:t>
      </w:r>
      <w:r>
        <w:t>adsorption capabilities, collectively modulate the microenvironments on the surface of Cu–La DAC. This facilitates the efficient supply of electrons, protons, and CO</w:t>
      </w:r>
      <w:r>
        <w:rPr>
          <w:vertAlign w:val="subscript"/>
        </w:rPr>
        <w:t>2</w:t>
      </w:r>
      <w:r>
        <w:t>for ECR, thereby greatly enhancing the kinetics. This work combines Cu and La, which have different macroscopic properties and electronic structures (microscopic), to synergistically optimize thermodynamics and kinetics based on the dual‐site adsorption of DAC, providing new insights for designing high‐performance catalysts and discovering efficient mechanisms.</w:t>
      </w:r>
    </w:p>
    <w:p>
      <w:pPr>
        <w:spacing w:before="120" w:after="120"/>
      </w:pPr>
      <w:r>
        <w:rPr>
          <w:sz w:val="18"/>
        </w:rPr>
        <w:t>——————————————————————————————————————————————————————————————————————</w:t>
      </w:r>
    </w:p>
    <w:p>
      <w:pPr>
        <w:spacing w:before="160" w:after="40" w:line="240" w:lineRule="auto"/>
      </w:pPr>
      <w:r>
        <w:rPr>
          <w:b/>
        </w:rPr>
        <w:t xml:space="preserve">[33] </w:t>
      </w:r>
      <w:hyperlink r:id="rId190">
        <w:r>
          <w:rPr>
            <w:color w:val="1155CC"/>
            <w:u w:val="single"/>
          </w:rPr>
          <w:t>基于蒽醌的电子储库-泵浦光敏剂生成自由基离子对用于代谢靶向光动力疗法</w:t>
        </w:r>
      </w:hyperlink>
    </w:p>
    <w:p>
      <w:pPr>
        <w:spacing w:before="0" w:after="80"/>
      </w:pPr>
      <w:r>
        <w:rPr>
          <w:i/>
          <w:sz w:val="20"/>
        </w:rPr>
        <w:t>EN: Anthraquinone‐Based Electron Reservoir‐Pump Photosensitizer Generating Radical Ion Pairs for Metabolism‐Targeted Photodynamic Therapy</w:t>
      </w:r>
    </w:p>
    <w:p>
      <w:pPr>
        <w:spacing w:before="0" w:after="120"/>
      </w:pPr>
      <w:r>
        <w:rPr>
          <w:b/>
        </w:rPr>
        <w:t xml:space="preserve">Source: </w:t>
      </w:r>
      <w:r>
        <w:t>Wiley: Angewandte Chemie International Edition: Table of Contents</w:t>
      </w:r>
      <w:r>
        <w:t xml:space="preserve">    </w:t>
      </w:r>
      <w:r>
        <w:rPr>
          <w:b/>
        </w:rPr>
        <w:t xml:space="preserve">Pub date: </w:t>
      </w:r>
      <w:r>
        <w:t>2026-04-25 11:10:28+00:00</w:t>
      </w:r>
      <w:r>
        <w:t xml:space="preserve">    </w:t>
      </w:r>
      <w:r>
        <w:rPr>
          <w:b/>
        </w:rPr>
        <w:t xml:space="preserve">DOI: </w:t>
      </w:r>
      <w:hyperlink r:id="rId191">
        <w:r>
          <w:rPr>
            <w:color w:val="1155CC"/>
            <w:u w:val="single"/>
          </w:rPr>
          <w:t>10.1002/anie.9985126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I型光动力疗法（PDT）克服了II型PDT对氧（O2）的依赖性，但开发高效缺氧电子转移光敏剂仍然具有挑战性。在此，我们提出了一种基于蒽醌（AQ）的单组分“电子储库-泵”策略，以增强I型光敏剂的电子转移能力。在这种分子设计中，AQ骨架作为内在的电子储库，而富电子的四苯乙烯（TPE）作为电子泵，积极捐赠电子。协同的储库-泵相互作用使光敏剂AQTPE能够进行光不均化并生成自由基离子对：阴离子自由基有效还原O2形成超氧化物（O2−•），而阳离子自由基氧化关键代谢辅因子黄素腺嘌呤二核苷酸（FADH2），以破坏氧化还原稳态并抑制脂肪酸合酶（FASN）介导的代谢。相比之下，带有电子吸引取代基的对照光敏剂AQCN和AQNI保持单线态氧（1O2）生成。理论计算表明，AQTPE具有显著降低的单线态-三线态能量差（ΔEST = 0.01 eV）和增强的自旋轨道</w:t>
      </w:r>
    </w:p>
    <w:p>
      <w:pPr>
        <w:spacing w:before="0" w:after="200" w:lineRule="auto" w:line="276"/>
      </w:pPr>
      <w:r>
        <w:rPr>
          <w:b/>
        </w:rPr>
        <w:t xml:space="preserve">Abstract (EN): </w:t>
      </w:r>
      <w:r>
        <w:t>Type I photodynamic therapy (PDT) overcomes oxygen (O</w:t>
      </w:r>
      <w:r>
        <w:rPr>
          <w:vertAlign w:val="subscript"/>
        </w:rPr>
        <w:t>2</w:t>
      </w:r>
      <w:r>
        <w:t>) dependence of type II PDT, but developing hypoxia‐efficient electron‐transfer photosensitizers remains challenging. Herein, we proposed an anthraquinone (AQ)‐based single‐component “electron reservoir‐pump” strategy to enhance the electron transfer ability of type I photosensitizers. In this molecular design, the AQ scaffold functioned as an intrinsic electron reservoir, while the electron‐rich tetraphenylethylene (TPE) served as an electron pump that actively donated electrons. The synergistic reservoir‐pump interaction enabled the photosensitizer AQTPE to undergo photo‐disproportionation and generate radical ion pairs: the anionic radical efficiently reduced O</w:t>
      </w:r>
      <w:r>
        <w:rPr>
          <w:vertAlign w:val="subscript"/>
        </w:rPr>
        <w:t>2</w:t>
      </w:r>
      <w:r>
        <w:t>to form superoxide (O</w:t>
      </w:r>
      <w:r>
        <w:rPr>
          <w:vertAlign w:val="subscript"/>
        </w:rPr>
        <w:t>2</w:t>
      </w:r>
      <w:r>
        <w:t>−•</w:t>
      </w:r>
      <w:r>
        <w:t xml:space="preserve"> </w:t>
      </w:r>
      <w:r>
        <w:t>), while the cationic radical oxidized key metabolic cofactor flavin adenine dinucleotide (FADH</w:t>
      </w:r>
      <w:r>
        <w:rPr>
          <w:vertAlign w:val="subscript"/>
        </w:rPr>
        <w:t>2</w:t>
      </w:r>
      <w:r>
        <w:t>) to disrupt redox homeostasis and suppress fatty acid synthase (FASN)‐mediated metabolism. In contrast, control photosensitizers AQCN and AQNI bearing electron‐withdrawing substituents maintained singlet oxygen (</w:t>
      </w:r>
      <w:r>
        <w:rPr>
          <w:vertAlign w:val="subscript"/>
        </w:rPr>
        <w:t>1</w:t>
      </w:r>
      <w:r>
        <w:t>O</w:t>
      </w:r>
      <w:r>
        <w:rPr>
          <w:vertAlign w:val="subscript"/>
        </w:rPr>
        <w:t>2</w:t>
      </w:r>
      <w:r>
        <w:t>) generation. Theoretical calculations revealed that AQTPE possessed a markedly reduced singlet‐triplet energy gap (Δ</w:t>
      </w:r>
      <w:r>
        <w:t xml:space="preserve"> </w:t>
      </w:r>
      <w:r>
        <w:t>E</w:t>
      </w:r>
      <w:r>
        <w:t xml:space="preserve"> </w:t>
      </w:r>
      <w:r>
        <w:t>ST</w:t>
      </w:r>
      <w:r>
        <w:t xml:space="preserve"> </w:t>
      </w:r>
      <w:r>
        <w:t>= 0.01 eV) and enhanced spin‐orbit coupling (7.538 cm</w:t>
      </w:r>
      <w:r>
        <w:t xml:space="preserve"> </w:t>
      </w:r>
      <w:r>
        <w:t>−1</w:t>
      </w:r>
      <w:r>
        <w:t xml:space="preserve"> </w:t>
      </w:r>
      <w:r>
        <w:t>), facilitating intersystem crossing. Notably, AQTPE nanoparticles exhibited potent type I photodynamic activity and robust tumor suppression even under hypoxic conditions. This study establishes a molecular electronegativity‐modulation framework for integrating electron reservoir‐pump systems within single‐component photosensitizers, offering a general design principle for next‐generation metabolism‐targeted and hypoxia‐tolerant photosensitizers.</w:t>
      </w:r>
    </w:p>
    <w:p>
      <w:pPr>
        <w:spacing w:before="120" w:after="120"/>
      </w:pPr>
      <w:r>
        <w:rPr>
          <w:sz w:val="18"/>
        </w:rPr>
        <w:t>——————————————————————————————————————————————————————————————————————</w:t>
      </w:r>
    </w:p>
    <w:p>
      <w:pPr>
        <w:spacing w:before="160" w:after="40" w:line="240" w:lineRule="auto"/>
      </w:pPr>
      <w:r>
        <w:rPr>
          <w:b/>
        </w:rPr>
        <w:t xml:space="preserve">[34] </w:t>
      </w:r>
      <w:hyperlink r:id="rId192">
        <w:r>
          <w:rPr>
            <w:color w:val="1155CC"/>
            <w:u w:val="single"/>
          </w:rPr>
          <w:t>铜(I) [2.2]异吲哚啉基-卡宾咔唑盐在深红至近红外范围内的高效机械变色热激活延迟荧光</w:t>
        </w:r>
      </w:hyperlink>
    </w:p>
    <w:p>
      <w:pPr>
        <w:spacing w:before="0" w:after="80"/>
      </w:pPr>
      <w:r>
        <w:rPr>
          <w:i/>
          <w:sz w:val="20"/>
        </w:rPr>
        <w:t>EN: Highly Efficient Mechanochromic Thermally Activated Delayed Fluorescence in the Deep Red to Near‐Infrared in Copper(I) [2.2]Isoindolinophanyl‐Carbene Carbazolates</w:t>
      </w:r>
    </w:p>
    <w:p>
      <w:pPr>
        <w:spacing w:before="0" w:after="120"/>
      </w:pPr>
      <w:r>
        <w:rPr>
          <w:b/>
        </w:rPr>
        <w:t xml:space="preserve">Source: </w:t>
      </w:r>
      <w:r>
        <w:t>Wiley: Angewandte Chemie International Edition: Table of Contents</w:t>
      </w:r>
      <w:r>
        <w:t xml:space="preserve">    </w:t>
      </w:r>
      <w:r>
        <w:rPr>
          <w:b/>
        </w:rPr>
        <w:t xml:space="preserve">Pub date: </w:t>
      </w:r>
      <w:r>
        <w:t>2026-04-25 11:11:02+00:00</w:t>
      </w:r>
      <w:r>
        <w:t xml:space="preserve">    </w:t>
      </w:r>
      <w:r>
        <w:rPr>
          <w:b/>
        </w:rPr>
        <w:t xml:space="preserve">DOI: </w:t>
      </w:r>
      <w:hyperlink r:id="rId193">
        <w:r>
          <w:rPr>
            <w:color w:val="1155CC"/>
            <w:u w:val="single"/>
          </w:rPr>
          <w:t>10.1002/anie.5338298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低能量三重态发射体对于OLED和基于光纤的IT应用的发展具有高度相关性，但通常由于能量间隙定律（EGL）而遭受非辐射衰减。通过热激活延迟荧光（TADF）增强辐射衰减速率，可以限制激发态去活化，绕过自旋禁阻的磷光。我们报道了一种线性铜(I)配合物，带有最近报道的[2.2]异吲哚啉基-卡宾（iPC）配体，作为有效的激发态π-受体。该化合物显示出从配体到配体电荷转移（1/3LLCT）状态的高效TADF，具有反向系间交叉（RISC）速率常数kRISC = 0.6–21·10^9 s−1，量子产率高达0.8和kTADF为0.8-1.9·10^6 s−1，是CuI发射体中最快的之一，优于基于IrIII和PtII的传统三重态发射体以及有机深红至近红外TADF发射体。虽然在单晶中观察到黄色至红色发射，但将配合物嵌入聚合物或研磨会将发光转移到深红至近红外。机械变色是由于破坏</w:t>
      </w:r>
    </w:p>
    <w:p>
      <w:pPr>
        <w:spacing w:before="0" w:after="200" w:lineRule="auto" w:line="276"/>
      </w:pPr>
      <w:r>
        <w:rPr>
          <w:b/>
        </w:rPr>
        <w:t xml:space="preserve">Abstract (EN): </w:t>
      </w:r>
      <w:r>
        <w:t>Low energy triplet emitters are highly relevant for the development of OLEDs and fiber optics‐based IT applications, but typically suffer from nonradiative decay due to the energy gap law (EGL). Excited state deactivation can be limited by enhancing the radiative decay rate via thermally activated delayed fluorescence (TADF), bypassing spin‐forbidden phosphorescence. We report on linear copper(I) complexes bearing a recently reported [2.2]isoindolinophanyl‐carbene (iPC) ligand as potent excited state π‐acceptor. The compounds show efficient TADF from ligand‐to‐ligand charge transfer (</w:t>
      </w:r>
      <w:r>
        <w:t xml:space="preserve"> </w:t>
      </w:r>
      <w:r>
        <w:t>1/3</w:t>
      </w:r>
      <w:r>
        <w:t xml:space="preserve"> </w:t>
      </w:r>
      <w:r>
        <w:t>LLCT) states with reverse intersystem‐crossing (RISC) of</w:t>
      </w:r>
      <w:r>
        <w:t xml:space="preserve"> </w:t>
      </w:r>
      <w:r>
        <w:t>k</w:t>
      </w:r>
      <w:r>
        <w:t xml:space="preserve"> </w:t>
      </w:r>
      <w:r>
        <w:t>RISC</w:t>
      </w:r>
      <w:r>
        <w:t xml:space="preserve"> </w:t>
      </w:r>
      <w:r>
        <w:t>= 0.6–21·10</w:t>
      </w:r>
      <w:r>
        <w:rPr>
          <w:vertAlign w:val="subscript"/>
        </w:rPr>
        <w:t>9</w:t>
      </w:r>
      <w:r>
        <w:t>s</w:t>
      </w:r>
      <w:r>
        <w:t xml:space="preserve"> </w:t>
      </w:r>
      <w:r>
        <w:t>−1</w:t>
      </w:r>
      <w:r>
        <w:t xml:space="preserve"> </w:t>
      </w:r>
      <w:r>
        <w:t>, quantum yields of up to 0.8 and</w:t>
      </w:r>
      <w:r>
        <w:t xml:space="preserve"> </w:t>
      </w:r>
      <w:r>
        <w:t>k</w:t>
      </w:r>
      <w:r>
        <w:t xml:space="preserve"> </w:t>
      </w:r>
      <w:r>
        <w:t>TADF</w:t>
      </w:r>
      <w:r>
        <w:t xml:space="preserve"> </w:t>
      </w:r>
      <w:r>
        <w:t>of 0.8‐1.9·10</w:t>
      </w:r>
      <w:r>
        <w:rPr>
          <w:vertAlign w:val="subscript"/>
        </w:rPr>
        <w:t>6</w:t>
      </w:r>
      <w:r>
        <w:t>s</w:t>
      </w:r>
      <w:r>
        <w:t xml:space="preserve"> </w:t>
      </w:r>
      <w:r>
        <w:t>−1</w:t>
      </w:r>
      <w:r>
        <w:t xml:space="preserve"> </w:t>
      </w:r>
      <w:r>
        <w:t>that are among the fastest for Cu</w:t>
      </w:r>
      <w:r>
        <w:t xml:space="preserve"> </w:t>
      </w:r>
      <w:r>
        <w:t>I</w:t>
      </w:r>
      <w:r>
        <w:t xml:space="preserve"> </w:t>
      </w:r>
      <w:r>
        <w:t>emitters, outcompeting traditional triplet emitters based on Ir</w:t>
      </w:r>
      <w:r>
        <w:t xml:space="preserve"> </w:t>
      </w:r>
      <w:r>
        <w:t>III</w:t>
      </w:r>
      <w:r>
        <w:t xml:space="preserve"> </w:t>
      </w:r>
      <w:r>
        <w:t>and Pt</w:t>
      </w:r>
      <w:r>
        <w:t xml:space="preserve"> </w:t>
      </w:r>
      <w:r>
        <w:t>II</w:t>
      </w:r>
      <w:r>
        <w:t xml:space="preserve"> </w:t>
      </w:r>
      <w:r>
        <w:t>as well as organic deep red to near‐IR TADF emitters. While yellow to red emission is observed in single crystals, embedding the complexes into polymers or grinding shifts the luminescence into the deep red to near‐IR. The mechanochromism is due to disruption of C─H⋯π interactions between the ligands, reducing the energy gap between the ground state and</w:t>
      </w:r>
      <w:r>
        <w:t xml:space="preserve"> </w:t>
      </w:r>
      <w:r>
        <w:t>1/3</w:t>
      </w:r>
      <w:r>
        <w:t xml:space="preserve"> </w:t>
      </w:r>
      <w:r>
        <w:t>LLCT states. The Cu</w:t>
      </w:r>
      <w:r>
        <w:t xml:space="preserve"> </w:t>
      </w:r>
      <w:r>
        <w:t>I</w:t>
      </w:r>
      <w:r>
        <w:t xml:space="preserve"> </w:t>
      </w:r>
      <w:r>
        <w:t>iPC complexes bear potential for devices operating under electroluminescent conditions as demonstrated by a proof‐of‐concept deep‐red OLED application.</w:t>
      </w:r>
    </w:p>
    <w:p>
      <w:pPr>
        <w:spacing w:before="120" w:after="120"/>
      </w:pPr>
      <w:r>
        <w:rPr>
          <w:sz w:val="18"/>
        </w:rPr>
        <w:t>——————————————————————————————————————————————————————————————————————</w:t>
      </w:r>
    </w:p>
    <w:p>
      <w:pPr>
        <w:spacing w:before="160" w:after="40" w:line="240" w:lineRule="auto"/>
      </w:pPr>
      <w:r>
        <w:rPr>
          <w:b/>
        </w:rPr>
        <w:t xml:space="preserve">[35] </w:t>
      </w:r>
      <w:hyperlink r:id="rId194">
        <w:r>
          <w:rPr>
            <w:color w:val="1155CC"/>
            <w:u w:val="single"/>
          </w:rPr>
          <w:t>仿生淀粉-多碘化物电解质用于自愈合锂金属界面和稳定的光电化学能量存储</w:t>
        </w:r>
      </w:hyperlink>
    </w:p>
    <w:p>
      <w:pPr>
        <w:spacing w:before="0" w:after="80"/>
      </w:pPr>
      <w:r>
        <w:rPr>
          <w:i/>
          <w:sz w:val="20"/>
        </w:rPr>
        <w:t>EN: Bioinspired Starch‐Polyiodide Electrolytes for Self‐Healing Lithium‐Metal Interfaces and Stable Photoelectrochemical Energy Storage</w:t>
      </w:r>
    </w:p>
    <w:p>
      <w:pPr>
        <w:spacing w:before="0" w:after="120"/>
      </w:pPr>
      <w:r>
        <w:rPr>
          <w:b/>
        </w:rPr>
        <w:t xml:space="preserve">Source: </w:t>
      </w:r>
      <w:r>
        <w:t>Wiley: Angewandte Chemie International Edition: Table of Contents</w:t>
      </w:r>
      <w:r>
        <w:t xml:space="preserve">    </w:t>
      </w:r>
      <w:r>
        <w:rPr>
          <w:b/>
        </w:rPr>
        <w:t xml:space="preserve">Pub date: </w:t>
      </w:r>
      <w:r>
        <w:t>2026-04-25 11:12:01+00:00</w:t>
      </w:r>
      <w:r>
        <w:t xml:space="preserve">    </w:t>
      </w:r>
      <w:r>
        <w:rPr>
          <w:b/>
        </w:rPr>
        <w:t xml:space="preserve">DOI: </w:t>
      </w:r>
      <w:hyperlink r:id="rId195">
        <w:r>
          <w:rPr>
            <w:color w:val="1155CC"/>
            <w:u w:val="single"/>
          </w:rPr>
          <w:t>10.1002/anie.7391407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高能量密度电源的发展与集成能量收集能力对于推进可穿戴电子设备至关重要。在此，受植物根系在动态化学环境中稳态离子调节机制的启发，我们开发了一种仿生淀粉-多碘化物固体聚合物电解质，用于构建集成光可充电能量存储系统。功能化淀粉-多碘化物的引入重新配置了PVDF基质拓扑结构，调节了全反式（TTTT）构象并锚定阴离子，从而优化锂离子传输并提高离子电导率，同时实现阳极界面死锂自愈和光电化学存储阴极（PSC）的缺陷钝化。原位表征和理论计算表明，添加剂促进了多电子转移并形成了功能缓冲层，协同稳定了锂金属阳极界面，同时抑制了PSC的离子迁移。该机制建立了稳固的固体电解质界面并提高了集成设备的整体能量存储效率。最终的柔性集成设备表现出卓越的性能，在1 C下经过450个循环后保持85%的容量和95.2%的能量效率，同时保持优异的机械柔韧性和高效的光电转换。该工作为开发集成高离子电导率、界面稳定性的柔性能量存储系统提供了一种新策略。</w:t>
      </w:r>
    </w:p>
    <w:p>
      <w:pPr>
        <w:spacing w:before="0" w:after="200" w:lineRule="auto" w:line="276"/>
      </w:pPr>
      <w:r>
        <w:rPr>
          <w:b/>
        </w:rPr>
        <w:t xml:space="preserve">Abstract (EN): </w:t>
      </w:r>
      <w:r>
        <w:t>The development of high‐energy‐density power sources with integrated energy harvesting capabilities is crucial for advancing wearable electronics. Herein, inspired by the homeostatic ion regulation mechanisms of plant roots in dynamic chemical environments, we developed a biomimetic starch‐polyiodide solid polymer electrolyte for constructing an integrated photo‐rechargeable energy storage system. The incorporation of functionalized starch‐polyiodides reconfigures the PVDF matrix topology, modulates the all‐trans (TTTT) conformation and anchors anions, thereby optimizing lithium‐ion transport and enhancing ionic conductivity, while enabling interfacial dead‐lithium self‐healing at the anode and defect passivation of the photoelectrochemical storage cathode (PSC). In situ characterization and theoretical calculations revealed that the additive facilitated multi‐electron transfer and formed a functional buffer layer, which synergistically stabilized the lithium metal anode interface while suppressing ion migration at the PSC. This mechanism established a robust solid electrolyte interphase and improved the overall energy storage efficiency of the integrated device. The resulting flexible integrated device demonstrated outstanding performance, retaining 85% capacity and 95.2% energy efficiency after 450 cycles at 1 C while preserving superior mechanical flexibility and efficient photo‐electric conversion. This work provides a novel strategy for developing flexible energy storage systems that integrate high ionic conductivity, interfacial stability, and photo‐electrochemical synergy.</w:t>
      </w:r>
    </w:p>
    <w:p>
      <w:pPr>
        <w:spacing w:before="120" w:after="120"/>
      </w:pPr>
      <w:r>
        <w:rPr>
          <w:sz w:val="18"/>
        </w:rPr>
        <w:t>——————————————————————————————————————————————————————————————————————</w:t>
      </w:r>
    </w:p>
    <w:p>
      <w:pPr>
        <w:spacing w:before="160" w:after="40" w:line="240" w:lineRule="auto"/>
      </w:pPr>
      <w:r>
        <w:rPr>
          <w:b/>
        </w:rPr>
        <w:t xml:space="preserve">[36] </w:t>
      </w:r>
      <w:hyperlink r:id="rId196">
        <w:r>
          <w:rPr>
            <w:color w:val="1155CC"/>
            <w:u w:val="single"/>
          </w:rPr>
          <w:t>光诱导分散的Pd单原子提供光催化H2生成的稳态稳定活性</w:t>
        </w:r>
      </w:hyperlink>
    </w:p>
    <w:p>
      <w:pPr>
        <w:spacing w:before="0" w:after="80"/>
      </w:pPr>
      <w:r>
        <w:rPr>
          <w:i/>
          <w:sz w:val="20"/>
        </w:rPr>
        <w:t>EN: Light‐Induced Dispersion of Pd Single Atoms Provides Steady‐State‐Stabilized Activity for Photocatalytic H2 Generation</w:t>
      </w:r>
    </w:p>
    <w:p>
      <w:pPr>
        <w:spacing w:before="0" w:after="120"/>
      </w:pPr>
      <w:r>
        <w:rPr>
          <w:b/>
        </w:rPr>
        <w:t xml:space="preserve">Source: </w:t>
      </w:r>
      <w:r>
        <w:t>Wiley: Angewandte Chemie International Edition: Table of Contents</w:t>
      </w:r>
      <w:r>
        <w:t xml:space="preserve">    </w:t>
      </w:r>
      <w:r>
        <w:rPr>
          <w:b/>
        </w:rPr>
        <w:t xml:space="preserve">Pub date: </w:t>
      </w:r>
      <w:r>
        <w:t>2026-04-25 11:12:45+00:00</w:t>
      </w:r>
      <w:r>
        <w:t xml:space="preserve">    </w:t>
      </w:r>
      <w:r>
        <w:rPr>
          <w:b/>
        </w:rPr>
        <w:t xml:space="preserve">DOI: </w:t>
      </w:r>
      <w:hyperlink r:id="rId197">
        <w:r>
          <w:rPr>
            <w:color w:val="1155CC"/>
            <w:u w:val="single"/>
          </w:rPr>
          <w:t>10.1002/anie.9243644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近年来，单原子（SAs）的使用在光催化中变得越来越重要。特别是，Pt和Pd的SA贵金属可以作为氢生产反应的高效助催化剂。使用SA催化剂的主要挑战是团聚，尤其是对于光催化剂，光诱导的团聚会迅速降低催化性能。然而，我们展示了在理想的平坦TiO2薄膜平台上的Pd SAs，在恒定且足够高的光子通量下，可以保持高度分散和高度活跃的SA配置，即可以防止团聚成纳米颗粒和活性损失。我们将此归因于高氢负载对由少量原子组成的Pd二维筏的去稳定化效应以及Pd-H中间体的高迁移性。这与Pt形成对比，提供了一种能量学，允许维持分散-聚集平衡，从而在宏观上提供了在光催化实验中显著高的SA稳定性，保持光催化剂处于最高活性状态。</w:t>
      </w:r>
    </w:p>
    <w:p>
      <w:pPr>
        <w:spacing w:before="0" w:after="200" w:lineRule="auto" w:line="276"/>
      </w:pPr>
      <w:r>
        <w:rPr>
          <w:b/>
        </w:rPr>
        <w:t xml:space="preserve">Abstract (EN): </w:t>
      </w:r>
      <w:r>
        <w:t>In recent years, the use of single atoms (SAs) has become increasingly significant in photocatalysis. Particularly, SA noble metals of Pt and Pd can act as highly effective co‐catalysts for the hydrogen production reaction. The main challenge in the use of SA catalysts is agglomeration, and most importantly, for photocatalysts, light‐induced agglomeration that rapidly degrades the catalytic performance. Here, we show, however, that for Pd SAs on an ideal flat TiO</w:t>
      </w:r>
      <w:r>
        <w:rPr>
          <w:vertAlign w:val="subscript"/>
        </w:rPr>
        <w:t>2</w:t>
      </w:r>
      <w:r>
        <w:t>thin‐film platform, under a constant, sufficiently high photon flux, a highly dispersed and highly active SA configuration can be maintained, i.e., agglomeration to nanoparticles and activity loss can be prevented. We ascribe this, supported by DFT, to the destabilizing effect of a high hydrogen loading on Pd 2D rafts consisting of few atoms and the high mobility of the Pd‐H intermediates. This, in contrast to Pt, provides an energetics that allows to maintain a dispersion‐aggregation equilibrium, which results in a steady‐state that macroscopically can provide a remarkably high SA‐stability during photocatalytic experiments, maintaining the photocatalyst in a state of highest activity.</w:t>
      </w:r>
    </w:p>
    <w:p>
      <w:pPr>
        <w:spacing w:before="120" w:after="120"/>
      </w:pPr>
      <w:r>
        <w:rPr>
          <w:sz w:val="18"/>
        </w:rPr>
        <w:t>——————————————————————————————————————————————————————————————————————</w:t>
      </w:r>
    </w:p>
    <w:p>
      <w:pPr>
        <w:spacing w:before="160" w:after="40" w:line="240" w:lineRule="auto"/>
      </w:pPr>
      <w:r>
        <w:rPr>
          <w:b/>
        </w:rPr>
        <w:t xml:space="preserve">[37] </w:t>
      </w:r>
      <w:hyperlink r:id="rId198">
        <w:r>
          <w:rPr>
            <w:color w:val="1155CC"/>
            <w:u w:val="single"/>
          </w:rPr>
          <w:t>通过晶体工程指导的反应设计实现的单选择性机械化学芳香亲核取代</w:t>
        </w:r>
      </w:hyperlink>
    </w:p>
    <w:p>
      <w:pPr>
        <w:spacing w:before="0" w:after="80"/>
      </w:pPr>
      <w:r>
        <w:rPr>
          <w:i/>
          <w:sz w:val="20"/>
        </w:rPr>
        <w:t>EN: Monoselective Mechanochemical Aromatic Nucleophilic Substitution Enabled by Crystal‐Engineering‐Guided Reaction Design</w:t>
      </w:r>
    </w:p>
    <w:p>
      <w:pPr>
        <w:spacing w:before="0" w:after="120"/>
      </w:pPr>
      <w:r>
        <w:rPr>
          <w:b/>
        </w:rPr>
        <w:t xml:space="preserve">Source: </w:t>
      </w:r>
      <w:r>
        <w:t>Wiley: Angewandte Chemie International Edition: Table of Contents</w:t>
      </w:r>
      <w:r>
        <w:t xml:space="preserve">    </w:t>
      </w:r>
      <w:r>
        <w:rPr>
          <w:b/>
        </w:rPr>
        <w:t xml:space="preserve">Pub date: </w:t>
      </w:r>
      <w:r>
        <w:t>2026-04-25 11:13:43+00:00</w:t>
      </w:r>
      <w:r>
        <w:t xml:space="preserve">    </w:t>
      </w:r>
      <w:r>
        <w:rPr>
          <w:b/>
        </w:rPr>
        <w:t xml:space="preserve">DOI: </w:t>
      </w:r>
      <w:hyperlink r:id="rId199">
        <w:r>
          <w:rPr>
            <w:color w:val="1155CC"/>
            <w:u w:val="single"/>
          </w:rPr>
          <w:t>10.1002/anie.2656827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使用球磨的机械化学固态有机转化不仅代表了一种可持续且高效的合成方法，还表现出与传统溶液相反应显著不同的反应性模式。然而，利用固态分子独特行为的位点和化学选择性合成策略的合理设计仍然很少被探索。在此，我们提出了一种基于有机晶体工程方法的新反应，以实现单选择性亲核芳香取代（SNAr）反应。全氟芳烃衍生物与咔唑作为亲核试剂的机械化学固态SNAr反应选择性地获得了单取代产物。相比之下，相应的溶液反应则产生了单取代和双取代产物的混合物。单晶X射线衍射分析显示，单取代产物中电子缺乏的全氟芳烃部分与电子丰富的咔唑单元之间存在强π–π相互作用。这些芳烃-全氟芳烃相互作用导致形成的晶体固体比起始材料反应性更低，从而抑制了第二次取代并确保了显著的单选择性。本研究代表了一种新颖的方法，利用晶体工程原理设计选择性固态有机转化，这在传统溶液中难以实现。</w:t>
      </w:r>
    </w:p>
    <w:p>
      <w:pPr>
        <w:spacing w:before="0" w:after="200" w:lineRule="auto" w:line="276"/>
      </w:pPr>
      <w:r>
        <w:rPr>
          <w:b/>
        </w:rPr>
        <w:t xml:space="preserve">Abstract (EN): </w:t>
      </w:r>
      <w:r>
        <w:t>Mechanochemical solid‐state organic transformations using ball milling not only represent a sustainable and efficient synthetic approach but also exhibit reactivity patterns that are remarkably different from conventional solution‐phase reactions. However, the rational design of site‐ and chemoselective synthetic strategies that harness the distinct behavior of solid‐state molecules remains largely unexplored. Here, we present a new reaction based on an organic crystal‐engineering approach to achieve monoselective nucleophilic aromatic substitution (S</w:t>
      </w:r>
      <w:r>
        <w:t xml:space="preserve"> </w:t>
      </w:r>
      <w:r>
        <w:t>N</w:t>
      </w:r>
      <w:r>
        <w:t xml:space="preserve"> </w:t>
      </w:r>
      <w:r>
        <w:t>Ar) reactions. The mechanochemical solid‐state S</w:t>
      </w:r>
      <w:r>
        <w:t xml:space="preserve"> </w:t>
      </w:r>
      <w:r>
        <w:t>N</w:t>
      </w:r>
      <w:r>
        <w:t xml:space="preserve"> </w:t>
      </w:r>
      <w:r>
        <w:t>Ar reactions of perfluoroarene derivatives with carbazoles as nucleophiles selectively afforded the monosubstituted products. In contrast, the corresponding solution‐based reactions yielded a mixture of mono‐ and disubstituted products. Single‐crystal X‐ray diffraction analysis of the monosubstituted products revealed strong π–π interactions between the electron‐deficient perfluoroarene moiety and the electron‐rich carbazole unit. These arene–perfluoarene interactions lead to the formation of crystalline solids that are less reactive than the starting materials, thereby suppressing the second substitution and ensuring pronounced monoselectivity. The present study represents a novel approach that leverages a crystal‐engineering principle to design selective solid‐state organic transformations that are difficult to achieve via conventional solution‐based synthesis.</w:t>
      </w:r>
    </w:p>
    <w:p>
      <w:pPr>
        <w:spacing w:before="120" w:after="120"/>
      </w:pPr>
      <w:r>
        <w:rPr>
          <w:sz w:val="18"/>
        </w:rPr>
        <w:t>——————————————————————————————————————————————————————————————————————</w:t>
      </w:r>
    </w:p>
    <w:p>
      <w:pPr>
        <w:spacing w:before="160" w:after="40" w:line="240" w:lineRule="auto"/>
      </w:pPr>
      <w:r>
        <w:rPr>
          <w:b/>
        </w:rPr>
        <w:t xml:space="preserve">[38] </w:t>
      </w:r>
      <w:hyperlink r:id="rId200">
        <w:r>
          <w:rPr>
            <w:color w:val="1155CC"/>
            <w:u w:val="single"/>
          </w:rPr>
          <w:t>[ASAP] 通过多重柔性基团协同极化策略设计高性能红外非线性光学晶体</w:t>
        </w:r>
      </w:hyperlink>
    </w:p>
    <w:p>
      <w:pPr>
        <w:spacing w:before="0" w:after="80"/>
      </w:pPr>
      <w:r>
        <w:rPr>
          <w:i/>
          <w:sz w:val="20"/>
        </w:rPr>
        <w:t>EN: [ASAP] Design of a High-Performance Infrared Nonlinear Optical Crystal via a Multiple Flexible-Group Synergistic Polarization Strategy</w:t>
      </w:r>
    </w:p>
    <w:p>
      <w:pPr>
        <w:spacing w:before="0" w:after="120"/>
      </w:pPr>
      <w:r>
        <w:rPr>
          <w:b/>
        </w:rPr>
        <w:t xml:space="preserve">Source: </w:t>
      </w:r>
      <w:r>
        <w:t>Journal of the American Chemical Society: Latest Articles (ACS Publications)</w:t>
      </w:r>
      <w:r>
        <w:t xml:space="preserve">    </w:t>
      </w:r>
      <w:r>
        <w:rPr>
          <w:b/>
        </w:rPr>
        <w:t xml:space="preserve">Pub date: </w:t>
      </w:r>
      <w:r>
        <w:t>2026-04-25 13:19:01+00:00</w:t>
      </w:r>
      <w:r>
        <w:t xml:space="preserve">    </w:t>
      </w:r>
      <w:r>
        <w:rPr>
          <w:b/>
        </w:rPr>
        <w:t xml:space="preserve">DOI: </w:t>
      </w:r>
      <w:hyperlink r:id="rId201">
        <w:r>
          <w:rPr>
            <w:color w:val="1155CC"/>
            <w:u w:val="single"/>
          </w:rPr>
          <w:t>10.1021/jacs.6c04439</w:t>
        </w:r>
      </w:hyperlink>
    </w:p>
    <w:p>
      <w:pPr>
        <w:spacing w:before="0" w:after="120"/>
      </w:pPr>
      <w:r>
        <w:rPr>
          <w:b/>
        </w:rPr>
        <w:t xml:space="preserve">Notes: </w:t>
      </w:r>
      <w:r>
        <w:t>abstract_source=openalex</w:t>
      </w:r>
    </w:p>
    <w:p>
      <w:pPr>
        <w:spacing w:before="0" w:after="80" w:lineRule="auto" w:line="276"/>
      </w:pPr>
      <w:r>
        <w:rPr>
          <w:b/>
        </w:rPr>
        <w:t xml:space="preserve">摘要（ZH）: </w:t>
      </w:r>
      <w:r>
        <w:t>高性能红外（IR）非线性光学（NLO）晶体的发展面临着大NLO系数、高激光损伤阈值（LDT）和宽IR透明范围之间的矛盾要求的根本挑战。我们建立了类金刚石化合物中非线性光学响应的结构-性质关系，即NLO系数dijk与平均柔性指数F之间的六次方标度关系，即dijk ∝ F6。基于这一关系，提出了一种多柔性基团协同极化策略，该策略成功指导了一个卓越的IR NLO晶体Cd2In3Si2P7（CISP）的发现。CISP在报告的pnictide NLO晶体中表现出最大的SHG效应（8.8 × AgGaS2（AGS）和2.5 × ZnGeP2（ZGP）@ 2050 nm），高NLO系数（d22和d23 = 137.6和89.3 pm/V @ 1500 nm），高LDT（10.3 × AGS），中等双折射（0.098 @ 2050 nm），以及宽IR传输范围（0.62–18.0 μm）。卓越的综合性能突显了其作为一种有前途的IR NLO材料的显著潜力。这项工作不仅为IR NLO晶体的设计提供了一种策略，还引入了一种简单而强大的描述符，用于理解可极化功能材料中的结构-性质相关性。</w:t>
      </w:r>
    </w:p>
    <w:p>
      <w:pPr>
        <w:spacing w:before="0" w:after="200" w:lineRule="auto" w:line="276"/>
      </w:pPr>
      <w:r>
        <w:rPr>
          <w:b/>
        </w:rPr>
        <w:t xml:space="preserve">Abstract (EN): </w:t>
      </w:r>
      <w:r>
        <w:t>The development of high-performance infrared (IR) nonlinear optical (NLO) crystals is fundamentally challenged by the conflicting requirements for a large NLO coefficient, a high laser damage threshold (LDT), and a broad IR transparency range. We establish a structure–property relationship governing nonlinear optical response in diamond-like compounds, namely, a sixth-power scaling relation between the NLO coefficient dijk and average flexibility index F, i.e., dijk ∝ F6. Based on this relation, a multiple flexible-group synergistic polarization strategy is proposed, which successfully guided the discovery of an exceptional IR NLO crystal, Cd2In3Si2P7 (CISP). CISP exhibits the largest recorded SHG effect (8.8 × AgGaS2 (AGS) and 2.5 × ZnGeP2 (ZGP) @ 2050 nm) among reported pnictide NLO crystals, high NLO coefficients (d22 and d23 = 137.6 and 89.3 pm/V @ 1500 nm, respectively), a high LDT (10.3 × AGS), a moderate birefringence (0.098 @ 2050 nm), and a broad IR transmission range (0.62–18.0 μm). The outstanding comprehensive performances underscore its significant potential as a promising IR NLO material. This work not only provides a strategy for the design of IR NLO crystals but also introduces a straightforward yet powerful descriptor for understanding the structure–property correlation in polarizable functional materials.</w:t>
      </w:r>
    </w:p>
    <w:p>
      <w:pPr>
        <w:spacing w:before="120" w:after="120"/>
      </w:pPr>
      <w:r>
        <w:rPr>
          <w:sz w:val="18"/>
        </w:rPr>
        <w:t>——————————————————————————————————————————————————————————————————————</w:t>
      </w:r>
    </w:p>
    <w:p>
      <w:pPr>
        <w:spacing w:before="160" w:after="40" w:line="240" w:lineRule="auto"/>
      </w:pPr>
      <w:r>
        <w:rPr>
          <w:b/>
        </w:rPr>
        <w:t xml:space="preserve">[39] </w:t>
      </w:r>
      <w:hyperlink r:id="rId202">
        <w:r>
          <w:rPr>
            <w:color w:val="1155CC"/>
            <w:u w:val="single"/>
          </w:rPr>
          <w:t>为减轻日内灵活性响应引起的振动区穿越，梯级水电机组的日前优化调度</w:t>
        </w:r>
      </w:hyperlink>
    </w:p>
    <w:p>
      <w:pPr>
        <w:spacing w:before="0" w:after="80"/>
      </w:pPr>
      <w:r>
        <w:rPr>
          <w:i/>
          <w:sz w:val="20"/>
        </w:rPr>
        <w:t>EN: Day-ahead optimal scheduling for cascade hydropower units to mitigate vibration zone crossing induced by intra-day flexibility response</w:t>
      </w:r>
    </w:p>
    <w:p>
      <w:pPr>
        <w:spacing w:before="0" w:after="120"/>
      </w:pPr>
      <w:r>
        <w:rPr>
          <w:b/>
        </w:rPr>
        <w:t xml:space="preserve">Source: </w:t>
      </w:r>
      <w:r>
        <w:t>ScienceDirect Publication: Applied Energy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[40] </w:t>
      </w:r>
      <w:hyperlink r:id="rId203">
        <w:r>
          <w:rPr>
            <w:color w:val="1155CC"/>
            <w:u w:val="single"/>
          </w:rPr>
          <w:t>电池电动拖拉机的经济可行性和农民采用情况：系统文献综述</w:t>
        </w:r>
      </w:hyperlink>
    </w:p>
    <w:p>
      <w:pPr>
        <w:spacing w:before="0" w:after="80"/>
      </w:pPr>
      <w:r>
        <w:rPr>
          <w:i/>
          <w:sz w:val="20"/>
        </w:rPr>
        <w:t>EN: The economic feasibility and farmers’ adoption of battery electric tractors: a systematic literature review</w:t>
      </w:r>
    </w:p>
    <w:p>
      <w:pPr>
        <w:spacing w:before="0" w:after="120"/>
      </w:pPr>
      <w:r>
        <w:rPr>
          <w:b/>
        </w:rPr>
        <w:t xml:space="preserve">Source: </w:t>
      </w:r>
      <w:r>
        <w:t>ScienceDirect Publication: Applied Energy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[41] </w:t>
      </w:r>
      <w:hyperlink r:id="rId204">
        <w:r>
          <w:rPr>
            <w:color w:val="1155CC"/>
            <w:u w:val="single"/>
          </w:rPr>
          <w:t>风力涡轮机技术的最新进展：对过去几年（2015-2025年）创新和挑战的综述</w:t>
        </w:r>
      </w:hyperlink>
    </w:p>
    <w:p>
      <w:pPr>
        <w:spacing w:before="0" w:after="80"/>
      </w:pPr>
      <w:r>
        <w:rPr>
          <w:i/>
          <w:sz w:val="20"/>
        </w:rPr>
        <w:t>EN: Recent advances in wind turbine technologies: a review of innovations and challenges in the last years (2015–2025)</w:t>
      </w:r>
    </w:p>
    <w:p>
      <w:pPr>
        <w:spacing w:before="0" w:after="120"/>
      </w:pPr>
      <w:r>
        <w:rPr>
          <w:b/>
        </w:rPr>
        <w:t xml:space="preserve">Source: </w:t>
      </w:r>
      <w:r>
        <w:t>ScienceDirect Publication: Applied Energy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[42] </w:t>
      </w:r>
      <w:hyperlink r:id="rId205">
        <w:r>
          <w:rPr>
            <w:color w:val="1155CC"/>
            <w:u w:val="single"/>
          </w:rPr>
          <w:t>重型车辆技术经济评估的标准化框架：来自最先进的综述的见解</w:t>
        </w:r>
      </w:hyperlink>
    </w:p>
    <w:p>
      <w:pPr>
        <w:spacing w:before="0" w:after="80"/>
      </w:pPr>
      <w:r>
        <w:rPr>
          <w:i/>
          <w:sz w:val="20"/>
        </w:rPr>
        <w:t>EN: Standardized framework for techno-economic assessment of heavy-duty vehicles: Insights from a state-of-the-art review</w:t>
      </w:r>
    </w:p>
    <w:p>
      <w:pPr>
        <w:spacing w:before="0" w:after="120"/>
      </w:pPr>
      <w:r>
        <w:rPr>
          <w:b/>
        </w:rPr>
        <w:t xml:space="preserve">Source: </w:t>
      </w:r>
      <w:r>
        <w:t>ScienceDirect Publication: Applied Energy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[43] </w:t>
      </w:r>
      <w:hyperlink r:id="rId206">
        <w:r>
          <w:rPr>
            <w:color w:val="1155CC"/>
            <w:u w:val="single"/>
          </w:rPr>
          <w:t>E-BRT充电基础设施的综合规划框架：波哥大的案例研究</w:t>
        </w:r>
      </w:hyperlink>
    </w:p>
    <w:p>
      <w:pPr>
        <w:spacing w:before="0" w:after="80"/>
      </w:pPr>
      <w:r>
        <w:rPr>
          <w:i/>
          <w:sz w:val="20"/>
        </w:rPr>
        <w:t>EN: Integrated planning framework for E-BRT charging infrastructure: Case study of bogotá</w:t>
      </w:r>
    </w:p>
    <w:p>
      <w:pPr>
        <w:spacing w:before="0" w:after="120"/>
      </w:pPr>
      <w:r>
        <w:rPr>
          <w:b/>
        </w:rPr>
        <w:t xml:space="preserve">Source: </w:t>
      </w:r>
      <w:r>
        <w:t>ScienceDirect Publication: Applied Energy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[44] </w:t>
      </w:r>
      <w:hyperlink r:id="rId207">
        <w:r>
          <w:rPr>
            <w:color w:val="1155CC"/>
            <w:u w:val="single"/>
          </w:rPr>
          <w:t>电池储能系统（BESS）退化对电力系统扩展规划中的运营和投资决策的影响</w:t>
        </w:r>
      </w:hyperlink>
    </w:p>
    <w:p>
      <w:pPr>
        <w:spacing w:before="0" w:after="80"/>
      </w:pPr>
      <w:r>
        <w:rPr>
          <w:i/>
          <w:sz w:val="20"/>
        </w:rPr>
        <w:t>EN: BESS degradation effects over operational and investment decisions in power system expansion planning</w:t>
      </w:r>
    </w:p>
    <w:p>
      <w:pPr>
        <w:spacing w:before="0" w:after="120"/>
      </w:pPr>
      <w:r>
        <w:rPr>
          <w:b/>
        </w:rPr>
        <w:t xml:space="preserve">Source: </w:t>
      </w:r>
      <w:r>
        <w:t>ScienceDirect Publication: Applied Energy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[45] </w:t>
      </w:r>
      <w:hyperlink r:id="rId208">
        <w:r>
          <w:rPr>
            <w:color w:val="1155CC"/>
            <w:u w:val="single"/>
          </w:rPr>
          <w:t>在能源系统分析中桥接经济学和物理学：灵活性表示对模型结果的影响</w:t>
        </w:r>
      </w:hyperlink>
    </w:p>
    <w:p>
      <w:pPr>
        <w:spacing w:before="0" w:after="80"/>
      </w:pPr>
      <w:r>
        <w:rPr>
          <w:i/>
          <w:sz w:val="20"/>
        </w:rPr>
        <w:t>EN: Bridging economics and physics in energy systems analysis: Effects of flexibility representation on model outcomes</w:t>
      </w:r>
    </w:p>
    <w:p>
      <w:pPr>
        <w:spacing w:before="0" w:after="120"/>
      </w:pPr>
      <w:r>
        <w:rPr>
          <w:b/>
        </w:rPr>
        <w:t xml:space="preserve">Source: </w:t>
      </w:r>
      <w:r>
        <w:t>ScienceDirect Publication: Applied Energy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[46] </w:t>
      </w:r>
      <w:hyperlink r:id="rId209">
        <w:r>
          <w:rPr>
            <w:color w:val="1155CC"/>
            <w:u w:val="single"/>
          </w:rPr>
          <w:t>低收入家庭能源社区的技术经济和社会评估：塞维利亚的证据</w:t>
        </w:r>
      </w:hyperlink>
    </w:p>
    <w:p>
      <w:pPr>
        <w:spacing w:before="0" w:after="80"/>
      </w:pPr>
      <w:r>
        <w:rPr>
          <w:i/>
          <w:sz w:val="20"/>
        </w:rPr>
        <w:t>EN: Techno-economic and social assessment of an energy community for low-income households: An evidence of Seville</w:t>
      </w:r>
    </w:p>
    <w:p>
      <w:pPr>
        <w:spacing w:before="0" w:after="120"/>
      </w:pPr>
      <w:r>
        <w:rPr>
          <w:b/>
        </w:rPr>
        <w:t xml:space="preserve">Source: </w:t>
      </w:r>
      <w:r>
        <w:t>ScienceDirect Publication: Applied Energy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[47] </w:t>
      </w:r>
      <w:hyperlink r:id="rId210">
        <w:r>
          <w:rPr>
            <w:color w:val="1155CC"/>
            <w:u w:val="single"/>
          </w:rPr>
          <w:t>地缘政治冲突、军事能力和能源市场稳定性：以以色列-哈马斯冲突为证据</w:t>
        </w:r>
      </w:hyperlink>
    </w:p>
    <w:p>
      <w:pPr>
        <w:spacing w:before="0" w:after="80"/>
      </w:pPr>
      <w:r>
        <w:rPr>
          <w:i/>
          <w:sz w:val="20"/>
        </w:rPr>
        <w:t>EN: Geopolitical conflict, military capability, and energy market stability: Evidence from the Israel–Hamas conflict</w:t>
      </w:r>
    </w:p>
    <w:p>
      <w:pPr>
        <w:spacing w:before="0" w:after="120"/>
      </w:pPr>
      <w:r>
        <w:rPr>
          <w:b/>
        </w:rPr>
        <w:t xml:space="preserve">Source: </w:t>
      </w:r>
      <w:r>
        <w:t>ScienceDirect Publication: Energy Policy</w:t>
      </w:r>
      <w:r>
        <w:t xml:space="preserve">    </w:t>
      </w:r>
      <w:r>
        <w:rPr>
          <w:b/>
        </w:rPr>
        <w:t xml:space="preserve">Pub date: </w:t>
      </w:r>
      <w:r>
        <w:t>2026-04-26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[48] </w:t>
      </w:r>
      <w:hyperlink r:id="rId211">
        <w:r>
          <w:rPr>
            <w:color w:val="1155CC"/>
            <w:u w:val="single"/>
          </w:rPr>
          <w:t>特朗普政府解雇了整个NSF科学顾问委员会</w:t>
        </w:r>
      </w:hyperlink>
    </w:p>
    <w:p>
      <w:pPr>
        <w:spacing w:before="0" w:after="80"/>
      </w:pPr>
      <w:r>
        <w:rPr>
          <w:i/>
          <w:sz w:val="20"/>
        </w:rPr>
        <w:t>EN: Entire NSF science advisory board fired by Trump administration</w:t>
      </w:r>
    </w:p>
    <w:p>
      <w:pPr>
        <w:spacing w:before="0" w:after="120"/>
      </w:pPr>
      <w:r>
        <w:rPr>
          <w:b/>
        </w:rPr>
        <w:t xml:space="preserve">Source: </w:t>
      </w:r>
      <w:r>
        <w:t>Nature</w:t>
      </w:r>
      <w:r>
        <w:t xml:space="preserve">    </w:t>
      </w:r>
      <w:r>
        <w:rPr>
          <w:b/>
        </w:rPr>
        <w:t xml:space="preserve">Pub date: </w:t>
      </w:r>
      <w:r>
        <w:t>2026-04-26 00:00:00+00:00</w:t>
      </w:r>
      <w:r>
        <w:t xml:space="preserve">    </w:t>
      </w:r>
      <w:r>
        <w:rPr>
          <w:b/>
        </w:rPr>
        <w:t xml:space="preserve">DOI: </w:t>
      </w:r>
      <w:hyperlink r:id="rId212">
        <w:r>
          <w:rPr>
            <w:color w:val="1155CC"/>
            <w:u w:val="single"/>
          </w:rPr>
          <w:t>10.1038/d41586-026-01361-7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[49] </w:t>
      </w:r>
      <w:hyperlink r:id="rId213">
        <w:r>
          <w:rPr>
            <w:color w:val="1155CC"/>
            <w:u w:val="single"/>
          </w:rPr>
          <w:t>[ASAP] 光裂解辅助增强固态光化学反应性：α-叠氮-5-苯基-2,4-二烯酸酯衍生物</w:t>
        </w:r>
      </w:hyperlink>
    </w:p>
    <w:p>
      <w:pPr>
        <w:spacing w:before="0" w:after="80"/>
      </w:pPr>
      <w:r>
        <w:rPr>
          <w:i/>
          <w:sz w:val="20"/>
        </w:rPr>
        <w:t>EN: [ASAP] Photofracking-Assisted Enhancement of Solid-State Photochemical Reactivity: α-Azido-5-phenyl-2,4-dienoate Derivatives</w:t>
      </w:r>
    </w:p>
    <w:p>
      <w:pPr>
        <w:spacing w:before="0" w:after="120"/>
      </w:pPr>
      <w:r>
        <w:rPr>
          <w:b/>
        </w:rPr>
        <w:t xml:space="preserve">Source: </w:t>
      </w:r>
      <w:r>
        <w:t>Journal of the American Chemical Society: Latest Articles (ACS Publications)</w:t>
      </w:r>
      <w:r>
        <w:t xml:space="preserve">    </w:t>
      </w:r>
      <w:r>
        <w:rPr>
          <w:b/>
        </w:rPr>
        <w:t xml:space="preserve">Pub date: </w:t>
      </w:r>
      <w:r>
        <w:t>2026-04-26 12:50:27+00:00</w:t>
      </w:r>
      <w:r>
        <w:t xml:space="preserve">    </w:t>
      </w:r>
      <w:r>
        <w:rPr>
          <w:b/>
        </w:rPr>
        <w:t xml:space="preserve">DOI: </w:t>
      </w:r>
      <w:hyperlink r:id="rId214">
        <w:r>
          <w:rPr>
            <w:color w:val="1155CC"/>
            <w:u w:val="single"/>
          </w:rPr>
          <w:t>10.1021/jacs.5c22335</w:t>
        </w:r>
      </w:hyperlink>
    </w:p>
    <w:p>
      <w:pPr>
        <w:spacing w:before="0" w:after="120"/>
      </w:pPr>
      <w:r>
        <w:rPr>
          <w:b/>
        </w:rPr>
        <w:t xml:space="preserve">Notes: </w:t>
      </w:r>
      <w:r>
        <w:t>abstract_source=pubmed</w:t>
      </w:r>
    </w:p>
    <w:p>
      <w:pPr>
        <w:spacing w:before="0" w:after="80" w:lineRule="auto" w:line="276"/>
      </w:pPr>
      <w:r>
        <w:rPr>
          <w:b/>
        </w:rPr>
        <w:t xml:space="preserve">摘要（ZH）: </w:t>
      </w:r>
      <w:r>
        <w:t>固态光反应因其空间和时间的可控性和选择性而无与伦比；然而，这些优点通常伴随着产率的妥协——局部表面反应被偏好，生成一层钝化的光产物层，屏蔽晶体内部不发生反应。在此，我们展示了这种固有的限制可以通过利用光动力晶体的解体效应（如裂纹和断裂）来规避，这可以暴露新劈开的表面并有效增加整体转化率。在自然或人工可见光照射下，两种2-叠氮基-5-苯基-2,4-二烯酸酯衍生物（1a和1b）的晶体被转化为相应的5-苯基-1H-吡咯-2-羧酸酯衍生物（2a和2b）。由于释放二氮，观察到晶体在整个反应过程中出现裂纹和断裂，裂纹优先沿由最弱分子间相互作用定义的平面发生。激光闪光光解结合密度泛函理论计算证实，在溶液和固态中，1a和1b的三重态激发态重排为双自由基3Br1a和3Br1b，然后释放二氮生成双自由基3Br2a和3Br2b；然而，在固态中，晶格刚性延长了1和3Br1的三重态寿命。这项工作强调了“光裂解”的好处，即光诱导晶体解体，作为一种自然增加效率的便捷策略。</w:t>
      </w:r>
    </w:p>
    <w:p>
      <w:pPr>
        <w:spacing w:before="0" w:after="200" w:lineRule="auto" w:line="276"/>
      </w:pPr>
      <w:r>
        <w:rPr>
          <w:b/>
        </w:rPr>
        <w:t xml:space="preserve">Abstract (EN): </w:t>
      </w:r>
      <w:r>
        <w:t>Solid-state photoreactions are unmatched by their liquid or gaseous counterparts for being spatially and temporally controllable and selective; however, these assets usually come with compromised yields-localized surface reactions are favored that generate a passivating layer of photoproducts and shield the crystal interior from reacting. Here, we demonstrate that this inherent limitation could be circumvented by capitalizing on the disintegrative effects of photodynamic crystals, such as cracking and fracturing, which can expose freshly cleaved surfaces and effectively increase the overall conversion. Upon irradiation with natural or artificial visible light, crystals of two 2-azido-5-phenyl-2,4-dienoate derivatives (1a and 1b) are converted into the corresponding 5-phenyl-1H-pyrrole-2-carboxylate derivatives (2a and 2b). Crystals were observed to crack and fracture throughout the reaction due to the release of dinitrogen, and the cracking occurs preferentially along planes defined by the weakest intermolecular interactions. Laser-flash photolysis in conjunction with density functional theory calculations confirmed that in both solution and in the solid, the triplet excited states of 1a and 1b rearrange to biradicals 3Br1a and 3Br1b, which then release dinitrogen to afford biradicals 3Br2a and 3Br2b; however, in the solid state, the crystal lattice rigidity extends the triplet lifetimes of both 1 and 3Br1. This work highlights the benefits of the "photofracking" that stands for photoinduced crystal disintegration, as a convenient strategy that naturally increases the efficiency of the solid-state reactions without external intervention.</w:t>
      </w:r>
    </w:p>
    <w:p>
      <w:pPr>
        <w:spacing w:before="120" w:after="120"/>
      </w:pPr>
      <w:r>
        <w:rPr>
          <w:sz w:val="18"/>
        </w:rPr>
        <w:t>——————————————————————————————————————————————————————————————————————</w:t>
      </w:r>
    </w:p>
    <w:p>
      <w:pPr>
        <w:spacing w:before="160" w:after="40" w:line="240" w:lineRule="auto"/>
      </w:pPr>
      <w:r>
        <w:rPr>
          <w:b/>
        </w:rPr>
        <w:t xml:space="preserve">[50] </w:t>
      </w:r>
      <w:hyperlink r:id="rId215">
        <w:r>
          <w:rPr>
            <w:color w:val="1155CC"/>
            <w:u w:val="single"/>
          </w:rPr>
          <w:t>[ASAP] 单层金属有机框架作为无配体光沉积超小金属纳米粒子的完全暴露支撑</w:t>
        </w:r>
      </w:hyperlink>
    </w:p>
    <w:p>
      <w:pPr>
        <w:spacing w:before="0" w:after="80"/>
      </w:pPr>
      <w:r>
        <w:rPr>
          <w:i/>
          <w:sz w:val="20"/>
        </w:rPr>
        <w:t>EN: [ASAP] Monolayered Metal–Organic Frameworks as Fully Exposed Supports for Ligand-Free Photodeposition of Ultrasmall Metal Nanoparticles</w:t>
      </w:r>
    </w:p>
    <w:p>
      <w:pPr>
        <w:spacing w:before="0" w:after="120"/>
      </w:pPr>
      <w:r>
        <w:rPr>
          <w:b/>
        </w:rPr>
        <w:t xml:space="preserve">Source: </w:t>
      </w:r>
      <w:r>
        <w:t>Journal of the American Chemical Society: Latest Articles (ACS Publications)</w:t>
      </w:r>
      <w:r>
        <w:t xml:space="preserve">    </w:t>
      </w:r>
      <w:r>
        <w:rPr>
          <w:b/>
        </w:rPr>
        <w:t xml:space="preserve">Pub date: </w:t>
      </w:r>
      <w:r>
        <w:t>2026-04-26 16:39:49+00:00</w:t>
      </w:r>
      <w:r>
        <w:t xml:space="preserve">    </w:t>
      </w:r>
      <w:r>
        <w:rPr>
          <w:b/>
        </w:rPr>
        <w:t xml:space="preserve">DOI: </w:t>
      </w:r>
      <w:hyperlink r:id="rId216">
        <w:r>
          <w:rPr>
            <w:color w:val="1155CC"/>
            <w:u w:val="single"/>
          </w:rPr>
          <w:t>10.1021/jacs.6c02904</w:t>
        </w:r>
      </w:hyperlink>
    </w:p>
    <w:p>
      <w:pPr>
        <w:spacing w:before="0" w:after="120"/>
      </w:pPr>
      <w:r>
        <w:rPr>
          <w:b/>
        </w:rPr>
        <w:t xml:space="preserve">Notes: </w:t>
      </w:r>
      <w:r>
        <w:t>abstract_source=pubmed</w:t>
      </w:r>
    </w:p>
    <w:p>
      <w:pPr>
        <w:spacing w:before="0" w:after="80" w:lineRule="auto" w:line="276"/>
      </w:pPr>
      <w:r>
        <w:rPr>
          <w:b/>
        </w:rPr>
        <w:t xml:space="preserve">摘要（ZH）: </w:t>
      </w:r>
      <w:r>
        <w:t>将活性金属纳米颗粒（NPs）加载到异质支撑材料上是一种广泛采用的策略，可以抑制颗粒迁移和聚结，同时实现异质催化。然而，传统的支撑材料往往难以同时实现高金属暴露、大比表面积和高效的界面反应性。在此，我们引入单层金属有机框架（monoMOFs）作为一种新型单层支撑材料，用于无配体光沉积超小金属NPs。由于其超薄（约1.8 nm）、完全暴露的结构以及光敏化连接体的整合，monoMOFs能够在单层表面实现空间限制的金属前体光还原，从而在稀释的前体条件下实现超小金属NPs（2-4 nm）的均匀成核和有效稳定，而无需使用表面封端配体。这种光沉积策略适用于包括Pt、Rh和Pd在内的不同金属。以Pt为代表性例子，所得的Pt/monoMOF表现出高达64.6 wt %的异常高金属负载量以及出色的光催化产氢活性（1381.4 mmol·g-1·h-1），证明了这种单层支撑策略在构建高效支撑纳米催化剂方面的有效性。</w:t>
      </w:r>
    </w:p>
    <w:p>
      <w:pPr>
        <w:spacing w:before="0" w:after="200" w:lineRule="auto" w:line="276"/>
      </w:pPr>
      <w:r>
        <w:rPr>
          <w:b/>
        </w:rPr>
        <w:t xml:space="preserve">Abstract (EN): </w:t>
      </w:r>
      <w:r>
        <w:t>Loading active metal nanoparticles (NPs) onto heterogeneous supports is a widely adopted strategy to suppress particle migration and coalescence while enabling heterogeneous catalysis. However, conventional support materials often struggle to simultaneously achieve high metal exposure, large specific surface area, and efficient interfacial reactivity. Here, we introduce monolayered metal-organic frameworks (monoMOFs) as a new class of monolayer supports for the ligand-free photodeposition of ultrasmall metal NPs. Owing to their ultrathin (∼1.8 nm), fully exposed architecture and the integration of photosensitizing linkers, monoMOFs enable spatially confined photoreduction of metal precursors at the monolayer surface, leading to uniform nucleation and effective stabilization of ultrasmall metal NPs (2-4 nm) without the use of surface-capping ligands under dilute precursor conditions. This photodeposition strategy is general across different metals, including Pt, Rh, and Pd. Using Pt as a representative example, the resulting Pt/monoMOF exhibits an exceptionally high metal loading of up to 64.6 wt % together with outstanding photocatalytic hydrogen evolution activity (1381.4 mmol·g-1·h-1), demonstrating the effectiveness of this monolayer support strategy for constructing highly efficient supported nanocatalysts.</w:t>
      </w:r>
    </w:p>
    <w:p>
      <w:pPr>
        <w:spacing w:before="120" w:after="120"/>
      </w:pPr>
      <w:r>
        <w:rPr>
          <w:sz w:val="18"/>
        </w:rPr>
        <w:t>——————————————————————————————————————————————————————————————————————</w:t>
      </w:r>
    </w:p>
    <w:p>
      <w:pPr>
        <w:spacing w:before="160" w:after="40" w:line="240" w:lineRule="auto"/>
      </w:pPr>
      <w:r>
        <w:rPr>
          <w:b/>
        </w:rPr>
        <w:t xml:space="preserve">[51] </w:t>
      </w:r>
      <w:hyperlink r:id="rId217">
        <w:r>
          <w:rPr>
            <w:color w:val="1155CC"/>
            <w:u w:val="single"/>
          </w:rPr>
          <w:t>[ASAP] 在工程化金属酶中协调金属氢化物反应性：反应机制的电子和静电决定因素</w:t>
        </w:r>
      </w:hyperlink>
    </w:p>
    <w:p>
      <w:pPr>
        <w:spacing w:before="0" w:after="80"/>
      </w:pPr>
      <w:r>
        <w:rPr>
          <w:i/>
          <w:sz w:val="20"/>
        </w:rPr>
        <w:t>EN: [ASAP] Orchestrating Metal-Hydride Reactivity in Engineered Metalloenzymes: Electronic and Electrostatic Determinants of the Reaction Mechanism</w:t>
      </w:r>
    </w:p>
    <w:p>
      <w:pPr>
        <w:spacing w:before="0" w:after="120"/>
      </w:pPr>
      <w:r>
        <w:rPr>
          <w:b/>
        </w:rPr>
        <w:t xml:space="preserve">Source: </w:t>
      </w:r>
      <w:r>
        <w:t>Journal of the American Chemical Society: Latest Articles (ACS Publications)</w:t>
      </w:r>
      <w:r>
        <w:t xml:space="preserve">    </w:t>
      </w:r>
      <w:r>
        <w:rPr>
          <w:b/>
        </w:rPr>
        <w:t xml:space="preserve">Pub date: </w:t>
      </w:r>
      <w:r>
        <w:t>2026-04-26 16:50:24+00:00</w:t>
      </w:r>
      <w:r>
        <w:t xml:space="preserve">    </w:t>
      </w:r>
      <w:r>
        <w:rPr>
          <w:b/>
        </w:rPr>
        <w:t xml:space="preserve">DOI: </w:t>
      </w:r>
      <w:hyperlink r:id="rId218">
        <w:r>
          <w:rPr>
            <w:color w:val="1155CC"/>
            <w:u w:val="single"/>
          </w:rPr>
          <w:t>10.1021/jacs.6c04303</w:t>
        </w:r>
      </w:hyperlink>
    </w:p>
    <w:p>
      <w:pPr>
        <w:spacing w:before="0" w:after="120"/>
      </w:pPr>
      <w:r>
        <w:rPr>
          <w:b/>
        </w:rPr>
        <w:t xml:space="preserve">Notes: </w:t>
      </w:r>
      <w:r>
        <w:t>abstract_source=pubmed</w:t>
      </w:r>
    </w:p>
    <w:p>
      <w:pPr>
        <w:spacing w:before="0" w:after="80" w:lineRule="auto" w:line="276"/>
      </w:pPr>
      <w:r>
        <w:rPr>
          <w:b/>
        </w:rPr>
        <w:t xml:space="preserve">摘要（ZH）: </w:t>
      </w:r>
      <w:r>
        <w:t>过渡金属氢化物是由分子复合物介导的众多催化转化中的关键中间体，最近在重新利用的金属酶中也发挥了作用。然而，其短暂的性质对实验表征提出了重大挑战，模糊了机制细节，特别是在区分氢原子转移（HAT）和氢化物转移路径方面。在此，我们结合量子力学/分子力学（QM/MM）和分子动力学（MD）模拟来研究重新利用的肌红蛋白酮还原酶的催化机制。我们模拟了铁氢化物（Fe-H）中间体的形成和随后的酮还原过程。我们的结果表明，Fe-H的形成是通过σ键交换机制发生的，而酮还原是通过逐步的金属氢化物氢原子转移（MHAT）然后是PCET进行的，而不是先前提出的协同氢化物转移。自然键轨道（NBO）分析阐明了控制MHAT反应性的电子特征。我们进一步表明，轴向配体的性质和施加的定向电场调节Fe-H键特性，并引导MHAT和氢化物转移之间的机制偏好。这些发现为蛋白质支架中的过渡金属氢化物反应性提供了机制见解，并强调了通过蛋白质设计和静电控制调节这种反应性的机会。</w:t>
      </w:r>
    </w:p>
    <w:p>
      <w:pPr>
        <w:spacing w:before="0" w:after="200" w:lineRule="auto" w:line="276"/>
      </w:pPr>
      <w:r>
        <w:rPr>
          <w:b/>
        </w:rPr>
        <w:t xml:space="preserve">Abstract (EN): </w:t>
      </w:r>
      <w:r>
        <w:t>Transition metal-hydrides are key intermediates in numerous catalytic transformations mediated by molecular complexes and, more recently, in repurposed metalloenzymes. However, their fleeting nature poses significant challenges for experimental characterization, obscuring mechanistic details, particularly in distinguishing between hydrogen atom transfer (HAT) and hydride transfer pathways. Here, we employ a combination of quantum mechanics/molecular mechanics (QM/MM) and molecular dynamics (MD) simulations to investigate the catalytic mechanism of a repurposed myoglobin ketoreductase. We model the formation of the iron-hydride (Fe-H) intermediate and the subsequent ketone reduction process. Our results indicate that Fe-H formation occurs via a σ-bond metathesis mechanism, while the ketone reduction proceeds through a stepwise metal-hydride hydrogen atom transfer (MHAT) followed by PCET, rather than a concerted hydride transfer, as previously proposed. Natural Bond Orbital (NBO) analysis elucidates the electronic features governing the MHAT reactivity. We further show that the nature of the axial ligand and applied oriented electric fields modulate the Fe-H bond character and steer the mechanistic preference between MHAT and hydride transfer. These findings provide mechanistic insight into transition-metal-hydride reactivity in protein scaffolds and underscore opportunities to tune this reactivity through protein design and electrostatic control.</w:t>
      </w:r>
    </w:p>
    <w:p>
      <w:pPr>
        <w:spacing w:before="120" w:after="120"/>
      </w:pPr>
      <w:r>
        <w:rPr>
          <w:sz w:val="18"/>
        </w:rPr>
        <w:t>——————————————————————————————————————————————————————————————————————</w:t>
      </w:r>
    </w:p>
    <w:p>
      <w:pPr>
        <w:spacing w:before="160" w:after="40" w:line="240" w:lineRule="auto"/>
      </w:pPr>
      <w:r>
        <w:rPr>
          <w:b/>
        </w:rPr>
        <w:t xml:space="preserve">[52] </w:t>
      </w:r>
      <w:hyperlink r:id="rId219">
        <w:r>
          <w:rPr>
            <w:color w:val="1155CC"/>
            <w:u w:val="single"/>
          </w:rPr>
          <w:t>π-共轭单元的缩合：设计高性能光学晶体的新范式</w:t>
        </w:r>
      </w:hyperlink>
    </w:p>
    <w:p>
      <w:pPr>
        <w:spacing w:before="0" w:after="80"/>
      </w:pPr>
      <w:r>
        <w:rPr>
          <w:i/>
          <w:sz w:val="20"/>
        </w:rPr>
        <w:t>EN: The condensation of π-conjugated units: a new paradigm for designing high-performance optical crystals</w:t>
      </w:r>
    </w:p>
    <w:p>
      <w:pPr>
        <w:spacing w:before="0" w:after="120"/>
      </w:pPr>
      <w:r>
        <w:rPr>
          <w:b/>
        </w:rPr>
        <w:t xml:space="preserve">Source: </w:t>
      </w:r>
      <w:r>
        <w:t>RSC - Chem. Soc. Rev. latest articles</w:t>
      </w:r>
      <w:r>
        <w:t xml:space="preserve">    </w:t>
      </w:r>
      <w:r>
        <w:rPr>
          <w:b/>
        </w:rPr>
        <w:t xml:space="preserve">Pub date: </w:t>
      </w:r>
      <w:r>
        <w:t>2026-04-26 23:00:00+00:00</w:t>
      </w:r>
    </w:p>
    <w:p>
      <w:pPr>
        <w:spacing w:before="0" w:after="120"/>
      </w:pPr>
      <w:r>
        <w:rPr>
          <w:b/>
        </w:rPr>
        <w:t xml:space="preserve">Notes: </w:t>
      </w:r>
      <w:r>
        <w:t>abstract_source=rsc_html</w:t>
      </w:r>
    </w:p>
    <w:p>
      <w:pPr>
        <w:spacing w:before="0" w:after="80" w:lineRule="auto" w:line="276"/>
      </w:pPr>
      <w:r>
        <w:rPr>
          <w:b/>
        </w:rPr>
        <w:t xml:space="preserve">摘要（ZH）: </w:t>
      </w:r>
      <w:r>
        <w:t>π-共轭单元缩合范式（π-CUCP）被定义为通过化学键合具有π-共轭结构的小单元形成更大π-共轭基团。其核心目标是通过增强电子离域性、增加结构各向异性和优化能带结构来显著提升宏观光学性能（双折射或SHG响应）。平面π-共轭单元如[BO3]3−–[B3O6]3−或[C(NH2)3]+–[C3N6H7]+作为代表性π-CUCP。π-CUCP有效改善分子结构单元的微观光学性能，如极化率各向异性和超极化率，从而增强非线性光学和双折射材料的宏观光学性能。本综述系统总结了π-CUCP的代表性和新兴化合物，主要涵盖三个主要类别的约112个代表性例子：硼酸盐、羧基-C–N杂环和氨基-C–N杂环。进一步研究表明，将π-CUCP引入深紫外光学化合物中可增强双折射并保持相对宽的带隙，从而在短波长光谱内实现相位匹配。将π-CUCP引入紫外和深紫外双折射光学材料中提供了一种可行且有效的方法来增强双折射。通过整合多个探索性例子，本文提出了一种创新的设计策略，以提升化合物的双折射性能，为该领域开辟了新的方向。</w:t>
      </w:r>
    </w:p>
    <w:p>
      <w:pPr>
        <w:spacing w:before="0" w:after="200" w:lineRule="auto" w:line="276"/>
      </w:pPr>
      <w:r>
        <w:rPr>
          <w:b/>
        </w:rPr>
        <w:t xml:space="preserve">Abstract (EN): </w:t>
      </w:r>
      <w:r>
        <w:t>The π-conjugated units condensation paradigm (π-CUCP) is defined as the formation of larger π-conjugated groups through the chemical bonding of small units possessing π-conjugated structures. Its core objective is to significantly enhance the macroscopic optical properties (birefringence or SHG response) by strengthening electron delocalization, increasing structural anisotropy, and optimizing band structures. Planar π-conjugated units like [BO3]3−–[B3O6]3− or [C(NH2)3]+–[C3N6H7]+ serve as representative π-CUCP. π-CUCP effectively improves the microscopic optical properties of molecular structural units, such as polarizability anisotropy and hyperpolarizability, thereby enhancing the macroscopic optical performance of nonlinear optical and birefringent materials. This review systematically summarizes representative and emerging compounds of π-CUCP, primarily covering approximately 112 representative examples across three major categories: borates, carboxyl-C–N heterocycles and amino-C–N heterocycles. Further research indicates that incorporating π-CUCP into deep-ultraviolet optical compounds enhances birefringence and maintains relatively wide bandgaps, enabling phase matching within the short-wavelength spectrum. The introduction of π-CUCP into ultraviolet and deep ultraviolet birefringent optical materials provides a feasible and effective approach to enhance the birefringence. Through the integration of multiple exploratory examples, this paper proposes an innovative design strategy to elevate the birefringent properties of the compounds, paving a new direction for the development of high-performance optical materials.</w:t>
      </w:r>
    </w:p>
    <w:p>
      <w:pPr>
        <w:spacing w:before="120" w:after="120"/>
      </w:pPr>
      <w:r>
        <w:rPr>
          <w:sz w:val="18"/>
        </w:rPr>
        <w:t>——————————————————————————————————————————————————————————————————————</w:t>
      </w:r>
    </w:p>
    <w:p>
      <w:pPr>
        <w:spacing w:before="160" w:after="40" w:line="240" w:lineRule="auto"/>
      </w:pPr>
      <w:r>
        <w:rPr>
          <w:b/>
        </w:rPr>
        <w:t xml:space="preserve">[53] </w:t>
      </w:r>
      <w:hyperlink r:id="rId220">
        <w:r>
          <w:rPr>
            <w:color w:val="1155CC"/>
            <w:u w:val="single"/>
          </w:rPr>
          <w:t>在电信量子发射器中消除噪声</w:t>
        </w:r>
      </w:hyperlink>
    </w:p>
    <w:p>
      <w:pPr>
        <w:spacing w:before="0" w:after="80"/>
      </w:pPr>
      <w:r>
        <w:rPr>
          <w:i/>
          <w:sz w:val="20"/>
        </w:rPr>
        <w:t>EN: Silencing noise in telecom quantum emitters</w:t>
      </w:r>
    </w:p>
    <w:p>
      <w:pPr>
        <w:spacing w:before="0" w:after="120"/>
      </w:pPr>
      <w:r>
        <w:rPr>
          <w:b/>
        </w:rPr>
        <w:t xml:space="preserve">Source: </w:t>
      </w:r>
      <w:r>
        <w:t>Nature Nanotechnology</w:t>
      </w:r>
      <w:r>
        <w:t xml:space="preserve">    </w:t>
      </w:r>
      <w:r>
        <w:rPr>
          <w:b/>
        </w:rPr>
        <w:t xml:space="preserve">Pub date: </w:t>
      </w:r>
      <w:r>
        <w:t>2026-04-27 00:00:00+00:00</w:t>
      </w:r>
      <w:r>
        <w:t xml:space="preserve">    </w:t>
      </w:r>
      <w:r>
        <w:rPr>
          <w:b/>
        </w:rPr>
        <w:t xml:space="preserve">DOI: </w:t>
      </w:r>
      <w:hyperlink r:id="rId221">
        <w:r>
          <w:rPr>
            <w:color w:val="1155CC"/>
            <w:u w:val="single"/>
          </w:rPr>
          <w:t>10.1038/s41565-026-02158-5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[54] </w:t>
      </w:r>
      <w:hyperlink r:id="rId222">
        <w:r>
          <w:rPr>
            <w:color w:val="1155CC"/>
            <w:u w:val="single"/>
          </w:rPr>
          <w:t>大规模、机械稳健的仿生受限MXene纳米复合材料</w:t>
        </w:r>
      </w:hyperlink>
    </w:p>
    <w:p>
      <w:pPr>
        <w:spacing w:before="0" w:after="80"/>
      </w:pPr>
      <w:r>
        <w:rPr>
          <w:i/>
          <w:sz w:val="20"/>
        </w:rPr>
        <w:t>EN: Large-scale, mechanically robust bioinspired confined MXene nanocomposites</w:t>
      </w:r>
    </w:p>
    <w:p>
      <w:pPr>
        <w:spacing w:before="0" w:after="120"/>
      </w:pPr>
      <w:r>
        <w:rPr>
          <w:b/>
        </w:rPr>
        <w:t xml:space="preserve">Source: </w:t>
      </w:r>
      <w:r>
        <w:t>Nature Reviews Materials</w:t>
      </w:r>
      <w:r>
        <w:t xml:space="preserve">    </w:t>
      </w:r>
      <w:r>
        <w:rPr>
          <w:b/>
        </w:rPr>
        <w:t xml:space="preserve">Pub date: </w:t>
      </w:r>
      <w:r>
        <w:t>2026-04-27 00:00:00+00:00</w:t>
      </w:r>
      <w:r>
        <w:t xml:space="preserve">    </w:t>
      </w:r>
      <w:r>
        <w:rPr>
          <w:b/>
        </w:rPr>
        <w:t xml:space="preserve">DOI: </w:t>
      </w:r>
      <w:hyperlink r:id="rId223">
        <w:r>
          <w:rPr>
            <w:color w:val="1155CC"/>
            <w:u w:val="single"/>
          </w:rPr>
          <w:t>10.1038/s41578-026-00918-2</w:t>
        </w:r>
      </w:hyperlink>
    </w:p>
    <w:p>
      <w:pPr>
        <w:spacing w:before="0" w:after="120"/>
      </w:pPr>
      <w:r>
        <w:rPr>
          <w:b/>
        </w:rPr>
        <w:t xml:space="preserve">Notes: </w:t>
      </w:r>
      <w:r>
        <w:t>abstract_source=nature_html</w:t>
      </w:r>
    </w:p>
    <w:p>
      <w:pPr>
        <w:spacing w:before="0" w:after="80" w:lineRule="auto" w:line="276"/>
      </w:pPr>
      <w:r>
        <w:rPr>
          <w:b/>
        </w:rPr>
        <w:t xml:space="preserve">摘要（ZH）: </w:t>
      </w:r>
      <w:r>
        <w:t>自2011年首次报道以来，过渡金属碳化物、氮化物和碳氮化物（MXenes）引起了广泛关注。凭借其金属级电导率、优异的机械性能和丰富的表面末端基团，MXenes在航空航天、能量存储和生物医学领域具有广泛的应用潜力。然而，将单层MXene纳米片的优异固有性能转化为宏观纳米复合材料仍然具有挑战性。本综述系统阐述了通过仿生限域组装策略开发高性能MXene纳米复合材料。我们讨论了MXene纳米片湿化学组装过程中形成的空隙的高级表征，并阐明了其形成机制。在此基础上，我们介绍了仿生限域组装策略，以减少孔隙率并提高层间载荷传递效率，从而显著改善MXene纳米复合材料的宏观机械和电性能。我们进一步概述了仿生限域MXene纳米复合材料的大规模制造方法。我们讨论了MXene纳米复合材料的性能和一些代表性应用，包括电磁干扰屏蔽、骨再生和人工肌肉。最后，我们提供了对仿生限域MXene纳米复合材料未来研究方向的展望。</w:t>
      </w:r>
    </w:p>
    <w:p>
      <w:pPr>
        <w:spacing w:before="0" w:after="200" w:lineRule="auto" w:line="276"/>
      </w:pPr>
      <w:r>
        <w:rPr>
          <w:b/>
        </w:rPr>
        <w:t xml:space="preserve">Abstract (EN): </w:t>
      </w:r>
      <w:r>
        <w:t>Transition metal carbides, nitrides and carbonitrides (MXenes) have attracted considerable attention since they were first reported in 2011. With their metallic-level electrical conductivity, outstanding mechanical properties and abundant surface terminal groups, MXenes have broad application potential in aerospace, energy storage and biomedicine. However, translating the superior intrinsic properties of monolayer MXene nanosheets into macroscopic nanocomposites remains challenging. This Review systematically elucidates the development of high-performance MXene nanocomposites through bioinspired confined assembly strategies. We discuss the advanced characterization of voids formed during the wet chemical assembly of MXene nanosheets and clarify the mechanisms underlying their formation. On this basis, we introduce bioinspired confined assembly strategies to reduce porosity and enhance the efficiency of interlayer load transfer, which markedly improve the macroscopic mechanical and electrical properties of MXene nanocomposites. We further outline large-scale fabrication methods for bioinspired confined MXene nanocomposites. We discuss the properties and some representative applications of MXene nanocomposites, including electromagnetic interference shielding, bone regeneration and artificial muscles. Finally, we provide our perspectives for future research directions for bioinspired confined MXene nanocomposites.</w:t>
      </w:r>
    </w:p>
    <w:p>
      <w:pPr>
        <w:spacing w:before="120" w:after="120"/>
      </w:pPr>
      <w:r>
        <w:rPr>
          <w:sz w:val="18"/>
        </w:rPr>
        <w:t>——————————————————————————————————————————————————————————————————————</w:t>
      </w:r>
    </w:p>
    <w:p>
      <w:pPr>
        <w:spacing w:before="160" w:after="40" w:line="240" w:lineRule="auto"/>
      </w:pPr>
      <w:r>
        <w:rPr>
          <w:b/>
        </w:rPr>
        <w:t xml:space="preserve">[55] </w:t>
      </w:r>
      <w:hyperlink r:id="rId224">
        <w:r>
          <w:rPr>
            <w:color w:val="1155CC"/>
            <w:u w:val="single"/>
          </w:rPr>
          <w:t>原始电信波段中的量子相干光子-发射器接口</w:t>
        </w:r>
      </w:hyperlink>
    </w:p>
    <w:p>
      <w:pPr>
        <w:spacing w:before="0" w:after="80"/>
      </w:pPr>
      <w:r>
        <w:rPr>
          <w:i/>
          <w:sz w:val="20"/>
        </w:rPr>
        <w:t>EN: A quantum-coherent photon–emitter interface in the original telecom band</w:t>
      </w:r>
    </w:p>
    <w:p>
      <w:pPr>
        <w:spacing w:before="0" w:after="120"/>
      </w:pPr>
      <w:r>
        <w:rPr>
          <w:b/>
        </w:rPr>
        <w:t xml:space="preserve">Source: </w:t>
      </w:r>
      <w:r>
        <w:t>Nature Nanotechnology</w:t>
      </w:r>
      <w:r>
        <w:t xml:space="preserve">    </w:t>
      </w:r>
      <w:r>
        <w:rPr>
          <w:b/>
        </w:rPr>
        <w:t xml:space="preserve">Pub date: </w:t>
      </w:r>
      <w:r>
        <w:t>2026-04-27 00:00:00+00:00</w:t>
      </w:r>
      <w:r>
        <w:t xml:space="preserve">    </w:t>
      </w:r>
      <w:r>
        <w:rPr>
          <w:b/>
        </w:rPr>
        <w:t xml:space="preserve">DOI: </w:t>
      </w:r>
      <w:hyperlink r:id="rId225">
        <w:r>
          <w:rPr>
            <w:color w:val="1155CC"/>
            <w:u w:val="single"/>
          </w:rPr>
          <w:t>10.1038/s41565-026-02156-7</w:t>
        </w:r>
      </w:hyperlink>
    </w:p>
    <w:p>
      <w:pPr>
        <w:spacing w:before="0" w:after="120"/>
      </w:pPr>
      <w:r>
        <w:rPr>
          <w:b/>
        </w:rPr>
        <w:t xml:space="preserve">Notes: </w:t>
      </w:r>
      <w:r>
        <w:t>abstract_source=nature_html</w:t>
      </w:r>
    </w:p>
    <w:p>
      <w:pPr>
        <w:spacing w:before="0" w:after="80" w:lineRule="auto" w:line="276"/>
      </w:pPr>
      <w:r>
        <w:rPr>
          <w:b/>
        </w:rPr>
        <w:t xml:space="preserve">摘要（ZH）: </w:t>
      </w:r>
      <w:r>
        <w:t>量子点由于其能够提供高质量、高速率和纯净光子而设定了远超其他量子发射体的基准。然而，在电信波长上实现这些卓越能力，弥合与光纤基础设施和可扩展硅光子学的差距，仍然是一个挑战。克服这一困难需要高质量的量子材料和设备，尽管进行了大量努力，但尚未实现。在此，我们展示了波导集成的InAs量子点，并实现了在原始电信波段（或O波段，1,260–1,360 nm）运行的完全量子相干光子–发射体接口。我们记录了仅比逆寿命宽8%的变换极限线宽，并在80-MHz π脉冲激发下实现了41.7-MHz的明亮发射率。这些发现展示了量子点在可扩展量子网络中的潜力。</w:t>
      </w:r>
    </w:p>
    <w:p>
      <w:pPr>
        <w:spacing w:before="0" w:after="200" w:lineRule="auto" w:line="276"/>
      </w:pPr>
      <w:r>
        <w:rPr>
          <w:b/>
        </w:rPr>
        <w:t xml:space="preserve">Abstract (EN): </w:t>
      </w:r>
      <w:r>
        <w:t>Quantum dots have set benchmarks that far surpass other quantum emitters owing to their ability to deliver high-quality, high-rate and pure photons. However, achieving these exceptional capabilities at telecom wavelengths, bridging the gap to fibre-optic infrastructure and scalable silicon photonics, remains a challenge. Overcoming this difficulty demands high-quality quantum materials and devices that, despite extensive efforts, have not yet been realized. Here we demonstrate waveguide-integrated InAs quantum dots and realize a fully quantum-coherent photon–emitter interface operating in the original telecommunication band (or O-band, 1,260–1,360 nm). We record transform-limited linewidths only 8% broader than the inverse lifetime and bright 41.7-MHz emission rate under 80-MHz π-pulse excitation. These findings showcase the potential of quantum dots for scalable quantum networks.</w:t>
      </w:r>
    </w:p>
    <w:p>
      <w:pPr>
        <w:spacing w:before="120" w:after="120"/>
      </w:pPr>
      <w:r>
        <w:rPr>
          <w:sz w:val="18"/>
        </w:rPr>
        <w:t>——————————————————————————————————————————————————————————————————————</w:t>
      </w:r>
    </w:p>
    <w:p>
      <w:pPr>
        <w:spacing w:before="160" w:after="40" w:line="240" w:lineRule="auto"/>
      </w:pPr>
      <w:r>
        <w:rPr>
          <w:b/>
        </w:rPr>
        <w:t xml:space="preserve">[56] </w:t>
      </w:r>
      <w:hyperlink r:id="rId226">
        <w:r>
          <w:rPr>
            <w:color w:val="1155CC"/>
            <w:u w:val="single"/>
          </w:rPr>
          <w:t>水基膜</w:t>
        </w:r>
      </w:hyperlink>
    </w:p>
    <w:p>
      <w:pPr>
        <w:spacing w:before="0" w:after="80"/>
      </w:pPr>
      <w:r>
        <w:rPr>
          <w:i/>
          <w:sz w:val="20"/>
        </w:rPr>
        <w:t>EN: Water-based membranes</w:t>
      </w:r>
    </w:p>
    <w:p>
      <w:pPr>
        <w:spacing w:before="0" w:after="120"/>
      </w:pPr>
      <w:r>
        <w:rPr>
          <w:b/>
        </w:rPr>
        <w:t xml:space="preserve">Source: </w:t>
      </w:r>
      <w:r>
        <w:t>Nature Energy</w:t>
      </w:r>
      <w:r>
        <w:t xml:space="preserve">    </w:t>
      </w:r>
      <w:r>
        <w:rPr>
          <w:b/>
        </w:rPr>
        <w:t xml:space="preserve">Pub date: </w:t>
      </w:r>
      <w:r>
        <w:t>2026-04-27 00:00:00+00:00</w:t>
      </w:r>
      <w:r>
        <w:t xml:space="preserve">    </w:t>
      </w:r>
      <w:r>
        <w:rPr>
          <w:b/>
        </w:rPr>
        <w:t xml:space="preserve">DOI: </w:t>
      </w:r>
      <w:hyperlink r:id="rId227">
        <w:r>
          <w:rPr>
            <w:color w:val="1155CC"/>
            <w:u w:val="single"/>
          </w:rPr>
          <w:t>10.1038/s41560-026-02058-x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[57] </w:t>
      </w:r>
      <w:hyperlink r:id="rId228">
        <w:r>
          <w:rPr>
            <w:color w:val="1155CC"/>
            <w:u w:val="single"/>
          </w:rPr>
          <w:t>钠不是锂</w:t>
        </w:r>
      </w:hyperlink>
    </w:p>
    <w:p>
      <w:pPr>
        <w:spacing w:before="0" w:after="80"/>
      </w:pPr>
      <w:r>
        <w:rPr>
          <w:i/>
          <w:sz w:val="20"/>
        </w:rPr>
        <w:t>EN: Sodium is not lithium</w:t>
      </w:r>
    </w:p>
    <w:p>
      <w:pPr>
        <w:spacing w:before="0" w:after="120"/>
      </w:pPr>
      <w:r>
        <w:rPr>
          <w:b/>
        </w:rPr>
        <w:t xml:space="preserve">Source: </w:t>
      </w:r>
      <w:r>
        <w:t>Nature Energy</w:t>
      </w:r>
      <w:r>
        <w:t xml:space="preserve">    </w:t>
      </w:r>
      <w:r>
        <w:rPr>
          <w:b/>
        </w:rPr>
        <w:t xml:space="preserve">Pub date: </w:t>
      </w:r>
      <w:r>
        <w:t>2026-04-27 00:00:00+00:00</w:t>
      </w:r>
      <w:r>
        <w:t xml:space="preserve">    </w:t>
      </w:r>
      <w:r>
        <w:rPr>
          <w:b/>
        </w:rPr>
        <w:t xml:space="preserve">DOI: </w:t>
      </w:r>
      <w:hyperlink r:id="rId229">
        <w:r>
          <w:rPr>
            <w:color w:val="1155CC"/>
            <w:u w:val="single"/>
          </w:rPr>
          <w:t>10.1038/s41560-026-02057-y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[58] </w:t>
      </w:r>
      <w:hyperlink r:id="rId230">
        <w:r>
          <w:rPr>
            <w:color w:val="1155CC"/>
            <w:u w:val="single"/>
          </w:rPr>
          <w:t>自然的正向临界点</w:t>
        </w:r>
      </w:hyperlink>
    </w:p>
    <w:p>
      <w:pPr>
        <w:spacing w:before="0" w:after="80"/>
      </w:pPr>
      <w:r>
        <w:rPr>
          <w:i/>
          <w:sz w:val="20"/>
        </w:rPr>
        <w:t>EN: Positive tipping points for nature</w:t>
      </w:r>
    </w:p>
    <w:p>
      <w:pPr>
        <w:spacing w:before="0" w:after="120"/>
      </w:pPr>
      <w:r>
        <w:rPr>
          <w:b/>
        </w:rPr>
        <w:t xml:space="preserve">Source: </w:t>
      </w:r>
      <w:r>
        <w:t>Nature Sustainability</w:t>
      </w:r>
      <w:r>
        <w:t xml:space="preserve">    </w:t>
      </w:r>
      <w:r>
        <w:rPr>
          <w:b/>
        </w:rPr>
        <w:t xml:space="preserve">Pub date: </w:t>
      </w:r>
      <w:r>
        <w:t>2026-04-27 00:00:00+00:00</w:t>
      </w:r>
      <w:r>
        <w:t xml:space="preserve">    </w:t>
      </w:r>
      <w:r>
        <w:rPr>
          <w:b/>
        </w:rPr>
        <w:t xml:space="preserve">DOI: </w:t>
      </w:r>
      <w:hyperlink r:id="rId231">
        <w:r>
          <w:rPr>
            <w:color w:val="1155CC"/>
            <w:u w:val="single"/>
          </w:rPr>
          <w:t>10.1038/s41893-026-01803-0</w:t>
        </w:r>
      </w:hyperlink>
    </w:p>
    <w:p>
      <w:pPr>
        <w:spacing w:before="0" w:after="120"/>
      </w:pPr>
      <w:r>
        <w:rPr>
          <w:b/>
        </w:rPr>
        <w:t xml:space="preserve">Notes: </w:t>
      </w:r>
      <w:r>
        <w:t>abstract_source=nature_html</w:t>
      </w:r>
    </w:p>
    <w:p>
      <w:pPr>
        <w:spacing w:before="0" w:after="80" w:lineRule="auto" w:line="276"/>
      </w:pPr>
      <w:r>
        <w:rPr>
          <w:b/>
        </w:rPr>
        <w:t xml:space="preserve">摘要（ZH）: </w:t>
      </w:r>
      <w:r>
        <w:t>需要激进地加速变革以实现2030年及以后的广泛认同的自然积极目标。触发强放大反馈支持自我推动的自然积极变化的正向临界点可以帮助实现这一加速。这些包括生态、社会–生态和社会临界点，能够突然再生生态系统和资源，传播自然积极活动并减少自然损失的关键驱动因素。它们共同具有积极推动大规模自然恢复的潜力。通过促进在线集体学习、在经济中正确评估自然价值以及将世界观转向生态中心主义来影响关键杠杆点，将进一步实现自然的正向临界点。</w:t>
      </w:r>
    </w:p>
    <w:p>
      <w:pPr>
        <w:spacing w:before="0" w:after="200" w:lineRule="auto" w:line="276"/>
      </w:pPr>
      <w:r>
        <w:rPr>
          <w:b/>
        </w:rPr>
        <w:t xml:space="preserve">Abstract (EN): </w:t>
      </w:r>
      <w:r>
        <w:t>A radical acceleration of change is needed to reach widely agreed nature-positive goals for 2030 and beyond. Triggering positive tipping points where strong amplifying feedback supports self-propelling nature-positive change can help achieve this acceleration. These include ecological, social–ecological and social tipping points that abruptly regenerate ecosystems and resources, spread nature-positive activities and reduce key drivers of nature loss. Together they have the potential to positively tip large-scale recovery of nature. Affecting key leverage points by facilitating online collective learning, properly valuing nature in economics and tipping worldviews to ecocentrism would further enable positive tipping points for nature.</w:t>
      </w:r>
    </w:p>
    <w:p>
      <w:pPr>
        <w:spacing w:before="120" w:after="120"/>
      </w:pPr>
      <w:r>
        <w:rPr>
          <w:sz w:val="18"/>
        </w:rPr>
        <w:t>——————————————————————————————————————————————————————————————————————</w:t>
      </w:r>
    </w:p>
    <w:p>
      <w:pPr>
        <w:spacing w:before="160" w:after="40" w:line="240" w:lineRule="auto"/>
      </w:pPr>
      <w:r>
        <w:rPr>
          <w:b/>
        </w:rPr>
        <w:t xml:space="preserve">[59] </w:t>
      </w:r>
      <w:hyperlink r:id="rId232">
        <w:r>
          <w:rPr>
            <w:color w:val="1155CC"/>
            <w:u w:val="single"/>
          </w:rPr>
          <w:t>为什么宇宙学不仅仅是一个理论</w:t>
        </w:r>
      </w:hyperlink>
    </w:p>
    <w:p>
      <w:pPr>
        <w:spacing w:before="0" w:after="80"/>
      </w:pPr>
      <w:r>
        <w:rPr>
          <w:i/>
          <w:sz w:val="20"/>
        </w:rPr>
        <w:t>EN: Why cosmology is more than a theory</w:t>
      </w:r>
    </w:p>
    <w:p>
      <w:pPr>
        <w:spacing w:before="0" w:after="120"/>
      </w:pPr>
      <w:r>
        <w:rPr>
          <w:b/>
        </w:rPr>
        <w:t xml:space="preserve">Source: </w:t>
      </w:r>
      <w:r>
        <w:t>Nature</w:t>
      </w:r>
      <w:r>
        <w:t xml:space="preserve">    </w:t>
      </w:r>
      <w:r>
        <w:rPr>
          <w:b/>
        </w:rPr>
        <w:t xml:space="preserve">Pub date: </w:t>
      </w:r>
      <w:r>
        <w:t>2026-04-27 00:00:00+00:00</w:t>
      </w:r>
      <w:r>
        <w:t xml:space="preserve">    </w:t>
      </w:r>
      <w:r>
        <w:rPr>
          <w:b/>
        </w:rPr>
        <w:t xml:space="preserve">DOI: </w:t>
      </w:r>
      <w:hyperlink r:id="rId233">
        <w:r>
          <w:rPr>
            <w:color w:val="1155CC"/>
            <w:u w:val="single"/>
          </w:rPr>
          <w:t>10.1038/d41586-026-01303-3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[60] </w:t>
      </w:r>
      <w:hyperlink r:id="rId234">
        <w:r>
          <w:rPr>
            <w:color w:val="1155CC"/>
            <w:u w:val="single"/>
          </w:rPr>
          <w:t>线粒体可以产生新的“细胞器”——暗示现代细胞如何进化</w:t>
        </w:r>
      </w:hyperlink>
    </w:p>
    <w:p>
      <w:pPr>
        <w:spacing w:before="0" w:after="80"/>
      </w:pPr>
      <w:r>
        <w:rPr>
          <w:i/>
          <w:sz w:val="20"/>
        </w:rPr>
        <w:t>EN: Mitochondria can spawn new ‘organelles’ — hinting at how modern cells evolved</w:t>
      </w:r>
    </w:p>
    <w:p>
      <w:pPr>
        <w:spacing w:before="0" w:after="120"/>
      </w:pPr>
      <w:r>
        <w:rPr>
          <w:b/>
        </w:rPr>
        <w:t xml:space="preserve">Source: </w:t>
      </w:r>
      <w:r>
        <w:t>Nature</w:t>
      </w:r>
      <w:r>
        <w:t xml:space="preserve">    </w:t>
      </w:r>
      <w:r>
        <w:rPr>
          <w:b/>
        </w:rPr>
        <w:t xml:space="preserve">Pub date: </w:t>
      </w:r>
      <w:r>
        <w:t>2026-04-27 00:00:00+00:00</w:t>
      </w:r>
      <w:r>
        <w:t xml:space="preserve">    </w:t>
      </w:r>
      <w:r>
        <w:rPr>
          <w:b/>
        </w:rPr>
        <w:t xml:space="preserve">DOI: </w:t>
      </w:r>
      <w:hyperlink r:id="rId235">
        <w:r>
          <w:rPr>
            <w:color w:val="1155CC"/>
            <w:u w:val="single"/>
          </w:rPr>
          <w:t>10.1038/d41586-026-01295-0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[61] </w:t>
      </w:r>
      <w:hyperlink r:id="rId236">
        <w:r>
          <w:rPr>
            <w:color w:val="1155CC"/>
            <w:u w:val="single"/>
          </w:rPr>
          <w:t>“职位描述正在改变”：数学家陶哲轩谈人工智能的崛起</w:t>
        </w:r>
      </w:hyperlink>
    </w:p>
    <w:p>
      <w:pPr>
        <w:spacing w:before="0" w:after="80"/>
      </w:pPr>
      <w:r>
        <w:rPr>
          <w:i/>
          <w:sz w:val="20"/>
        </w:rPr>
        <w:t>EN: ‘The job description is changing’: mathematician Terence Tao on the rise of AI</w:t>
      </w:r>
    </w:p>
    <w:p>
      <w:pPr>
        <w:spacing w:before="0" w:after="120"/>
      </w:pPr>
      <w:r>
        <w:rPr>
          <w:b/>
        </w:rPr>
        <w:t xml:space="preserve">Source: </w:t>
      </w:r>
      <w:r>
        <w:t>Nature</w:t>
      </w:r>
      <w:r>
        <w:t xml:space="preserve">    </w:t>
      </w:r>
      <w:r>
        <w:rPr>
          <w:b/>
        </w:rPr>
        <w:t xml:space="preserve">Pub date: </w:t>
      </w:r>
      <w:r>
        <w:t>2026-04-27 00:00:00+00:00</w:t>
      </w:r>
      <w:r>
        <w:t xml:space="preserve">    </w:t>
      </w:r>
      <w:r>
        <w:rPr>
          <w:b/>
        </w:rPr>
        <w:t xml:space="preserve">DOI: </w:t>
      </w:r>
      <w:hyperlink r:id="rId237">
        <w:r>
          <w:rPr>
            <w:color w:val="1155CC"/>
            <w:u w:val="single"/>
          </w:rPr>
          <w:t>10.1038/d41586-026-01246-9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[62] </w:t>
      </w:r>
      <w:hyperlink r:id="rId238">
        <w:r>
          <w:rPr>
            <w:color w:val="1155CC"/>
            <w:u w:val="single"/>
          </w:rPr>
          <w:t>一个自动运行的化学实验室以寻找完美反应</w:t>
        </w:r>
      </w:hyperlink>
    </w:p>
    <w:p>
      <w:pPr>
        <w:spacing w:before="0" w:after="80"/>
      </w:pPr>
      <w:r>
        <w:rPr>
          <w:i/>
          <w:sz w:val="20"/>
        </w:rPr>
        <w:t>EN: A chemistry lab that runs itself to find the perfect reaction</w:t>
      </w:r>
    </w:p>
    <w:p>
      <w:pPr>
        <w:spacing w:before="0" w:after="120"/>
      </w:pPr>
      <w:r>
        <w:rPr>
          <w:b/>
        </w:rPr>
        <w:t xml:space="preserve">Source: </w:t>
      </w:r>
      <w:r>
        <w:t>Nature</w:t>
      </w:r>
      <w:r>
        <w:t xml:space="preserve">    </w:t>
      </w:r>
      <w:r>
        <w:rPr>
          <w:b/>
        </w:rPr>
        <w:t xml:space="preserve">Pub date: </w:t>
      </w:r>
      <w:r>
        <w:t>2026-04-27 00:00:00+00:00</w:t>
      </w:r>
      <w:r>
        <w:t xml:space="preserve">    </w:t>
      </w:r>
      <w:r>
        <w:rPr>
          <w:b/>
        </w:rPr>
        <w:t xml:space="preserve">DOI: </w:t>
      </w:r>
      <w:hyperlink r:id="rId239">
        <w:r>
          <w:rPr>
            <w:color w:val="1155CC"/>
            <w:u w:val="single"/>
          </w:rPr>
          <w:t>10.1038/d41586-026-01283-4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[63] </w:t>
      </w:r>
      <w:hyperlink r:id="rId240">
        <w:r>
          <w:rPr>
            <w:color w:val="1155CC"/>
            <w:u w:val="single"/>
          </w:rPr>
          <w:t>#ScientistAtWork 2026：Nature 寻找捕捉研究人员工作的引人注目的照片</w:t>
        </w:r>
      </w:hyperlink>
    </w:p>
    <w:p>
      <w:pPr>
        <w:spacing w:before="0" w:after="80"/>
      </w:pPr>
      <w:r>
        <w:rPr>
          <w:i/>
          <w:sz w:val="20"/>
        </w:rPr>
        <w:t>EN: #ScientistAtWork 2026: Nature seeks striking photographs that capture researchers at work</w:t>
      </w:r>
    </w:p>
    <w:p>
      <w:pPr>
        <w:spacing w:before="0" w:after="120"/>
      </w:pPr>
      <w:r>
        <w:rPr>
          <w:b/>
        </w:rPr>
        <w:t xml:space="preserve">Source: </w:t>
      </w:r>
      <w:r>
        <w:t>Nature</w:t>
      </w:r>
      <w:r>
        <w:t xml:space="preserve">    </w:t>
      </w:r>
      <w:r>
        <w:rPr>
          <w:b/>
        </w:rPr>
        <w:t xml:space="preserve">Pub date: </w:t>
      </w:r>
      <w:r>
        <w:t>2026-04-27 00:00:00+00:00</w:t>
      </w:r>
      <w:r>
        <w:t xml:space="preserve">    </w:t>
      </w:r>
      <w:r>
        <w:rPr>
          <w:b/>
        </w:rPr>
        <w:t xml:space="preserve">DOI: </w:t>
      </w:r>
      <w:hyperlink r:id="rId241">
        <w:r>
          <w:rPr>
            <w:color w:val="1155CC"/>
            <w:u w:val="single"/>
          </w:rPr>
          <w:t>10.1038/d41586-026-01266-5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[64] </w:t>
      </w:r>
      <w:hyperlink r:id="rId242">
        <w:r>
          <w:rPr>
            <w:color w:val="1155CC"/>
            <w:u w:val="single"/>
          </w:rPr>
          <w:t>端粒到端粒组装使用 HERRO 校正的 Simplex 纳米孔读取</w:t>
        </w:r>
      </w:hyperlink>
    </w:p>
    <w:p>
      <w:pPr>
        <w:spacing w:before="0" w:after="80"/>
      </w:pPr>
      <w:r>
        <w:rPr>
          <w:i/>
          <w:sz w:val="20"/>
        </w:rPr>
        <w:t>EN: Telomere-to-Telomere Assembly Using HERRO-Corrected Simplex Nanopore Reads</w:t>
      </w:r>
    </w:p>
    <w:p>
      <w:pPr>
        <w:spacing w:before="0" w:after="120"/>
      </w:pPr>
      <w:r>
        <w:rPr>
          <w:b/>
        </w:rPr>
        <w:t xml:space="preserve">Source: </w:t>
      </w:r>
      <w:r>
        <w:t>Nature</w:t>
      </w:r>
      <w:r>
        <w:t xml:space="preserve">    </w:t>
      </w:r>
      <w:r>
        <w:rPr>
          <w:b/>
        </w:rPr>
        <w:t xml:space="preserve">Pub date: </w:t>
      </w:r>
      <w:r>
        <w:t>2026-04-27 00:00:00+00:00</w:t>
      </w:r>
      <w:r>
        <w:t xml:space="preserve">    </w:t>
      </w:r>
      <w:r>
        <w:rPr>
          <w:b/>
        </w:rPr>
        <w:t xml:space="preserve">DOI: </w:t>
      </w:r>
      <w:hyperlink r:id="rId243">
        <w:r>
          <w:rPr>
            <w:color w:val="1155CC"/>
            <w:u w:val="single"/>
          </w:rPr>
          <w:t>10.1038/s41586-026-10563-y</w:t>
        </w:r>
      </w:hyperlink>
    </w:p>
    <w:p>
      <w:pPr>
        <w:spacing w:before="0" w:after="120"/>
      </w:pPr>
      <w:r>
        <w:rPr>
          <w:b/>
        </w:rPr>
        <w:t xml:space="preserve">Notes: </w:t>
      </w:r>
      <w:r>
        <w:t>abstract_source=nature_html</w:t>
      </w:r>
    </w:p>
    <w:p>
      <w:pPr>
        <w:spacing w:before="0" w:after="80" w:lineRule="auto" w:line="276"/>
      </w:pPr>
      <w:r>
        <w:rPr>
          <w:b/>
        </w:rPr>
        <w:t xml:space="preserve">摘要（ZH）: </w:t>
      </w:r>
      <w:r>
        <w:t>端粒到端粒（T2T）相位组装正在成为参考质量基因组的基准，尽管在技术和财务上仍然具有挑战性，特别是在大规模时。为二倍体和多倍体基因组生成此类组装通常涉及结合高精度长读长，如PacBio HiFi或现已弃用的ONT Duplex读长，与超长ONT Simplex读长。使用多种平台或方法会增加成本和所需的基因组DNA量。在此，我们展示了通过对超长ONT Simplex读长进行错误校正，然后使用最先进的de novo组装方法组装它们，可以获得可比的结果。为此，我们开发了基于深度学习的HERRO（Haplotype-aware ERRor cOrrection）框架，该框架在仔细保留相关基因组序列差异的同时校正ONT Simplex读长。考虑到区分单倍型或基因组重复拷贝的有信息位置，HERRO在二倍体人类基因组中实现了读长准确性提高至多100倍。通过将HERRO与Verkko组装器结合，我们重建了多达32条染色体的端粒到端粒，包括X和Y染色体，并在多个人人类基因组中始终实现NGA50值达到100 Mb或更高。HERRO支持R9.4.1和R10.4.1 ONT Simplex读长，并且很好地推广到其他物种。这些结果表明，错误校正的ONT读长可以降低测序成本并提高基因组分析的质量。</w:t>
      </w:r>
    </w:p>
    <w:p>
      <w:pPr>
        <w:spacing w:before="0" w:after="200" w:lineRule="auto" w:line="276"/>
      </w:pPr>
      <w:r>
        <w:rPr>
          <w:b/>
        </w:rPr>
        <w:t xml:space="preserve">Abstract (EN): </w:t>
      </w:r>
      <w:r>
        <w:t>Telomere-to-telomere (T2T) phased assemblies are emerging as a benchmark for reference-quality genomes1,17, though they remain technically and financially demanding, particularly at scale. Generating such assemblies for diploid and polyploid genomes typically involves combining high-accuracy long reads, such as PacBio HiFi16 or the now-deprecated ONT Duplex2 reads, with ultra-long ONT Simplex reads. Using multiple platforms or methods increases the cost and the required amount of genomic DNA. Here, we show that comparable results are possible using error correction of ultra-long ONT Simplex reads and then assembling them using state-of-the-art de novo assembly methods. To achieve this, we have developed the deep learning-based HERRO (Haplotype-aware ERRor cOrrection) framework, which corrects ONT Simplex reads while carefully preserving differences in related genomic sequences. Taking into account informative positions that differentiate the haplotypes or genomic repeat copies, HERRO achieves an increase of read accuracy of up to 100-fold for diploid human genomes. By combining HERRO with the Verkko17 assembler, we reconstruct up to 32 chromosomes telomere-to-telomere, including chromosomes X and Y, and consistently achieve NGA50 values of 100 Mb or higher across several human genomes. HERRO supports both R9.4.1 and R10.4.1 ONT Simplex reads and generalizes well to other species. These results show that error-corrected ONT reads can lower sequencing costs and improve the quality of genomic analyses.</w:t>
      </w:r>
    </w:p>
    <w:p>
      <w:pPr>
        <w:spacing w:before="120" w:after="120"/>
      </w:pPr>
      <w:r>
        <w:rPr>
          <w:sz w:val="18"/>
        </w:rPr>
        <w:t>——————————————————————————————————————————————————————————————————————</w:t>
      </w:r>
    </w:p>
    <w:p>
      <w:pPr>
        <w:spacing w:before="160" w:after="40" w:line="240" w:lineRule="auto"/>
      </w:pPr>
      <w:r>
        <w:rPr>
          <w:b/>
        </w:rPr>
        <w:t xml:space="preserve">[65] </w:t>
      </w:r>
      <w:hyperlink r:id="rId244">
        <w:r>
          <w:rPr>
            <w:color w:val="1155CC"/>
            <w:u w:val="single"/>
          </w:rPr>
          <w:t>原位 X 射线光谱用于跨多个尺度跟踪电催化动态界面</w:t>
        </w:r>
      </w:hyperlink>
    </w:p>
    <w:p>
      <w:pPr>
        <w:spacing w:before="0" w:after="80"/>
      </w:pPr>
      <w:r>
        <w:rPr>
          <w:i/>
          <w:sz w:val="20"/>
        </w:rPr>
        <w:t>EN: Operando X-ray spectroscopies for tracking electrocatalytic dynamic interfaces across multiple scales</w:t>
      </w:r>
    </w:p>
    <w:p>
      <w:pPr>
        <w:spacing w:before="0" w:after="120"/>
      </w:pPr>
      <w:r>
        <w:rPr>
          <w:b/>
        </w:rPr>
        <w:t xml:space="preserve">Source: </w:t>
      </w:r>
      <w:r>
        <w:t>Chem</w:t>
      </w:r>
      <w:r>
        <w:t xml:space="preserve">    </w:t>
      </w:r>
      <w:r>
        <w:rPr>
          <w:b/>
        </w:rPr>
        <w:t xml:space="preserve">Pub date: </w:t>
      </w:r>
      <w:r>
        <w:t>2026-04-27 00:00:00+00:00</w:t>
      </w:r>
      <w:r>
        <w:t xml:space="preserve">    </w:t>
      </w:r>
      <w:r>
        <w:rPr>
          <w:b/>
        </w:rPr>
        <w:t xml:space="preserve">DOI: </w:t>
      </w:r>
      <w:hyperlink r:id="rId245">
        <w:r>
          <w:rPr>
            <w:color w:val="1155CC"/>
            <w:u w:val="single"/>
          </w:rPr>
          <w:t>10.1016/j.chempr.2026.103032</w:t>
        </w:r>
      </w:hyperlink>
    </w:p>
    <w:p>
      <w:pPr>
        <w:spacing w:before="0" w:after="120"/>
      </w:pPr>
      <w:r>
        <w:rPr>
          <w:b/>
        </w:rPr>
        <w:t xml:space="preserve">Notes: </w:t>
      </w:r>
      <w:r>
        <w:t>abstract_source=rss_cell</w:t>
      </w:r>
    </w:p>
    <w:p>
      <w:pPr>
        <w:spacing w:before="0" w:after="80" w:lineRule="auto" w:line="276"/>
      </w:pPr>
      <w:r>
        <w:rPr>
          <w:b/>
        </w:rPr>
        <w:t xml:space="preserve">摘要（ZH）: </w:t>
      </w:r>
      <w:r>
        <w:t>原位X射线光谱揭示了跨电子、原子和纳米尺度的动态催化剂-电解质界面，提供了机制洞察和在异质电催化中预测设计和耐久性工程的新策略。</w:t>
      </w:r>
    </w:p>
    <w:p>
      <w:pPr>
        <w:spacing w:before="0" w:after="200" w:lineRule="auto" w:line="276"/>
      </w:pPr>
      <w:r>
        <w:rPr>
          <w:b/>
        </w:rPr>
        <w:t xml:space="preserve">Abstract (EN): </w:t>
      </w:r>
      <w:r>
        <w:t>Operando X-ray spectroscopies uncover the dynamic catalyst-electrolyte interface across electronic, atomic, and nanoscale regimes, providing mechanistic insight and new strategies for predictive design and durability engineering in heterogeneous electrocatalysis.</w:t>
      </w:r>
    </w:p>
    <w:p>
      <w:pPr>
        <w:spacing w:before="120" w:after="120"/>
      </w:pPr>
      <w:r>
        <w:rPr>
          <w:sz w:val="18"/>
        </w:rPr>
        <w:t>——————————————————————————————————————————————————————————————————————</w:t>
      </w:r>
    </w:p>
    <w:p>
      <w:pPr>
        <w:spacing w:before="160" w:after="40" w:line="240" w:lineRule="auto"/>
      </w:pPr>
      <w:r>
        <w:rPr>
          <w:b/>
        </w:rPr>
        <w:t xml:space="preserve">[66] </w:t>
      </w:r>
      <w:hyperlink r:id="rId246">
        <w:r>
          <w:rPr>
            <w:color w:val="1155CC"/>
            <w:u w:val="single"/>
          </w:rPr>
          <w:t>在单离子和亚颗粒分辨率下的时空金属剥离协同作用的光学纳米显微术</w:t>
        </w:r>
      </w:hyperlink>
    </w:p>
    <w:p>
      <w:pPr>
        <w:spacing w:before="0" w:after="80"/>
      </w:pPr>
      <w:r>
        <w:rPr>
          <w:i/>
          <w:sz w:val="20"/>
        </w:rPr>
        <w:t>EN: Optical nanoscopy of spatiotemporal metal stripping cooperativity at single-ion and subparticle resolution</w:t>
      </w:r>
    </w:p>
    <w:p>
      <w:pPr>
        <w:spacing w:before="0" w:after="120"/>
      </w:pPr>
      <w:r>
        <w:rPr>
          <w:b/>
        </w:rPr>
        <w:t xml:space="preserve">Source: </w:t>
      </w:r>
      <w:r>
        <w:t>Nature Materials</w:t>
      </w:r>
      <w:r>
        <w:t xml:space="preserve">    </w:t>
      </w:r>
      <w:r>
        <w:rPr>
          <w:b/>
        </w:rPr>
        <w:t xml:space="preserve">Pub date: </w:t>
      </w:r>
      <w:r>
        <w:t>2026-04-27 00:00:00+00:00</w:t>
      </w:r>
      <w:r>
        <w:t xml:space="preserve">    </w:t>
      </w:r>
      <w:r>
        <w:rPr>
          <w:b/>
        </w:rPr>
        <w:t xml:space="preserve">DOI: </w:t>
      </w:r>
      <w:hyperlink r:id="rId247">
        <w:r>
          <w:rPr>
            <w:color w:val="1155CC"/>
            <w:u w:val="single"/>
          </w:rPr>
          <w:t>10.1038/s41563-026-02567-w</w:t>
        </w:r>
      </w:hyperlink>
    </w:p>
    <w:p>
      <w:pPr>
        <w:spacing w:before="0" w:after="120"/>
      </w:pPr>
      <w:r>
        <w:rPr>
          <w:b/>
        </w:rPr>
        <w:t xml:space="preserve">Notes: </w:t>
      </w:r>
      <w:r>
        <w:t>abstract_source=nature_html</w:t>
      </w:r>
    </w:p>
    <w:p>
      <w:pPr>
        <w:spacing w:before="0" w:after="80" w:lineRule="auto" w:line="276"/>
      </w:pPr>
      <w:r>
        <w:rPr>
          <w:b/>
        </w:rPr>
        <w:t xml:space="preserve">摘要（ZH）: </w:t>
      </w:r>
      <w:r>
        <w:t>电活性颗粒上的耦合离子-电子界面反应性对各种电池化学和动力学至关重要且复杂，尽管原位成像取得了进展，但这些反应的直接可视化仍然难以实现。在此，我们报告了具有单离子、亚颗粒分辨率的离子定位光学纳米显微术（ION），能够区分离子生成界面反应中的微观静态和动态无序，提供非破坏性、实时、非平衡的见解。我们揭示了锌阳极的多样化剥离动态，揭示了意想不到的亚颗粒级异质性，并挑战了对（002）取向锌上均匀剥离的传统观点。由ION识别的介观功能描述符——颗粒内扩散和电子耦合强度——决定了整体剥离均匀性，并通过计算方法支持和通过原位单颗粒操作验证。成像衍生的见解进一步转化为集成级策略，使阳极可逆性达到卓越水平。ION具有成本效益、高通量，并广泛适用于无数离子参与的界面过程，包括阴极（去）插层、固体电解质界面演变、离子交换和催化剂重构。</w:t>
      </w:r>
    </w:p>
    <w:p>
      <w:pPr>
        <w:spacing w:before="0" w:after="200" w:lineRule="auto" w:line="276"/>
      </w:pPr>
      <w:r>
        <w:rPr>
          <w:b/>
        </w:rPr>
        <w:t xml:space="preserve">Abstract (EN): </w:t>
      </w:r>
      <w:r>
        <w:t>Coupled ion–electron interfacial reactivities on electroactive particles are complex and crucial to various battery chemistries and dynamics, yet direct visualization of these reactions remains elusive despite advances in operando imaging. Here we report ion-localization optical nanoscopy (ION) with single-ion, subparticle resolution that distinguishes microscopic static and dynamic disorder in ion-generation interfacial reactivity, offering nondestructive, real-time, non-equilibrium insights. We uncover diverse stripping dynamics of zinc anodes, revealing unexpected subparticle-level heterogeneity and challenging conventional views of uniform stripping on (002)-textured zinc. Mesoscale functional descriptors—intraparticle diffusive and electronic coupling strengths—that govern overall stripping uniformity are identified by ION, supported by computational methods and validated by in situ single-particle manipulation. Imaging-derived insights are further translated into ensemble-level strategies enabling exceptional anode reversibility. ION is cost-effective, high-throughput and broadly applicable to myriad ion-participated interfacial processes, including cathode (de)intercalation, solid–electrolyte interphase evolution, ion exchange and catalyst restructuring.</w:t>
      </w:r>
    </w:p>
    <w:p>
      <w:pPr>
        <w:spacing w:before="120" w:after="120"/>
      </w:pPr>
      <w:r>
        <w:rPr>
          <w:sz w:val="18"/>
        </w:rPr>
        <w:t>——————————————————————————————————————————————————————————————————————</w:t>
      </w:r>
    </w:p>
    <w:p>
      <w:pPr>
        <w:spacing w:before="160" w:after="40" w:line="240" w:lineRule="auto"/>
      </w:pPr>
      <w:r>
        <w:rPr>
          <w:b/>
        </w:rPr>
        <w:t xml:space="preserve">[67] </w:t>
      </w:r>
      <w:hyperlink r:id="rId248">
        <w:r>
          <w:rPr>
            <w:color w:val="1155CC"/>
            <w:u w:val="single"/>
          </w:rPr>
          <w:t>基于信号折叠的神经形态硬件用于节能计算</w:t>
        </w:r>
      </w:hyperlink>
    </w:p>
    <w:p>
      <w:pPr>
        <w:spacing w:before="0" w:after="80"/>
      </w:pPr>
      <w:r>
        <w:rPr>
          <w:i/>
          <w:sz w:val="20"/>
        </w:rPr>
        <w:t>EN: Signal-folding-based neuromorphic hardware for energy-efficient computing</w:t>
      </w:r>
    </w:p>
    <w:p>
      <w:pPr>
        <w:spacing w:before="0" w:after="120"/>
      </w:pPr>
      <w:r>
        <w:rPr>
          <w:b/>
        </w:rPr>
        <w:t xml:space="preserve">Source: </w:t>
      </w:r>
      <w:r>
        <w:t>Nature Electronics</w:t>
      </w:r>
      <w:r>
        <w:t xml:space="preserve">    </w:t>
      </w:r>
      <w:r>
        <w:rPr>
          <w:b/>
        </w:rPr>
        <w:t xml:space="preserve">Pub date: </w:t>
      </w:r>
      <w:r>
        <w:t>2026-04-27 00:00:00+00:00</w:t>
      </w:r>
      <w:r>
        <w:t xml:space="preserve">    </w:t>
      </w:r>
      <w:r>
        <w:rPr>
          <w:b/>
        </w:rPr>
        <w:t xml:space="preserve">DOI: </w:t>
      </w:r>
      <w:hyperlink r:id="rId249">
        <w:r>
          <w:rPr>
            <w:color w:val="1155CC"/>
            <w:u w:val="single"/>
          </w:rPr>
          <w:t>10.1038/s41928-026-01626-z</w:t>
        </w:r>
      </w:hyperlink>
    </w:p>
    <w:p>
      <w:pPr>
        <w:spacing w:before="0" w:after="120"/>
      </w:pPr>
      <w:r>
        <w:rPr>
          <w:b/>
        </w:rPr>
        <w:t xml:space="preserve">Notes: </w:t>
      </w:r>
      <w:r>
        <w:t>abstract_source=nature_html</w:t>
      </w:r>
    </w:p>
    <w:p>
      <w:pPr>
        <w:spacing w:before="0" w:after="80" w:lineRule="auto" w:line="276"/>
      </w:pPr>
      <w:r>
        <w:rPr>
          <w:b/>
        </w:rPr>
        <w:t xml:space="preserve">摘要（ZH）: </w:t>
      </w:r>
      <w:r>
        <w:t>基于二维材料（如二硫化钼 (MoS2)）的器件可以用于构建神经形态计算内存硬件，因为它们具有高静电可控性。扩大此类硬件的规模是增强其在边缘人工智能平台中应用的关键。然而，由于权重精度和能效之间的权衡，发展受到限制：提高权重精度的方法（如使用较高的工作电压来编码其他电导状态或使用校准和补偿方案来减轻器件间的变化）在提高性能方面有效，但能耗较高。在此，我们报告了一种硬件内信号折叠方案，可以同时提供高权重精度和高能效。该方法使用两种折叠方案——输入信号折叠和权重电导折叠——来预定义用于矢量-矩阵乘法的信号，并使用垂直一晶体管-一电阻MoS2交叉阵列实现这些方案。在这两种方案中，信号被编码为两个组合折叠信号。输入信号折叠降低了工作电压，而权重电导折叠规避了器件间的变化以扩展权重精度。与使用未折叠信号计算相比，我们的方法可以将矢量-矩阵乘法的功耗降低多达90%，同时实现类似的准确性且无需校准或补偿方案。</w:t>
      </w:r>
    </w:p>
    <w:p>
      <w:pPr>
        <w:spacing w:before="0" w:after="200" w:lineRule="auto" w:line="276"/>
      </w:pPr>
      <w:r>
        <w:rPr>
          <w:b/>
        </w:rPr>
        <w:t xml:space="preserve">Abstract (EN): </w:t>
      </w:r>
      <w:r>
        <w:t>Devices based on two-dimensional materials, such as molybdenum disulfide (MoS2), could be used to build neuromorphic compute-in-memory hardware due to their high electrostatic controllability. Scaling up such hardware is key to enhancing its application in edge artificial intelligence platforms. However, development has been limited due to a trade-off between weight precision and energy efficiency: methods to increase weight precision (such as using elevated operating voltages to encode other conductance states or using calibration and compensation schemes to mitigate device-to-device variations) are effective at improving performance but are energy intensive. Here we report on an in-hardware signal-folding scheme that can provide both high weight precision and high energy efficiency. The approach uses two folding schemes—input signal folding and weight conductance folding—to predefine signals applied for vector–matrix multiplication, and we implement the schemes using a vertical one-transistor–one-resistor MoS2 crossbar array. In both schemes, the signals are encoded into two combinatorial folded signals. The input signal folding decreases the operating voltage, whereas the weight conductance folding circumvents device-to-device variations to expand weight precision. Compared with computing with the unfolded signal, our method can reduce the power consumption of vector–matrix multiplication by up to 90%, while achieving similar accuracy and without calibration or compensation schemes.</w:t>
      </w:r>
    </w:p>
    <w:p>
      <w:pPr>
        <w:spacing w:before="120" w:after="120"/>
      </w:pPr>
      <w:r>
        <w:rPr>
          <w:sz w:val="18"/>
        </w:rPr>
        <w:t>——————————————————————————————————————————————————————————————————————</w:t>
      </w:r>
    </w:p>
    <w:p>
      <w:pPr>
        <w:spacing w:before="160" w:after="40" w:line="240" w:lineRule="auto"/>
      </w:pPr>
      <w:r>
        <w:rPr>
          <w:b/>
        </w:rPr>
        <w:t xml:space="preserve">[68] </w:t>
      </w:r>
      <w:hyperlink r:id="rId250">
        <w:r>
          <w:rPr>
            <w:color w:val="1155CC"/>
            <w:u w:val="single"/>
          </w:rPr>
          <w:t>代理型人工智能会颠覆资助系统吗？</w:t>
        </w:r>
      </w:hyperlink>
    </w:p>
    <w:p>
      <w:pPr>
        <w:spacing w:before="0" w:after="80"/>
      </w:pPr>
      <w:r>
        <w:rPr>
          <w:i/>
          <w:sz w:val="20"/>
        </w:rPr>
        <w:t>EN: Could agentic AI topple grant-funding systems?</w:t>
      </w:r>
    </w:p>
    <w:p>
      <w:pPr>
        <w:spacing w:before="0" w:after="120"/>
      </w:pPr>
      <w:r>
        <w:rPr>
          <w:b/>
        </w:rPr>
        <w:t xml:space="preserve">Source: </w:t>
      </w:r>
      <w:r>
        <w:t>Nature</w:t>
      </w:r>
      <w:r>
        <w:t xml:space="preserve">    </w:t>
      </w:r>
      <w:r>
        <w:rPr>
          <w:b/>
        </w:rPr>
        <w:t xml:space="preserve">Pub date: </w:t>
      </w:r>
      <w:r>
        <w:t>2026-04-27 00:00:00+00:00</w:t>
      </w:r>
      <w:r>
        <w:t xml:space="preserve">    </w:t>
      </w:r>
      <w:r>
        <w:rPr>
          <w:b/>
        </w:rPr>
        <w:t xml:space="preserve">DOI: </w:t>
      </w:r>
      <w:hyperlink r:id="rId251">
        <w:r>
          <w:rPr>
            <w:color w:val="1155CC"/>
            <w:u w:val="single"/>
          </w:rPr>
          <w:t>10.1038/d41586-026-01297-y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[69] </w:t>
      </w:r>
      <w:hyperlink r:id="rId252">
        <w:r>
          <w:rPr>
            <w:color w:val="1155CC"/>
            <w:u w:val="single"/>
          </w:rPr>
          <w:t>每日简报：特朗普解雇整个 NSF 顾问委员会</w:t>
        </w:r>
      </w:hyperlink>
    </w:p>
    <w:p>
      <w:pPr>
        <w:spacing w:before="0" w:after="80"/>
      </w:pPr>
      <w:r>
        <w:rPr>
          <w:i/>
          <w:sz w:val="20"/>
        </w:rPr>
        <w:t>EN: Daily briefing: Trump fires entire NSF advisory board</w:t>
      </w:r>
    </w:p>
    <w:p>
      <w:pPr>
        <w:spacing w:before="0" w:after="120"/>
      </w:pPr>
      <w:r>
        <w:rPr>
          <w:b/>
        </w:rPr>
        <w:t xml:space="preserve">Source: </w:t>
      </w:r>
      <w:r>
        <w:t>Nature</w:t>
      </w:r>
      <w:r>
        <w:t xml:space="preserve">    </w:t>
      </w:r>
      <w:r>
        <w:rPr>
          <w:b/>
        </w:rPr>
        <w:t xml:space="preserve">Pub date: </w:t>
      </w:r>
      <w:r>
        <w:t>2026-04-27 00:00:00+00:00</w:t>
      </w:r>
      <w:r>
        <w:t xml:space="preserve">    </w:t>
      </w:r>
      <w:r>
        <w:rPr>
          <w:b/>
        </w:rPr>
        <w:t xml:space="preserve">DOI: </w:t>
      </w:r>
      <w:hyperlink r:id="rId253">
        <w:r>
          <w:rPr>
            <w:color w:val="1155CC"/>
            <w:u w:val="single"/>
          </w:rPr>
          <w:t>10.1038/d41586-026-01384-0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[70] </w:t>
      </w:r>
      <w:hyperlink r:id="rId254">
        <w:r>
          <w:rPr>
            <w:color w:val="1155CC"/>
            <w:u w:val="single"/>
          </w:rPr>
          <w:t>利用点-平面手性协同作用：具有可调圆偏振发光的柱[5]芳烃轮烷的结晶启用拆分</w:t>
        </w:r>
      </w:hyperlink>
    </w:p>
    <w:p>
      <w:pPr>
        <w:spacing w:before="0" w:after="80"/>
      </w:pPr>
      <w:r>
        <w:rPr>
          <w:i/>
          <w:sz w:val="20"/>
        </w:rPr>
        <w:t>EN: Harnessing Point–Planar Chirality Synergy: Crystallization‐Enabled Resolution of Pillar[5]arene Rotaxanes With Tunable Circularly Polarized Luminescence</w:t>
      </w:r>
    </w:p>
    <w:p>
      <w:pPr>
        <w:spacing w:before="0" w:after="120"/>
      </w:pPr>
      <w:r>
        <w:rPr>
          <w:b/>
        </w:rPr>
        <w:t xml:space="preserve">Source: </w:t>
      </w:r>
      <w:r>
        <w:t>Wiley: Angewandte Chemie International Edition: Table of Contents</w:t>
      </w:r>
      <w:r>
        <w:t xml:space="preserve">    </w:t>
      </w:r>
      <w:r>
        <w:rPr>
          <w:b/>
        </w:rPr>
        <w:t xml:space="preserve">Pub date: </w:t>
      </w:r>
      <w:r>
        <w:t>2026-04-27 03:34:54+00:00</w:t>
      </w:r>
      <w:r>
        <w:t xml:space="preserve">    </w:t>
      </w:r>
      <w:r>
        <w:rPr>
          <w:b/>
        </w:rPr>
        <w:t xml:space="preserve">DOI: </w:t>
      </w:r>
      <w:hyperlink r:id="rId255">
        <w:r>
          <w:rPr>
            <w:color w:val="1155CC"/>
            <w:u w:val="single"/>
          </w:rPr>
          <w:t>10.1002/anie.6232425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定柱[5]芳烃固有的平面手性仍然是超分子化学中的一个挑战。在此，我们报告了一种合理的策略，通过在轴单元的两端引入空间庞大的手性封端基团来构建手性柱[5]芳烃基[2]轮烷并控制其平面手性。使用这种方法，通过简单的重结晶有效地分离出六种结构不同的[2]轮烷，产率超过90%，非对映异构体比（d.r.）超过99.5:0.5。这些分子可以被分类为协同或不匹配的点-平面手性[2]轮烷。值得注意的是，只有协同点-平面手性[2]轮烷表现出可调的圆偏振发光（CPL），最大|g_lum|值为0.02，而不匹配的构型则没有检测到CPL信号。这项工作克服了手性柱[5]芳烃轮烷可扩展、立体控制合成的基本瓶颈，并为其在手性光学材料中的发展建立了一个稳健的平台。</w:t>
      </w:r>
    </w:p>
    <w:p>
      <w:pPr>
        <w:spacing w:before="0" w:after="200" w:lineRule="auto" w:line="276"/>
      </w:pPr>
      <w:r>
        <w:rPr>
          <w:b/>
        </w:rPr>
        <w:t xml:space="preserve">Abstract (EN): </w:t>
      </w:r>
      <w:r>
        <w:t>Immobilizing the planar chirality inherent to pillar[5]arene remains a challenge in supramolecular chemistry. Herein, we report a rational strategy for constructing chiral pillar[5]arene‐based [2]rotaxanes and controlling their planar chirality by incorporating sterically bulky chiral stopper groups at both ends of the axle units. Using this approach, six structurally distinct [2]rotaxanes were efficiently resolved via simple recrystallization, achieving yields exceeding 90% and diastereomeric ratios (</w:t>
      </w:r>
      <w:r>
        <w:t xml:space="preserve"> </w:t>
      </w:r>
      <w:r>
        <w:t>d.r</w:t>
      </w:r>
      <w:r>
        <w:t xml:space="preserve"> </w:t>
      </w:r>
      <w:r>
        <w:t>.) above 99.5:0.5. These molecules can be classified as either synergistic or mismatched point–planar chiral [2]rotaxanes. Remarkably, only the synergistic point–planar chiral [2]rotaxanes exhibited tunable circularly polarized luminescence (CPL), with a maximum |</w:t>
      </w:r>
      <w:r>
        <w:t xml:space="preserve"> </w:t>
      </w:r>
      <w:r>
        <w:t>g</w:t>
      </w:r>
      <w:r>
        <w:t xml:space="preserve"> </w:t>
      </w:r>
      <w:r>
        <w:t>lum</w:t>
      </w:r>
      <w:r>
        <w:t xml:space="preserve"> </w:t>
      </w:r>
      <w:r>
        <w:t>| value of 0.02, whereas the mismatched configurations yielded no detectable CPL signal. This work overcomes a fundamental bottleneck in the scalable, stereocontrolled synthesis of chiral pillar[5]arene rotaxanes and establishes a robust platform for their development in chiroptical materials.</w:t>
      </w:r>
    </w:p>
    <w:p>
      <w:pPr>
        <w:spacing w:before="120" w:after="120"/>
      </w:pPr>
      <w:r>
        <w:rPr>
          <w:sz w:val="18"/>
        </w:rPr>
        <w:t>——————————————————————————————————————————————————————————————————————</w:t>
      </w:r>
    </w:p>
    <w:p>
      <w:pPr>
        <w:spacing w:before="160" w:after="40" w:line="240" w:lineRule="auto"/>
      </w:pPr>
      <w:r>
        <w:rPr>
          <w:b/>
        </w:rPr>
        <w:t xml:space="preserve">[71] </w:t>
      </w:r>
      <w:hyperlink r:id="rId256">
        <w:r>
          <w:rPr>
            <w:color w:val="1155CC"/>
            <w:u w:val="single"/>
          </w:rPr>
          <w:t>基于环金属化二氰基铂(II)离子的绿色发光铁电光学温度计</w:t>
        </w:r>
      </w:hyperlink>
    </w:p>
    <w:p>
      <w:pPr>
        <w:spacing w:before="0" w:after="80"/>
      </w:pPr>
      <w:r>
        <w:rPr>
          <w:i/>
          <w:sz w:val="20"/>
        </w:rPr>
        <w:t>EN: Green‐Emissive Ferroelectric Optical Thermometer Based on Cyclometalated Dicyanidoplatinate(II) Ions</w:t>
      </w:r>
    </w:p>
    <w:p>
      <w:pPr>
        <w:spacing w:before="0" w:after="120"/>
      </w:pPr>
      <w:r>
        <w:rPr>
          <w:b/>
        </w:rPr>
        <w:t xml:space="preserve">Source: </w:t>
      </w:r>
      <w:r>
        <w:t>Wiley: Angewandte Chemie International Edition: Table of Contents</w:t>
      </w:r>
      <w:r>
        <w:t xml:space="preserve">    </w:t>
      </w:r>
      <w:r>
        <w:rPr>
          <w:b/>
        </w:rPr>
        <w:t xml:space="preserve">Pub date: </w:t>
      </w:r>
      <w:r>
        <w:t>2026-04-27 03:45:23+00:00</w:t>
      </w:r>
      <w:r>
        <w:t xml:space="preserve">    </w:t>
      </w:r>
      <w:r>
        <w:rPr>
          <w:b/>
        </w:rPr>
        <w:t xml:space="preserve">DOI: </w:t>
      </w:r>
      <w:hyperlink r:id="rId257">
        <w:r>
          <w:rPr>
            <w:color w:val="1155CC"/>
            <w:u w:val="single"/>
          </w:rPr>
          <w:t>10.1002/anie.9159585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多功能铁电体结合了可切换的永久极化和其他物理功能。其中，发光铁电体由于其在传感、数据存储和光电子学中的潜力而受到关注。如果其发射对外部刺激（如温度(T)）敏感，这种多功能性可以得到改善，这在光学测温中得以利用。针对铁电发光温度计，我们决定探索光致发光氰基金属配合物。我们报告了一种强发射的二氰基(2-苯基吡啶)铂酸盐(II)配合物和N-甲基-喹诺克啉阳离子的混合盐(Meabco)[PtII(CN)2(ppy)] (1)。它在极性Ima2空间群中结晶，第二谐波生成活动达到KDP参考的44%。压电响应力显微镜(PFM)研究表明室温(RT)下的铁电性。由于[PtII(CN)2(ppy)]–配合物，1显示出T依赖的电荷转移光致发光(PL)，这被应用于比率光学测温，并通过实验和TD-DFT计算得到验证。其</w:t>
      </w:r>
    </w:p>
    <w:p>
      <w:pPr>
        <w:spacing w:before="0" w:after="200" w:lineRule="auto" w:line="276"/>
      </w:pPr>
      <w:r>
        <w:rPr>
          <w:b/>
        </w:rPr>
        <w:t xml:space="preserve">Abstract (EN): </w:t>
      </w:r>
      <w:r>
        <w:t>Multifunctional ferroelectrics combine switchable permanent polarization with other physical functionalities. Among them, luminescent ferroelectrics are coming into the spotlight due to their potential in sensing, data storage, and optoelectronics. This multifunctionality can be improved if their emission is sensitive to external stimuli, such as temperature (</w:t>
      </w:r>
      <w:r>
        <w:t xml:space="preserve"> </w:t>
      </w:r>
      <w:r>
        <w:t>T</w:t>
      </w:r>
      <w:r>
        <w:t xml:space="preserve"> </w:t>
      </w:r>
      <w:r>
        <w:t>), which is utilized in optical thermometry. Aiming at ferroelectric luminescent thermometers, we decided to explore photoluminescent cyanido metal complexes. We report a hybrid salt of strongly emissive dicyanido(2‐phenylpyridinato)platinate(II) complexes and N‐methyl‐quinuclidinium cations, (Meabco)[Pt</w:t>
      </w:r>
      <w:r>
        <w:t xml:space="preserve"> </w:t>
      </w:r>
      <w:r>
        <w:t>II</w:t>
      </w:r>
      <w:r>
        <w:t xml:space="preserve"> </w:t>
      </w:r>
      <w:r>
        <w:t>(CN)</w:t>
      </w:r>
      <w:r>
        <w:rPr>
          <w:vertAlign w:val="subscript"/>
        </w:rPr>
        <w:t>2</w:t>
      </w:r>
      <w:r>
        <w:t>(ppy)] (</w:t>
      </w:r>
      <w:r>
        <w:rPr>
          <w:vertAlign w:val="subscript"/>
        </w:rPr>
        <w:t>1</w:t>
      </w:r>
      <w:r>
        <w:t>). It crystallizes in a polar</w:t>
      </w:r>
      <w:r>
        <w:t xml:space="preserve"> </w:t>
      </w:r>
      <w:r>
        <w:t>I</w:t>
      </w:r>
      <w:r>
        <w:t xml:space="preserve"> </w:t>
      </w:r>
      <w:r>
        <w:t>ma2 space group, as confirmed by the second harmonic generation activity reaching 44% of the KDP reference. Piezoresponse force microscopy (PFM) studies indicate ferroelectricity at room temperature (RT). Due to [Pt</w:t>
      </w:r>
      <w:r>
        <w:t xml:space="preserve"> </w:t>
      </w:r>
      <w:r>
        <w:t>II</w:t>
      </w:r>
      <w:r>
        <w:t xml:space="preserve"> </w:t>
      </w:r>
      <w:r>
        <w:t>(CN)</w:t>
      </w:r>
      <w:r>
        <w:rPr>
          <w:vertAlign w:val="subscript"/>
        </w:rPr>
        <w:t>2</w:t>
      </w:r>
      <w:r>
        <w:t>(ppy)]</w:t>
      </w:r>
      <w:r>
        <w:t xml:space="preserve"> </w:t>
      </w:r>
      <w:r>
        <w:t>–</w:t>
      </w:r>
      <w:r>
        <w:t xml:space="preserve"> </w:t>
      </w:r>
      <w:r>
        <w:t>complexes,</w:t>
      </w:r>
      <w:r>
        <w:rPr>
          <w:vertAlign w:val="subscript"/>
        </w:rPr>
        <w:t>1</w:t>
      </w:r>
      <w:r>
        <w:t>shows</w:t>
      </w:r>
      <w:r>
        <w:t xml:space="preserve"> </w:t>
      </w:r>
      <w:r>
        <w:t>T</w:t>
      </w:r>
      <w:r>
        <w:t xml:space="preserve"> </w:t>
      </w:r>
      <w:r>
        <w:t>‐dependent charge‐transfer photoluminescence (PL), which was applied for ratiometric optical thermometry that was proven experimentally and through TD‐DFT calculations. Its best performance is located at cryogenic temperatures, but optical thermometry is preserved in the around‐RT region with a convenient linear response of the thermometric parameter to the</w:t>
      </w:r>
      <w:r>
        <w:t xml:space="preserve"> </w:t>
      </w:r>
      <w:r>
        <w:t>T</w:t>
      </w:r>
      <w:r>
        <w:t xml:space="preserve"> </w:t>
      </w:r>
      <w:r>
        <w:t>variation. This electro‐optical multifunctionality was demonstrated for a crystalline sample. However, we prove the processability of</w:t>
      </w:r>
      <w:r>
        <w:rPr>
          <w:vertAlign w:val="subscript"/>
        </w:rPr>
        <w:t>1</w:t>
      </w:r>
      <w:r>
        <w:t>into a thin film of several nanometers in thickness, opening the applications‐oriented exploration of related materials.</w:t>
      </w:r>
    </w:p>
    <w:p>
      <w:pPr>
        <w:spacing w:before="120" w:after="120"/>
      </w:pPr>
      <w:r>
        <w:rPr>
          <w:sz w:val="18"/>
        </w:rPr>
        <w:t>——————————————————————————————————————————————————————————————————————</w:t>
      </w:r>
    </w:p>
    <w:p>
      <w:pPr>
        <w:spacing w:before="160" w:after="40" w:line="240" w:lineRule="auto"/>
      </w:pPr>
      <w:r>
        <w:rPr>
          <w:b/>
        </w:rPr>
        <w:t xml:space="preserve">[72] </w:t>
      </w:r>
      <w:hyperlink r:id="rId258">
        <w:r>
          <w:rPr>
            <w:color w:val="1155CC"/>
            <w:u w:val="single"/>
          </w:rPr>
          <w:t>亚卟啉框架：卟啉类和多孔芳香网络之间的缺失环节</w:t>
        </w:r>
      </w:hyperlink>
    </w:p>
    <w:p>
      <w:pPr>
        <w:spacing w:before="0" w:after="80"/>
      </w:pPr>
      <w:r>
        <w:rPr>
          <w:i/>
          <w:sz w:val="20"/>
        </w:rPr>
        <w:t>EN: Subporphyrin Frameworks: A Missing Link Between Porphyrinoids and Porous Aromatic Networks</w:t>
      </w:r>
    </w:p>
    <w:p>
      <w:pPr>
        <w:spacing w:before="0" w:after="120"/>
      </w:pPr>
      <w:r>
        <w:rPr>
          <w:b/>
        </w:rPr>
        <w:t xml:space="preserve">Source: </w:t>
      </w:r>
      <w:r>
        <w:t>Wiley: Angewandte Chemie International Edition: Table of Contents</w:t>
      </w:r>
      <w:r>
        <w:t xml:space="preserve">    </w:t>
      </w:r>
      <w:r>
        <w:rPr>
          <w:b/>
        </w:rPr>
        <w:t xml:space="preserve">Pub date: </w:t>
      </w:r>
      <w:r>
        <w:t>2026-04-27 03:48:44+00:00</w:t>
      </w:r>
      <w:r>
        <w:t xml:space="preserve">    </w:t>
      </w:r>
      <w:r>
        <w:rPr>
          <w:b/>
        </w:rPr>
        <w:t xml:space="preserve">DOI: </w:t>
      </w:r>
      <w:hyperlink r:id="rId259">
        <w:r>
          <w:rPr>
            <w:color w:val="1155CC"/>
            <w:u w:val="single"/>
          </w:rPr>
          <w:t>10.1002/anie.2270272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亚卟啉是一类独特的碗状、π-共轭且本质上缺电子的大环化合物，其光物理和配位行为与平面卟啉不同。目前的研究主要集中在合成具有更多芳香环和复杂异质结构的亚卟啉，而关于聚合亚卟啉材料的研究尚未报道。在此，我们首次报道了基于亚卟啉的多孔芳香网络（PAF-HNU1和PAF-HNU2），通过在溶剂热条件下将中间功能化的亚卟啉与刚性芳香连接体偶联合成。这些框架表现出扩展的π-离域化和强烈的红移吸收，覆盖UV-vis-NIR区域，实现高效的全光谱光捕获。研究发现，PAF-HNU2表现出高光生电荷分离和传输能力，以及在一系列高级氧化反应中的出色催化效率，其性能是PAF-HNU1及其基于卟啉的PAF类似物的两到三倍。该工作引入了一种新的亚卟啉多孔材料家族，提供了卟啉化学与扩展π-共轭框架之间的缺失环节，并突出了其作为下一代全光谱光催化转化的无金属平台的潜力。</w:t>
      </w:r>
    </w:p>
    <w:p>
      <w:pPr>
        <w:spacing w:before="0" w:after="200" w:lineRule="auto" w:line="276"/>
      </w:pPr>
      <w:r>
        <w:rPr>
          <w:b/>
        </w:rPr>
        <w:t xml:space="preserve">Abstract (EN): </w:t>
      </w:r>
      <w:r>
        <w:t>Subporphyrins represent a distinctive class of bowl‐shaped, π‐conjugated, and intrinsically electron‐deficient macrocycles that exhibit photophysical and coordination behaviors unlike those of planar porphyrins. While current studies have primarily focused on the synthesis of subporphyrins with an increased number of aromatic rings and complex heterostructures, research on polymeric subporphyrin materials has not yet been reported. Herein, we report the first subporphyrin‐based porous aromatic networks (PAF‐HNU1 and PAF‐HNU2) synthesized by coupling meso‐functionalized subporphyrins with rigid aromatic linkers under solvothermal conditions. The frameworks exhibit extended π‐delocalization and strong red‐shifted absorption covering the UV–vis‐NIR region, enabling efficient full‐spectrum light harvesting. It was discovered that PAF‐HNU2 exhibited high photogenerated charge separation and transport capabilities, as well as outstanding catalytic efficiency for a series of advanced oxidation reactions. Performance was two to three times that of PAF‐HNU1 and its porphyrin‐based PAF analogues. This work introduces a new family of subporphyrinic porous materials, providing the missing link between porphyrinoid chemistry and extended π‐conjugated frameworks, and highlights their potential as a metal‐free platform for next generation full‐spectrum photocatalytic transformations.</w:t>
      </w:r>
    </w:p>
    <w:p>
      <w:pPr>
        <w:spacing w:before="120" w:after="120"/>
      </w:pPr>
      <w:r>
        <w:rPr>
          <w:sz w:val="18"/>
        </w:rPr>
        <w:t>——————————————————————————————————————————————————————————————————————</w:t>
      </w:r>
    </w:p>
    <w:p>
      <w:pPr>
        <w:spacing w:before="160" w:after="40" w:line="240" w:lineRule="auto"/>
      </w:pPr>
      <w:r>
        <w:rPr>
          <w:b/>
        </w:rPr>
        <w:t xml:space="preserve">[73] </w:t>
      </w:r>
      <w:hyperlink r:id="rId260">
        <w:r>
          <w:rPr>
            <w:color w:val="1155CC"/>
            <w:u w:val="single"/>
          </w:rPr>
          <w:t>通过熵驱动的氢键重组实现具有强湿粘附性的坚韧水凝胶</w:t>
        </w:r>
      </w:hyperlink>
    </w:p>
    <w:p>
      <w:pPr>
        <w:spacing w:before="0" w:after="80"/>
      </w:pPr>
      <w:r>
        <w:rPr>
          <w:i/>
          <w:sz w:val="20"/>
        </w:rPr>
        <w:t>EN: Tough Hydrogels with Robust Wet Adhesion via Entropy‐Driven Hydrogen Bond Reorganization</w:t>
      </w:r>
    </w:p>
    <w:p>
      <w:pPr>
        <w:spacing w:before="0" w:after="120"/>
      </w:pPr>
      <w:r>
        <w:rPr>
          <w:b/>
        </w:rPr>
        <w:t xml:space="preserve">Source: </w:t>
      </w:r>
      <w:r>
        <w:t>Wiley: Advanced Materials: Table of Contents</w:t>
      </w:r>
      <w:r>
        <w:t xml:space="preserve">    </w:t>
      </w:r>
      <w:r>
        <w:rPr>
          <w:b/>
        </w:rPr>
        <w:t xml:space="preserve">Pub date: </w:t>
      </w:r>
      <w:r>
        <w:t>2026-04-27 03:49:50+00:00</w:t>
      </w:r>
      <w:r>
        <w:t xml:space="preserve">    </w:t>
      </w:r>
      <w:r>
        <w:rPr>
          <w:b/>
        </w:rPr>
        <w:t xml:space="preserve">DOI: </w:t>
      </w:r>
      <w:hyperlink r:id="rId261">
        <w:r>
          <w:rPr>
            <w:color w:val="1155CC"/>
            <w:u w:val="single"/>
          </w:rPr>
          <w:t>10.1002/adma.73182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用于组织修复的高性能水凝胶应同时提供机械增强和界面粘附。然而，传统的增强策略通常依赖于网络内的氢键，其固有的键能和受限的构型自由度本质上限制了界面处的链移动性，最终削弱了湿粘附性。为克服由氢键分布引起的强度-粘附权衡，本研究提出了一种熵驱动策略，该策略解耦氢键的空间分布，以同时实现高体积强度和强韧的湿粘附。从构型无序和高熵混合物开始，氢键通过熵优先的重构集中在体积中以增强网络。体积-界面能量和构型不匹配反过来触发局部相分离，降低界面熵以形成氢键耗尽的纳米限域水层。该层允许动态聚合物-组织氢键结合，实现强韧的湿粘附而不损失体积强度。所得水凝胶可以快速适应组织表面，形成高模量结构（约13 MPa），可承受高达368 mmHg的静水压力。它实现了超出生理极限的密封并保持稳定的粘附性，在皮肤损伤、口腔粘膜溃疡和心脏出血模型中展示了有效的修复。</w:t>
      </w:r>
    </w:p>
    <w:p>
      <w:pPr>
        <w:spacing w:before="0" w:after="200" w:lineRule="auto" w:line="276"/>
      </w:pPr>
      <w:r>
        <w:rPr>
          <w:b/>
        </w:rPr>
        <w:t xml:space="preserve">Abstract (EN): </w:t>
      </w:r>
      <w:r>
        <w:t>High‐performance hydrogels for tissue repair should provide both mechanical reinforcement and interfacial adhesion. However, conventional strengthening strategies typically rely on hydrogen bonding within the network, whose inherent bonding energy and restricted configurational freedom intrinsically limit chain mobility at the interface, ultimately weakening wet adhesion. To overcome the strength‐adhesion trade‐off caused by hydrogen bond distribution, this study proposes an entropy‐driven strategy that decouples the spatial distribution of hydrogen bonds to simultaneously achieve high bulk strength and robust wet adhesion. Starting from a conformationally disordered and high‐entropy mixture, the hydrogen bonds then concentrate in the bulk through entropy‐favored reconfiguration to strengthen the network. The bulk‐interface energetic and conformational mismatch in turn triggers a localized phase separation, which reduces interfacial entropy to form a hydrogen bond‐depleted nanoconfined water layer. This layer permits dynamic polymer‐tissue hydrogen bonding, enabling robust wet adhesion without loss of bulk strength. The resulting hydrogel can rapidly conform to tissue surfaces, forming a high modulus structure (∼13 MPa) that withstands hydrostatic pressures up to 368 mmHg. It achieves sealing beyond physiological limits and maintains stable adhesion, demonstrating effective repair in models of skin injury, oral mucosal ulceration, and cardiac bleeding.</w:t>
      </w:r>
    </w:p>
    <w:p>
      <w:pPr>
        <w:spacing w:before="120" w:after="120"/>
      </w:pPr>
      <w:r>
        <w:rPr>
          <w:sz w:val="18"/>
        </w:rPr>
        <w:t>——————————————————————————————————————————————————————————————————————</w:t>
      </w:r>
    </w:p>
    <w:p>
      <w:pPr>
        <w:spacing w:before="160" w:after="40" w:line="240" w:lineRule="auto"/>
      </w:pPr>
      <w:r>
        <w:rPr>
          <w:b/>
        </w:rPr>
        <w:t xml:space="preserve">[74] </w:t>
      </w:r>
      <w:hyperlink r:id="rId262">
        <w:r>
          <w:rPr>
            <w:color w:val="1155CC"/>
            <w:u w:val="single"/>
          </w:rPr>
          <w:t>基态和激发态的构象景观决定圆偏振激基复合物发射：卡巴唑二聚体系统中的热力学-动力学相互作用</w:t>
        </w:r>
      </w:hyperlink>
    </w:p>
    <w:p>
      <w:pPr>
        <w:spacing w:before="0" w:after="80"/>
      </w:pPr>
      <w:r>
        <w:rPr>
          <w:i/>
          <w:sz w:val="20"/>
        </w:rPr>
        <w:t>EN: Conformational Landscapes in the Ground and Excited States Dictate Circularly Polarized Excimer Emission: A Thermodynamic–Kinetic Interplay in Carbazole Dimer Systems</w:t>
      </w:r>
    </w:p>
    <w:p>
      <w:pPr>
        <w:spacing w:before="0" w:after="120"/>
      </w:pPr>
      <w:r>
        <w:rPr>
          <w:b/>
        </w:rPr>
        <w:t xml:space="preserve">Source: </w:t>
      </w:r>
      <w:r>
        <w:t>Wiley: Angewandte Chemie International Edition: Table of Contents</w:t>
      </w:r>
      <w:r>
        <w:t xml:space="preserve">    </w:t>
      </w:r>
      <w:r>
        <w:rPr>
          <w:b/>
        </w:rPr>
        <w:t xml:space="preserve">Pub date: </w:t>
      </w:r>
      <w:r>
        <w:t>2026-04-27 03:57:53+00:00</w:t>
      </w:r>
      <w:r>
        <w:t xml:space="preserve">    </w:t>
      </w:r>
      <w:r>
        <w:rPr>
          <w:b/>
        </w:rPr>
        <w:t xml:space="preserve">DOI: </w:t>
      </w:r>
      <w:hyperlink r:id="rId263">
        <w:r>
          <w:rPr>
            <w:color w:val="1155CC"/>
            <w:u w:val="single"/>
          </w:rPr>
          <w:t>10.1002/anie.6661486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我们证明在手性咔唑二聚体中，</w:t>
      </w:r>
      <w:r>
        <w:t xml:space="preserve"> </w:t>
      </w:r>
      <w:r>
        <w:t>tt</w:t>
      </w:r>
      <w:r>
        <w:t xml:space="preserve"> </w:t>
      </w:r>
      <w:r>
        <w:t>构象产生强烈的激基复合物CPL，而</w:t>
      </w:r>
      <w:r>
        <w:t xml:space="preserve"> </w:t>
      </w:r>
      <w:r>
        <w:t>gauche</w:t>
      </w:r>
      <w:r>
        <w:t xml:space="preserve"> </w:t>
      </w:r>
      <w:r>
        <w:t>旋转异构体仅产生局部发射。在</w:t>
      </w:r>
      <w:r>
        <w:t xml:space="preserve"> </w:t>
      </w:r>
      <w:r>
        <w:t>1a</w:t>
      </w:r>
      <w:r>
        <w:t xml:space="preserve"> </w:t>
      </w:r>
      <w:r>
        <w:t>中，由于更大的</w:t>
      </w:r>
      <w:r>
        <w:t xml:space="preserve"> </w:t>
      </w:r>
      <w:r>
        <w:t>tt</w:t>
      </w:r>
      <w:r>
        <w:t xml:space="preserve"> </w:t>
      </w:r>
      <w:r>
        <w:t>贡献，CPL在冷却时增强并红移。相反，</w:t>
      </w:r>
      <w:r>
        <w:t xml:space="preserve"> </w:t>
      </w:r>
      <w:r>
        <w:t>叔丁基衍生物</w:t>
      </w:r>
      <w:r>
        <w:t xml:space="preserve"> </w:t>
      </w:r>
      <w:r>
        <w:t>1b</w:t>
      </w:r>
      <w:r>
        <w:t xml:space="preserve"> </w:t>
      </w:r>
      <w:r>
        <w:t>由于非CPL发射的</w:t>
      </w:r>
      <w:r>
        <w:t xml:space="preserve"> </w:t>
      </w:r>
      <w:r>
        <w:t>gauche</w:t>
      </w:r>
      <w:r>
        <w:t xml:space="preserve"> </w:t>
      </w:r>
      <w:r>
        <w:t>构象的增强可及性，表现出弱且对温度不敏感的CPL。该工作揭示了微妙的取代基和环境效应如何通过热力学-动力学相互作用调节激发态构象动态和手性光学响应。</w:t>
      </w:r>
    </w:p>
    <w:p>
      <w:pPr>
        <w:spacing w:before="0" w:after="200" w:lineRule="auto" w:line="276"/>
      </w:pPr>
      <w:r>
        <w:rPr>
          <w:b/>
        </w:rPr>
        <w:t xml:space="preserve">Abstract (EN): </w:t>
      </w:r>
      <w:r>
        <w:t>We demonstrate that in chiral carbazole dimers, the</w:t>
      </w:r>
      <w:r>
        <w:t xml:space="preserve"> </w:t>
      </w:r>
      <w:r>
        <w:t>tt</w:t>
      </w:r>
      <w:r>
        <w:t xml:space="preserve"> </w:t>
      </w:r>
      <w:r>
        <w:t>conformer generates intense excimer CPL, while</w:t>
      </w:r>
      <w:r>
        <w:t xml:space="preserve"> </w:t>
      </w:r>
      <w:r>
        <w:t>gauche</w:t>
      </w:r>
      <w:r>
        <w:t xml:space="preserve"> </w:t>
      </w:r>
      <w:r>
        <w:t>rotamers yield only local emission. In</w:t>
      </w:r>
      <w:r>
        <w:t xml:space="preserve"> </w:t>
      </w:r>
      <w:r>
        <w:t>1a</w:t>
      </w:r>
      <w:r>
        <w:t xml:space="preserve"> </w:t>
      </w:r>
      <w:r>
        <w:t>, CPL intensifies and red‐shifts upon cooling due to greater</w:t>
      </w:r>
      <w:r>
        <w:t xml:space="preserve"> </w:t>
      </w:r>
      <w:r>
        <w:t>tt</w:t>
      </w:r>
      <w:r>
        <w:t xml:space="preserve"> </w:t>
      </w:r>
      <w:r>
        <w:t>contribution. In contrast, the</w:t>
      </w:r>
      <w:r>
        <w:t xml:space="preserve"> </w:t>
      </w:r>
      <w:r>
        <w:t>tert</w:t>
      </w:r>
      <w:r>
        <w:t xml:space="preserve"> </w:t>
      </w:r>
      <w:r>
        <w:t>‐butyl derivative</w:t>
      </w:r>
      <w:r>
        <w:t xml:space="preserve"> </w:t>
      </w:r>
      <w:r>
        <w:t>1b</w:t>
      </w:r>
      <w:r>
        <w:t xml:space="preserve"> </w:t>
      </w:r>
      <w:r>
        <w:t>shows weak, temperature‐insensitive CPL owing to enhanced accessibility of non‐CPL‐emissive</w:t>
      </w:r>
      <w:r>
        <w:t xml:space="preserve"> </w:t>
      </w:r>
      <w:r>
        <w:t>gauche</w:t>
      </w:r>
      <w:r>
        <w:t xml:space="preserve"> </w:t>
      </w:r>
      <w:r>
        <w:t>conformers. This work reveals how subtle substituent and environmental effects modulate excited‐state conformational dynamics and chiroptical responses through a thermodynamic–kinetic interplay.</w:t>
      </w:r>
    </w:p>
    <w:p>
      <w:pPr>
        <w:spacing w:before="120" w:after="120"/>
      </w:pPr>
      <w:r>
        <w:rPr>
          <w:sz w:val="18"/>
        </w:rPr>
        <w:t>——————————————————————————————————————————————————————————————————————</w:t>
      </w:r>
    </w:p>
    <w:p>
      <w:pPr>
        <w:spacing w:before="160" w:after="40" w:line="240" w:lineRule="auto"/>
      </w:pPr>
      <w:r>
        <w:rPr>
          <w:b/>
        </w:rPr>
        <w:t xml:space="preserve">[75] </w:t>
      </w:r>
      <w:hyperlink r:id="rId264">
        <w:r>
          <w:rPr>
            <w:color w:val="1155CC"/>
            <w:u w:val="single"/>
          </w:rPr>
          <w:t>在空间有序的超颗粒中工程等离子体-半导体耦合以增强光催化产氢</w:t>
        </w:r>
      </w:hyperlink>
    </w:p>
    <w:p>
      <w:pPr>
        <w:spacing w:before="0" w:after="80"/>
      </w:pPr>
      <w:r>
        <w:rPr>
          <w:i/>
          <w:sz w:val="20"/>
        </w:rPr>
        <w:t>EN: Engineering Plasmon‐Semiconductor Coupling in Spatially Ordered Supraparticles for Boosted Photocatalytic Hydrogen Evolution</w:t>
      </w:r>
    </w:p>
    <w:p>
      <w:pPr>
        <w:spacing w:before="0" w:after="120"/>
      </w:pPr>
      <w:r>
        <w:rPr>
          <w:b/>
        </w:rPr>
        <w:t xml:space="preserve">Source: </w:t>
      </w:r>
      <w:r>
        <w:t>Wiley: Angewandte Chemie International Edition: Table of Contents</w:t>
      </w:r>
      <w:r>
        <w:t xml:space="preserve">    </w:t>
      </w:r>
      <w:r>
        <w:rPr>
          <w:b/>
        </w:rPr>
        <w:t xml:space="preserve">Pub date: </w:t>
      </w:r>
      <w:r>
        <w:t>2026-04-27 07:16:57+00:00</w:t>
      </w:r>
      <w:r>
        <w:t xml:space="preserve">    </w:t>
      </w:r>
      <w:r>
        <w:rPr>
          <w:b/>
        </w:rPr>
        <w:t xml:space="preserve">DOI: </w:t>
      </w:r>
      <w:hyperlink r:id="rId265">
        <w:r>
          <w:rPr>
            <w:color w:val="1155CC"/>
            <w:u w:val="single"/>
          </w:rPr>
          <w:t>10.1002/anie.8359659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不同的纳米组分组织成空间有序的结构提供了一种强大的策略来调节光物质相互作用并提高光催化效率，但仍然很少被探索。在此，我们报告了由光催化CdS基和等离子体Au纳米颗粒（NPs）组成的胶体超颗粒（SPs）的自下而上构建，形成具有可调Au NP尺寸和成分比的空间有序混合超结构。优化的CdSe@CdS-Au SPs在可见光下实现了160 mmol h−1 g−1的氢气演化速率，显著优于相同组分的混合物，并优于先前报道的类似NP基系统。超快光谱分析结合有限元模拟揭示了空间限制促进了Au和CdSe@CdS NPs之间的等离子体介导相互作用，导致增强的等离子体局部电场和从Au到半导体域的高效等离子体诱导共振能量转移。这些光物理优势共同解释了显著提高的光催化活性。本研究展示了纳米尺度空间工程作为一种多功能策略，用于定制混合结构以实现高效的太阳能到化学能转换。</w:t>
      </w:r>
    </w:p>
    <w:p>
      <w:pPr>
        <w:spacing w:before="0" w:after="200" w:lineRule="auto" w:line="276"/>
      </w:pPr>
      <w:r>
        <w:rPr>
          <w:b/>
        </w:rPr>
        <w:t xml:space="preserve">Abstract (EN): </w:t>
      </w:r>
      <w:r>
        <w:t>Organizing distinct nanocomponents into spatially ordered architectures offers a powerful strategy to regulate light‐matter interactions and enhance photocatalytic efficiency, yet remains largely underexplored. Herein, we report the bottom‐up construction of colloidal supraparticles (SPs) comprising photocatalytic CdS‐based and plasmonic Au nanoparticles (NPs), forming spatially ordered hybrid superstructures with tunable Au NP size and compositional ratios. The optimized CdSe@CdS‐Au SPs achieve a hydrogen evolution rate of 160 mmol h</w:t>
      </w:r>
      <w:r>
        <w:t xml:space="preserve"> </w:t>
      </w:r>
      <w:r>
        <w:t>−1</w:t>
      </w:r>
      <w:r>
        <w:t xml:space="preserve"> </w:t>
      </w:r>
      <w:r>
        <w:t>g</w:t>
      </w:r>
      <w:r>
        <w:t xml:space="preserve"> </w:t>
      </w:r>
      <w:r>
        <w:t>−1</w:t>
      </w:r>
      <w:r>
        <w:t xml:space="preserve"> </w:t>
      </w:r>
      <w:r>
        <w:t>under visible light, representing a significant enhancement over the mixture of the same components and outperforming previously reported similar NP‐based systems. Ultrafast spectroscopic analyses combined with finite element simulations reveal that spatial confinement facilitates plasmon‐mediated interactions between Au and CdSe@CdS NPs, leading to enhanced plasmonic local electric fields and efficient plasmon‐induced resonance energy transfer from Au to the semiconductor domains. These photophysical advantages collectively account for the markedly improved photocatalytic activity. This study demonstrates nanoscale spatial engineering as a versatile strategy for tailoring hybrid architectures toward high‐efficiency solar‐to‐chemical energy conversion.</w:t>
      </w:r>
    </w:p>
    <w:p>
      <w:pPr>
        <w:spacing w:before="120" w:after="120"/>
      </w:pPr>
      <w:r>
        <w:rPr>
          <w:sz w:val="18"/>
        </w:rPr>
        <w:t>——————————————————————————————————————————————————————————————————————</w:t>
      </w:r>
    </w:p>
    <w:p>
      <w:pPr>
        <w:spacing w:before="160" w:after="40" w:line="240" w:lineRule="auto"/>
      </w:pPr>
      <w:r>
        <w:rPr>
          <w:b/>
        </w:rPr>
        <w:t xml:space="preserve">[76] </w:t>
      </w:r>
      <w:hyperlink r:id="rId266">
        <w:r>
          <w:rPr>
            <w:color w:val="1155CC"/>
            <w:u w:val="single"/>
          </w:rPr>
          <w:t>双萨巴蒂尔最优：反应机制如何决定双原子催化剂的氧还原反应活性火山图</w:t>
        </w:r>
      </w:hyperlink>
    </w:p>
    <w:p>
      <w:pPr>
        <w:spacing w:before="0" w:after="80"/>
      </w:pPr>
      <w:r>
        <w:rPr>
          <w:i/>
          <w:sz w:val="20"/>
        </w:rPr>
        <w:t>EN: Dual‐Sabatier Optima: How Reaction Mechanism Determines Activity Volcano Map of Dual‐Atom Catalysts for Oxygen Reduction Reaction</w:t>
      </w:r>
    </w:p>
    <w:p>
      <w:pPr>
        <w:spacing w:before="0" w:after="120"/>
      </w:pPr>
      <w:r>
        <w:rPr>
          <w:b/>
        </w:rPr>
        <w:t xml:space="preserve">Source: </w:t>
      </w:r>
      <w:r>
        <w:t>Wiley: Angewandte Chemie International Edition: Table of Contents</w:t>
      </w:r>
      <w:r>
        <w:t xml:space="preserve">    </w:t>
      </w:r>
      <w:r>
        <w:rPr>
          <w:b/>
        </w:rPr>
        <w:t xml:space="preserve">Pub date: </w:t>
      </w:r>
      <w:r>
        <w:t>2026-04-27 07:17:53+00:00</w:t>
      </w:r>
      <w:r>
        <w:t xml:space="preserve">    </w:t>
      </w:r>
      <w:r>
        <w:rPr>
          <w:b/>
        </w:rPr>
        <w:t xml:space="preserve">DOI: </w:t>
      </w:r>
      <w:hyperlink r:id="rId267">
        <w:r>
          <w:rPr>
            <w:color w:val="1155CC"/>
            <w:u w:val="single"/>
          </w:rPr>
          <w:t>10.1002/anie.8386838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双原子催化剂（DACs）在氧还原反应（ORR）中表现出优越的潜力。然而，经典关联机制导出的单峰活性火山与来自数字催化平台（DigCat）的大规模实验数据形成对比。在此，我们从热力学和动力学角度研究了200多种DACs的ORR，发现解离机制通常在DACs中占主导地位。通过整合与电位相关的微观动力学建模和机器学习（ML）衍生的可解释结构描述符，我们发现了一个针对ΔG（OH*）（或结构描述符）的双Sabatier最优火山图，该图经过严格验证与可用实验数据相符。双Sabatier最优源于解离机制的速率决定步骤在三个基本反应（O2解离→2OH质子化→OH质子化）之间切换，这可以扩展到包含过渡金属、类金属和非金属元素作为中心原子的DACs。它为合理设计DACs和其他反应的原子分散催化剂开辟了全新的视角，其主导反应机制可能与单原子催化剂（SACs）不同，并导致多样的活性火山图。最重要的是，这项工作说明</w:t>
      </w:r>
    </w:p>
    <w:p>
      <w:pPr>
        <w:spacing w:before="0" w:after="200" w:lineRule="auto" w:line="276"/>
      </w:pPr>
      <w:r>
        <w:rPr>
          <w:b/>
        </w:rPr>
        <w:t xml:space="preserve">Abstract (EN): </w:t>
      </w:r>
      <w:r>
        <w:t>Dual‐atom catalysts (DACs) have demonstrated superior potential in the oxygen reduction reaction (ORR). However, the single‐peak activity volcano derived from classical associative mechanism is contrast to the large‐scale experimental data from the Digital Catalysis Platform (</w:t>
      </w:r>
      <w:r>
        <w:t xml:space="preserve"> </w:t>
      </w:r>
      <w:r>
        <w:t>DigCat</w:t>
      </w:r>
      <w:r>
        <w:t xml:space="preserve"> </w:t>
      </w:r>
      <w:r>
        <w:t>). Herein, we studied ORR over 200 DACs from thermodynamic and kinetic perspectives, and found that the dissociative mechanism is generally dominant for DACs. By integrating potential‐related microkinetic modeling and machine learning (ML)‐derived interpretable structural descriptors, we discovered a dual‐</w:t>
      </w:r>
      <w:r>
        <w:t xml:space="preserve"> </w:t>
      </w:r>
      <w:r>
        <w:t>Sabatier</w:t>
      </w:r>
      <w:r>
        <w:t xml:space="preserve"> </w:t>
      </w:r>
      <w:r>
        <w:t>optima volcano map against Δ</w:t>
      </w:r>
      <w:r>
        <w:t xml:space="preserve"> </w:t>
      </w:r>
      <w:r>
        <w:t>G</w:t>
      </w:r>
      <w:r>
        <w:t xml:space="preserve"> </w:t>
      </w:r>
      <w:r>
        <w:t>(OH*) (or structural descriptors), which was rigorously validated against available experimental data. Dual‐</w:t>
      </w:r>
      <w:r>
        <w:t xml:space="preserve"> </w:t>
      </w:r>
      <w:r>
        <w:t>Sabatier</w:t>
      </w:r>
      <w:r>
        <w:t xml:space="preserve"> </w:t>
      </w:r>
      <w:r>
        <w:t>optima stem from the rate‐determining step of dissociative mechanism switching among three elementary reactions (O</w:t>
      </w:r>
      <w:r>
        <w:rPr>
          <w:vertAlign w:val="subscript"/>
        </w:rPr>
        <w:t>2</w:t>
      </w:r>
      <w:r>
        <w:t>dissociation → 2OH protonation → OH protonation), which can be extended across DACs containing transition metal, metal‐like, and non‐metal elements as center atoms. It opens a brand‐new perspective for rational design of DACs and atomically dispersed catalysts for other reactions beyond ORR, of which the dominant reaction mechanism may be different from single‐atom catalysts (SACs) and lead to diverse activity volcano maps.</w:t>
      </w:r>
      <w:r>
        <w:t xml:space="preserve"> </w:t>
      </w:r>
      <w:r>
        <w:t>Most importantly, this work illustrates that new phenomenon can be identified from “old experimental data” under a large data scale, with the help of theoretical simulations integrated with interpretable ML</w:t>
      </w:r>
      <w:r>
        <w:t xml:space="preserve"> </w:t>
      </w:r>
      <w:r>
        <w:t>.</w:t>
      </w:r>
    </w:p>
    <w:p>
      <w:pPr>
        <w:spacing w:before="120" w:after="120"/>
      </w:pPr>
      <w:r>
        <w:rPr>
          <w:sz w:val="18"/>
        </w:rPr>
        <w:t>——————————————————————————————————————————————————————————————————————</w:t>
      </w:r>
    </w:p>
    <w:p>
      <w:pPr>
        <w:spacing w:before="160" w:after="40" w:line="240" w:lineRule="auto"/>
      </w:pPr>
      <w:r>
        <w:rPr>
          <w:b/>
        </w:rPr>
        <w:t xml:space="preserve">[77] </w:t>
      </w:r>
      <w:hyperlink r:id="rId268">
        <w:r>
          <w:rPr>
            <w:color w:val="1155CC"/>
            <w:u w:val="single"/>
          </w:rPr>
          <w:t>BNB/NBN-菲南烯基-2'-脱氧尿苷作为DNA中的荧光团-猝灭剂对</w:t>
        </w:r>
      </w:hyperlink>
    </w:p>
    <w:p>
      <w:pPr>
        <w:spacing w:before="0" w:after="80"/>
      </w:pPr>
      <w:r>
        <w:rPr>
          <w:i/>
          <w:sz w:val="20"/>
        </w:rPr>
        <w:t>EN: BNB/NBN‐Phenalenyl‐2'‐deoxyuridines as a Fluorophore–Quencher Pair in DNA</w:t>
      </w:r>
    </w:p>
    <w:p>
      <w:pPr>
        <w:spacing w:before="0" w:after="120"/>
      </w:pPr>
      <w:r>
        <w:rPr>
          <w:b/>
        </w:rPr>
        <w:t xml:space="preserve">Source: </w:t>
      </w:r>
      <w:r>
        <w:t>Wiley: Angewandte Chemie International Edition: Table of Contents</w:t>
      </w:r>
      <w:r>
        <w:t xml:space="preserve">    </w:t>
      </w:r>
      <w:r>
        <w:rPr>
          <w:b/>
        </w:rPr>
        <w:t xml:space="preserve">Pub date: </w:t>
      </w:r>
      <w:r>
        <w:t>2026-04-27 07:19:42+00:00</w:t>
      </w:r>
      <w:r>
        <w:t xml:space="preserve">    </w:t>
      </w:r>
      <w:r>
        <w:rPr>
          <w:b/>
        </w:rPr>
        <w:t xml:space="preserve">DOI: </w:t>
      </w:r>
      <w:hyperlink r:id="rId269">
        <w:r>
          <w:rPr>
            <w:color w:val="1155CC"/>
            <w:u w:val="single"/>
          </w:rPr>
          <w:t>10.1002/anie.202524671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DNA（脱氧核糖核酸）能够精确排列和定位发色团，以研究它们的相互作用，例如，通过空间能量转移过程。BNB和NBN掺杂的苯并菲是电子互补的荧光团，分别是苯并菲阳离子和阴离子的中性BN/CC等位物。在此，我们展示了一对BNB和NBN掺杂的苯并菲扩展核苷，我们通过磷酰胺化学将其引入DNA。这两个发色团在福斯特共振能量转移（FRET）过程中充当供体-受体对，导致BNB-苯并菲荧光由于NBN-苯并菲受体在水环境中电荷转移（CT）态的非辐射衰减而被淬灭。DNA双螺旋作为超分子支架来控制相互作用的BNB和NBN掺杂发色团的排列。荧光团-淬灭剂对的性能在趾部介导的链置换（TMSD）实验中进行了评估，展示了其在基于DNA的应用中的潜力。</w:t>
      </w:r>
    </w:p>
    <w:p>
      <w:pPr>
        <w:spacing w:before="0" w:after="200" w:lineRule="auto" w:line="276"/>
      </w:pPr>
      <w:r>
        <w:rPr>
          <w:b/>
        </w:rPr>
        <w:t xml:space="preserve">Abstract (EN): </w:t>
      </w:r>
      <w:r>
        <w:t>Deoxyribonucleic acid (DNA) enables the precise arrangement and positioning of chromophores in order to study their interactions, leading, for example, to through‐space energy transfer processes. BNB‐ and NBN‐doped phenalenyls are electronically complementary fluorophores that are neutral BN/CC isosteres of the phenalenyl cation and anion, respectively. Herein, we present a pair of BNB‐ and NBN‐doped phenalenyl‐extended nucleosides, which we introduced into DNA via phosphoramidite chemistry. The two chromophores act as a donor–acceptor pair in a Förster resonance energy transfer (FRET) process, which results in the quenching of the BNB‐phenalenyl fluorescence due to the nonradiative decay of the charge transfer (CT) state of the NBN‐phenalenyl acceptor in an aqueous environment. The DNA duplex serves as a supramolecular scaffold to control the arrangement of the interacting BNB‐ and NBN‐doped chromophores. The performance of the fluorophore–quencher pair was evaluated in a toehold‐mediated strand displacement (TMSD) experiment, demonstrating its potential for DNA‐based applications.</w:t>
      </w:r>
    </w:p>
    <w:p>
      <w:pPr>
        <w:spacing w:before="120" w:after="120"/>
      </w:pPr>
      <w:r>
        <w:rPr>
          <w:sz w:val="18"/>
        </w:rPr>
        <w:t>——————————————————————————————————————————————————————————————————————</w:t>
      </w:r>
    </w:p>
    <w:p>
      <w:pPr>
        <w:spacing w:before="160" w:after="40" w:line="240" w:lineRule="auto"/>
      </w:pPr>
      <w:r>
        <w:rPr>
          <w:b/>
        </w:rPr>
        <w:t xml:space="preserve">[78] </w:t>
      </w:r>
      <w:hyperlink r:id="rId270">
        <w:r>
          <w:rPr>
            <w:color w:val="1155CC"/>
            <w:u w:val="single"/>
          </w:rPr>
          <w:t>多组分C−H活化/环化聚合以实现结构规则的聚电解质，具有光增强的抗菌效力</w:t>
        </w:r>
      </w:hyperlink>
    </w:p>
    <w:p>
      <w:pPr>
        <w:spacing w:before="0" w:after="80"/>
      </w:pPr>
      <w:r>
        <w:rPr>
          <w:i/>
          <w:sz w:val="20"/>
        </w:rPr>
        <w:t>EN: Multicomponent C−H Activation/Annulation Polymerizations Toward Structurally Regular Polyelectrolytes With Light‐Boosted Antibacterial Potency</w:t>
      </w:r>
    </w:p>
    <w:p>
      <w:pPr>
        <w:spacing w:before="0" w:after="120"/>
      </w:pPr>
      <w:r>
        <w:rPr>
          <w:b/>
        </w:rPr>
        <w:t xml:space="preserve">Source: </w:t>
      </w:r>
      <w:r>
        <w:t>Wiley: Angewandte Chemie International Edition: Table of Contents</w:t>
      </w:r>
      <w:r>
        <w:t xml:space="preserve">    </w:t>
      </w:r>
      <w:r>
        <w:rPr>
          <w:b/>
        </w:rPr>
        <w:t xml:space="preserve">Pub date: </w:t>
      </w:r>
      <w:r>
        <w:t>2026-04-27 07:21:16+00:00</w:t>
      </w:r>
      <w:r>
        <w:t xml:space="preserve">    </w:t>
      </w:r>
      <w:r>
        <w:rPr>
          <w:b/>
        </w:rPr>
        <w:t xml:space="preserve">DOI: </w:t>
      </w:r>
      <w:hyperlink r:id="rId271">
        <w:r>
          <w:rPr>
            <w:color w:val="1155CC"/>
            <w:u w:val="single"/>
          </w:rPr>
          <w:t>10.1002/anie.5772470</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C−H活化/环化聚合（CAAP）已成为合成杂芳香族聚电解质的强大工具，但由于使用不对称二炔单体而导致的区域异构化问题，其更广泛的应用受到严重限制。通过CAAP反应获得结构规则的杂芳香族聚电解质是非常理想的，但仍然具有挑战性。在本研究中，我们开发了一种一锅多组分CAAP策略，通过使用对称和单功能内炔作为共单体与芳香族二醛和二胺聚合，从而本质上规避了区域异构化。现场生成了一系列结构明确的聚电解质，具有多芳基取代的二苯并[a,f]喹啉单元，具有高分子量（绝对Mw高达224700 g/mol）和良好的产率（高达91.2%）。所得聚电解质表现出优异的溶解性和易于调节的光物理性质，荧光发射延伸至第一近红外区域。此外，这些结构规则的共轭聚电解质表现出协同的光热和光动力效应，实现了对革兰氏阳性和革兰氏阴性细菌，包括耐药菌株的强效光增强抗菌和抗生物膜活性。该工作提供了一种多功能聚合平台，用于精确合成</w:t>
      </w:r>
    </w:p>
    <w:p>
      <w:pPr>
        <w:spacing w:before="0" w:after="200" w:lineRule="auto" w:line="276"/>
      </w:pPr>
      <w:r>
        <w:rPr>
          <w:b/>
        </w:rPr>
        <w:t xml:space="preserve">Abstract (EN): </w:t>
      </w:r>
      <w:r>
        <w:t>C−H activation/annulation polymerization (CAAP) has emerged as a powerful synthetic tool toward heteroaromatic polyelectrolytes, but its broader application is severely limited by the regioisomerization issues arising from the use of asymmetric diyne monomers. Access to structurally regular heteroaromatic polyelectrolytes via CAAP reactions is highly desirable yet remains challenging. In this study, we develop a one‐pot multicomponent CAAP strategy that intrinsically circumvents regioisomerization by employing symmetric and monofunctional internal alkynes as comonomers to polymerize with aromatic dialdehydes and diamines. A series of structurally well‐defined polyelectrolytes featuring multiaryl‐substituted dibenzo[</w:t>
      </w:r>
      <w:r>
        <w:t xml:space="preserve"> </w:t>
      </w:r>
      <w:r>
        <w:t>a</w:t>
      </w:r>
      <w:r>
        <w:t xml:space="preserve"> </w:t>
      </w:r>
      <w:r>
        <w:t>,</w:t>
      </w:r>
      <w:r>
        <w:t xml:space="preserve"> </w:t>
      </w:r>
      <w:r>
        <w:t>f</w:t>
      </w:r>
      <w:r>
        <w:t xml:space="preserve"> </w:t>
      </w:r>
      <w:r>
        <w:t>]quinolizium units were in situ generated with high molecular weights (absolute</w:t>
      </w:r>
      <w:r>
        <w:t xml:space="preserve"> </w:t>
      </w:r>
      <w:r>
        <w:t>M</w:t>
      </w:r>
      <w:r>
        <w:t xml:space="preserve"> </w:t>
      </w:r>
      <w:r>
        <w:t>w</w:t>
      </w:r>
      <w:r>
        <w:t xml:space="preserve"> </w:t>
      </w:r>
      <w:r>
        <w:t>up to 224700 g/mol) in good yields (up to 91.2%). The resulting polyelectrolytes exhibited excellent solubility and readily tunable photophysical properties, with fluorescence emission extending to the first near‐infrared region. Moreover, these structurally regular conjugated polyelectrolytes exhibit synergistic photothermal and photodynamic effects, achieving potent light‐enhanced antibacterial and antibiofilm activities against both Gram‐positive and Gram‐negative bacteria, including drug‐resistant strains. This work provides a versatile polymerization platform for the precise synthesis of diverse functional polyelectrolytes with promising applications in optoelectronics and antimicrobial therapeutics.</w:t>
      </w:r>
    </w:p>
    <w:p>
      <w:pPr>
        <w:spacing w:before="120" w:after="120"/>
      </w:pPr>
      <w:r>
        <w:rPr>
          <w:sz w:val="18"/>
        </w:rPr>
        <w:t>——————————————————————————————————————————————————————————————————————</w:t>
      </w:r>
    </w:p>
    <w:p>
      <w:pPr>
        <w:spacing w:before="160" w:after="40" w:line="240" w:lineRule="auto"/>
      </w:pPr>
      <w:r>
        <w:rPr>
          <w:b/>
        </w:rPr>
        <w:t xml:space="preserve">[79] </w:t>
      </w:r>
      <w:hyperlink r:id="rId272">
        <w:r>
          <w:rPr>
            <w:color w:val="1155CC"/>
            <w:u w:val="single"/>
          </w:rPr>
          <w:t>一种可转移的水性KCl–OPLT共处理用于SnO2基钙钛矿太阳能电池的埋界面调控</w:t>
        </w:r>
      </w:hyperlink>
    </w:p>
    <w:p>
      <w:pPr>
        <w:spacing w:before="0" w:after="80"/>
      </w:pPr>
      <w:r>
        <w:rPr>
          <w:i/>
          <w:sz w:val="20"/>
        </w:rPr>
        <w:t>EN: A Transferable Aqueous KCl–OPLT Co‐Treatment for Buried‐Interface Regulation in SnO2‐Based Perovskite Solar Cells</w:t>
      </w:r>
    </w:p>
    <w:p>
      <w:pPr>
        <w:spacing w:before="0" w:after="120"/>
      </w:pPr>
      <w:r>
        <w:rPr>
          <w:b/>
        </w:rPr>
        <w:t xml:space="preserve">Source: </w:t>
      </w:r>
      <w:r>
        <w:t>Wiley: Advanced Energy Materials: Table of Contents</w:t>
      </w:r>
      <w:r>
        <w:t xml:space="preserve">    </w:t>
      </w:r>
      <w:r>
        <w:rPr>
          <w:b/>
        </w:rPr>
        <w:t xml:space="preserve">Pub date: </w:t>
      </w:r>
      <w:r>
        <w:t>2026-04-27 07:22:45+00:00</w:t>
      </w:r>
      <w:r>
        <w:t xml:space="preserve">    </w:t>
      </w:r>
      <w:r>
        <w:rPr>
          <w:b/>
        </w:rPr>
        <w:t xml:space="preserve">DOI: </w:t>
      </w:r>
      <w:hyperlink r:id="rId273">
        <w:r>
          <w:rPr>
            <w:color w:val="1155CC"/>
            <w:u w:val="single"/>
          </w:rPr>
          <w:t>10.1002/aenm.70991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调节SnO2/钙钛矿埋藏界面对抑制界面复合和n–i–p钙钛矿太阳能电池中的J–V滞后至关重要，但许多处理仍然依赖于配方或在沉积后无法建立受限且可重复的界面。在此，我们报告了一种一步水相离子-分子共处理方法，在不改变钙钛矿前体或制造工艺的情况下，在溶液处理的SnO2上形成KCl-O-磷酸-L-酪氨酸（OPLT）中间层。在一个代表性的刚性混合设备中，冠军功率转换效率（PCE）从24.44%提高到26.10%，开路电压（VOC）从1.156提高到1.196 V，滞后（HI）从8.4%减少到2.7%。在另外四个基于SnO2的平台中，包括刚性/柔性和混合/全无机设备，该策略始终如一地提供1.44–1.75%的PCE增益，20–50 mV的VOC增加，并抑制滞后。深度分辨表征揭示了中间层在SnO2侧的优先定位。结合光谱、电静和理论分析表明，由耦合的K</w:t>
      </w:r>
    </w:p>
    <w:p>
      <w:pPr>
        <w:spacing w:before="0" w:after="200" w:lineRule="auto" w:line="276"/>
      </w:pPr>
      <w:r>
        <w:rPr>
          <w:b/>
        </w:rPr>
        <w:t xml:space="preserve">Abstract (EN): </w:t>
      </w:r>
      <w:r>
        <w:t>Regulating the SnO</w:t>
      </w:r>
      <w:r>
        <w:rPr>
          <w:vertAlign w:val="subscript"/>
        </w:rPr>
        <w:t>2</w:t>
      </w:r>
      <w:r>
        <w:t>/perovskite buried interface is critical for suppressing interfacial recombination and</w:t>
      </w:r>
      <w:r>
        <w:t xml:space="preserve"> </w:t>
      </w:r>
      <w:r>
        <w:t>J–V</w:t>
      </w:r>
      <w:r>
        <w:t xml:space="preserve"> </w:t>
      </w:r>
      <w:r>
        <w:t>hysteresis in n–i–p perovskite solar cells, yet many treatments remain formulation‐dependent or fail to establish a confined and reproducible interface after deposition. Here, we report a one‐step aqueous ion–molecule co‐treatment that forms a KCl–O‐phospho‐L‐tyrosine (OPLT) interlayer on solution‐processed SnO</w:t>
      </w:r>
      <w:r>
        <w:rPr>
          <w:vertAlign w:val="subscript"/>
        </w:rPr>
        <w:t>2</w:t>
      </w:r>
      <w:r>
        <w:t>without altering the perovskite precursor or fabrication process. In a representative rigid hybrid device, the champion power conversion efficiency (PCE) increases from 24.44% to 26.10%, with an improved open‐circuit (</w:t>
      </w:r>
      <w:r>
        <w:t xml:space="preserve"> </w:t>
      </w:r>
      <w:r>
        <w:t>V</w:t>
      </w:r>
      <w:r>
        <w:t xml:space="preserve"> </w:t>
      </w:r>
      <w:r>
        <w:t>OC</w:t>
      </w:r>
      <w:r>
        <w:t xml:space="preserve"> </w:t>
      </w:r>
      <w:r>
        <w:t>) from 1.156 to 1.196 V and reduced hysteresis (</w:t>
      </w:r>
      <w:r>
        <w:t xml:space="preserve"> </w:t>
      </w:r>
      <w:r>
        <w:t>HI</w:t>
      </w:r>
      <w:r>
        <w:t xml:space="preserve"> </w:t>
      </w:r>
      <w:r>
        <w:t>) from 8.4% to 2.7%. Across four additional SnO</w:t>
      </w:r>
      <w:r>
        <w:rPr>
          <w:vertAlign w:val="subscript"/>
        </w:rPr>
        <w:t>2</w:t>
      </w:r>
      <w:r>
        <w:t>‐based platforms, including rigid/flexible and hybrid/all‐inorganic devices, this strategy consistently delivers PCE gains of 1.44–1.75%,</w:t>
      </w:r>
      <w:r>
        <w:t xml:space="preserve"> </w:t>
      </w:r>
      <w:r>
        <w:t>V</w:t>
      </w:r>
      <w:r>
        <w:t xml:space="preserve"> </w:t>
      </w:r>
      <w:r>
        <w:t>OC</w:t>
      </w:r>
      <w:r>
        <w:t xml:space="preserve"> </w:t>
      </w:r>
      <w:r>
        <w:t>increases of 20–50 mV, and suppressed hysteresis. Depth‐resolved characterization reveals preferential SnO</w:t>
      </w:r>
      <w:r>
        <w:rPr>
          <w:vertAlign w:val="subscript"/>
        </w:rPr>
        <w:t>2</w:t>
      </w:r>
      <w:r>
        <w:t>‐side localization of the interlayer. Combined spectroscopic, electrostatic, and theoretical analyses indicate a cooperative interfacial reconfiguration driven by the coupled K</w:t>
      </w:r>
      <w:r>
        <w:t xml:space="preserve"> </w:t>
      </w:r>
      <w:r>
        <w:t>+</w:t>
      </w:r>
      <w:r>
        <w:t xml:space="preserve"> </w:t>
      </w:r>
      <w:r>
        <w:t>–phosphonate environment, leading to reduced defects, more uniform electrostatics, and improved energetics. These effects enable more efficient electron extraction, faster</w:t>
      </w:r>
      <w:r>
        <w:t xml:space="preserve"> </w:t>
      </w:r>
      <w:r>
        <w:t>V</w:t>
      </w:r>
      <w:r>
        <w:t xml:space="preserve"> </w:t>
      </w:r>
      <w:r>
        <w:t>OC</w:t>
      </w:r>
      <w:r>
        <w:t xml:space="preserve"> </w:t>
      </w:r>
      <w:r>
        <w:t>build‐up, and reduced photovoltage decay. This work provides a modular and transferable aqueous strategy for regulating buried interfaces in high‐performance perovskite solar cells.</w:t>
      </w:r>
    </w:p>
    <w:p>
      <w:pPr>
        <w:spacing w:before="120" w:after="120"/>
      </w:pPr>
      <w:r>
        <w:rPr>
          <w:sz w:val="18"/>
        </w:rPr>
        <w:t>——————————————————————————————————————————————————————————————————————</w:t>
      </w:r>
    </w:p>
    <w:p>
      <w:pPr>
        <w:spacing w:before="160" w:after="40" w:line="240" w:lineRule="auto"/>
      </w:pPr>
      <w:r>
        <w:rPr>
          <w:b/>
        </w:rPr>
        <w:t xml:space="preserve">[80] </w:t>
      </w:r>
      <w:hyperlink r:id="rId274">
        <w:r>
          <w:rPr>
            <w:color w:val="1155CC"/>
            <w:u w:val="single"/>
          </w:rPr>
          <w:t>[ASAP] 聚电解质复合材料的基础和设计规则：全面综述</w:t>
        </w:r>
      </w:hyperlink>
    </w:p>
    <w:p>
      <w:pPr>
        <w:spacing w:before="0" w:after="80"/>
      </w:pPr>
      <w:r>
        <w:rPr>
          <w:i/>
          <w:sz w:val="20"/>
        </w:rPr>
        <w:t>EN: [ASAP] Fundamentals and Design Rules of Polyelectrolyte Complex Materials: A Comprehensive Review</w:t>
      </w:r>
    </w:p>
    <w:p>
      <w:pPr>
        <w:spacing w:before="0" w:after="120"/>
      </w:pPr>
      <w:r>
        <w:rPr>
          <w:b/>
        </w:rPr>
        <w:t xml:space="preserve">Source: </w:t>
      </w:r>
      <w:r>
        <w:t>Chemical Reviews: Latest Articles (ACS Publications)</w:t>
      </w:r>
      <w:r>
        <w:t xml:space="preserve">    </w:t>
      </w:r>
      <w:r>
        <w:rPr>
          <w:b/>
        </w:rPr>
        <w:t xml:space="preserve">Pub date: </w:t>
      </w:r>
      <w:r>
        <w:t>2026-04-27 08:08:17+00:00</w:t>
      </w:r>
      <w:r>
        <w:t xml:space="preserve">    </w:t>
      </w:r>
      <w:r>
        <w:rPr>
          <w:b/>
        </w:rPr>
        <w:t xml:space="preserve">DOI: </w:t>
      </w:r>
      <w:hyperlink r:id="rId275">
        <w:r>
          <w:rPr>
            <w:color w:val="1155CC"/>
            <w:u w:val="single"/>
          </w:rPr>
          <w:t>10.1021/acs.chemrev.5c00971</w:t>
        </w:r>
      </w:hyperlink>
    </w:p>
    <w:p>
      <w:pPr>
        <w:spacing w:before="0" w:after="120"/>
      </w:pPr>
      <w:r>
        <w:rPr>
          <w:b/>
        </w:rPr>
        <w:t xml:space="preserve">Notes: </w:t>
      </w:r>
      <w:r>
        <w:t>abstract_source=pubmed</w:t>
      </w:r>
    </w:p>
    <w:p>
      <w:pPr>
        <w:spacing w:before="0" w:after="80" w:lineRule="auto" w:line="276"/>
      </w:pPr>
      <w:r>
        <w:rPr>
          <w:b/>
        </w:rPr>
        <w:t xml:space="preserve">摘要（ZH）: </w:t>
      </w:r>
      <w:r>
        <w:t>聚电解质复合物（PECs）是一类多功能的新兴材料，其结构和性质源于带相反电荷的聚电解质的相结合相分离。其行为对环境因素高度敏感，包括温度、盐浓度、溶剂质量、湿度以及聚电解质的内在化学性质，如电荷密度和图案、疏水性和主链化学。这些依赖性为PECs生成了不同于传统中性聚合物的独特设计规则。对于在水介质中饱和的PECs和那些在空气中平衡和干燥的PECs，也存在进一步的差异，强调了需要一套统一的设计规则，将分子参数与粘弹性、相行为和吸水性等宏观性质联系起来。在本综述中，我们总结了对PECs的热力学和机械原理的最新理解，同时识别出在不同成分和环境条件下系统的统一趋势。通过整合不同化学和环境下的设计规则，PECs有望从经验调节系统发展为功能和结构材料的广泛适用平台。</w:t>
      </w:r>
    </w:p>
    <w:p>
      <w:pPr>
        <w:spacing w:before="0" w:after="200" w:lineRule="auto" w:line="276"/>
      </w:pPr>
      <w:r>
        <w:rPr>
          <w:b/>
        </w:rPr>
        <w:t xml:space="preserve">Abstract (EN): </w:t>
      </w:r>
      <w:r>
        <w:t>Polyelectrolyte complexes (PECs) are a versatile class of emerging materials whose structure and properties derive from the associative phase separation of oppositely charged polyelectrolytes. Their behavior is highly sensitive to environmental factors, including temperature, salt concentration, solvent quality, humidity, and the intrinsic chemistry of the polyelectrolytes, such as charge density and patterning, hydrophobicity, and backbone chemistry. These dependencies generate distinct design rules for PECs that are different from those associated with traditional neutral polymers. There are also further differences for PECs saturated in aqueous media and those allowed to equilibrate and dry in air, highlighting the need for a unified set of design rules that connects molecular parameters to macroscopic properties such as viscoelasticity, phase behavior, and water uptake. In this review, we summarize recent progress in understanding the thermodynamic and mechanical principles governing PECs, while identifying unifying trends across systems of varying composition and environmental conditions. By consolidating design rules across disparate chemistries and circumstances, PECs are poised to evolve from empirically tuned systems into a broadly applicable platform for functional and structural materials.</w:t>
      </w:r>
    </w:p>
    <w:p>
      <w:pPr>
        <w:spacing w:before="120" w:after="120"/>
      </w:pPr>
      <w:r>
        <w:rPr>
          <w:sz w:val="18"/>
        </w:rPr>
        <w:t>——————————————————————————————————————————————————————————————————————</w:t>
      </w:r>
    </w:p>
    <w:p>
      <w:pPr>
        <w:spacing w:before="160" w:after="40" w:line="240" w:lineRule="auto"/>
      </w:pPr>
      <w:r>
        <w:rPr>
          <w:b/>
        </w:rPr>
        <w:t xml:space="preserve">[81] </w:t>
      </w:r>
      <w:hyperlink r:id="rId276">
        <w:r>
          <w:rPr>
            <w:color w:val="1155CC"/>
            <w:u w:val="single"/>
          </w:rPr>
          <w:t>[ASAP] 烷基自由基与苯氧(亚胺)–镍(II)–芳基配合物的偶联：C–C键形成的多步过程证据</w:t>
        </w:r>
      </w:hyperlink>
    </w:p>
    <w:p>
      <w:pPr>
        <w:spacing w:before="0" w:after="80"/>
      </w:pPr>
      <w:r>
        <w:rPr>
          <w:i/>
          <w:sz w:val="20"/>
        </w:rPr>
        <w:t>EN: [ASAP] Alkyl Radical Coupling with Phenoxy(imine)–Nickel(II)–Aryl Complexes: Evidence for a Multistep Process in C–C Bond Formation</w:t>
      </w:r>
    </w:p>
    <w:p>
      <w:pPr>
        <w:spacing w:before="0" w:after="120"/>
      </w:pPr>
      <w:r>
        <w:rPr>
          <w:b/>
        </w:rPr>
        <w:t xml:space="preserve">Source: </w:t>
      </w:r>
      <w:r>
        <w:t>Journal of the American Chemical Society: Latest Articles (ACS Publications)</w:t>
      </w:r>
      <w:r>
        <w:t xml:space="preserve">    </w:t>
      </w:r>
      <w:r>
        <w:rPr>
          <w:b/>
        </w:rPr>
        <w:t xml:space="preserve">Pub date: </w:t>
      </w:r>
      <w:r>
        <w:t>2026-04-27 08:17:45+00:00</w:t>
      </w:r>
      <w:r>
        <w:t xml:space="preserve">    </w:t>
      </w:r>
      <w:r>
        <w:rPr>
          <w:b/>
        </w:rPr>
        <w:t xml:space="preserve">DOI: </w:t>
      </w:r>
      <w:hyperlink r:id="rId277">
        <w:r>
          <w:rPr>
            <w:color w:val="1155CC"/>
            <w:u w:val="single"/>
          </w:rPr>
          <w:t>10.1021/jacs.6c02912</w:t>
        </w:r>
      </w:hyperlink>
    </w:p>
    <w:p>
      <w:pPr>
        <w:spacing w:before="0" w:after="120"/>
      </w:pPr>
      <w:r>
        <w:rPr>
          <w:b/>
        </w:rPr>
        <w:t xml:space="preserve">Notes: </w:t>
      </w:r>
      <w:r>
        <w:t>abstract_source=pubmed</w:t>
      </w:r>
    </w:p>
    <w:p>
      <w:pPr>
        <w:spacing w:before="0" w:after="80" w:lineRule="auto" w:line="276"/>
      </w:pPr>
      <w:r>
        <w:rPr>
          <w:b/>
        </w:rPr>
        <w:t xml:space="preserve">摘要（ZH）: </w:t>
      </w:r>
      <w:r>
        <w:t>研究了定义明确的苯氧基（亚胺）-镍（II）-芳基配合物与烷基自由基的反应，以形成C-C键。4-二甲氨基吡啶-钛三（苯胺）配合物被确定为未活化烷基卤化物卤素原子抽提的选择性试剂，生成的烷基自由基随后被苯氧基（亚胺）-镍（II）-芳基配合物捕获。自由基时钟和竞争实验的结合提供了对苯氧基（亚胺）和镍-芳基在自由基捕获和随后的C-C键形成中的配体效应的见解。平行和竞争自由基时钟实验之间的差异支持C-C键形成的多步骤过程。12C/13C动力学同位素效应测量和计算研究的结果也与此路径一致。用各种氧化剂处理苯氧基（亚胺）-镍（II）-芳基配合物生成了通过电子顺磁共振（EPR）光谱检测到的瞬态镍（III）配合物，并被有机锌试剂截获以生成C-C键形成产物，支持该氧化态在整个过程中的中间性。</w:t>
      </w:r>
    </w:p>
    <w:p>
      <w:pPr>
        <w:spacing w:before="0" w:after="200" w:lineRule="auto" w:line="276"/>
      </w:pPr>
      <w:r>
        <w:rPr>
          <w:b/>
        </w:rPr>
        <w:t xml:space="preserve">Abstract (EN): </w:t>
      </w:r>
      <w:r>
        <w:t>The reaction of well-defined phenoxy(imine)-nickel(II)-aryl complexes with alkyl radicals was investigated en route to C-C bond formation. A 4-dimethylaminopyridine-titanium tris(anilide) complex was identified as a selective reagent for halogen-atom abstraction of unactivated alkyl halides, generating alkyl radicals that were subsequently captured by phenoxy(imine)-nickel(II)-aryl complexes. A combination of radical clock and competition experiments provided insight into ligand effects on both the phenoxy(imine) and the nickel-aryl in radical capture and subsequent C-C bond formation. Differences between parallel and competition radical clock experiments support a multistep process for C-C bond formation. Results from 12C/13C kinetic isotope effect measurements and computational studies are also consistent with this pathway. Treatment of phenoxy(imine)-nickel(II)-aryl complexes with various oxidants generated transient nickel(III) complexes that were detected by electron paramagnetic resonance (EPR) spectroscopy and intercepted by organozinc reagents to generate C-C bond formation products, supporting the intermediacy of this oxidation state in the overall process.</w:t>
      </w:r>
    </w:p>
    <w:p>
      <w:pPr>
        <w:spacing w:before="120" w:after="120"/>
      </w:pPr>
      <w:r>
        <w:rPr>
          <w:sz w:val="18"/>
        </w:rPr>
        <w:t>——————————————————————————————————————————————————————————————————————</w:t>
      </w:r>
    </w:p>
    <w:p>
      <w:pPr>
        <w:spacing w:before="160" w:after="40" w:line="240" w:lineRule="auto"/>
      </w:pPr>
      <w:r>
        <w:rPr>
          <w:b/>
        </w:rPr>
        <w:t xml:space="preserve">[82] </w:t>
      </w:r>
      <w:hyperlink r:id="rId278">
        <w:r>
          <w:rPr>
            <w:color w:val="1155CC"/>
            <w:u w:val="single"/>
          </w:rPr>
          <w:t>[ASAP] 镍催化的多氟芳烃选择性去氟氘化</w:t>
        </w:r>
      </w:hyperlink>
    </w:p>
    <w:p>
      <w:pPr>
        <w:spacing w:before="0" w:after="80"/>
      </w:pPr>
      <w:r>
        <w:rPr>
          <w:i/>
          <w:sz w:val="20"/>
        </w:rPr>
        <w:t>EN: [ASAP] Nickel-Catalyzed Selective Defluorinative Deuteration of Polyfluoroarenes</w:t>
      </w:r>
    </w:p>
    <w:p>
      <w:pPr>
        <w:spacing w:before="0" w:after="120"/>
      </w:pPr>
      <w:r>
        <w:rPr>
          <w:b/>
        </w:rPr>
        <w:t xml:space="preserve">Source: </w:t>
      </w:r>
      <w:r>
        <w:t>Journal of the American Chemical Society: Latest Articles (ACS Publications)</w:t>
      </w:r>
      <w:r>
        <w:t xml:space="preserve">    </w:t>
      </w:r>
      <w:r>
        <w:rPr>
          <w:b/>
        </w:rPr>
        <w:t xml:space="preserve">Pub date: </w:t>
      </w:r>
      <w:r>
        <w:t>2026-04-27 08:24:03+00:00</w:t>
      </w:r>
      <w:r>
        <w:t xml:space="preserve">    </w:t>
      </w:r>
      <w:r>
        <w:rPr>
          <w:b/>
        </w:rPr>
        <w:t xml:space="preserve">DOI: </w:t>
      </w:r>
      <w:hyperlink r:id="rId279">
        <w:r>
          <w:rPr>
            <w:color w:val="1155CC"/>
            <w:u w:val="single"/>
          </w:rPr>
          <w:t>10.1021/jacs.6c05353</w:t>
        </w:r>
      </w:hyperlink>
    </w:p>
    <w:p>
      <w:pPr>
        <w:spacing w:before="0" w:after="120"/>
      </w:pPr>
      <w:r>
        <w:rPr>
          <w:b/>
        </w:rPr>
        <w:t xml:space="preserve">Notes: </w:t>
      </w:r>
      <w:r>
        <w:t>abstract_source=pubmed</w:t>
      </w:r>
    </w:p>
    <w:p>
      <w:pPr>
        <w:spacing w:before="0" w:after="80" w:lineRule="auto" w:line="276"/>
      </w:pPr>
      <w:r>
        <w:rPr>
          <w:b/>
        </w:rPr>
        <w:t xml:space="preserve">摘要（ZH）: </w:t>
      </w:r>
      <w:r>
        <w:t>氘标记化合物广泛用于药物发现和吸收、分布、代谢和排泄（ADME）研究，但在有机合成中精确控制氘的引入位置和程度仍然具有挑战性。在此，我们报告了一种镍催化的多氟芳烃去氟氘化反应，使用甲醇-d（MeOD）作为易得的氘源。该方法能够在C-F位点实现高度选择性的氘化，并可编程地安装一到四个氘原子。机理研究揭示了镍催化的C-F键活化中的一种有趣的协同效应，其中锂盐可以提高C-F键活化的反应性和选择性，而锌盐可以促进转金属化并抑制过度还原。该方法将多氟芳烃确立为精确氘标记和用于药物开发和代谢研究的氘富集氟芳烃合成的多功能原料。这代表了一种从商业可得的起始材料选择性合成多氘化合物的新合成平台。</w:t>
      </w:r>
    </w:p>
    <w:p>
      <w:pPr>
        <w:spacing w:before="0" w:after="200" w:lineRule="auto" w:line="276"/>
      </w:pPr>
      <w:r>
        <w:rPr>
          <w:b/>
        </w:rPr>
        <w:t xml:space="preserve">Abstract (EN): </w:t>
      </w:r>
      <w:r>
        <w:t>Deuterium-labeled compounds are widely used in drug discovery and absorption, distribution, metabolism, and excretion (ADME) studies, yet precise control over the site and extent of deuterium incorporation remains challenging in organic synthesis. Here, we report a nickel-catalyzed defluorinative deuteration of polyfluoroarenes using methanol-d (MeOD) as a readily available deuterium source. This method enables highly selective deuteration at C-F sites and programmable installation of one-to-four deuterium atoms. Mechanistic studies reveal an interesting cooperative effect in Ni-catalyzed C-F bond activation, where the lithium salts can improve the reactivity and selectivity toward C-F bond activation, while zinc salts can facilitate the transmetalation and suppress over-reduction. This approach establishes polyfluoroarenes as versatile feedstocks for precision deuterium labeling and the synthesis of deuterium-enriched fluoroarenes for drug development and metabolic studies. It represents a new synthetic platform for the selective synthesis of multideuterated compounds from commercially available starting materials.</w:t>
      </w:r>
    </w:p>
    <w:p>
      <w:pPr>
        <w:spacing w:before="120" w:after="120"/>
      </w:pPr>
      <w:r>
        <w:rPr>
          <w:sz w:val="18"/>
        </w:rPr>
        <w:t>——————————————————————————————————————————————————————————————————————</w:t>
      </w:r>
    </w:p>
    <w:p>
      <w:pPr>
        <w:spacing w:before="160" w:after="40" w:line="240" w:lineRule="auto"/>
      </w:pPr>
      <w:r>
        <w:rPr>
          <w:b/>
        </w:rPr>
        <w:t xml:space="preserve">[83] </w:t>
      </w:r>
      <w:hyperlink r:id="rId280">
        <w:r>
          <w:rPr>
            <w:color w:val="1155CC"/>
            <w:u w:val="single"/>
          </w:rPr>
          <w:t>[ASAP] 通过氢键介导的混合框架中玻色子峰的出现</w:t>
        </w:r>
      </w:hyperlink>
    </w:p>
    <w:p>
      <w:pPr>
        <w:spacing w:before="0" w:after="80"/>
      </w:pPr>
      <w:r>
        <w:rPr>
          <w:i/>
          <w:sz w:val="20"/>
        </w:rPr>
        <w:t>EN: [ASAP] Emergence of the Boson Peak in a Hybrid Framework Mediated by Hydrogen Bonds</w:t>
      </w:r>
    </w:p>
    <w:p>
      <w:pPr>
        <w:spacing w:before="0" w:after="120"/>
      </w:pPr>
      <w:r>
        <w:rPr>
          <w:b/>
        </w:rPr>
        <w:t xml:space="preserve">Source: </w:t>
      </w:r>
      <w:r>
        <w:t>Journal of the American Chemical Society: Latest Articles (ACS Publications)</w:t>
      </w:r>
      <w:r>
        <w:t xml:space="preserve">    </w:t>
      </w:r>
      <w:r>
        <w:rPr>
          <w:b/>
        </w:rPr>
        <w:t xml:space="preserve">Pub date: </w:t>
      </w:r>
      <w:r>
        <w:t>2026-04-27 10:01:45+00:00</w:t>
      </w:r>
      <w:r>
        <w:t xml:space="preserve">    </w:t>
      </w:r>
      <w:r>
        <w:rPr>
          <w:b/>
        </w:rPr>
        <w:t xml:space="preserve">DOI: </w:t>
      </w:r>
      <w:hyperlink r:id="rId281">
        <w:r>
          <w:rPr>
            <w:color w:val="1155CC"/>
            <w:u w:val="single"/>
          </w:rPr>
          <w:t>10.1021/jacs.6c00709</w:t>
        </w:r>
      </w:hyperlink>
    </w:p>
    <w:p>
      <w:pPr>
        <w:spacing w:before="0" w:after="120"/>
      </w:pPr>
      <w:r>
        <w:rPr>
          <w:b/>
        </w:rPr>
        <w:t xml:space="preserve">Notes: </w:t>
      </w:r>
      <w:r>
        <w:t>abstract_source=pubmed</w:t>
      </w:r>
    </w:p>
    <w:p>
      <w:pPr>
        <w:spacing w:before="0" w:after="80" w:lineRule="auto" w:line="276"/>
      </w:pPr>
      <w:r>
        <w:rPr>
          <w:b/>
        </w:rPr>
        <w:t xml:space="preserve">摘要（ZH）: </w:t>
      </w:r>
      <w:r>
        <w:t>玻色子峰（BP）——低频振动态的过剩——长期以来被认为是结构无序的明确标志。其在名义上有序晶体中的最新观察挑战了这一观点，但由于相变、取向玻璃态、偶极无序或先前模型系统中的强非谐性等复杂性，明确的理解受到阻碍。在此，我们引入了层状有机-无机杂化物DAPCdX4（DAP = 1,3-二氨基丙烷；X = Cl, Br）作为一个无相变、无玻璃态和无任何形式无序的清洁平台。低温比热揭示了一个明显的类玻色子峰异常，隧道态贡献低至0.5 K。关键是，该异常的温度和强度直接受氢键强度调节，通过卤素替换（Cl → Br）进行调节。结合拉曼光谱和第一性原理计算，将其起源追溯到无机框架中低频振动的过剩，由低能光学和声学声子之间的氢键介导耦合引起。我们的工作表明，玻色子峰可以在谐晶格中本质上出现，为通过非共价相互作用控制约1 THz振动提供了明确的结构-性质关系。</w:t>
      </w:r>
    </w:p>
    <w:p>
      <w:pPr>
        <w:spacing w:before="0" w:after="200" w:lineRule="auto" w:line="276"/>
      </w:pPr>
      <w:r>
        <w:rPr>
          <w:b/>
        </w:rPr>
        <w:t xml:space="preserve">Abstract (EN): </w:t>
      </w:r>
      <w:r>
        <w:t>The Boson peak (BP)─an excess of low-frequency vibrational states─is long regarded as a definitive signature of structural disorder. Its recent observation in nominally ordered crystals challenges this view, yet a conclusive understanding is impeded by complexities such as phase transitions, orientational glassiness, dipole disorder, or strong anharmonicity in previous model systems. Here, we introduce the layered organic-inorganic hybrids DAPCdX4 (DAP = 1,3-diaminopropane; X = Cl, Br) as a clean platform free of phase transitions, glassiness, and any form of disorder. Low-temperature specific heat reveals a pronounced boson-peak-like anomaly with tunneling-state contributions down to 0.5 K. Crucially, the anomaly's temperature and intensity are directly modulated by hydrogen-bond strength, tuned via halide substitution (Cl → Br). Combined Raman spectroscopy and first-principles calculations trace its origin to an excess of low-frequency vibrations in the inorganic framework, induced by hydrogen-bond-mediated coupling between low-energy optical and acoustic phonons. Our work demonstrates that the boson peak can emerge intrinsically in a harmonic crystal lattice, providing a definitive structure-property relationship for controlling ∼1 THz vibrations via noncovalent interactions.</w:t>
      </w:r>
    </w:p>
    <w:p>
      <w:pPr>
        <w:spacing w:before="120" w:after="120"/>
      </w:pPr>
      <w:r>
        <w:rPr>
          <w:sz w:val="18"/>
        </w:rPr>
        <w:t>——————————————————————————————————————————————————————————————————————</w:t>
      </w:r>
    </w:p>
    <w:p>
      <w:pPr>
        <w:spacing w:before="160" w:after="40" w:line="240" w:lineRule="auto"/>
      </w:pPr>
      <w:r>
        <w:rPr>
          <w:b/>
        </w:rPr>
        <w:t xml:space="preserve">[84] </w:t>
      </w:r>
      <w:hyperlink r:id="rId282">
        <w:r>
          <w:rPr>
            <w:color w:val="1155CC"/>
            <w:u w:val="single"/>
          </w:rPr>
          <w:t>[ASAP] 创建分隔的口袋用于长度可调的短肽生长</w:t>
        </w:r>
      </w:hyperlink>
    </w:p>
    <w:p>
      <w:pPr>
        <w:spacing w:before="0" w:after="80"/>
      </w:pPr>
      <w:r>
        <w:rPr>
          <w:i/>
          <w:sz w:val="20"/>
        </w:rPr>
        <w:t>EN: [ASAP] Creating Compartmentalized Pockets for Length-Tunable Short Peptide Growth</w:t>
      </w:r>
    </w:p>
    <w:p>
      <w:pPr>
        <w:spacing w:before="0" w:after="120"/>
      </w:pPr>
      <w:r>
        <w:rPr>
          <w:b/>
        </w:rPr>
        <w:t xml:space="preserve">Source: </w:t>
      </w:r>
      <w:r>
        <w:t>Journal of the American Chemical Society: Latest Articles (ACS Publications)</w:t>
      </w:r>
      <w:r>
        <w:t xml:space="preserve">    </w:t>
      </w:r>
      <w:r>
        <w:rPr>
          <w:b/>
        </w:rPr>
        <w:t xml:space="preserve">Pub date: </w:t>
      </w:r>
      <w:r>
        <w:t>2026-04-27 10:13:39+00:00</w:t>
      </w:r>
      <w:r>
        <w:t xml:space="preserve">    </w:t>
      </w:r>
      <w:r>
        <w:rPr>
          <w:b/>
        </w:rPr>
        <w:t xml:space="preserve">DOI: </w:t>
      </w:r>
      <w:hyperlink r:id="rId283">
        <w:r>
          <w:rPr>
            <w:color w:val="1155CC"/>
            <w:u w:val="single"/>
          </w:rPr>
          <w:t>10.1021/jacs.6c05682</w:t>
        </w:r>
      </w:hyperlink>
    </w:p>
    <w:p>
      <w:pPr>
        <w:spacing w:before="0" w:after="120"/>
      </w:pPr>
      <w:r>
        <w:rPr>
          <w:b/>
        </w:rPr>
        <w:t xml:space="preserve">Notes: </w:t>
      </w:r>
      <w:r>
        <w:t>abstract_source=pubmed</w:t>
      </w:r>
    </w:p>
    <w:p>
      <w:pPr>
        <w:spacing w:before="0" w:after="80" w:lineRule="auto" w:line="276"/>
      </w:pPr>
      <w:r>
        <w:rPr>
          <w:b/>
        </w:rPr>
        <w:t xml:space="preserve">摘要（ZH）: </w:t>
      </w:r>
      <w:r>
        <w:t>生命系统在酶的限制口袋中实现了对大分子合成的精确控制。在人工系统中再现这种空间调控仍然是分子工程中的一个重大挑战。尽管已经探索了人工纳米限域来调节聚合，但可调节和特定长度的肽生长尚未实现。在此，我们提出了一种高度稳定的金属有机框架（MOF）作为人工寡聚化平台，能够进行动态可调的短肽生长的限域N-羧基酸酐（NCA）开环聚合（ROP）。反应动力学和NMR分析揭示了一种在由Zr6簇分隔的一维通道内的限域寡聚化过程。与显示几乎没有短链生长链长选择性的无限域溶液NCA聚合相比，这些规则重复的子隔室提供了定义的反应口袋，实现了显著的链长选择性和极高的肽负载，同时保持框架完整性。短肽链长可以通过单体大小和反应动力学动态调节，将限域从模板限制转变为主动设计原则。此外，氨基酸在Zr6簇的预配位改变了口袋微环境，使NCA-ROP加速超过30倍。选择合适的单体进一步实现了A-(B)n序列肽的形成。这项工作建立了一个受自然生物合成机制启发的稳健MOF平台，推进了对限域寡聚化的理解。</w:t>
      </w:r>
    </w:p>
    <w:p>
      <w:pPr>
        <w:spacing w:before="0" w:after="200" w:lineRule="auto" w:line="276"/>
      </w:pPr>
      <w:r>
        <w:rPr>
          <w:b/>
        </w:rPr>
        <w:t xml:space="preserve">Abstract (EN): </w:t>
      </w:r>
      <w:r>
        <w:t>Living systems achieve precise control over macromolecular synthesis within the confined pockets of enzymes. Reproducing such spatial regulation in artificial systems remains a significant challenge in molecular engineering. Although artificial nanoconfinement has been explored to regulate polymerization, tunable and length-specific peptide growth has yet to be realized. Here, we present a highly stable metal-organic framework (MOF) as an artificial oligomerization platform that enables confined N-carboxyanhydride (NCA) ring-opening polymerization (ROP) with dynamically tunable short peptide growth. Reaction kinetics and NMR analyses reveal a confined oligomerization process within one-dimensional channels segmented by Zr6 clusters. Compared with unconfined solution NCA polymerization showing nearly no chain-length selectivity in short-chain growth, these regularly repeating subcompartments provide defined reaction pockets that achieve pronounced chain-length selectivity and remarkably high peptide loading while maintaining framework integrity. The short peptide chain length can be dynamically tuned by monomer size and reaction kinetics, converting confinement from a template limitation into an active design principle. Moreover, pre-coordination of amino acids at Zr6 clusters modifies the pocket microenvironment, accelerating NCA-ROP by over 30-fold. Selecting suitable monomers further enables the formation of A-(B)n sequence peptides. This work establishes a robust MOF-based platform inspired by natural biosynthetic machinery, advances understanding of confined oligomerization and polymerization, and provides a versatile platform for creating functional peptide-MOF materials with potential application in biomimetic catalysis.</w:t>
      </w:r>
    </w:p>
    <w:p>
      <w:pPr>
        <w:spacing w:before="120" w:after="120"/>
      </w:pPr>
      <w:r>
        <w:rPr>
          <w:sz w:val="18"/>
        </w:rPr>
        <w:t>——————————————————————————————————————————————————————————————————————</w:t>
      </w:r>
    </w:p>
    <w:p>
      <w:pPr>
        <w:spacing w:before="160" w:after="40" w:line="240" w:lineRule="auto"/>
      </w:pPr>
      <w:r>
        <w:rPr>
          <w:b/>
        </w:rPr>
        <w:t xml:space="preserve">[85] </w:t>
      </w:r>
      <w:hyperlink r:id="rId284">
        <w:r>
          <w:rPr>
            <w:color w:val="1155CC"/>
            <w:u w:val="single"/>
          </w:rPr>
          <w:t>[ASAP] 将革兰氏阴性细菌和合成聚合物选择性共价组装成功能性活性材料</w:t>
        </w:r>
      </w:hyperlink>
    </w:p>
    <w:p>
      <w:pPr>
        <w:spacing w:before="0" w:after="80"/>
      </w:pPr>
      <w:r>
        <w:rPr>
          <w:i/>
          <w:sz w:val="20"/>
        </w:rPr>
        <w:t>EN: [ASAP] Selective Covalent Assembly of Gram-Negative Bacteria and Synthetic Polymers into Functional Living Materials</w:t>
      </w:r>
    </w:p>
    <w:p>
      <w:pPr>
        <w:spacing w:before="0" w:after="120"/>
      </w:pPr>
      <w:r>
        <w:rPr>
          <w:b/>
        </w:rPr>
        <w:t xml:space="preserve">Source: </w:t>
      </w:r>
      <w:r>
        <w:t>Journal of the American Chemical Society: Latest Articles (ACS Publications)</w:t>
      </w:r>
      <w:r>
        <w:t xml:space="preserve">    </w:t>
      </w:r>
      <w:r>
        <w:rPr>
          <w:b/>
        </w:rPr>
        <w:t xml:space="preserve">Pub date: </w:t>
      </w:r>
      <w:r>
        <w:t>2026-04-27 11:34:14+00:00</w:t>
      </w:r>
      <w:r>
        <w:t xml:space="preserve">    </w:t>
      </w:r>
      <w:r>
        <w:rPr>
          <w:b/>
        </w:rPr>
        <w:t xml:space="preserve">DOI: </w:t>
      </w:r>
      <w:hyperlink r:id="rId285">
        <w:r>
          <w:rPr>
            <w:color w:val="1155CC"/>
            <w:u w:val="single"/>
          </w:rPr>
          <w:t>10.1021/jacs.6c04104</w:t>
        </w:r>
      </w:hyperlink>
    </w:p>
    <w:p>
      <w:pPr>
        <w:spacing w:before="0" w:after="120"/>
      </w:pPr>
      <w:r>
        <w:rPr>
          <w:b/>
        </w:rPr>
        <w:t xml:space="preserve">Notes: </w:t>
      </w:r>
      <w:r>
        <w:t>abstract_source=pubmed</w:t>
      </w:r>
    </w:p>
    <w:p>
      <w:pPr>
        <w:spacing w:before="0" w:after="80" w:lineRule="auto" w:line="276"/>
      </w:pPr>
      <w:r>
        <w:rPr>
          <w:b/>
        </w:rPr>
        <w:t xml:space="preserve">摘要（ZH）: </w:t>
      </w:r>
      <w:r>
        <w:t>在此，我们报告了革兰氏阴性细菌和合成聚合物的选择性共价组装成功能性活性材料。我们发现，装饰有乙烯砜（VS）的三嵌段聚合物，这是一种与表面蛋白上的半胱氨酸残基形成稳定共价键的基序，与细菌细胞形成了稳定的共价组装。值得注意的是，我们发现这些组装具有独特的细胞类型特异性，仅发生在革兰氏阴性细菌中，突出了细菌种类间表面结构和大分子扩散屏障的差异。我们还展示了将工程细胞组装成材料会导致活性材料原位产生黑色素，具有强大的生物封闭性和机械增强性。酪氨酸衍生的红色颜料在上清液中的自发富集展示了在复杂生化途径中限制效应。该工作建立了一个平台，将革兰氏阴性细菌的复杂、工程化和进化功能编码到合成材料中，促进了广泛的基于材料的生物反应器的发展。</w:t>
      </w:r>
    </w:p>
    <w:p>
      <w:pPr>
        <w:spacing w:before="0" w:after="200" w:lineRule="auto" w:line="276"/>
      </w:pPr>
      <w:r>
        <w:rPr>
          <w:b/>
        </w:rPr>
        <w:t xml:space="preserve">Abstract (EN): </w:t>
      </w:r>
      <w:r>
        <w:t>Here, we report selective covalent assembly of Gram-negative bacteria and synthetic polymers into functional living materials. We discovered that triblock polymers decorated with vinyl sulfone (VS), a motif that forms a stable covalent bond with cysteine residues on surface proteins, yielded stable covalent assembly with bacterial cells. Notably, we found that these assemblies were uniquely cell-type-specific, occurring only in Gram-negative bacteria, highlighting differences in surface structures and the macromolecular diffusion barrier across bacterial species. We also demonstrated that assembling engineered cells into materials results in situ melanin production from living materials, with robust biocontainment and mechanical reinforcement. Spontaneous enrichment of tyrosine-derived red pigments in the supernatant showcases the effect of confinement in a complex biochemical pathway. This work establishes a platform for encoding complex, engineered, and evolved functions of Gram-negative bacteria into synthetic materials, enabling the development of a wide range of material-based bioreactors.</w:t>
      </w:r>
    </w:p>
    <w:p>
      <w:pPr>
        <w:spacing w:before="120" w:after="120"/>
      </w:pPr>
      <w:r>
        <w:rPr>
          <w:sz w:val="18"/>
        </w:rPr>
        <w:t>——————————————————————————————————————————————————————————————————————</w:t>
      </w:r>
    </w:p>
    <w:p>
      <w:pPr>
        <w:spacing w:before="160" w:after="40" w:line="240" w:lineRule="auto"/>
      </w:pPr>
      <w:r>
        <w:rPr>
          <w:b/>
        </w:rPr>
        <w:t xml:space="preserve">[86] </w:t>
      </w:r>
      <w:hyperlink r:id="rId286">
        <w:r>
          <w:rPr>
            <w:color w:val="1155CC"/>
            <w:u w:val="single"/>
          </w:rPr>
          <w:t>层状钛酸盐纳米结构中的多样阳离子交换用于定制催化（Adv. Mater. 24/2026）</w:t>
        </w:r>
      </w:hyperlink>
    </w:p>
    <w:p>
      <w:pPr>
        <w:spacing w:before="0" w:after="80"/>
      </w:pPr>
      <w:r>
        <w:rPr>
          <w:i/>
          <w:sz w:val="20"/>
        </w:rPr>
        <w:t>EN: Diverse Cation Exchange in Layered Titanate Nanostructures for Tailored Catalysis (Adv. Mater. 24/2026)</w:t>
      </w:r>
    </w:p>
    <w:p>
      <w:pPr>
        <w:spacing w:before="0" w:after="120"/>
      </w:pPr>
      <w:r>
        <w:rPr>
          <w:b/>
        </w:rPr>
        <w:t xml:space="preserve">Source: </w:t>
      </w:r>
      <w:r>
        <w:t>Wiley: Advanced Materials: Table of Contents</w:t>
      </w:r>
      <w:r>
        <w:t xml:space="preserve">    </w:t>
      </w:r>
      <w:r>
        <w:rPr>
          <w:b/>
        </w:rPr>
        <w:t xml:space="preserve">Pub date: </w:t>
      </w:r>
      <w:r>
        <w:t>2026-04-27 11:41:43+00:00</w:t>
      </w:r>
      <w:r>
        <w:t xml:space="preserve">    </w:t>
      </w:r>
      <w:r>
        <w:rPr>
          <w:b/>
        </w:rPr>
        <w:t xml:space="preserve">DOI: </w:t>
      </w:r>
      <w:hyperlink r:id="rId287">
        <w:r>
          <w:rPr>
            <w:color w:val="1155CC"/>
            <w:u w:val="single"/>
          </w:rPr>
          <w:t>10.1002/adma.73133</w:t>
        </w:r>
      </w:hyperlink>
    </w:p>
    <w:p>
      <w:pPr>
        <w:spacing w:before="0" w:after="120"/>
      </w:pPr>
      <w:r>
        <w:rPr>
          <w:b/>
        </w:rPr>
        <w:t xml:space="preserve">Notes: </w:t>
      </w:r>
      <w:r>
        <w:t>abstract_source=openalex</w:t>
      </w:r>
    </w:p>
    <w:p>
      <w:pPr>
        <w:spacing w:before="0" w:after="80" w:lineRule="auto" w:line="276"/>
      </w:pPr>
      <w:r>
        <w:rPr>
          <w:b/>
        </w:rPr>
        <w:t xml:space="preserve">摘要（ZH）: </w:t>
      </w:r>
      <w:r>
        <w:t>层状钛酸盐纳米结构 由TiO6单体合成的层状钛酸盐纳米片表现出固有的负电荷，使得金属阳离子插层策略成为可能。H+(H3O+)-插层的层状钛酸盐可以无缝容纳多达42种单一或多阳离子组合。这种多功能性使得Rh电荷密度的精确调节成为可能，并建立了一个可推广的插层平台，用于合理的催化剂设计以及在化学合成、能量存储和转换、材料工程中的广泛应用。更多细节请参见Hu Young Jeong、Jeong Woo Han、Kwangjin An、Seungho Cho及其合作者的研究文章（DOI: 10.1002/adma.202518819）。</w:t>
      </w:r>
    </w:p>
    <w:p>
      <w:pPr>
        <w:spacing w:before="0" w:after="200" w:lineRule="auto" w:line="276"/>
      </w:pPr>
      <w:r>
        <w:rPr>
          <w:b/>
        </w:rPr>
        <w:t xml:space="preserve">Abstract (EN): </w:t>
      </w:r>
      <w:r>
        <w:t>Layered Titanate Nanostructures Layered titanate nanosheets synthesized from TiO6 monomers exhibit inherent negative charges, enabling a metal-cation intercalation strategy. H+(H3O+)-intercalated layered titanates seamlessly accommodate up to 42 single or multication combinations. This versatility enables precise tuning of Rh charge density and establishes a generalizable intercalation platform for rational catalyst design and broad applications in chemical synthesis, energy storage and conversion, and materials engineering. More details can be found in the Research Article by Hu Young Jeong, Jeong Woo Han, Kwangjin An, Seungho Cho, and co-workers (DOI: 10.1002/adma.202518819).</w:t>
      </w:r>
    </w:p>
    <w:p>
      <w:pPr>
        <w:spacing w:before="120" w:after="120"/>
      </w:pPr>
      <w:r>
        <w:rPr>
          <w:sz w:val="18"/>
        </w:rPr>
        <w:t>——————————————————————————————————————————————————————————————————————</w:t>
      </w:r>
    </w:p>
    <w:p>
      <w:pPr>
        <w:spacing w:before="160" w:after="40" w:line="240" w:lineRule="auto"/>
      </w:pPr>
      <w:r>
        <w:rPr>
          <w:b/>
        </w:rPr>
        <w:t xml:space="preserve">[87] </w:t>
      </w:r>
      <w:hyperlink r:id="rId288">
        <w:r>
          <w:rPr>
            <w:color w:val="1155CC"/>
            <w:u w:val="single"/>
          </w:rPr>
          <w:t>一种双重作用的核苷基超分子水凝胶通过破坏细菌-破骨细胞级联反应对抗牙周炎（Adv. Mater. 24/2026）</w:t>
        </w:r>
      </w:hyperlink>
    </w:p>
    <w:p>
      <w:pPr>
        <w:spacing w:before="0" w:after="80"/>
      </w:pPr>
      <w:r>
        <w:rPr>
          <w:i/>
          <w:sz w:val="20"/>
        </w:rPr>
        <w:t>EN: A Dual‐Action Nucleoside‐Based Supramolecular Hydrogel Combats Periodontitis by Disrupting the Bacteria‐Osteoclast Cascade (Adv. Mater. 24/2026)</w:t>
      </w:r>
    </w:p>
    <w:p>
      <w:pPr>
        <w:spacing w:before="0" w:after="120"/>
      </w:pPr>
      <w:r>
        <w:rPr>
          <w:b/>
        </w:rPr>
        <w:t xml:space="preserve">Source: </w:t>
      </w:r>
      <w:r>
        <w:t>Wiley: Advanced Materials: Table of Contents</w:t>
      </w:r>
      <w:r>
        <w:t xml:space="preserve">    </w:t>
      </w:r>
      <w:r>
        <w:rPr>
          <w:b/>
        </w:rPr>
        <w:t xml:space="preserve">Pub date: </w:t>
      </w:r>
      <w:r>
        <w:t>2026-04-27 11:41:43+00:00</w:t>
      </w:r>
      <w:r>
        <w:t xml:space="preserve">    </w:t>
      </w:r>
      <w:r>
        <w:rPr>
          <w:b/>
        </w:rPr>
        <w:t xml:space="preserve">DOI: </w:t>
      </w:r>
      <w:hyperlink r:id="rId289">
        <w:r>
          <w:rPr>
            <w:color w:val="1155CC"/>
            <w:u w:val="single"/>
          </w:rPr>
          <w:t>10.1002/adma.73139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[88] </w:t>
      </w:r>
      <w:hyperlink r:id="rId290">
        <w:r>
          <w:rPr>
            <w:color w:val="1155CC"/>
            <w:u w:val="single"/>
          </w:rPr>
          <w:t>通过肽功能化纳米复合水凝胶将线粒体稳态与氧化-炎症-衰老网络破坏耦合用于骨关节炎干预（Adv. Mater. 24/2026）</w:t>
        </w:r>
      </w:hyperlink>
    </w:p>
    <w:p>
      <w:pPr>
        <w:spacing w:before="0" w:after="80"/>
      </w:pPr>
      <w:r>
        <w:rPr>
          <w:i/>
          <w:sz w:val="20"/>
        </w:rPr>
        <w:t>EN: Coupling Mitochondrial Homeostasis to Oxi‐Inflamm‐Aging Network Disruption via Peptide‐Functionalized Nanocomposite Hydrogel for Osteoarthritis Intervention (Adv. Mater. 24/2026)</w:t>
      </w:r>
    </w:p>
    <w:p>
      <w:pPr>
        <w:spacing w:before="0" w:after="120"/>
      </w:pPr>
      <w:r>
        <w:rPr>
          <w:b/>
        </w:rPr>
        <w:t xml:space="preserve">Source: </w:t>
      </w:r>
      <w:r>
        <w:t>Wiley: Advanced Materials: Table of Contents</w:t>
      </w:r>
      <w:r>
        <w:t xml:space="preserve">    </w:t>
      </w:r>
      <w:r>
        <w:rPr>
          <w:b/>
        </w:rPr>
        <w:t xml:space="preserve">Pub date: </w:t>
      </w:r>
      <w:r>
        <w:t>2026-04-27 11:41:43+00:00</w:t>
      </w:r>
      <w:r>
        <w:t xml:space="preserve">    </w:t>
      </w:r>
      <w:r>
        <w:rPr>
          <w:b/>
        </w:rPr>
        <w:t xml:space="preserve">DOI: </w:t>
      </w:r>
      <w:hyperlink r:id="rId291">
        <w:r>
          <w:rPr>
            <w:color w:val="1155CC"/>
            <w:u w:val="single"/>
          </w:rPr>
          <w:t>10.1002/adma.73136</w:t>
        </w:r>
      </w:hyperlink>
    </w:p>
    <w:p>
      <w:pPr>
        <w:spacing w:before="0" w:after="120"/>
      </w:pPr>
      <w:r>
        <w:rPr>
          <w:b/>
        </w:rPr>
        <w:t xml:space="preserve">Notes: </w:t>
      </w:r>
      <w:r>
        <w:t>abstract_source=openalex</w:t>
      </w:r>
    </w:p>
    <w:p>
      <w:pPr>
        <w:spacing w:before="0" w:after="80" w:lineRule="auto" w:line="276"/>
      </w:pPr>
      <w:r>
        <w:rPr>
          <w:b/>
        </w:rPr>
        <w:t xml:space="preserve">摘要（ZH）: </w:t>
      </w:r>
      <w:r>
        <w:t>用于骨关节炎治疗的智能纳米复合水凝胶 这幅作品展示了一种用于骨关节炎治疗的智能纳米复合水凝胶。通过将嵌合肽与二维GeSe纳米酶整合到响应性水凝胶中，实现了精确的靶向和递送。这一策略通过维持线粒体稳态来破坏氧化-炎症-衰老的恶性循环网络，提供了一种有前景的多功能平台用于骨关节炎治疗。更多细节请参见Hongbin Fan及其合作者的研究文章（DOI: 10.1002/adma.202511804）。</w:t>
      </w:r>
    </w:p>
    <w:p>
      <w:pPr>
        <w:spacing w:before="0" w:after="200" w:lineRule="auto" w:line="276"/>
      </w:pPr>
      <w:r>
        <w:rPr>
          <w:b/>
        </w:rPr>
        <w:t xml:space="preserve">Abstract (EN): </w:t>
      </w:r>
      <w:r>
        <w:t>Smart Nanocomposite Hydrogel for Osteoarthritis Therapy This artwork illustrates a smart nanocomposite hydrogel for osteoarthritis therapy. By integrating a chimeric peptide with 2D GeSe nanozymes into a responsive hydrogel, it achieves precise target and delivery. This strategy disrupts the vicious cycle network of oxi-inflamm-aging by preserving mitochondrial homeostasis, offering a promising multifunctional platform for osteoarthritis treatment. More details can be found in the Research Article by Hongbin Fan and co-workers (DOI: 10.1002/adma.202511804).</w:t>
      </w:r>
    </w:p>
    <w:p>
      <w:pPr>
        <w:spacing w:before="120" w:after="120"/>
      </w:pPr>
      <w:r>
        <w:rPr>
          <w:sz w:val="18"/>
        </w:rPr>
        <w:t>——————————————————————————————————————————————————————————————————————</w:t>
      </w:r>
    </w:p>
    <w:p>
      <w:pPr>
        <w:spacing w:before="160" w:after="40" w:line="240" w:lineRule="auto"/>
      </w:pPr>
      <w:r>
        <w:rPr>
          <w:b/>
        </w:rPr>
        <w:t xml:space="preserve">[89] </w:t>
      </w:r>
      <w:hyperlink r:id="rId292">
        <w:r>
          <w:rPr>
            <w:color w:val="1155CC"/>
            <w:u w:val="single"/>
          </w:rPr>
          <w:t>通过化学机械耦合重写聚合物命运（Adv. Mater. 24/2026）</w:t>
        </w:r>
      </w:hyperlink>
    </w:p>
    <w:p>
      <w:pPr>
        <w:spacing w:before="0" w:after="80"/>
      </w:pPr>
      <w:r>
        <w:rPr>
          <w:i/>
          <w:sz w:val="20"/>
        </w:rPr>
        <w:t>EN: Rewriting Polymer Fate via Chemomechanical Coupling (Adv. Mater. 24/2026)</w:t>
      </w:r>
    </w:p>
    <w:p>
      <w:pPr>
        <w:spacing w:before="0" w:after="120"/>
      </w:pPr>
      <w:r>
        <w:rPr>
          <w:b/>
        </w:rPr>
        <w:t xml:space="preserve">Source: </w:t>
      </w:r>
      <w:r>
        <w:t>Wiley: Advanced Materials: Table of Contents</w:t>
      </w:r>
      <w:r>
        <w:t xml:space="preserve">    </w:t>
      </w:r>
      <w:r>
        <w:rPr>
          <w:b/>
        </w:rPr>
        <w:t xml:space="preserve">Pub date: </w:t>
      </w:r>
      <w:r>
        <w:t>2026-04-27 11:41:43+00:00</w:t>
      </w:r>
      <w:r>
        <w:t xml:space="preserve">    </w:t>
      </w:r>
      <w:r>
        <w:rPr>
          <w:b/>
        </w:rPr>
        <w:t xml:space="preserve">DOI: </w:t>
      </w:r>
      <w:hyperlink r:id="rId293">
        <w:r>
          <w:rPr>
            <w:color w:val="1155CC"/>
            <w:u w:val="single"/>
          </w:rPr>
          <w:t>10.1002/adma.73138</w:t>
        </w:r>
      </w:hyperlink>
    </w:p>
    <w:p>
      <w:pPr>
        <w:spacing w:before="0" w:after="120"/>
      </w:pPr>
      <w:r>
        <w:rPr>
          <w:b/>
        </w:rPr>
        <w:t xml:space="preserve">Notes: </w:t>
      </w:r>
      <w:r>
        <w:t>abstract_source=openalex</w:t>
      </w:r>
    </w:p>
    <w:p>
      <w:pPr>
        <w:spacing w:before="0" w:after="80" w:lineRule="auto" w:line="276"/>
      </w:pPr>
      <w:r>
        <w:rPr>
          <w:b/>
        </w:rPr>
        <w:t xml:space="preserve">摘要（ZH）: </w:t>
      </w:r>
      <w:r>
        <w:t>化学机械耦合 在他们的研究文章（10.1002/adma.202518567）中，Yuhang Hu及其合作者介绍了一种化学机械耦合的“活”聚合物，该聚合物整合了同时的质量传输、动态网络重塑和弹性演变，以实现连续的生长、退化和后加工刚度调节高达100倍。光激活的局部生长和降解实现了精确的空间控制。这些能力使得包括变革性软体机器人、可生长电子设备和再生设备在内的新应用成为可能。</w:t>
      </w:r>
    </w:p>
    <w:p>
      <w:pPr>
        <w:spacing w:before="0" w:after="200" w:lineRule="auto" w:line="276"/>
      </w:pPr>
      <w:r>
        <w:rPr>
          <w:b/>
        </w:rPr>
        <w:t xml:space="preserve">Abstract (EN): </w:t>
      </w:r>
      <w:r>
        <w:t>Chemomechanical Coupling In their Research Article (10.1002/adma.202518567), Yuhang Hu and co-workers introduce a chemomechanically coupled “living” polymer that integrates concurrent mass transport, dynamic network remodeling, and evolving elasticity to enable continuous growth, degrowth, and post-fabrication stiffness tuning up to 100×. Light-activated localized growth and degradation enables precise spatial control. These capabilities enable new applications including transformative soft robotics, growable electronics, and regenerative devices.</w:t>
      </w:r>
    </w:p>
    <w:p>
      <w:pPr>
        <w:spacing w:before="120" w:after="120"/>
      </w:pPr>
      <w:r>
        <w:rPr>
          <w:sz w:val="18"/>
        </w:rPr>
        <w:t>——————————————————————————————————————————————————————————————————————</w:t>
      </w:r>
    </w:p>
    <w:p>
      <w:pPr>
        <w:spacing w:before="160" w:after="40" w:line="240" w:lineRule="auto"/>
      </w:pPr>
      <w:r>
        <w:rPr>
          <w:b/>
        </w:rPr>
        <w:t xml:space="preserve">[90] </w:t>
      </w:r>
      <w:hyperlink r:id="rId294">
        <w:r>
          <w:rPr>
            <w:color w:val="1155CC"/>
            <w:u w:val="single"/>
          </w:rPr>
          <w:t>[ASAP] 使用氟化无定形硅铝酸盐对脂肪族聚合物进行低温热解：氧化还原活性自由基与铝路易斯位点之间的协同反应</w:t>
        </w:r>
      </w:hyperlink>
    </w:p>
    <w:p>
      <w:pPr>
        <w:spacing w:before="0" w:after="80"/>
      </w:pPr>
      <w:r>
        <w:rPr>
          <w:i/>
          <w:sz w:val="20"/>
        </w:rPr>
        <w:t>EN: [ASAP] Low-Temperature Pyrolysis of Aliphatic Polymers Using a Fluorinated Amorphous Silica–Alumina: Cooperative Reactivity between a Redox-Active Radical and an Aluminum Lewis Site</w:t>
      </w:r>
    </w:p>
    <w:p>
      <w:pPr>
        <w:spacing w:before="0" w:after="120"/>
      </w:pPr>
      <w:r>
        <w:rPr>
          <w:b/>
        </w:rPr>
        <w:t xml:space="preserve">Source: </w:t>
      </w:r>
      <w:r>
        <w:t>Journal of the American Chemical Society: Latest Articles (ACS Publications)</w:t>
      </w:r>
      <w:r>
        <w:t xml:space="preserve">    </w:t>
      </w:r>
      <w:r>
        <w:rPr>
          <w:b/>
        </w:rPr>
        <w:t xml:space="preserve">Pub date: </w:t>
      </w:r>
      <w:r>
        <w:t>2026-04-27 13:11:20+00:00</w:t>
      </w:r>
      <w:r>
        <w:t xml:space="preserve">    </w:t>
      </w:r>
      <w:r>
        <w:rPr>
          <w:b/>
        </w:rPr>
        <w:t xml:space="preserve">DOI: </w:t>
      </w:r>
      <w:hyperlink r:id="rId295">
        <w:r>
          <w:rPr>
            <w:color w:val="1155CC"/>
            <w:u w:val="single"/>
          </w:rPr>
          <w:t>10.1021/jacs.6c04422</w:t>
        </w:r>
      </w:hyperlink>
    </w:p>
    <w:p>
      <w:pPr>
        <w:spacing w:before="0" w:after="120"/>
      </w:pPr>
      <w:r>
        <w:rPr>
          <w:b/>
        </w:rPr>
        <w:t xml:space="preserve">Notes: </w:t>
      </w:r>
      <w:r>
        <w:t>abstract_source=openalex</w:t>
      </w:r>
    </w:p>
    <w:p>
      <w:pPr>
        <w:spacing w:before="0" w:after="80" w:lineRule="auto" w:line="276"/>
      </w:pPr>
      <w:r>
        <w:rPr>
          <w:b/>
        </w:rPr>
        <w:t xml:space="preserve">摘要（ZH）: </w:t>
      </w:r>
      <w:r>
        <w:t>C•.</w:t>
      </w:r>
    </w:p>
    <w:p>
      <w:pPr>
        <w:spacing w:before="0" w:after="200" w:lineRule="auto" w:line="276"/>
      </w:pPr>
      <w:r>
        <w:rPr>
          <w:b/>
        </w:rPr>
        <w:t xml:space="preserve">Abstract (EN): </w:t>
      </w:r>
      <w:r>
        <w:t>C•.</w:t>
      </w:r>
    </w:p>
    <w:p>
      <w:pPr>
        <w:spacing w:before="120" w:after="120"/>
      </w:pPr>
      <w:r>
        <w:rPr>
          <w:sz w:val="18"/>
        </w:rPr>
        <w:t>——————————————————————————————————————————————————————————————————————</w:t>
      </w:r>
    </w:p>
    <w:p>
      <w:pPr>
        <w:spacing w:before="160" w:after="40" w:line="240" w:lineRule="auto"/>
      </w:pPr>
      <w:r>
        <w:rPr>
          <w:b/>
        </w:rPr>
        <w:t xml:space="preserve">[91] </w:t>
      </w:r>
      <w:hyperlink r:id="rId296">
        <w:r>
          <w:rPr>
            <w:color w:val="1155CC"/>
            <w:u w:val="single"/>
          </w:rPr>
          <w:t>[ASAP] 通过化学计量工程在钙钛矿器件中出现忆阻行为</w:t>
        </w:r>
      </w:hyperlink>
    </w:p>
    <w:p>
      <w:pPr>
        <w:spacing w:before="0" w:after="80"/>
      </w:pPr>
      <w:r>
        <w:rPr>
          <w:i/>
          <w:sz w:val="20"/>
        </w:rPr>
        <w:t>EN: [ASAP] Emergence of Memristive Behavior in Perovskite Devices by Stoichiometric Engineering</w:t>
      </w:r>
    </w:p>
    <w:p>
      <w:pPr>
        <w:spacing w:before="0" w:after="120"/>
      </w:pPr>
      <w:r>
        <w:rPr>
          <w:b/>
        </w:rPr>
        <w:t xml:space="preserve">Source: </w:t>
      </w:r>
      <w:r>
        <w:t>ACS Energy Letters: Latest Articles (ACS Publications)</w:t>
      </w:r>
      <w:r>
        <w:t xml:space="preserve">    </w:t>
      </w:r>
      <w:r>
        <w:rPr>
          <w:b/>
        </w:rPr>
        <w:t xml:space="preserve">Pub date: </w:t>
      </w:r>
      <w:r>
        <w:t>2026-04-27 13:23:44+00:00</w:t>
      </w:r>
      <w:r>
        <w:t xml:space="preserve">    </w:t>
      </w:r>
      <w:r>
        <w:rPr>
          <w:b/>
        </w:rPr>
        <w:t xml:space="preserve">DOI: </w:t>
      </w:r>
      <w:hyperlink r:id="rId297">
        <w:r>
          <w:rPr>
            <w:color w:val="1155CC"/>
            <w:u w:val="single"/>
          </w:rPr>
          <w:t>10.1021/acsenergylett.6c00659</w:t>
        </w:r>
      </w:hyperlink>
    </w:p>
    <w:p>
      <w:pPr>
        <w:spacing w:before="0" w:after="120"/>
      </w:pPr>
      <w:r>
        <w:rPr>
          <w:b/>
        </w:rPr>
        <w:t xml:space="preserve">Notes: </w:t>
      </w:r>
      <w:r>
        <w:t>abstract_source=openalex</w:t>
      </w:r>
    </w:p>
    <w:p>
      <w:pPr>
        <w:spacing w:before="0" w:after="80" w:lineRule="auto" w:line="276"/>
      </w:pPr>
      <w:r>
        <w:rPr>
          <w:b/>
        </w:rPr>
        <w:t xml:space="preserve">摘要（ZH）: </w:t>
      </w:r>
      <w:r>
        <w:t>金属卤化物钙钛矿因其混合离子-电子特性而在忆阻器应用中具有前景。我们证明，通过精确的化学计量工程可以触发模拟忆阻行为。使用结构为ITO/PEDOT:PSS/MAPbIx/PCBM/Ag的甲胺铅碘（MAPbIx）器件，我们展示了仅添加2%过量MAI时从整流到忆阻响应的明显转变。这种忆阻行为通过I-V扫描中的显著反向滞后回线得到证实。阻抗谱显示出从电容到电感响应的偏压依赖性演变，特征为缓慢的、历史依赖的离子弛豫。瞬态脉冲实验证实了在秒级时间尺度上的逐渐、模拟电导增强，与阻抗导出的弛豫动力学一致。漂移-扩散模拟将机制归因于移动离子和内部电场的重新配置。这些结果表明化学计量控制是工程非丝状忆阻器在卤化物钙钛矿中的有效途径，直接将离子-电子耦合与层组成联系起来，并实现能效高的模拟计算架构。</w:t>
      </w:r>
    </w:p>
    <w:p>
      <w:pPr>
        <w:spacing w:before="0" w:after="200" w:lineRule="auto" w:line="276"/>
      </w:pPr>
      <w:r>
        <w:rPr>
          <w:b/>
        </w:rPr>
        <w:t xml:space="preserve">Abstract (EN): </w:t>
      </w:r>
      <w:r>
        <w:t>Metal halide perovskites are promising for memristor applications due to their mixed ionic-electronic nature. We demonstrate that analog memristive behavior can be triggered by careful stoichiometric engineering. Using methylammonium lead iodide (MAPbIx) devices with the structure ITO/PEDOT:PSS/MAPbIx/PCBM/Ag, we demonstrate a sharp transition from rectifying to memristive response upon addition of only 2% excess MAI. This memristive behavior is evidenced by substantial inverted hysteresis loops in the I–V sweeps. Impedance spectroscopy reveals a bias-dependent evolution from capacitive to an inductive response, characteristic of slow, history-dependent ionic relaxation. Transient pulsing experiments confirm gradual, analog conductance potentiation on time scales of seconds, consistent with impedance-derived relaxation dynamics. Drift–diffusion simulations attribute the mechanism to reconfiguration of mobile ions and internal electric fields. These results identify stoichiometric control as an effective route to engineer nonfilamentary memristors in halide perovskites, directly linking ionic–electronic coupling to layer composition and enabling energy-efficient analog computing architectures.</w:t>
      </w:r>
    </w:p>
    <w:p>
      <w:pPr>
        <w:spacing w:before="120" w:after="120"/>
      </w:pPr>
      <w:r>
        <w:rPr>
          <w:sz w:val="18"/>
        </w:rPr>
        <w:t>——————————————————————————————————————————————————————————————————————</w:t>
      </w:r>
    </w:p>
    <w:p>
      <w:pPr>
        <w:spacing w:before="160" w:after="40" w:line="240" w:lineRule="auto"/>
      </w:pPr>
      <w:r>
        <w:rPr>
          <w:b/>
        </w:rPr>
        <w:t xml:space="preserve">[92] </w:t>
      </w:r>
      <w:hyperlink r:id="rId298">
        <w:r>
          <w:rPr>
            <w:color w:val="1155CC"/>
            <w:u w:val="single"/>
          </w:rPr>
          <w:t>[ASAP] 通过汉森溶解度参数解释溶剂诱导的超分子组装中的立体突变</w:t>
        </w:r>
      </w:hyperlink>
    </w:p>
    <w:p>
      <w:pPr>
        <w:spacing w:before="0" w:after="80"/>
      </w:pPr>
      <w:r>
        <w:rPr>
          <w:i/>
          <w:sz w:val="20"/>
        </w:rPr>
        <w:t>EN: [ASAP] Solvent-Induced Stereomutation in Supramolecular Assemblies Explained by Hansen Solubility Parameters</w:t>
      </w:r>
    </w:p>
    <w:p>
      <w:pPr>
        <w:spacing w:before="0" w:after="120"/>
      </w:pPr>
      <w:r>
        <w:rPr>
          <w:b/>
        </w:rPr>
        <w:t xml:space="preserve">Source: </w:t>
      </w:r>
      <w:r>
        <w:t>Journal of the American Chemical Society: Latest Articles (ACS Publications)</w:t>
      </w:r>
      <w:r>
        <w:t xml:space="preserve">    </w:t>
      </w:r>
      <w:r>
        <w:rPr>
          <w:b/>
        </w:rPr>
        <w:t xml:space="preserve">Pub date: </w:t>
      </w:r>
      <w:r>
        <w:t>2026-04-27 13:54:23+00:00</w:t>
      </w:r>
      <w:r>
        <w:t xml:space="preserve">    </w:t>
      </w:r>
      <w:r>
        <w:rPr>
          <w:b/>
        </w:rPr>
        <w:t xml:space="preserve">DOI: </w:t>
      </w:r>
      <w:hyperlink r:id="rId299">
        <w:r>
          <w:rPr>
            <w:color w:val="1155CC"/>
            <w:u w:val="single"/>
          </w:rPr>
          <w:t>10.1021/jacs.6c04364</w:t>
        </w:r>
      </w:hyperlink>
    </w:p>
    <w:p>
      <w:pPr>
        <w:spacing w:before="0" w:after="120"/>
      </w:pPr>
      <w:r>
        <w:rPr>
          <w:b/>
        </w:rPr>
        <w:t xml:space="preserve">Notes: </w:t>
      </w:r>
      <w:r>
        <w:t>abstract_source=pubmed</w:t>
      </w:r>
    </w:p>
    <w:p>
      <w:pPr>
        <w:spacing w:before="0" w:after="80" w:lineRule="auto" w:line="276"/>
      </w:pPr>
      <w:r>
        <w:rPr>
          <w:b/>
        </w:rPr>
        <w:t xml:space="preserve">摘要（ZH）: </w:t>
      </w:r>
      <w:r>
        <w:t>溶剂诱导的立体变异，即由溶剂特性驱动的超分子螺旋性逆转，是超分子化学中一个引人注目但尚未充分理解的现象，对手性材料、分子识别和功能组装具有重要意义。尽管在各种系统中有许多观察，但理解和控制这种超分子非对映异构体之间螺旋性逆转的通用框架仍然难以捉摸。在此，我们提出了一种基于Hansen溶解度参数（HSPs）的定量策略，该策略识别出与两种结构不同的手性单体中相反螺旋性相关的不同且可重复的溶剂区域：具有通过没食子酸酯楔形连接的手性香叶醇侧链的C2对称苝二酰亚胺衍生物（S-PDI），以及通过氢键酰胺连接相同手性侧链的C3对称三苯并三唑衍生物（S-TTA）。通过在HSP空间中映射超分子手性，我们表明螺旋性不仅源于分子结构，还来自溶剂分散性、极性和氢键的相互作用，这些因素调节侧链的溶解性并影响芳香堆积的几何形状。此外，溶剂环境诱导的螺旋性不是组装路径变化的结果，并且与浓度无关。这些结果确立了HSP映射作为解释由溶剂控制的相反超分子手性的通用策略，并用于设计自适应、可重构和功能性手性材料。</w:t>
      </w:r>
    </w:p>
    <w:p>
      <w:pPr>
        <w:spacing w:before="0" w:after="200" w:lineRule="auto" w:line="276"/>
      </w:pPr>
      <w:r>
        <w:rPr>
          <w:b/>
        </w:rPr>
        <w:t xml:space="preserve">Abstract (EN): </w:t>
      </w:r>
      <w:r>
        <w:t>Solvent-induced stereomutation, the reversal of supramolecular helicity driven by solvent identity, is a striking yet poorly understood phenomenon in supramolecular chemistry, with implications for chiral materials, molecular recognition, and functional assemblies. Despite numerous observations in diverse systems, a general framework for understanding and controlling such helicity inversion between supramolecular diastereomers remains elusive. Here, we present a quantitative strategy based on Hansen solubility parameters (HSPs) that identifies distinct and reproducible solvent regimes associated with opposite helicities in two structurally different chiral monomers: a C2-symmetric perylene diimide derivative (S-PDI) with chiral citronellol side chains attached through gallate wedges, and a C3-symmetric truxenone derivative (S-TTA) bearing the same chiral side chains connected via hydrogen-bonding amides. By mapping supramolecular handedness within the HSP space, we show that helicity arises not only from molecular structure but also from the interplay between solvent dispersion, polarity, and hydrogen-bonding, which modulate the solvation of side chains and influence the geometry of aromatic stacking. Furthermore, the helicity induced by the solvent environment is not a result of variations in the assembly pathway and is independent of concentration. These results establish HSP mapping as a general strategy for explaining the opposite supramolecular chirality controlled by the solvent and for designing adaptive, reconfigurable, and functional chiral materials.</w:t>
      </w:r>
    </w:p>
    <w:p>
      <w:pPr>
        <w:spacing w:before="120" w:after="120"/>
      </w:pPr>
      <w:r>
        <w:rPr>
          <w:sz w:val="18"/>
        </w:rPr>
        <w:t>——————————————————————————————————————————————————————————————————————</w:t>
      </w:r>
    </w:p>
    <w:p>
      <w:pPr>
        <w:spacing w:before="160" w:after="40" w:line="240" w:lineRule="auto"/>
      </w:pPr>
      <w:r>
        <w:rPr>
          <w:b/>
        </w:rPr>
        <w:t xml:space="preserve">[93] </w:t>
      </w:r>
      <w:hyperlink r:id="rId300">
        <w:r>
          <w:rPr>
            <w:color w:val="1155CC"/>
            <w:u w:val="single"/>
          </w:rPr>
          <w:t>[ASAP] 通过硫属键工程超快分子转子</w:t>
        </w:r>
      </w:hyperlink>
    </w:p>
    <w:p>
      <w:pPr>
        <w:spacing w:before="0" w:after="80"/>
      </w:pPr>
      <w:r>
        <w:rPr>
          <w:i/>
          <w:sz w:val="20"/>
        </w:rPr>
        <w:t>EN: [ASAP] Engineering Ultrafast Molecular Rotors via Chalcogen bonds</w:t>
      </w:r>
    </w:p>
    <w:p>
      <w:pPr>
        <w:spacing w:before="0" w:after="120"/>
      </w:pPr>
      <w:r>
        <w:rPr>
          <w:b/>
        </w:rPr>
        <w:t xml:space="preserve">Source: </w:t>
      </w:r>
      <w:r>
        <w:t>Journal of the American Chemical Society: Latest Articles (ACS Publications)</w:t>
      </w:r>
      <w:r>
        <w:t xml:space="preserve">    </w:t>
      </w:r>
      <w:r>
        <w:rPr>
          <w:b/>
        </w:rPr>
        <w:t xml:space="preserve">Pub date: </w:t>
      </w:r>
      <w:r>
        <w:t>2026-04-27 14:09:14+00:00</w:t>
      </w:r>
      <w:r>
        <w:t xml:space="preserve">    </w:t>
      </w:r>
      <w:r>
        <w:rPr>
          <w:b/>
        </w:rPr>
        <w:t xml:space="preserve">DOI: </w:t>
      </w:r>
      <w:hyperlink r:id="rId301">
        <w:r>
          <w:rPr>
            <w:color w:val="1155CC"/>
            <w:u w:val="single"/>
          </w:rPr>
          <w:t>10.1021/jacs.6c02463</w:t>
        </w:r>
      </w:hyperlink>
    </w:p>
    <w:p>
      <w:pPr>
        <w:spacing w:before="0" w:after="120"/>
      </w:pPr>
      <w:r>
        <w:rPr>
          <w:b/>
        </w:rPr>
        <w:t xml:space="preserve">Notes: </w:t>
      </w:r>
      <w:r>
        <w:t>abstract_source=pubmed</w:t>
      </w:r>
    </w:p>
    <w:p>
      <w:pPr>
        <w:spacing w:before="0" w:after="80" w:lineRule="auto" w:line="276"/>
      </w:pPr>
      <w:r>
        <w:rPr>
          <w:b/>
        </w:rPr>
        <w:t xml:space="preserve">摘要（ZH）: </w:t>
      </w:r>
      <w:r>
        <w:t>硫属元素键是新兴的σ孔相互作用，在两亲动态材料中具有未开发的潜力。我们报告了第一个由硫属元素键保持的晶体分子转子及其超快旋转动力学。转子组分1,4-二氮杂双环[2.2.2]辛烷和基于苯硒氰酸酯的定子通过异常短且高度定向的Se···N接触组装（Nc = 0.76-0.81；∠NC-Se···N = 174-175°）。固态1H NMR T1自旋晶格弛豫测量显示旋转频率为数百MHz，具有低活化能垒（Ea = 1.22-2.78 kcal mol-1），与包装系数和计算分析一致。这些发现突显了硫属元素键作为设计稳健的晶体分子机器的强大工具。</w:t>
      </w:r>
    </w:p>
    <w:p>
      <w:pPr>
        <w:spacing w:before="0" w:after="200" w:lineRule="auto" w:line="276"/>
      </w:pPr>
      <w:r>
        <w:rPr>
          <w:b/>
        </w:rPr>
        <w:t xml:space="preserve">Abstract (EN): </w:t>
      </w:r>
      <w:r>
        <w:t>Chalcogen bonds are emerging σ-hole interactions with untapped potential in amphidynamic materials. We report the first crystalline molecular rotors held by chalcogen bonds and their ultrafast rotational dynamics. The rotator component 1,4-diazabicyclo[2.2.2]octane and phenylselenocyanate-based stators assemble via exceptionally short and highly directional Se···N contacts (Nc = 0.76-0.81; ∠NC-Se···N = 174-175 °). Solid-state 1H NMR T1 spin-lattice relaxation measurements reveal rotation at hundreds of MHz with low activation barriers (Ea = 1.22-2.78 kcal mol-1), in agreement with the packing coefficient and computational analysis. These findings highlight chalcogen bonds as a powerful tool for designing robust, crystalline molecular machines.</w:t>
      </w:r>
    </w:p>
    <w:p>
      <w:pPr>
        <w:spacing w:before="120" w:after="120"/>
      </w:pPr>
      <w:r>
        <w:rPr>
          <w:sz w:val="18"/>
        </w:rPr>
        <w:t>——————————————————————————————————————————————————————————————————————</w:t>
      </w:r>
    </w:p>
    <w:p>
      <w:pPr>
        <w:spacing w:before="160" w:after="40" w:line="240" w:lineRule="auto"/>
      </w:pPr>
      <w:r>
        <w:rPr>
          <w:b/>
        </w:rPr>
        <w:t xml:space="preserve">[94] </w:t>
      </w:r>
      <w:hyperlink r:id="rId302">
        <w:r>
          <w:rPr>
            <w:color w:val="1155CC"/>
            <w:u w:val="single"/>
          </w:rPr>
          <w:t>[ASAP] 对水性纳米液滴中羟基自由基自发生成证据的批判性重新评估</w:t>
        </w:r>
      </w:hyperlink>
    </w:p>
    <w:p>
      <w:pPr>
        <w:spacing w:before="0" w:after="80"/>
      </w:pPr>
      <w:r>
        <w:rPr>
          <w:i/>
          <w:sz w:val="20"/>
        </w:rPr>
        <w:t>EN: [ASAP] A Critical Reappraisal of the Evidence for Spontaneous Generation of Hydroxyl Radicals in Aqueous Nanodroplets</w:t>
      </w:r>
    </w:p>
    <w:p>
      <w:pPr>
        <w:spacing w:before="0" w:after="120"/>
      </w:pPr>
      <w:r>
        <w:rPr>
          <w:b/>
        </w:rPr>
        <w:t xml:space="preserve">Source: </w:t>
      </w:r>
      <w:r>
        <w:t>Journal of the American Chemical Society: Latest Articles (ACS Publications)</w:t>
      </w:r>
      <w:r>
        <w:t xml:space="preserve">    </w:t>
      </w:r>
      <w:r>
        <w:rPr>
          <w:b/>
        </w:rPr>
        <w:t xml:space="preserve">Pub date: </w:t>
      </w:r>
      <w:r>
        <w:t>2026-04-27 15:01:35+00:00</w:t>
      </w:r>
      <w:r>
        <w:t xml:space="preserve">    </w:t>
      </w:r>
      <w:r>
        <w:rPr>
          <w:b/>
        </w:rPr>
        <w:t xml:space="preserve">DOI: </w:t>
      </w:r>
      <w:hyperlink r:id="rId303">
        <w:r>
          <w:rPr>
            <w:color w:val="1155CC"/>
            <w:u w:val="single"/>
          </w:rPr>
          <w:t>10.1021/jacs.5c21778</w:t>
        </w:r>
      </w:hyperlink>
    </w:p>
    <w:p>
      <w:pPr>
        <w:spacing w:before="0" w:after="120"/>
      </w:pPr>
      <w:r>
        <w:rPr>
          <w:b/>
        </w:rPr>
        <w:t xml:space="preserve">Notes: </w:t>
      </w:r>
      <w:r>
        <w:t>abstract_source=pubmed</w:t>
      </w:r>
    </w:p>
    <w:p>
      <w:pPr>
        <w:spacing w:before="0" w:after="80" w:lineRule="auto" w:line="276"/>
      </w:pPr>
      <w:r>
        <w:rPr>
          <w:b/>
        </w:rPr>
        <w:t xml:space="preserve">摘要（ZH）: </w:t>
      </w:r>
      <w:r>
        <w:t>小水滴在自然界中无处不在，并且通常由人为干预产生以用于各种目的。因此，最近关于在此类水滴中自发形成微摩尔水平的羟基自由基的说法引起了相当大的关注和批评。如果属实，简单的水滴形成将自发产生高度活跃的物种，可以用于有趣的化学反应，但大量的羟基自由基也将对所有生物体构成重大危险，使得问题的明确性具有广泛的重要性。先前的批评虽然有说服力，但未能重现用于支持自发形成理论的原始结果。在此，我们忠实地重现了原始数据。然而，当通过碰撞激活或同位素标记检查先前被识别为羟基自由基的物种时，结果与其作为污染物氨的分配一致，后者具有相同的名义质量。此外，我们使用θ毛细管、过氧化氢和紫外激活在水滴喷入质谱仪时创建了事实上的羟基自由基。如预期的那样，暴露于真正的羟基自由基的分析物经历了广泛的氧化损伤。此外，先前使用咖啡因和褪黑激素获得的结果被重现，但显示为氨加合物或由狭窄的隔离窗口引起的伪影。总之，对证据的重新评估得出结论，在水滴中没有自发形成可观数量的羟基自由基。</w:t>
      </w:r>
    </w:p>
    <w:p>
      <w:pPr>
        <w:spacing w:before="0" w:after="200" w:lineRule="auto" w:line="276"/>
      </w:pPr>
      <w:r>
        <w:rPr>
          <w:b/>
        </w:rPr>
        <w:t xml:space="preserve">Abstract (EN): </w:t>
      </w:r>
      <w:r>
        <w:t>Small aqueous droplets are ubiquitous in the natural world and are often generated by human intervention for various purposes. Therefore, recent claims that micromolar levels of hydroxyl radicals spontaneously form in such droplets have drawn considerable attention and criticism. If true, the simple formation of aqueous droplets would spontaneously create highly reactive species that could be leveraged for interesting chemistry, but abundant hydroxyl radicals would also pose a significant danger to all living organisms, making the issue of clarity of broad importance. Previous criticisms, although compelling, have not been able to reproduce the original results used to support the spontaneous formation theory. Herein, we faithfully reproduce the original data. However, when the species previously identified as a hydroxyl radical is examined by collisional activation or isotopic labeling, the results are consistent with assignment as contaminant ammonia, which has the same nominal mass. Furthermore, we used theta capillaries, hydrogen peroxide, and ultraviolet activation to create de facto hydroxyl radicals within droplets as they are sprayed into a mass spectrometer. As expected, analytes subjected to true hydroxyl radicals undergo extensive oxidative damage. Additionally, previous results obtained with caffeine and melatonin are reproduced but are shown to be ammonia adducts or artifacts caused by narrow isolation windows. In summary, reappraisal of the evidence leads to the conclusion that no appreciable amount of hydroxyl radicals is spontaneously formed in aqueous droplets. We conclude by suggesting criteria that can be used to assess mass spectrometry data and should help prevent similar misinterpretations in the future.</w:t>
      </w:r>
    </w:p>
    <w:p>
      <w:pPr>
        <w:spacing w:before="120" w:after="120"/>
      </w:pPr>
      <w:r>
        <w:rPr>
          <w:sz w:val="18"/>
        </w:rPr>
        <w:t>——————————————————————————————————————————————————————————————————————</w:t>
      </w:r>
    </w:p>
    <w:p>
      <w:pPr>
        <w:spacing w:before="160" w:after="40" w:line="240" w:lineRule="auto"/>
      </w:pPr>
      <w:r>
        <w:rPr>
          <w:b/>
        </w:rPr>
        <w:t xml:space="preserve">[95] </w:t>
      </w:r>
      <w:hyperlink r:id="rId304">
        <w:r>
          <w:rPr>
            <w:color w:val="1155CC"/>
            <w:u w:val="single"/>
          </w:rPr>
          <w:t>[ASAP] 乙烯甲氧羰基化的机制理解和催化剂设计的范式转变</w:t>
        </w:r>
      </w:hyperlink>
    </w:p>
    <w:p>
      <w:pPr>
        <w:spacing w:before="0" w:after="80"/>
      </w:pPr>
      <w:r>
        <w:rPr>
          <w:i/>
          <w:sz w:val="20"/>
        </w:rPr>
        <w:t>EN: [ASAP] Paradigm Shift in Mechanistic Understanding and Catalyst Design for Heterogeneous Ethylene Methoxycarbonylation</w:t>
      </w:r>
    </w:p>
    <w:p>
      <w:pPr>
        <w:spacing w:before="0" w:after="120"/>
      </w:pPr>
      <w:r>
        <w:rPr>
          <w:b/>
        </w:rPr>
        <w:t xml:space="preserve">Source: </w:t>
      </w:r>
      <w:r>
        <w:t>Journal of the American Chemical Society: Latest Articles (ACS Publications)</w:t>
      </w:r>
      <w:r>
        <w:t xml:space="preserve">    </w:t>
      </w:r>
      <w:r>
        <w:rPr>
          <w:b/>
        </w:rPr>
        <w:t xml:space="preserve">Pub date: </w:t>
      </w:r>
      <w:r>
        <w:t>2026-04-27 15:02:16+00:00</w:t>
      </w:r>
      <w:r>
        <w:t xml:space="preserve">    </w:t>
      </w:r>
      <w:r>
        <w:rPr>
          <w:b/>
        </w:rPr>
        <w:t xml:space="preserve">DOI: </w:t>
      </w:r>
      <w:hyperlink r:id="rId305">
        <w:r>
          <w:rPr>
            <w:color w:val="1155CC"/>
            <w:u w:val="single"/>
          </w:rPr>
          <w:t>10.1021/jacs.6c01740</w:t>
        </w:r>
      </w:hyperlink>
    </w:p>
    <w:p>
      <w:pPr>
        <w:spacing w:before="0" w:after="120"/>
      </w:pPr>
      <w:r>
        <w:rPr>
          <w:b/>
        </w:rPr>
        <w:t xml:space="preserve">Notes: </w:t>
      </w:r>
      <w:r>
        <w:t>abstract_source=pubmed</w:t>
      </w:r>
    </w:p>
    <w:p>
      <w:pPr>
        <w:spacing w:before="0" w:after="80" w:lineRule="auto" w:line="276"/>
      </w:pPr>
      <w:r>
        <w:rPr>
          <w:b/>
        </w:rPr>
        <w:t xml:space="preserve">摘要（ZH）: </w:t>
      </w:r>
      <w:r>
        <w:t>均相催化的机理原理常被应用于多相系统，但配位和电子环境的差异可能导致不同的反应性。不加批判地将基于电子状态可调的有机金属配合物的均相范式转移到电子缺乏的支持金属中心可能导致适得其反的设计。在此，我们报告了一种反向策略：使用氧化物支持的电子缺乏的Ru中心进行乙烯甲氧羰基化，取代传统的有机金属配合物。内置的中等碱性位点促进了独特的质子转移途径，消除了对强外部布朗斯特酸的需求。RuOx/TiO2催化剂显示出比Ru纳米催化剂高出80倍以上的活性，比Pt单原子催化剂高出6倍。它还在180小时内表现出卓越的稳定性，周转数超过200,000，超越了所有已知的多相乙烯甲氧羰基化催化剂，并可与Pd催化剂媲美。</w:t>
      </w:r>
    </w:p>
    <w:p>
      <w:pPr>
        <w:spacing w:before="0" w:after="200" w:lineRule="auto" w:line="276"/>
      </w:pPr>
      <w:r>
        <w:rPr>
          <w:b/>
        </w:rPr>
        <w:t xml:space="preserve">Abstract (EN): </w:t>
      </w:r>
      <w:r>
        <w:t>Mechanistic principles from homogeneous catalysis are often applied to heterogeneous systems, but differences in coordination and electronic environments can lead to divergent reactivity. Uncritically transferring homogeneous paradigms─based on electron-state-tunable organometallic complexes─to electron-deficient, supported metal centers may cause counterproductive designs. Here, we report a reversed strategy: an oxide-supported, electron-deficient Ru center is used for ethylene methoxycarbonylation, replacing conventional organometallic complexes. A built-in moderately basic site facilitates a distinct proton transfer pathway, eliminating the need for strong external Brønsted acids. The RuOx/TiO2 catalyst shows over 80 times higher activity than Ru nanocatalysts and 6 times that of Pt single-atom catalysts. It also demonstrates exceptional stability over 180 h, with a turnover number exceeding 200,000, surpassing all known heterogeneous ethylene methoxycarbonylation catalysts and rivaling Pd catalysts.</w:t>
      </w:r>
    </w:p>
    <w:p>
      <w:pPr>
        <w:spacing w:before="120" w:after="120"/>
      </w:pPr>
      <w:r>
        <w:rPr>
          <w:sz w:val="18"/>
        </w:rPr>
        <w:t>——————————————————————————————————————————————————————————————————————</w:t>
      </w:r>
    </w:p>
    <w:p>
      <w:pPr>
        <w:spacing w:before="160" w:after="40" w:line="240" w:lineRule="auto"/>
      </w:pPr>
      <w:r>
        <w:rPr>
          <w:b/>
        </w:rPr>
        <w:t xml:space="preserve">[96] </w:t>
      </w:r>
      <w:hyperlink r:id="rId306">
        <w:r>
          <w:rPr>
            <w:color w:val="1155CC"/>
            <w:u w:val="single"/>
          </w:rPr>
          <w:t>[ASAP] 可见光促进的连续流动碘化初级C(sp3)–H键：一种无指导和区域选择性的方法</w:t>
        </w:r>
      </w:hyperlink>
    </w:p>
    <w:p>
      <w:pPr>
        <w:spacing w:before="0" w:after="80"/>
      </w:pPr>
      <w:r>
        <w:rPr>
          <w:i/>
          <w:sz w:val="20"/>
        </w:rPr>
        <w:t>EN: [ASAP] Visible-Light-Promoted Continuous-Flow Iodination of Primary C(sp3)–H Bonds: An Undirected and Regioselective Approach</w:t>
      </w:r>
    </w:p>
    <w:p>
      <w:pPr>
        <w:spacing w:before="0" w:after="120"/>
      </w:pPr>
      <w:r>
        <w:rPr>
          <w:b/>
        </w:rPr>
        <w:t xml:space="preserve">Source: </w:t>
      </w:r>
      <w:r>
        <w:t>Journal of the American Chemical Society: Latest Articles (ACS Publications)</w:t>
      </w:r>
      <w:r>
        <w:t xml:space="preserve">    </w:t>
      </w:r>
      <w:r>
        <w:rPr>
          <w:b/>
        </w:rPr>
        <w:t xml:space="preserve">Pub date: </w:t>
      </w:r>
      <w:r>
        <w:t>2026-04-27 15:47:36+00:00</w:t>
      </w:r>
      <w:r>
        <w:t xml:space="preserve">    </w:t>
      </w:r>
      <w:r>
        <w:rPr>
          <w:b/>
        </w:rPr>
        <w:t xml:space="preserve">DOI: </w:t>
      </w:r>
      <w:hyperlink r:id="rId307">
        <w:r>
          <w:rPr>
            <w:color w:val="1155CC"/>
            <w:u w:val="single"/>
          </w:rPr>
          <w:t>10.1021/jacs.6c02161</w:t>
        </w:r>
      </w:hyperlink>
    </w:p>
    <w:p>
      <w:pPr>
        <w:spacing w:before="0" w:after="120"/>
      </w:pPr>
      <w:r>
        <w:rPr>
          <w:b/>
        </w:rPr>
        <w:t xml:space="preserve">Notes: </w:t>
      </w:r>
      <w:r>
        <w:t>abstract_source=openalex</w:t>
      </w:r>
    </w:p>
    <w:p>
      <w:pPr>
        <w:spacing w:before="0" w:after="80" w:lineRule="auto" w:line="276"/>
      </w:pPr>
      <w:r>
        <w:rPr>
          <w:b/>
        </w:rPr>
        <w:t xml:space="preserve">摘要（ZH）: </w:t>
      </w:r>
      <w:r>
        <w:t>C-H 官能化。机理研究表明，该反应通过可逆和非选择性的 C-H 活化生成烷基自由基的混合物，然后通过动力学控制的碘化选择性地捕获主要自由基物种。</w:t>
      </w:r>
    </w:p>
    <w:p>
      <w:pPr>
        <w:spacing w:before="0" w:after="200" w:lineRule="auto" w:line="276"/>
      </w:pPr>
      <w:r>
        <w:rPr>
          <w:b/>
        </w:rPr>
        <w:t xml:space="preserve">Abstract (EN): </w:t>
      </w:r>
      <w:r>
        <w:t>)-H functionalization. Mechanistic investigations indicate that the reaction proceeds through a reversible and nonselective C-H activation to generate a mixture of alkyl radicals, followed by a kinetically controlled iodination that selectively traps the primary radical species.</w:t>
      </w:r>
    </w:p>
    <w:p>
      <w:pPr>
        <w:spacing w:before="120" w:after="120"/>
      </w:pPr>
      <w:r>
        <w:rPr>
          <w:sz w:val="18"/>
        </w:rPr>
        <w:t>——————————————————————————————————————————————————————————————————————</w:t>
      </w:r>
    </w:p>
    <w:p>
      <w:pPr>
        <w:spacing w:before="160" w:after="40" w:line="240" w:lineRule="auto"/>
      </w:pPr>
      <w:r>
        <w:rPr>
          <w:b/>
        </w:rPr>
        <w:t xml:space="preserve">[97] </w:t>
      </w:r>
      <w:hyperlink r:id="rId308">
        <w:r>
          <w:rPr>
            <w:color w:val="1155CC"/>
            <w:u w:val="single"/>
          </w:rPr>
          <w:t>[ASAP] 界面金-金相互作用决定N-杂环卡宾自组装单分子层的机械稳定性</w:t>
        </w:r>
      </w:hyperlink>
    </w:p>
    <w:p>
      <w:pPr>
        <w:spacing w:before="0" w:after="80"/>
      </w:pPr>
      <w:r>
        <w:rPr>
          <w:i/>
          <w:sz w:val="20"/>
        </w:rPr>
        <w:t>EN: [ASAP] Interfacial Gold–Gold Interactions Govern the Mechanical Stability of N-Heterocyclic Carbene Self-Assembled Monolayers</w:t>
      </w:r>
    </w:p>
    <w:p>
      <w:pPr>
        <w:spacing w:before="0" w:after="120"/>
      </w:pPr>
      <w:r>
        <w:rPr>
          <w:b/>
        </w:rPr>
        <w:t xml:space="preserve">Source: </w:t>
      </w:r>
      <w:r>
        <w:t>Journal of the American Chemical Society: Latest Articles (ACS Publications)</w:t>
      </w:r>
      <w:r>
        <w:t xml:space="preserve">    </w:t>
      </w:r>
      <w:r>
        <w:rPr>
          <w:b/>
        </w:rPr>
        <w:t xml:space="preserve">Pub date: </w:t>
      </w:r>
      <w:r>
        <w:t>2026-04-27 16:23:39+00:00</w:t>
      </w:r>
      <w:r>
        <w:t xml:space="preserve">    </w:t>
      </w:r>
      <w:r>
        <w:rPr>
          <w:b/>
        </w:rPr>
        <w:t xml:space="preserve">DOI: </w:t>
      </w:r>
      <w:hyperlink r:id="rId309">
        <w:r>
          <w:rPr>
            <w:color w:val="1155CC"/>
            <w:u w:val="single"/>
          </w:rPr>
          <w:t>10.1021/jacs.6c02482</w:t>
        </w:r>
      </w:hyperlink>
    </w:p>
    <w:p>
      <w:pPr>
        <w:spacing w:before="0" w:after="120"/>
      </w:pPr>
      <w:r>
        <w:rPr>
          <w:b/>
        </w:rPr>
        <w:t xml:space="preserve">Notes: </w:t>
      </w:r>
      <w:r>
        <w:t>abstract_source=pubmed</w:t>
      </w:r>
    </w:p>
    <w:p>
      <w:pPr>
        <w:spacing w:before="0" w:after="80" w:lineRule="auto" w:line="276"/>
      </w:pPr>
      <w:r>
        <w:rPr>
          <w:b/>
        </w:rPr>
        <w:t xml:space="preserve">摘要（ZH）: </w:t>
      </w:r>
      <w:r>
        <w:t>N-杂环卡宾（NHCs）已成为构建在金上超稳定自组装单分子层（SAMs）的强大锚定基团。然而，这种有机-无机界面在机械应力下的微观失效机制仍不清楚。在此，我们使用单分子力谱（SMFS）研究 NHC-Au 界面的机械化学行为。我们揭示了虽然 NHC-Au 配位键表现出高固有机械强度（约1200 pN），但界面稳定性受限于金晶格的内聚强度，导致基底通过金原子提取在显著较低的力（约500 pN）下失效。原位循环力谱和尖端转移实验共同证实机械力诱导金原子的提取，这些金原子作为 NHC-Au 复合物保留其配位反应性。这些发现不仅为吸附原子介导的结合模型提供了机械化学证据，还为未来机械门控催化生成单原子金属中心提供了一种新的原子级策略。</w:t>
      </w:r>
    </w:p>
    <w:p>
      <w:pPr>
        <w:spacing w:before="0" w:after="200" w:lineRule="auto" w:line="276"/>
      </w:pPr>
      <w:r>
        <w:rPr>
          <w:b/>
        </w:rPr>
        <w:t xml:space="preserve">Abstract (EN): </w:t>
      </w:r>
      <w:r>
        <w:t>N-heterocyclic carbenes (NHCs) have emerged as robust anchoring groups for the construction of ultrastable self-assembled monolayers (SAMs) on gold. However, the microscopic failure mechanism of this organic-inorganic interface under mechanical stress remains elusive. Herein, we investigate the mechanochemical behavior of NHC-Au interfaces using single-molecule force spectroscopy (SMFS). We reveal that while the NHC-Au coordination bond exhibits high intrinsic mechanical strength (∼1200 pN), the interfacial stability is limited by the cohesive strength of the gold lattice, leading to substrate failure via gold atom extraction at significantly lower forces (∼500 pN). In situ cyclic force spectroscopy and tip-transfer assays collectively confirm that mechanical force induces the extraction of gold atoms, which retain their coordination reactivity as NHC-Au complexes. These findings not only provide mechanochemical evidence for the adatom-mediated binding model but also offer a novel atomic-level strategy for generating single-atom metal centers for future mechano-gated catalysis.</w:t>
      </w:r>
    </w:p>
    <w:p>
      <w:pPr>
        <w:spacing w:before="120" w:after="120"/>
      </w:pPr>
      <w:r>
        <w:rPr>
          <w:sz w:val="18"/>
        </w:rPr>
        <w:t>——————————————————————————————————————————————————————————————————————</w:t>
      </w:r>
    </w:p>
    <w:p>
      <w:pPr>
        <w:spacing w:before="160" w:after="40" w:line="240" w:lineRule="auto"/>
      </w:pPr>
      <w:r>
        <w:rPr>
          <w:b/>
        </w:rPr>
        <w:t xml:space="preserve">[98] </w:t>
      </w:r>
      <w:hyperlink r:id="rId310">
        <w:r>
          <w:rPr>
            <w:color w:val="1155CC"/>
            <w:u w:val="single"/>
          </w:rPr>
          <w:t>[ASAP] 飞秒软X射线吸收光谱识别氰钴胺的金属中心S1激发态</w:t>
        </w:r>
      </w:hyperlink>
    </w:p>
    <w:p>
      <w:pPr>
        <w:spacing w:before="0" w:after="80"/>
      </w:pPr>
      <w:r>
        <w:rPr>
          <w:i/>
          <w:sz w:val="20"/>
        </w:rPr>
        <w:t>EN: [ASAP] Femtosecond Soft X-ray Absorption Spectroscopy Identifies Metal-Centered S1 Excited State of Cyanocobalamin</w:t>
      </w:r>
    </w:p>
    <w:p>
      <w:pPr>
        <w:spacing w:before="0" w:after="120"/>
      </w:pPr>
      <w:r>
        <w:rPr>
          <w:b/>
        </w:rPr>
        <w:t xml:space="preserve">Source: </w:t>
      </w:r>
      <w:r>
        <w:t>Journal of the American Chemical Society: Latest Articles (ACS Publications)</w:t>
      </w:r>
      <w:r>
        <w:t xml:space="preserve">    </w:t>
      </w:r>
      <w:r>
        <w:rPr>
          <w:b/>
        </w:rPr>
        <w:t xml:space="preserve">Pub date: </w:t>
      </w:r>
      <w:r>
        <w:t>2026-04-27 16:50:58+00:00</w:t>
      </w:r>
      <w:r>
        <w:t xml:space="preserve">    </w:t>
      </w:r>
      <w:r>
        <w:rPr>
          <w:b/>
        </w:rPr>
        <w:t xml:space="preserve">DOI: </w:t>
      </w:r>
      <w:hyperlink r:id="rId311">
        <w:r>
          <w:rPr>
            <w:color w:val="1155CC"/>
            <w:u w:val="single"/>
          </w:rPr>
          <w:t>10.1021/jacs.6c01860</w:t>
        </w:r>
      </w:hyperlink>
    </w:p>
    <w:p>
      <w:pPr>
        <w:spacing w:before="0" w:after="120"/>
      </w:pPr>
      <w:r>
        <w:rPr>
          <w:b/>
        </w:rPr>
        <w:t xml:space="preserve">Notes: </w:t>
      </w:r>
      <w:r>
        <w:t>abstract_source=pubmed</w:t>
      </w:r>
    </w:p>
    <w:p>
      <w:pPr>
        <w:spacing w:before="0" w:after="80" w:lineRule="auto" w:line="276"/>
      </w:pPr>
      <w:r>
        <w:rPr>
          <w:b/>
        </w:rPr>
        <w:t xml:space="preserve">摘要（ZH）: </w:t>
      </w:r>
      <w:r>
        <w:t>在Co L3边缘使用时间分辨X射线吸收光谱（TRXAS）来识别氰钴胺（CNCbl）S1激发态中的金属中心（MC）特征。钴胺具有以强烈的咯啉基激发为主导的紫外/可见光谱，但这些配体中心态在能量上与光激发后可能被填充的电荷转移和MC激发态重叠。超快光学和硬X射线光谱显示CNCbl形成结构扭曲的S1态，但这些探测方法缺乏S1电子特性的明确标志，理论上认为这是一个配体到金属电荷转移（LMCT）态。飞秒软X射线TRXAS提供比许多光学或硬X射线探针更高的态选择性，但迄今为止仅限于高浓度（≥100 mM）样品。欧洲X射线自由电子激光器（EuXFEL）上的新实验装置能够研究低于10 mM的样品，并提供约100 fs的时间分辨率，用于测量CNCbl在Co L3边缘的TRXAS。与配体场多重态模拟比较在0.8 ps测量的L3边缘XAS光谱表明，S1态主要是一个MC激发态。本研究中实现的低于20 μOD的检测灵敏度展示了将此方法应用于广泛的天然和合成过渡金属配合物的可能性。</w:t>
      </w:r>
    </w:p>
    <w:p>
      <w:pPr>
        <w:spacing w:before="0" w:after="200" w:lineRule="auto" w:line="276"/>
      </w:pPr>
      <w:r>
        <w:rPr>
          <w:b/>
        </w:rPr>
        <w:t xml:space="preserve">Abstract (EN): </w:t>
      </w:r>
      <w:r>
        <w:t>Time-resolved X-ray absorption spectroscopy (TRXAS) at the Co L3-edge was used to identify metal-centered (MC) character in the S1 excited state of cyanocobalamin (CNCbl). Cobalamins have UV/visible spectra that are dominated by intense corrin-based excitations, but these ligand-centered states energetically overlap with charge transfer and MC excited states that may be populated following photoexcitation. Ultrafast optical and hard X-ray spectroscopy have shown that CNCbl forms a structurally distorted S1 state, but these probes lack a clear signature of the S1 electronic identity, which theory has suggested is a ligand-to-metal charge transfer (LMCT) state. Femtosecond soft X-ray TRXAS offers greater state-selectivity than many optical or hard X-ray probes but has, so far, been limited to highly concentrated (≥100 mM) samples. A new experimental setup at the European X-ray Free Electron Laser (EuXFEL) that enables studies of sub-10 mM samples and provides ∼100 fs time-resolution is used to measure the TRXAS of CNCbl at the Co L3-edge. Comparison of the L3-edge XAS spectrum measured at 0.8 ps with ligand field multiplet simulations indicates that the S1 state is primarily an MC excited state. The sub-20 μOD detection sensitivity achieved in this study demonstrates the possibility of applying this method to a wide range of naturally occurring and synthetic transition metal complexes.</w:t>
      </w:r>
    </w:p>
    <w:p>
      <w:pPr>
        <w:spacing w:before="120" w:after="120"/>
      </w:pPr>
      <w:r>
        <w:rPr>
          <w:sz w:val="18"/>
        </w:rPr>
        <w:t>——————————————————————————————————————————————————————————————————————</w:t>
      </w:r>
    </w:p>
    <w:p>
      <w:pPr>
        <w:spacing w:before="160" w:after="40" w:line="240" w:lineRule="auto"/>
      </w:pPr>
      <w:r>
        <w:rPr>
          <w:b/>
        </w:rPr>
        <w:t xml:space="preserve">[99] </w:t>
      </w:r>
      <w:hyperlink r:id="rId312">
        <w:r>
          <w:rPr>
            <w:color w:val="1155CC"/>
            <w:u w:val="single"/>
          </w:rPr>
          <w:t>[ASAP] 高pH NMR识别大分子氢键和折叠子</w:t>
        </w:r>
      </w:hyperlink>
    </w:p>
    <w:p>
      <w:pPr>
        <w:spacing w:before="0" w:after="80"/>
      </w:pPr>
      <w:r>
        <w:rPr>
          <w:i/>
          <w:sz w:val="20"/>
        </w:rPr>
        <w:t>EN: [ASAP] High-pH NMR to Identify Macromolecular Hydrogen-Bonds and Foldons</w:t>
      </w:r>
    </w:p>
    <w:p>
      <w:pPr>
        <w:spacing w:before="0" w:after="120"/>
      </w:pPr>
      <w:r>
        <w:rPr>
          <w:b/>
        </w:rPr>
        <w:t xml:space="preserve">Source: </w:t>
      </w:r>
      <w:r>
        <w:t>Journal of the American Chemical Society: Latest Articles (ACS Publications)</w:t>
      </w:r>
      <w:r>
        <w:t xml:space="preserve">    </w:t>
      </w:r>
      <w:r>
        <w:rPr>
          <w:b/>
        </w:rPr>
        <w:t xml:space="preserve">Pub date: </w:t>
      </w:r>
      <w:r>
        <w:t>2026-04-27 17:58:38+00:00</w:t>
      </w:r>
      <w:r>
        <w:t xml:space="preserve">    </w:t>
      </w:r>
      <w:r>
        <w:rPr>
          <w:b/>
        </w:rPr>
        <w:t xml:space="preserve">DOI: </w:t>
      </w:r>
      <w:hyperlink r:id="rId313">
        <w:r>
          <w:rPr>
            <w:color w:val="1155CC"/>
            <w:u w:val="single"/>
          </w:rPr>
          <w:t>10.1021/jacs.6c04516</w:t>
        </w:r>
      </w:hyperlink>
    </w:p>
    <w:p>
      <w:pPr>
        <w:spacing w:before="0" w:after="120"/>
      </w:pPr>
      <w:r>
        <w:rPr>
          <w:b/>
        </w:rPr>
        <w:t xml:space="preserve">Notes: </w:t>
      </w:r>
      <w:r>
        <w:t>abstract_source=pubmed</w:t>
      </w:r>
    </w:p>
    <w:p>
      <w:pPr>
        <w:spacing w:before="0" w:after="80" w:lineRule="auto" w:line="276"/>
      </w:pPr>
      <w:r>
        <w:rPr>
          <w:b/>
        </w:rPr>
        <w:t xml:space="preserve">摘要（ZH）: </w:t>
      </w:r>
      <w:r>
        <w:t>氢键约束对于NMR结构测定至关重要，但对于在D2O中提供不足交换保护的边缘稳定结构，其实验识别可能具有挑战性。作为替代方案，我们探索了在pH 10到11之间使用NMR的可能性，这些条件促进快速交换，用于识别参与氢键的主链酰胺质子。我们分析了分布在十种已知结构蛋白中的约750个酰胺位点。在H2O中15N标记蛋白的标准2D 1H-15N HSQC光谱或未标记蛋白的TOCSY中，高pH下酰胺质子的存活识别氢键的准确率约为91%，超过了传统H/D交换实验在D2O中的约80%准确率。对于两个α螺旋卷曲线圈和三个球状蛋白，我们进行了碱性展开实验，利用未结构化片段的酰胺NMR信号衰减。增加pH导致天然酰胺质子NMR信号的逐步丧失，揭示了在EX1交换条件下，最高pH下保留的“折叠子”具有最持久的氢键的展开层次。在高pH下观察到的折叠子与先前通过天然态氢交换、平衡展开和蛋白质片段研究在中性pH附近表征的部分折叠结构一致。对于β-片层蛋白，折叠子对应于高残基间接触密度的区域，而在卷曲线圈中，它们标记出高α螺旋倾向的区域。高pH NMR实验提供了一种灵敏、快速且广泛适用的方法来绘制氢键图谱。</w:t>
      </w:r>
    </w:p>
    <w:p>
      <w:pPr>
        <w:spacing w:before="0" w:after="200" w:lineRule="auto" w:line="276"/>
      </w:pPr>
      <w:r>
        <w:rPr>
          <w:b/>
        </w:rPr>
        <w:t xml:space="preserve">Abstract (EN): </w:t>
      </w:r>
      <w:r>
        <w:t>Hydrogen bond restraints are critical for NMR structure determination, yet their experimental identification can be challenging for marginally stable structures affording insufficient exchange protection in D2O. As an alternative, we explored the use of NMR between pH 10 and 11, conditions that promote rapid exchange, for identifying backbone amide protons involved in H-bonds. We analyzed ∼750 amide sites distributed across ten proteins with known structures. Survival of amide protons at high pH in standard 2D 1H-15N HSQC spectra for 15N-labeled proteins in H2O, or TOCSY for unlabeled proteins, identifies H-bonds with ∼91% accuracy, exceeding the ∼80% accuracy of traditional H/D exchange experiments in D2O. For two α-helical coiled coils and three globular proteins, we performed alkaline unfolding experiments taking advantage of amide NMR signal attenuation from unstructured segments. Increasing the pH led to a progressive loss of native amide proton NMR signals, revealing an unfolding hierarchy where "foldons" remaining at the highest pH had the most persistent H-bonds under EX1 exchange conditions. The foldons observed at high pH are consistent with partially folded structures previously characterized near neutral pH by native state hydrogen exchange, equilibrium unfolding, and protein fragment studies. For β-sheet proteins, foldons correspond to regions with high inter-residue contact density, whereas in coiled coils they demarcate regions with high α-helical propensity. High-pH NMR experiments provide a sensitive, fast, and broadly applicable approach to map H-bonding. Additionally, they offer the opportunity to explore uncharted protein dynamics and unfolding pathways under basic pH conditions.</w:t>
      </w:r>
    </w:p>
    <w:p>
      <w:pPr>
        <w:spacing w:before="120" w:after="120"/>
      </w:pPr>
      <w:r>
        <w:rPr>
          <w:sz w:val="18"/>
        </w:rPr>
        <w:t>——————————————————————————————————————————————————————————————————————</w:t>
      </w:r>
    </w:p>
    <w:p>
      <w:pPr>
        <w:spacing w:before="160" w:after="40" w:line="240" w:lineRule="auto"/>
      </w:pPr>
      <w:r>
        <w:rPr>
          <w:b/>
        </w:rPr>
        <w:t xml:space="preserve">[100] </w:t>
      </w:r>
      <w:hyperlink r:id="rId314">
        <w:r>
          <w:rPr>
            <w:color w:val="1155CC"/>
            <w:u w:val="single"/>
          </w:rPr>
          <w:t>[ASAP] 在促进中枢神经系统神经再生的生物活性支架中用核磁共振探测超分子运动</w:t>
        </w:r>
      </w:hyperlink>
    </w:p>
    <w:p>
      <w:pPr>
        <w:spacing w:before="0" w:after="80"/>
      </w:pPr>
      <w:r>
        <w:rPr>
          <w:i/>
          <w:sz w:val="20"/>
        </w:rPr>
        <w:t>EN: [ASAP] Probing Supramolecular Motion with Nuclear Magnetic Resonance in Bioactive Scaffolds that Promote Neural Regeneration in the Central Nervous System</w:t>
      </w:r>
    </w:p>
    <w:p>
      <w:pPr>
        <w:spacing w:before="0" w:after="120"/>
      </w:pPr>
      <w:r>
        <w:rPr>
          <w:b/>
        </w:rPr>
        <w:t xml:space="preserve">Source: </w:t>
      </w:r>
      <w:r>
        <w:t>Journal of the American Chemical Society: Latest Articles (ACS Publications)</w:t>
      </w:r>
      <w:r>
        <w:t xml:space="preserve">    </w:t>
      </w:r>
      <w:r>
        <w:rPr>
          <w:b/>
        </w:rPr>
        <w:t xml:space="preserve">Pub date: </w:t>
      </w:r>
      <w:r>
        <w:t>2026-04-27 19:21:56+00:00</w:t>
      </w:r>
      <w:r>
        <w:t xml:space="preserve">    </w:t>
      </w:r>
      <w:r>
        <w:rPr>
          <w:b/>
        </w:rPr>
        <w:t xml:space="preserve">DOI: </w:t>
      </w:r>
      <w:hyperlink r:id="rId315">
        <w:r>
          <w:rPr>
            <w:color w:val="1155CC"/>
            <w:u w:val="single"/>
          </w:rPr>
          <w:t>10.1021/jacs.6c01684</w:t>
        </w:r>
      </w:hyperlink>
    </w:p>
    <w:p>
      <w:pPr>
        <w:spacing w:before="0" w:after="120"/>
      </w:pPr>
      <w:r>
        <w:rPr>
          <w:b/>
        </w:rPr>
        <w:t xml:space="preserve">Notes: </w:t>
      </w:r>
      <w:r>
        <w:t>abstract_source=pubmed</w:t>
      </w:r>
    </w:p>
    <w:p>
      <w:pPr>
        <w:spacing w:before="0" w:after="80" w:lineRule="auto" w:line="276"/>
      </w:pPr>
      <w:r>
        <w:rPr>
          <w:b/>
        </w:rPr>
        <w:t xml:space="preserve">摘要（ZH）: </w:t>
      </w:r>
      <w:r>
        <w:t>超分子生物材料的动态性最近被确定为其体内性能的关键特征，基于细胞信号传导。这最初是在促进中枢神经系统神经再生的肽两亲分子（PA）组装体的背景下观察到的，众所周知这是一个巨大的挑战。具体而言，发现由肽序列控制的增强的超分子运动可以在脊髓创伤后逆转瘫痪，而较慢的动态则未能达到类似的结果。在此，我们报告了最具生物活性的长丝状组装体─携带源自层粘连蛋白的IKVAV信号─表现出最高的超分子动态性，首次通过高分辨率魔角旋转NMR光谱进行表征。对于动态系统，我们还报告了1H和13C化学位移、1H-1H偶极耦合和1H弛豫数据，这些数据表明IKVAV域内存在显著的β-折叠结构。此外，偶极耦合测量表明E和K残基之间可能形成盐桥，PA分子的折叠，以及动态组装体内平行和反平行分子排列的潜在共存。X射线散射和电子显微镜还揭示了在更动态、更具生物活性的系统中，与微米长度纳米丝处于平衡的小PA簇的显著存在，这与我们之前对相关超分子系统的观察一致。基于DOSY NMR，这些簇的流体动力学直径为6.6 nm，与6.2 nm的有效值非常接近。</w:t>
      </w:r>
    </w:p>
    <w:p>
      <w:pPr>
        <w:spacing w:before="0" w:after="200" w:lineRule="auto" w:line="276"/>
      </w:pPr>
      <w:r>
        <w:rPr>
          <w:b/>
        </w:rPr>
        <w:t xml:space="preserve">Abstract (EN): </w:t>
      </w:r>
      <w:r>
        <w:t>Dynamics in supramolecular biomaterials have been recently identified as a critical feature in their in vivo performance based on cell signaling. This was originally observed in the context of peptide amphiphile (PA) assemblies that promote neural regeneration in the central nervous system, known to be an enormous challenge. Specifically, enhanced supramolecular motion controlled by the peptide sequence was found to reverse paralysis after trauma to the spinal cord, whereas slower dynamics failed to attain a similar outcome. Here, we report that the most bioactive large filamentous assemblies─bearing the laminin-derived IKVAV signal─exhibit the highest supramolecular dynamics, characterized for the first time by high-resolution magic-angle spinning NMR spectroscopy. For dynamic systems, we also report on 1H and 13C chemical shifts, 1H-1H dipolar couplings, and 1H relaxation data, which suggest pronounced β-sheet structuring within the IKVAV domain. Furthermore, dipolar coupling measurements suggest the possible formation of salt bridges between the E and K residues, folding of PA molecules, and the potential coexistence of parallel and antiparallel molecular arrangements within the dynamic assemblies. X-ray scattering and electron microscopy also revealed a significant population of small PA clusters in equilibrium with micron-length nanofilaments in the more dynamic, bioactive systems, consistent with our previous observations on a related supramolecular system. Based on DOSY NMR, these clusters have a hydrodynamic diameter of 6.6 nm, closely matching the 6.2 nm effective diameter from solution X-ray scattering. Finally, multiphase NMR unambiguously demonstrated the coassembly of PAs bearing the IKVAV moiety with those displaying a peptide that mimics fibroblast growth factor 2, which was necessary to reverse paralysis.</w:t>
      </w:r>
    </w:p>
    <w:p>
      <w:pPr>
        <w:spacing w:before="120" w:after="120"/>
      </w:pPr>
      <w:r>
        <w:rPr>
          <w:sz w:val="18"/>
        </w:rPr>
        <w:t>——————————————————————————————————————————————————————————————————————</w:t>
      </w:r>
    </w:p>
    <w:p>
      <w:pPr>
        <w:spacing w:before="160" w:after="40" w:line="240" w:lineRule="auto"/>
      </w:pPr>
      <w:r>
        <w:rPr>
          <w:b/>
        </w:rPr>
        <w:t xml:space="preserve">[101] </w:t>
      </w:r>
      <w:hyperlink r:id="rId316">
        <w:r>
          <w:rPr>
            <w:color w:val="1155CC"/>
            <w:u w:val="single"/>
          </w:rPr>
          <w:t>[ASAP] 冻结的界面域和动态晶体溶剂化物中蛇形宏观运动的机制</w:t>
        </w:r>
      </w:hyperlink>
    </w:p>
    <w:p>
      <w:pPr>
        <w:spacing w:before="0" w:after="80"/>
      </w:pPr>
      <w:r>
        <w:rPr>
          <w:i/>
          <w:sz w:val="20"/>
        </w:rPr>
        <w:t>EN: [ASAP] Frozen Interphase Domain and Mechanism of the Snakelike Macroscopic Motion in a Dynamic Crystal Solvate</w:t>
      </w:r>
    </w:p>
    <w:p>
      <w:pPr>
        <w:spacing w:before="0" w:after="120"/>
      </w:pPr>
      <w:r>
        <w:rPr>
          <w:b/>
        </w:rPr>
        <w:t xml:space="preserve">Source: </w:t>
      </w:r>
      <w:r>
        <w:t>Journal of the American Chemical Society: Latest Articles (ACS Publications)</w:t>
      </w:r>
      <w:r>
        <w:t xml:space="preserve">    </w:t>
      </w:r>
      <w:r>
        <w:rPr>
          <w:b/>
        </w:rPr>
        <w:t xml:space="preserve">Pub date: </w:t>
      </w:r>
      <w:r>
        <w:t>2026-04-27 19:28:26+00:00</w:t>
      </w:r>
      <w:r>
        <w:t xml:space="preserve">    </w:t>
      </w:r>
      <w:r>
        <w:rPr>
          <w:b/>
        </w:rPr>
        <w:t xml:space="preserve">DOI: </w:t>
      </w:r>
      <w:hyperlink r:id="rId317">
        <w:r>
          <w:rPr>
            <w:color w:val="1155CC"/>
            <w:u w:val="single"/>
          </w:rPr>
          <w:t>10.1021/jacs.6c02665</w:t>
        </w:r>
      </w:hyperlink>
    </w:p>
    <w:p>
      <w:pPr>
        <w:spacing w:before="0" w:after="120"/>
      </w:pPr>
      <w:r>
        <w:rPr>
          <w:b/>
        </w:rPr>
        <w:t xml:space="preserve">Notes: </w:t>
      </w:r>
      <w:r>
        <w:t>abstract_source=pubmed</w:t>
      </w:r>
    </w:p>
    <w:p>
      <w:pPr>
        <w:spacing w:before="0" w:after="80" w:lineRule="auto" w:line="276"/>
      </w:pPr>
      <w:r>
        <w:rPr>
          <w:b/>
        </w:rPr>
        <w:t xml:space="preserve">摘要（ZH）: </w:t>
      </w:r>
      <w:r>
        <w:t>能够进行结构转变的动态分子晶体在功能材料中具有显著潜力。在本研究中，我们研究了4-羟基-N'-(4-甲基苯亚甲基)苯甲酰肼N-甲基吡咯烷-2-酮溶剂化物（HMBB·NMP）的相变和机械行为。热分析和单晶X射线衍射揭示了三种溶剂化多晶型的存在，以及在106至124°C之间的单晶到单晶转变。这种结构转变引发了宏观运动，通过偏振光学和热台显微镜观察到明显的蛇形变形。蛇形运动可以根据两个晶相之间的晶胞/超晶胞关系以及转变的分子对分子映射来解释。纳米压痕研究显示两个相之间的机械性能存在显著差异，硬度和弹性模量有显著不同。通过在室温下淬火转变，可以获得部分转变的单晶样品，其中两个相与一个相间区域共存。这使得通过空间分辨拉曼光谱对相间区域进行了显著的表征。结果与一个模型一致，其中相间区域约7μm长，由填充有两种结构之一的域形成。在跨越相间区域时，子相域和母相域的浓度分别定期增加和减少。</w:t>
      </w:r>
    </w:p>
    <w:p>
      <w:pPr>
        <w:spacing w:before="0" w:after="200" w:lineRule="auto" w:line="276"/>
      </w:pPr>
      <w:r>
        <w:rPr>
          <w:b/>
        </w:rPr>
        <w:t xml:space="preserve">Abstract (EN): </w:t>
      </w:r>
      <w:r>
        <w:t>Dynamic molecular crystals capable of structural transformations have significant potential in functional materials. In this study, we investigate the phase transitions and mechanical behavior of 4-hydroxy-N'-(4-methylbenzylidene)benzohydrazide N-methylpyrrolidin-2-one solvate (HMBB·NMP). Thermal analysis and single-crystal X-ray diffraction reveal the existence of three solvate polymorphs, along with a single-crystal-to-single-crystal transition between 106 and 124 °C. This structural transformation induces macroscopic motion, characterized by a distinct snakelike deformation, as observed through polarized optical and hot-stage microscopy. The snakelike motion can be explained based on the cell/supercell relation between the two crystal phases and the molecule-to-molecule mapping of the transition. Nanoindentation studies demonstrate notable variations in mechanical properties between the two phases, with significant differences in hardness and elastic modulus. Partially transformed single-crystal samples, in which the two phases coexist along with an interphase region, can be obtained by quenching the transition at room temperature. This has allowed a remarkable characterization of the interphase region by space-resolved Raman spectroscopy. The results are consistent with a model in which the interphase region, about 7 μm long, is formed by domains filled with one or the other of the two structures. In moving across the interphase, it is the concentration of daughter phase domains and of parent phase domains that regularly increases and decreases, respectively.</w:t>
      </w:r>
    </w:p>
    <w:p>
      <w:pPr>
        <w:spacing w:before="120" w:after="120"/>
      </w:pPr>
      <w:r>
        <w:rPr>
          <w:sz w:val="18"/>
        </w:rPr>
        <w:t>——————————————————————————————————————————————————————————————————————</w:t>
      </w:r>
    </w:p>
    <w:p>
      <w:pPr>
        <w:spacing w:before="160" w:after="40" w:line="240" w:lineRule="auto"/>
      </w:pPr>
      <w:r>
        <w:rPr>
          <w:b/>
        </w:rPr>
        <w:t xml:space="preserve">[102] </w:t>
      </w:r>
      <w:hyperlink r:id="rId318">
        <w:r>
          <w:rPr>
            <w:color w:val="1155CC"/>
            <w:u w:val="single"/>
          </w:rPr>
          <w:t>[ASAP] S-三氟甲基亚砜和亚磺酰胺药效团的不对称合成</w:t>
        </w:r>
      </w:hyperlink>
    </w:p>
    <w:p>
      <w:pPr>
        <w:spacing w:before="0" w:after="80"/>
      </w:pPr>
      <w:r>
        <w:rPr>
          <w:i/>
          <w:sz w:val="20"/>
        </w:rPr>
        <w:t>EN: [ASAP] Asymmetric Synthesis of S-Trifluoromethyl Sulfoxide and Sulfoximine Pharmacophores</w:t>
      </w:r>
    </w:p>
    <w:p>
      <w:pPr>
        <w:spacing w:before="0" w:after="120"/>
      </w:pPr>
      <w:r>
        <w:rPr>
          <w:b/>
        </w:rPr>
        <w:t xml:space="preserve">Source: </w:t>
      </w:r>
      <w:r>
        <w:t>Journal of the American Chemical Society: Latest Articles (ACS Publications)</w:t>
      </w:r>
      <w:r>
        <w:t xml:space="preserve">    </w:t>
      </w:r>
      <w:r>
        <w:rPr>
          <w:b/>
        </w:rPr>
        <w:t xml:space="preserve">Pub date: </w:t>
      </w:r>
      <w:r>
        <w:t>2026-04-27 19:35:59+00:00</w:t>
      </w:r>
      <w:r>
        <w:t xml:space="preserve">    </w:t>
      </w:r>
      <w:r>
        <w:rPr>
          <w:b/>
        </w:rPr>
        <w:t xml:space="preserve">DOI: </w:t>
      </w:r>
      <w:hyperlink r:id="rId319">
        <w:r>
          <w:rPr>
            <w:color w:val="1155CC"/>
            <w:u w:val="single"/>
          </w:rPr>
          <w:t>10.1021/jacs.6c03062</w:t>
        </w:r>
      </w:hyperlink>
    </w:p>
    <w:p>
      <w:pPr>
        <w:spacing w:before="0" w:after="120"/>
      </w:pPr>
      <w:r>
        <w:rPr>
          <w:b/>
        </w:rPr>
        <w:t xml:space="preserve">Notes: </w:t>
      </w:r>
      <w:r>
        <w:t>abstract_source=pubmed</w:t>
      </w:r>
    </w:p>
    <w:p>
      <w:pPr>
        <w:spacing w:before="0" w:after="80" w:lineRule="auto" w:line="276"/>
      </w:pPr>
      <w:r>
        <w:rPr>
          <w:b/>
        </w:rPr>
        <w:t xml:space="preserve">摘要（ZH）: </w:t>
      </w:r>
      <w:r>
        <w:t>手性亚砜和亚磺酰胺存在于许多已批准的药物和临床候选药物中，并且由于三氟甲基基团在药物化学中的广泛使用，具有强生物活性的S-三氟甲基衍生物已被报道。然而，手性S-三氟甲基亚砜和亚磺酰胺的研究较少，可能是因为其制备的唯一已发表路线是通过外消旋合成后进行手性分离。在此，我们报告了利用高度对映选择性富集的S-三氟甲基亚磺酰亚胺作为共同中间体的不对称合成S-三氟甲基亚砜和亚磺酰胺，这些中间体通过对一系列亚磺酰胺，包括复杂药物和天然产物衍生物的对映选择性铜催化S-三氟甲基化获得。开发了将S-三氟甲基亚磺酰亚胺高效转化为亚砜的水解方法（伴随反转）和通过氧化保留的亚磺酰胺的方法。S-三氟甲基亚磺酰亚胺转化为亚砜的机制研究表明，亚磺酰亚胺N-酰基首先被切割，生成自由NH亚磺酰亚胺，然后通过胺的背面取代进行水解，生成具有立体化学反转的亚砜。</w:t>
      </w:r>
    </w:p>
    <w:p>
      <w:pPr>
        <w:spacing w:before="0" w:after="200" w:lineRule="auto" w:line="276"/>
      </w:pPr>
      <w:r>
        <w:rPr>
          <w:b/>
        </w:rPr>
        <w:t xml:space="preserve">Abstract (EN): </w:t>
      </w:r>
      <w:r>
        <w:t>Chiral sulfoxides and sulfoximines are present in many approved drugs and clinical candidates, and as predicated by the extensive use of the trifluoromethyl group in medicinal chemistry, S-trifluoromethyl derivatives with potent biological activity have been reported. However, chiral S-trifluoromethyl sulfoxides and sulfoximines are underexplored, perhaps because the only published routes for their preparation proceed by racemic synthesis followed by chiral separation. Here we report the asymmetric syntheses of S-trifluoromethyl sulfoxides and sulfoximines utilizing highly enantioenriched S-trifluoromethyl sulfilimines as common intermediates, obtained by the enantioselective copper-catalyzed S-trifluoromethylation of a wide range of sulfenamides, including complex drug and natural product derivatives. Methods were developed for the efficient conversion of the S-trifluoromethyl sulfilimines to sulfoxides via hydrolysis with inversion and sulfoximines via oxidation with retention. Mechanistic studies of the conversion of S-trifluoromethyl sulfilimines to sulfoxides reveal that the sulfilimine N-acyl group is first cleaved to give the free-NH sulfilimine that then undergoes hydrolysis by backside displacement of the amine to give the sulfoxide with inversion of stereochemistry.</w:t>
      </w:r>
    </w:p>
    <w:p>
      <w:pPr>
        <w:spacing w:before="120" w:after="120"/>
      </w:pPr>
      <w:r>
        <w:rPr>
          <w:sz w:val="18"/>
        </w:rPr>
        <w:t>——————————————————————————————————————————————————————————————————————</w:t>
      </w:r>
    </w:p>
    <w:p>
      <w:pPr>
        <w:spacing w:before="160" w:after="40" w:line="240" w:lineRule="auto"/>
      </w:pPr>
      <w:r>
        <w:rPr>
          <w:b/>
        </w:rPr>
        <w:t xml:space="preserve">[103] </w:t>
      </w:r>
      <w:hyperlink r:id="rId320">
        <w:r>
          <w:rPr>
            <w:color w:val="1155CC"/>
            <w:u w:val="single"/>
          </w:rPr>
          <w:t>[ASAP] 通过在三元氢化物晶格中耦合不同活性位点驱动高效串联催化</w:t>
        </w:r>
      </w:hyperlink>
    </w:p>
    <w:p>
      <w:pPr>
        <w:spacing w:before="0" w:after="80"/>
      </w:pPr>
      <w:r>
        <w:rPr>
          <w:i/>
          <w:sz w:val="20"/>
        </w:rPr>
        <w:t>EN: [ASAP] Driving Efficient Tandem Catalysis by Coupling Distinct Active Sites within a Ternary Hydride Lattice</w:t>
      </w:r>
    </w:p>
    <w:p>
      <w:pPr>
        <w:spacing w:before="0" w:after="120"/>
      </w:pPr>
      <w:r>
        <w:rPr>
          <w:b/>
        </w:rPr>
        <w:t xml:space="preserve">Source: </w:t>
      </w:r>
      <w:r>
        <w:t>Journal of the American Chemical Society: Latest Articles (ACS Publications)</w:t>
      </w:r>
      <w:r>
        <w:t xml:space="preserve">    </w:t>
      </w:r>
      <w:r>
        <w:rPr>
          <w:b/>
        </w:rPr>
        <w:t xml:space="preserve">Pub date: </w:t>
      </w:r>
      <w:r>
        <w:t>2026-04-27 19:39:30+00:00</w:t>
      </w:r>
      <w:r>
        <w:t xml:space="preserve">    </w:t>
      </w:r>
      <w:r>
        <w:rPr>
          <w:b/>
        </w:rPr>
        <w:t xml:space="preserve">DOI: </w:t>
      </w:r>
      <w:hyperlink r:id="rId321">
        <w:r>
          <w:rPr>
            <w:color w:val="1155CC"/>
            <w:u w:val="single"/>
          </w:rPr>
          <w:t>10.1021/jacs.6c00931</w:t>
        </w:r>
      </w:hyperlink>
    </w:p>
    <w:p>
      <w:pPr>
        <w:spacing w:before="0" w:after="120"/>
      </w:pPr>
      <w:r>
        <w:rPr>
          <w:b/>
        </w:rPr>
        <w:t xml:space="preserve">Notes: </w:t>
      </w:r>
      <w:r>
        <w:t>abstract_source=pubmed</w:t>
      </w:r>
    </w:p>
    <w:p>
      <w:pPr>
        <w:spacing w:before="0" w:after="80" w:lineRule="auto" w:line="276"/>
      </w:pPr>
      <w:r>
        <w:rPr>
          <w:b/>
        </w:rPr>
        <w:t xml:space="preserve">摘要（ZH）: </w:t>
      </w:r>
      <w:r>
        <w:t>串联催化在很大程度上依赖于功能上不同的活性位点之间的沟通，以协调多步反应。此类互补位点的原子级集成将促进无缝的位点间沟通和高效的质量/能量传递，但由于催化剂结构工程的内在挑战，在异质串联催化中仍然难以实现。在此，我们报告了一种三元钯氢化物K3PdH5，具有两个不同的[PdH4]和[KH]晶格位点，能够催化内炔的串联半氢化-异构化反应，表现出极高的活性和选择性，实现(E)-烯烃的生成速率比现有系统高出2个数量级。机制研究表明，[PdH4]位点表现出适度的炔烃/烯烃化学吸附，同时阻碍H2活化，允许半氢化生成(Z)-烯烃；而碱性[KH]位点则通过K阳离子-π相互作用稳定的离域π-烯丙基物种驱动(Z)→(E)异构化。通过在单一晶格中原子级耦合这两种活性位点，K3PdH5展示了一种独特的功能机制，这是传统异质串联催化剂无法实现的。</w:t>
      </w:r>
    </w:p>
    <w:p>
      <w:pPr>
        <w:spacing w:before="0" w:after="200" w:lineRule="auto" w:line="276"/>
      </w:pPr>
      <w:r>
        <w:rPr>
          <w:b/>
        </w:rPr>
        <w:t xml:space="preserve">Abstract (EN): </w:t>
      </w:r>
      <w:r>
        <w:t>Tandem catalysis depends critically on communication between functionally distinct active sites to orchestrate multistep reactions. Atomic-scale integration of such complementary sites would facilitate seamless intersite communication and efficient mass/energy transfer, yet remains elusive in heterogeneous tandem catalysis owing to intrinsic challenges of catalyst architecture engineering. Herein, we report K3PdH5, a ternary palladium hydride, with two distinct [PdH4] and [KH] lattice sites, which catalyzes tandem semihydrogenation-isomerization of internal alkynes with exceptionally high activity and selectivity, achieving (E)-alkene formation rates up to 2 orders of magnitude higher than existing systems. Mechanistic studies disclose that the [PdH4] site exhibits moderate alkyne/alkene chemisorption while impedes H2 activation, allowing semihydrogenation to (Z)-alkene; the basic [KH] site, on the other hand, drives (Z) → (E) isomerization to proceed via a delocalized π-allyl species stabilized by K cation-π interactions. By atomic-level coupling of these two-type active sites within one single lattice, K3PdH5 demonstrates a unique function mechanism that is inaccessible to conventional heterogeneous tandem catalysts.</w:t>
      </w:r>
    </w:p>
    <w:p>
      <w:pPr>
        <w:spacing w:before="120" w:after="120"/>
      </w:pPr>
      <w:r>
        <w:rPr>
          <w:sz w:val="18"/>
        </w:rPr>
        <w:t>——————————————————————————————————————————————————————————————————————</w:t>
      </w:r>
    </w:p>
    <w:p>
      <w:pPr>
        <w:spacing w:before="160" w:after="40" w:line="240" w:lineRule="auto"/>
      </w:pPr>
      <w:r>
        <w:rPr>
          <w:b/>
        </w:rPr>
        <w:t xml:space="preserve">[104] </w:t>
      </w:r>
      <w:hyperlink r:id="rId322">
        <w:r>
          <w:rPr>
            <w:color w:val="1155CC"/>
            <w:u w:val="single"/>
          </w:rPr>
          <w:t>倒置钙钛矿太阳能电池的稳定性：界面现象的关注点</w:t>
        </w:r>
      </w:hyperlink>
    </w:p>
    <w:p>
      <w:pPr>
        <w:spacing w:before="0" w:after="80"/>
      </w:pPr>
      <w:r>
        <w:rPr>
          <w:i/>
          <w:sz w:val="20"/>
        </w:rPr>
        <w:t>EN: Stability of Inverted Perovskite Solar Cells: a focus on interface phenomena</w:t>
      </w:r>
    </w:p>
    <w:p>
      <w:pPr>
        <w:spacing w:before="0" w:after="120"/>
      </w:pPr>
      <w:r>
        <w:rPr>
          <w:b/>
        </w:rPr>
        <w:t xml:space="preserve">Source: </w:t>
      </w:r>
      <w:r>
        <w:t>RSC - Energy Environ. Sci. latest articles</w:t>
      </w:r>
      <w:r>
        <w:t xml:space="preserve">    </w:t>
      </w:r>
      <w:r>
        <w:rPr>
          <w:b/>
        </w:rPr>
        <w:t xml:space="preserve">Pub date: </w:t>
      </w:r>
      <w:r>
        <w:t>2026-04-27 23:00:00+00:00</w:t>
      </w:r>
    </w:p>
    <w:p>
      <w:pPr>
        <w:spacing w:before="0" w:after="120"/>
      </w:pPr>
      <w:r>
        <w:rPr>
          <w:b/>
        </w:rPr>
        <w:t xml:space="preserve">Notes: </w:t>
      </w:r>
      <w:r>
        <w:t>abstract_source=rsc_html</w:t>
      </w:r>
    </w:p>
    <w:p>
      <w:pPr>
        <w:spacing w:before="0" w:after="80" w:lineRule="auto" w:line="276"/>
      </w:pPr>
      <w:r>
        <w:rPr>
          <w:b/>
        </w:rPr>
        <w:t xml:space="preserve">摘要（ZH）: </w:t>
      </w:r>
      <w:r>
        <w:t>所谓的倒置钙钛矿太阳能电池(PSCs)，具有p-i-n器件结构，最近在记录的功率转换效率(PCE)方面超过了传统的n-i-p对手。其界面的设计已成为PCE改进的关键驱动力。话虽如此，很快就很明显，这也是决定器件稳定性的关键点。本综述提供了与界面现象特别相关的降解机制的全面概述，特别关注缺陷的作用。从分析原始界面材料的内在不稳定性问题开始，将转向钙钛矿吸收体中界面诱导的不稳定性，包括化学驱动的降解、缺陷和相杂质、离子积累和迁移以及机械剥离。最终，提供了关于减轻界面限制引起的不稳定性的最新方法综述，包括可控的表面构建、多层界面和稳定的传输层设计。提出了未来研究方向，以指导耐用的倒置PSCs向现实应用的发展。</w:t>
      </w:r>
    </w:p>
    <w:p>
      <w:pPr>
        <w:spacing w:before="0" w:after="200" w:lineRule="auto" w:line="276"/>
      </w:pPr>
      <w:r>
        <w:rPr>
          <w:b/>
        </w:rPr>
        <w:t xml:space="preserve">Abstract (EN): </w:t>
      </w:r>
      <w:r>
        <w:t>The so-called inverted perovskite solar cells (PSCs), with a p-i-n device architecture have recently outperformed the traditional n-i-p counterparts in terms of record power conversion efficiency (PCE). The design of their interfaces has emerged as the key driver of PCE improvements. Said this, it has been soon very clear that it was also a critical point in defying the device stability. This review provides a comprehensive overview of degradation mechanisms especially related to interface phenomena and with a special focus on the role of defects. Beginning with an analysis of the intrinsic instability issues of pristine interfacial materials, it will move to the interface-induced instability in perovskite absorber, including chemically driven degradation, defect and phase impurities, ion accumulation and migration, and mechanical delamination. Eventually, it is offered an updated review of approaches to mitigate the instability caused by interfaces limitations, including controllable surface construction, multi-layer interface, and stable transport layer design. Future research directions are proposed to guide the development of durable inverted PSCs toward real-world applications.</w:t>
      </w:r>
    </w:p>
    <w:p>
      <w:pPr>
        <w:spacing w:before="120" w:after="120"/>
      </w:pPr>
      <w:r>
        <w:rPr>
          <w:sz w:val="18"/>
        </w:rPr>
        <w:t>——————————————————————————————————————————————————————————————————————</w:t>
      </w:r>
    </w:p>
    <w:p>
      <w:pPr>
        <w:spacing w:before="160" w:after="40" w:line="240" w:lineRule="auto"/>
      </w:pPr>
      <w:r>
        <w:rPr>
          <w:b/>
        </w:rPr>
        <w:t xml:space="preserve">[105] </w:t>
      </w:r>
      <w:hyperlink r:id="rId323">
        <w:r>
          <w:rPr>
            <w:color w:val="1155CC"/>
            <w:u w:val="single"/>
          </w:rPr>
          <w:t>利用稀土配位化学开发先进光功能材料：从基本原理到新兴技术</w:t>
        </w:r>
      </w:hyperlink>
    </w:p>
    <w:p>
      <w:pPr>
        <w:spacing w:before="0" w:after="80"/>
      </w:pPr>
      <w:r>
        <w:rPr>
          <w:i/>
          <w:sz w:val="20"/>
        </w:rPr>
        <w:t>EN: Harnessing rare earth coordination chemistry for advanced photofunctional materials: from fundamental principles to emerging technologies</w:t>
      </w:r>
    </w:p>
    <w:p>
      <w:pPr>
        <w:spacing w:before="0" w:after="120"/>
      </w:pPr>
      <w:r>
        <w:rPr>
          <w:b/>
        </w:rPr>
        <w:t xml:space="preserve">Source: </w:t>
      </w:r>
      <w:r>
        <w:t>RSC - Chem. Soc. Rev. latest articles</w:t>
      </w:r>
      <w:r>
        <w:t xml:space="preserve">    </w:t>
      </w:r>
      <w:r>
        <w:rPr>
          <w:b/>
        </w:rPr>
        <w:t xml:space="preserve">Pub date: </w:t>
      </w:r>
      <w:r>
        <w:t>2026-04-27 23:00:00+00:00</w:t>
      </w:r>
    </w:p>
    <w:p>
      <w:pPr>
        <w:spacing w:before="0" w:after="120"/>
      </w:pPr>
      <w:r>
        <w:rPr>
          <w:b/>
        </w:rPr>
        <w:t xml:space="preserve">Notes: </w:t>
      </w:r>
      <w:r>
        <w:t>abstract_source=rsc_html</w:t>
      </w:r>
    </w:p>
    <w:p>
      <w:pPr>
        <w:spacing w:before="0" w:after="80" w:lineRule="auto" w:line="276"/>
      </w:pPr>
      <w:r>
        <w:rPr>
          <w:b/>
        </w:rPr>
        <w:t xml:space="preserve">摘要（ZH）: </w:t>
      </w:r>
      <w:r>
        <w:t>稀土（RE）离子以其独特的4f电子构型和屏蔽的f–f跃迁为特征，作为卓越的光学中心，表现出窄带发射、长寿命发光和丰富的能级结构。高性能RE配位基光功能材料的构建关键在于“天线效应”的协同整合，由精心设计的有机配体提供，以及RE离子的独特激发态特性。这种分子工程方法不仅最大化了RE元素的内在光物理优势，还能精确定制材料以适应多种尖端应用。本文综述了RE配位基光功能材料的系统和全面分析，从基本设计原则和可控合成策略到新兴应用。我们深入探讨了各种类别的结构–活性关系，包括分子配合物、超分子组装、配位聚合物、金属–有机框架（MOFs）和RE共价键合有机框架（RE-COFs）。此外，我们强调了它们在光电子学、先进防伪、生物医学成像/治疗、辐射检测（闪烁体）和光化学催化中的变革性作用。最后，我们概述了当前的挑战和未来的前景，旨在激发跨学科创新并加速下一代RE分子光子材料的商业化。</w:t>
      </w:r>
    </w:p>
    <w:p>
      <w:pPr>
        <w:spacing w:before="0" w:after="200" w:lineRule="auto" w:line="276"/>
      </w:pPr>
      <w:r>
        <w:rPr>
          <w:b/>
        </w:rPr>
        <w:t xml:space="preserve">Abstract (EN): </w:t>
      </w:r>
      <w:r>
        <w:t>Rare earth (RE) ions, characterized by unique 4f electronic configurations and shielded f–f transitions, serve as exceptional optical centers exhibiting narrow-band emission, long-lived luminescence, and rich energy-level structures. The construction of high-performance RE coordination-based photofunctional materials critically relies on the synergistic integration of the “antenna effect”, provided by meticulously designed organic ligands, and the distinctive excited-state properties of RE ions. This molecular engineering approach not only maximizes the intrinsic photophysical advantages of RE elements, but also enables the precise tailoring of materials for diverse cutting-edge applications. This review provides a systematic and comprehensive analysis of RE coordination-based photofunctional materials, spanning from fundamental design principles and controllable synthesis strategies to emerging applications. We delve into the structure–activity relationships across various categories, including molecular complexes, supramolecular assemblies, coordination polymers, metal–organic frameworks (MOFs), and RE-covalent-bonded organic frameworks (RE-COFs). Furthermore, we highlight their transformative roles in optoelectronics, advanced anti-counterfeiting, biomedical imaging/therapy, radiation detection (scintillators) and photochemical catalysis. Finally, we outline current challenges and future perspectives, aiming to inspire interdisciplinary innovation and accelerate the commercialization of next-generation RE molecular photonic materials.</w:t>
      </w:r>
    </w:p>
    <w:p>
      <w:pPr>
        <w:spacing w:before="120" w:after="120"/>
      </w:pPr>
      <w:r>
        <w:rPr>
          <w:sz w:val="18"/>
        </w:rPr>
        <w:t>——————————————————————————————————————————————————————————————————————</w:t>
      </w:r>
    </w:p>
    <w:p>
      <w:pPr>
        <w:spacing w:before="160" w:after="40" w:line="240" w:lineRule="auto"/>
      </w:pPr>
      <w:r>
        <w:rPr>
          <w:b/>
        </w:rPr>
        <w:t xml:space="preserve">[106] </w:t>
      </w:r>
      <w:hyperlink r:id="rId324">
        <w:r>
          <w:rPr>
            <w:color w:val="1155CC"/>
            <w:u w:val="single"/>
          </w:rPr>
          <w:t>用于增强病原体治疗诊断的空心微/纳结构</w:t>
        </w:r>
      </w:hyperlink>
    </w:p>
    <w:p>
      <w:pPr>
        <w:spacing w:before="0" w:after="80"/>
      </w:pPr>
      <w:r>
        <w:rPr>
          <w:i/>
          <w:sz w:val="20"/>
        </w:rPr>
        <w:t>EN: Hollow micro-/nanostructures for enhanced pathogen theranostics</w:t>
      </w:r>
    </w:p>
    <w:p>
      <w:pPr>
        <w:spacing w:before="0" w:after="120"/>
      </w:pPr>
      <w:r>
        <w:rPr>
          <w:b/>
        </w:rPr>
        <w:t xml:space="preserve">Source: </w:t>
      </w:r>
      <w:r>
        <w:t>RSC - Chem. Soc. Rev. latest articles</w:t>
      </w:r>
      <w:r>
        <w:t xml:space="preserve">    </w:t>
      </w:r>
      <w:r>
        <w:rPr>
          <w:b/>
        </w:rPr>
        <w:t xml:space="preserve">Pub date: </w:t>
      </w:r>
      <w:r>
        <w:t>2026-04-27 23:00:00+00:00</w:t>
      </w:r>
    </w:p>
    <w:p>
      <w:pPr>
        <w:spacing w:before="0" w:after="120"/>
      </w:pPr>
      <w:r>
        <w:rPr>
          <w:b/>
        </w:rPr>
        <w:t xml:space="preserve">Notes: </w:t>
      </w:r>
      <w:r>
        <w:t>abstract_source=rsc_html</w:t>
      </w:r>
    </w:p>
    <w:p>
      <w:pPr>
        <w:spacing w:before="0" w:after="80" w:lineRule="auto" w:line="276"/>
      </w:pPr>
      <w:r>
        <w:rPr>
          <w:b/>
        </w:rPr>
        <w:t xml:space="preserve">摘要（ZH）: </w:t>
      </w:r>
      <w:r>
        <w:t>抗菌素耐药性危机的升级对全球健康构成了前所未有的挑战，要求我们从根本上重新定义对病原体感染的处理方法。空心微/纳结构正作为一个颠覆性平台出现，准备迎接这一艰巨的新现实，为下一代细菌生物传感和抗菌治疗提供创新策略。在此，我们进行了一次全面的综述，系统地审查了空心微/纳结构的最新进展，包括其合成方法、结构工程和病原体治疗诊断的功能机制。在细菌生物传感中，空心微/纳结构通过多种模式（如比色、荧光、表面增强拉曼散射、电化学和光热模式）显著提高了分析性能，为快速准确的病原体诊断铺平了道路。空心微/纳结构的独特物理化学性质，如酶模拟催化、光热、光催化活性、控制药物释放、压电催化效应，使其能够进行多样且高效的抗菌治疗。此外，我们批判性地分析了在规模化、生物相容性和临床转化中的持续挑战，同时提出了前瞻性策略，以设计空心微/纳结构、加深机制理解并促进跨学科合作。此项工作强调了空心微/纳结构在重新定义病原体管理范式中的关键作用，提供了一个强有力的</w:t>
      </w:r>
    </w:p>
    <w:p>
      <w:pPr>
        <w:spacing w:before="0" w:after="200" w:lineRule="auto" w:line="276"/>
      </w:pPr>
      <w:r>
        <w:rPr>
          <w:b/>
        </w:rPr>
        <w:t xml:space="preserve">Abstract (EN): </w:t>
      </w:r>
      <w:r>
        <w:t>The escalating crisis of antimicrobial resistance presents an unprecedented challenge to global health, demanding a fundamental redefinition of our approach to pathogenic infections. Hollow micro-/nanostructures are emerging as a disruptive platform poised to meet this daunting new reality, offering innovative strategies for next-generation bacterial biosensing and antibacterial therapy. Herein, we proceed with a comprehensive review systematically examining recent advances in hollow micro-/nanostructures, encompassing their synthetic methodologies, structural engineering, and functional mechanisms for pathogen theranostics. In bacterial biosensing, the analytical performance can be significantly improved by hollow micro-/nanostructures through diverse modes, such as colorimetric, fluorescence, surface-enhanced Raman scattering, electrochemical, and photothermal modes, paving the way for rapid and accurate pathogen diagnostics. The unique physicochemical properties of hollow micro-/nanostructures, such as enzyme-mimetic catalysis, photothermal, photocatalytic activity, controlled drug release, piezocatalytic effects, enable versatile and efficient antibacterial therapies. Furthermore, we critically analyze persistent challenges in scalability, biocompatibility, and clinical translation while proposing forward-looking strategies to design hollow micro-/nanostructures, deepen mechanistic understanding, and foster interdisciplinary collaborations. This work underscores the pivotal role of hollow micro-/nanostructures in redefining pathogen management paradigms, offering a robust framework to safeguard global public health in the post-antibiotic era.</w:t>
      </w:r>
    </w:p>
    <w:p>
      <w:pPr>
        <w:spacing w:before="120" w:after="120"/>
      </w:pPr>
      <w:r>
        <w:rPr>
          <w:sz w:val="18"/>
        </w:rPr>
        <w:t>——————————————————————————————————————————————————————————————————————</w:t>
      </w:r>
    </w:p>
    <w:p>
      <w:pPr>
        <w:spacing w:before="160" w:after="40" w:line="240" w:lineRule="auto"/>
      </w:pPr>
      <w:r>
        <w:rPr>
          <w:b/>
        </w:rPr>
        <w:t xml:space="preserve">[107] </w:t>
      </w:r>
      <w:hyperlink r:id="rId325">
        <w:r>
          <w:rPr>
            <w:color w:val="1155CC"/>
            <w:u w:val="single"/>
          </w:rPr>
          <w:t>原子精确金属纳米簇在光热转换中的最新进展</w:t>
        </w:r>
      </w:hyperlink>
    </w:p>
    <w:p>
      <w:pPr>
        <w:spacing w:before="0" w:after="80"/>
      </w:pPr>
      <w:r>
        <w:rPr>
          <w:i/>
          <w:sz w:val="20"/>
        </w:rPr>
        <w:t>EN: Recent advances in atomically precise metal nanoclusters for photothermal conversion</w:t>
      </w:r>
    </w:p>
    <w:p>
      <w:pPr>
        <w:spacing w:before="0" w:after="120"/>
      </w:pPr>
      <w:r>
        <w:rPr>
          <w:b/>
        </w:rPr>
        <w:t xml:space="preserve">Source: </w:t>
      </w:r>
      <w:r>
        <w:t>RSC - Chem. Soc. Rev. latest articles</w:t>
      </w:r>
      <w:r>
        <w:t xml:space="preserve">    </w:t>
      </w:r>
      <w:r>
        <w:rPr>
          <w:b/>
        </w:rPr>
        <w:t xml:space="preserve">Pub date: </w:t>
      </w:r>
      <w:r>
        <w:t>2026-04-27 23:00:00+00:00</w:t>
      </w:r>
    </w:p>
    <w:p>
      <w:pPr>
        <w:spacing w:before="0" w:after="120"/>
      </w:pPr>
      <w:r>
        <w:rPr>
          <w:b/>
        </w:rPr>
        <w:t xml:space="preserve">Notes: </w:t>
      </w:r>
      <w:r>
        <w:t>abstract_source=rsc_html</w:t>
      </w:r>
    </w:p>
    <w:p>
      <w:pPr>
        <w:spacing w:before="0" w:after="80" w:lineRule="auto" w:line="276"/>
      </w:pPr>
      <w:r>
        <w:rPr>
          <w:b/>
        </w:rPr>
        <w:t xml:space="preserve">摘要（ZH）: </w:t>
      </w:r>
      <w:r>
        <w:t>金属纳米簇（MNCs）是一类新兴的原子级精确纳米材料，其尺寸与自由电子的费米波长相当，表现出离散的能级、分子样行为和可调的物理化学性质。在这些性质中，光热转换——将吸收的光转化为热能的过程——因其在太阳能收集、光热治疗和催化等应用中的重要性而备受关注。本综述首先总结了MNCs合成策略的最新进展，包括动力学控制、种子生长、原位两相配体交换和金属交换，这些策略帮助克服了多分散性、低产率、表面功能受限和合成时间长等挑战。随后，提供了对过去五年中各种MNC系统（如货币金属纳米簇、Ti NCs和Mo NCs）光热转换行为的全面分析，深入讨论了其结构特征、吸收性质、光热转换效率和潜在的转换机制。最后，综述探讨了通过原子级工程和跨学科方法推进基于MNC的光热技术的当前挑战和前景。通过这次深入和系统的综述，我们努力为致力于金属纳米簇研究的学者以及从事光热转换及其多样应用的专家提供有价值的科学见解。我们</w:t>
      </w:r>
    </w:p>
    <w:p>
      <w:pPr>
        <w:spacing w:before="0" w:after="200" w:lineRule="auto" w:line="276"/>
      </w:pPr>
      <w:r>
        <w:rPr>
          <w:b/>
        </w:rPr>
        <w:t xml:space="preserve">Abstract (EN): </w:t>
      </w:r>
      <w:r>
        <w:t>Metal nanoclusters (MNCs) are an emerging class of atomically precise nanomaterials with sizes comparable to the Fermi wavelength of free electrons, exhibiting discrete energy levels, molecular-like behaviors, and tunable physicochemical properties. Among these properties, photothermal conversion—the process of transforming absorbed light into thermal energy—has garnered considerable interest due to its vital importance in applications such as solar energy harvesting, photothermal therapy, and catalysis. This review begins by summarizing recent progress in synthetic strategies for MNCs, including kinetic control, seeded growth, in situ two-phase ligand exchange, and metal exchange, which help overcome challenges such as polydispersity, low yield, restricted surface functionality, and lengthy synthesis times. Subsequently, a comprehensive analysis is provided on the photothermal conversion behaviors of various MNC systems (e.g., coinage metal nanoclusters, Ti NCs, and Mo NCs) reported in the past five years, with in-depth discussion of their structural characteristics, absorption properties, photothermal conversion efficiencies, and underlying conversion mechanisms. Finally, the review addresses current challenges and prospects for advancing MNC-based photothermal technologies via atomic-level engineering and interdisciplinary approaches. Through this in-depth and systematic review, we endeavor to provide scholars dedicated to metal nanocluster research—as well as experts engaged in photothermal conversion and its diverse applications—with valuable scientific insights. We are confident that this contribution will not only catalyze innovative breakthroughs but also unlock exciting new frontiers within this vibrant and rapidly evolving field of study.</w:t>
      </w:r>
    </w:p>
    <w:p>
      <w:pPr>
        <w:spacing w:before="120" w:after="120"/>
      </w:pPr>
      <w:r>
        <w:rPr>
          <w:sz w:val="18"/>
        </w:rPr>
        <w:t>——————————————————————————————————————————————————————————————————————</w:t>
      </w:r>
    </w:p>
    <w:p>
      <w:pPr>
        <w:spacing w:before="160" w:after="40" w:line="240" w:lineRule="auto"/>
      </w:pPr>
      <w:r>
        <w:rPr>
          <w:b/>
        </w:rPr>
        <w:t xml:space="preserve">[108] </w:t>
      </w:r>
      <w:hyperlink r:id="rId326">
        <w:r>
          <w:rPr>
            <w:color w:val="1155CC"/>
            <w:u w:val="single"/>
          </w:rPr>
          <w:t>海湾国家必须从效率转向韧性</w:t>
        </w:r>
      </w:hyperlink>
    </w:p>
    <w:p>
      <w:pPr>
        <w:spacing w:before="0" w:after="80"/>
      </w:pPr>
      <w:r>
        <w:rPr>
          <w:i/>
          <w:sz w:val="20"/>
        </w:rPr>
        <w:t>EN: Gulf states must move from efficiency to resilience</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27">
        <w:r>
          <w:rPr>
            <w:color w:val="1155CC"/>
            <w:u w:val="single"/>
          </w:rPr>
          <w:t>10.1038/d41586-026-01366-2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[109] </w:t>
      </w:r>
      <w:hyperlink r:id="rId328">
        <w:r>
          <w:rPr>
            <w:color w:val="1155CC"/>
            <w:u w:val="single"/>
          </w:rPr>
          <w:t>理性押韵：科学单位激发诗歌灵感</w:t>
        </w:r>
      </w:hyperlink>
    </w:p>
    <w:p>
      <w:pPr>
        <w:spacing w:before="0" w:after="80"/>
      </w:pPr>
      <w:r>
        <w:rPr>
          <w:i/>
          <w:sz w:val="20"/>
        </w:rPr>
        <w:t>EN: Rhymes on reason: scientific units inspire poetry</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29">
        <w:r>
          <w:rPr>
            <w:color w:val="1155CC"/>
            <w:u w:val="single"/>
          </w:rPr>
          <w:t>10.1038/d41586-026-00916-y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[110] </w:t>
      </w:r>
      <w:hyperlink r:id="rId330">
        <w:r>
          <w:rPr>
            <w:color w:val="1155CC"/>
            <w:u w:val="single"/>
          </w:rPr>
          <w:t>匈牙利科学经历了快速变化</w:t>
        </w:r>
      </w:hyperlink>
    </w:p>
    <w:p>
      <w:pPr>
        <w:spacing w:before="0" w:after="80"/>
      </w:pPr>
      <w:r>
        <w:rPr>
          <w:i/>
          <w:sz w:val="20"/>
        </w:rPr>
        <w:t>EN: Hungarian science has undergone rapid changes</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31">
        <w:r>
          <w:rPr>
            <w:color w:val="1155CC"/>
            <w:u w:val="single"/>
          </w:rPr>
          <w:t>10.1038/d41586-026-01367-1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[111] </w:t>
      </w:r>
      <w:hyperlink r:id="rId332">
        <w:r>
          <w:rPr>
            <w:color w:val="1155CC"/>
            <w:u w:val="single"/>
          </w:rPr>
          <w:t>‘世界模型’是AI的最新热点：它们是什么，它们能做什么？</w:t>
        </w:r>
      </w:hyperlink>
    </w:p>
    <w:p>
      <w:pPr>
        <w:spacing w:before="0" w:after="80"/>
      </w:pPr>
      <w:r>
        <w:rPr>
          <w:i/>
          <w:sz w:val="20"/>
        </w:rPr>
        <w:t>EN: ‘World models’ are AI’s latest sensation: what are they and what can they do?</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33">
        <w:r>
          <w:rPr>
            <w:color w:val="1155CC"/>
            <w:u w:val="single"/>
          </w:rPr>
          <w:t>10.1038/d41586-026-00820-5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[112] </w:t>
      </w:r>
      <w:hyperlink r:id="rId334">
        <w:r>
          <w:rPr>
            <w:color w:val="1155CC"/>
            <w:u w:val="single"/>
          </w:rPr>
          <w:t>顽皮灵长类动物的政治</w:t>
        </w:r>
      </w:hyperlink>
    </w:p>
    <w:p>
      <w:pPr>
        <w:spacing w:before="0" w:after="80"/>
      </w:pPr>
      <w:r>
        <w:rPr>
          <w:i/>
          <w:sz w:val="20"/>
        </w:rPr>
        <w:t>EN: The politics of playful primates</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35">
        <w:r>
          <w:rPr>
            <w:color w:val="1155CC"/>
            <w:u w:val="single"/>
          </w:rPr>
          <w:t>10.1038/d41586-026-01352-8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[113] </w:t>
      </w:r>
      <w:hyperlink r:id="rId336">
        <w:r>
          <w:rPr>
            <w:color w:val="1155CC"/>
            <w:u w:val="single"/>
          </w:rPr>
          <w:t>一种收缩的钾蒸发策略促进有序分离，用于质子陶瓷燃料电池的优质空气电极</w:t>
        </w:r>
      </w:hyperlink>
    </w:p>
    <w:p>
      <w:pPr>
        <w:spacing w:before="0" w:after="80"/>
      </w:pPr>
      <w:r>
        <w:rPr>
          <w:i/>
          <w:sz w:val="20"/>
        </w:rPr>
        <w:t>EN: A constricted potassium evaporation strategy promoting ordered segregation for superior air electrodes in protonic ceramic fuel cells</w:t>
      </w:r>
    </w:p>
    <w:p>
      <w:pPr>
        <w:spacing w:before="0" w:after="120"/>
      </w:pPr>
      <w:r>
        <w:rPr>
          <w:b/>
        </w:rPr>
        <w:t xml:space="preserve">Source: </w:t>
      </w:r>
      <w:r>
        <w:t>Joule</w:t>
      </w:r>
      <w:r>
        <w:t xml:space="preserve">    </w:t>
      </w:r>
      <w:r>
        <w:rPr>
          <w:b/>
        </w:rPr>
        <w:t xml:space="preserve">Pub date: </w:t>
      </w:r>
      <w:r>
        <w:t>2026-04-28 00:00:00+00:00</w:t>
      </w:r>
      <w:r>
        <w:t xml:space="preserve">    </w:t>
      </w:r>
      <w:r>
        <w:rPr>
          <w:b/>
        </w:rPr>
        <w:t xml:space="preserve">DOI: </w:t>
      </w:r>
      <w:hyperlink r:id="rId337">
        <w:r>
          <w:rPr>
            <w:color w:val="1155CC"/>
            <w:u w:val="single"/>
          </w:rPr>
          <w:t>10.1016/j.joule.2026.102435</w:t>
        </w:r>
      </w:hyperlink>
    </w:p>
    <w:p>
      <w:pPr>
        <w:spacing w:before="0" w:after="120"/>
      </w:pPr>
      <w:r>
        <w:rPr>
          <w:b/>
        </w:rPr>
        <w:t xml:space="preserve">Notes: </w:t>
      </w:r>
      <w:r>
        <w:t>abstract_source=rss_cell</w:t>
      </w:r>
    </w:p>
    <w:p>
      <w:pPr>
        <w:spacing w:before="0" w:after="80" w:lineRule="auto" w:line="276"/>
      </w:pPr>
      <w:r>
        <w:rPr>
          <w:b/>
        </w:rPr>
        <w:t xml:space="preserve">摘要（ZH）: </w:t>
      </w:r>
      <w:r>
        <w:t>空气电极常常限制质子陶瓷燃料电池的效率和耐久性。在此，设计了一种限制钾蒸发策略来重构钙钛矿阴极，抑制有害的SrO表面偏析并实现快速的氧还原反应动力学。由此产生的空气电极在质子燃料电池和可逆电解操作中提供了高活性和耐久性。</w:t>
      </w:r>
    </w:p>
    <w:p>
      <w:pPr>
        <w:spacing w:before="0" w:after="200" w:lineRule="auto" w:line="276"/>
      </w:pPr>
      <w:r>
        <w:rPr>
          <w:b/>
        </w:rPr>
        <w:t xml:space="preserve">Abstract (EN): </w:t>
      </w:r>
      <w:r>
        <w:t>Air electrodes often limit the efficiency and durability of protonic ceramic fuel cells. Here, a constricted potassium evaporation strategy is engineered to reconstruct a perovskite cathode, suppressing detrimental SrO surface segregation and enabling fast oxygen reduction reaction kinetics. The resulting air electrode delivers high activity and durability across protonic fuel cells and reversible electrolysis operation.</w:t>
      </w:r>
    </w:p>
    <w:p>
      <w:pPr>
        <w:spacing w:before="120" w:after="120"/>
      </w:pPr>
      <w:r>
        <w:rPr>
          <w:sz w:val="18"/>
        </w:rPr>
        <w:t>——————————————————————————————————————————————————————————————————————</w:t>
      </w:r>
    </w:p>
    <w:p>
      <w:pPr>
        <w:spacing w:before="160" w:after="40" w:line="240" w:lineRule="auto"/>
      </w:pPr>
      <w:r>
        <w:rPr>
          <w:b/>
        </w:rPr>
        <w:t xml:space="preserve">[114] </w:t>
      </w:r>
      <w:hyperlink r:id="rId338">
        <w:r>
          <w:rPr>
            <w:color w:val="1155CC"/>
            <w:u w:val="single"/>
          </w:rPr>
          <w:t>环境DNA用于生物多样性监测的公平悖论</w:t>
        </w:r>
      </w:hyperlink>
    </w:p>
    <w:p>
      <w:pPr>
        <w:spacing w:before="0" w:after="80"/>
      </w:pPr>
      <w:r>
        <w:rPr>
          <w:i/>
          <w:sz w:val="20"/>
        </w:rPr>
        <w:t>EN: The equity paradox of environmental DNA for biodiversity monitoring</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39">
        <w:r>
          <w:rPr>
            <w:color w:val="1155CC"/>
            <w:u w:val="single"/>
          </w:rPr>
          <w:t>10.1038/d41586-026-01349-3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[115] </w:t>
      </w:r>
      <w:hyperlink r:id="rId340">
        <w:r>
          <w:rPr>
            <w:color w:val="1155CC"/>
            <w:u w:val="single"/>
          </w:rPr>
          <w:t>作者更正：低于表面码阈值的量子纠错</w:t>
        </w:r>
      </w:hyperlink>
    </w:p>
    <w:p>
      <w:pPr>
        <w:spacing w:before="0" w:after="80"/>
      </w:pPr>
      <w:r>
        <w:rPr>
          <w:i/>
          <w:sz w:val="20"/>
        </w:rPr>
        <w:t>EN: Author Correction: Quantum error correction below the surface code threshold</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41">
        <w:r>
          <w:rPr>
            <w:color w:val="1155CC"/>
            <w:u w:val="single"/>
          </w:rPr>
          <w:t>10.1038/s41586-026-10559-8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[116] </w:t>
      </w:r>
      <w:hyperlink r:id="rId342">
        <w:r>
          <w:rPr>
            <w:color w:val="1155CC"/>
            <w:u w:val="single"/>
          </w:rPr>
          <w:t>癌症管理中AI基础模型的当前和未来格局</w:t>
        </w:r>
      </w:hyperlink>
    </w:p>
    <w:p>
      <w:pPr>
        <w:spacing w:before="0" w:after="80"/>
      </w:pPr>
      <w:r>
        <w:rPr>
          <w:i/>
          <w:sz w:val="20"/>
        </w:rPr>
        <w:t>EN: The current and future landscape of AI foundation models for cancer management</w:t>
      </w:r>
    </w:p>
    <w:p>
      <w:pPr>
        <w:spacing w:before="0" w:after="120"/>
      </w:pPr>
      <w:r>
        <w:rPr>
          <w:b/>
        </w:rPr>
        <w:t xml:space="preserve">Source: </w:t>
      </w:r>
      <w:r>
        <w:t>Nature Communications</w:t>
      </w:r>
      <w:r>
        <w:t xml:space="preserve">    </w:t>
      </w:r>
      <w:r>
        <w:rPr>
          <w:b/>
        </w:rPr>
        <w:t xml:space="preserve">Pub date: </w:t>
      </w:r>
      <w:r>
        <w:t>2026-04-28 00:00:00+00:00</w:t>
      </w:r>
      <w:r>
        <w:t xml:space="preserve">    </w:t>
      </w:r>
      <w:r>
        <w:rPr>
          <w:b/>
        </w:rPr>
        <w:t xml:space="preserve">DOI: </w:t>
      </w:r>
      <w:hyperlink r:id="rId343">
        <w:r>
          <w:rPr>
            <w:color w:val="1155CC"/>
            <w:u w:val="single"/>
          </w:rPr>
          <w:t>10.1038/s41467-026-72576-5</w:t>
        </w:r>
      </w:hyperlink>
    </w:p>
    <w:p>
      <w:pPr>
        <w:spacing w:before="0" w:after="120"/>
      </w:pPr>
      <w:r>
        <w:rPr>
          <w:b/>
        </w:rPr>
        <w:t xml:space="preserve">Notes: </w:t>
      </w:r>
      <w:r>
        <w:t>abstract_source=openalex</w:t>
      </w:r>
    </w:p>
    <w:p>
      <w:pPr>
        <w:spacing w:before="0" w:after="80" w:lineRule="auto" w:line="276"/>
      </w:pPr>
      <w:r>
        <w:rPr>
          <w:b/>
        </w:rPr>
        <w:t xml:space="preserve">摘要（ZH）: </w:t>
      </w:r>
      <w:r>
        <w:t>AI基础模型（FMs）正在改变癌症管理和研究。在这里，我们分析了最先进的FMs，讨论了它们对癌症管理的影响，并认为下一代癌症AI FMs将由多模态、增强推理、最大化开放性和持续的人类指导来定义。</w:t>
      </w:r>
    </w:p>
    <w:p>
      <w:pPr>
        <w:spacing w:before="0" w:after="200" w:lineRule="auto" w:line="276"/>
      </w:pPr>
      <w:r>
        <w:rPr>
          <w:b/>
        </w:rPr>
        <w:t xml:space="preserve">Abstract (EN): </w:t>
      </w:r>
      <w:r>
        <w:t>AI foundation models (FMs) are transforming cancer management and research. Here, we analyze the state-of-the-art FMs, discuss their impact on cancer management, and argue that the next generation of cancer AI FMs will be defined by multimodality, enhanced reasoning, maximized openness, and sustained human guidance.</w:t>
      </w:r>
    </w:p>
    <w:p>
      <w:pPr>
        <w:spacing w:before="120" w:after="120"/>
      </w:pPr>
      <w:r>
        <w:rPr>
          <w:sz w:val="18"/>
        </w:rPr>
        <w:t>——————————————————————————————————————————————————————————————————————</w:t>
      </w:r>
    </w:p>
    <w:p>
      <w:pPr>
        <w:spacing w:before="160" w:after="40" w:line="240" w:lineRule="auto"/>
      </w:pPr>
      <w:r>
        <w:rPr>
          <w:b/>
        </w:rPr>
        <w:t xml:space="preserve">[117] </w:t>
      </w:r>
      <w:hyperlink r:id="rId344">
        <w:r>
          <w:rPr>
            <w:color w:val="1155CC"/>
            <w:u w:val="single"/>
          </w:rPr>
          <w:t>离子相关性解释扩散限制固态合成反应中的动力学选择性</w:t>
        </w:r>
      </w:hyperlink>
    </w:p>
    <w:p>
      <w:pPr>
        <w:spacing w:before="0" w:after="80"/>
      </w:pPr>
      <w:r>
        <w:rPr>
          <w:i/>
          <w:sz w:val="20"/>
        </w:rPr>
        <w:t>EN: Ion correlations explain kinetic selectivity in diffusion-limited solid-state synthesis reactions</w:t>
      </w:r>
    </w:p>
    <w:p>
      <w:pPr>
        <w:spacing w:before="0" w:after="120"/>
      </w:pPr>
      <w:r>
        <w:rPr>
          <w:b/>
        </w:rPr>
        <w:t xml:space="preserve">Source: </w:t>
      </w:r>
      <w:r>
        <w:t>Nature Materials</w:t>
      </w:r>
      <w:r>
        <w:t xml:space="preserve">    </w:t>
      </w:r>
      <w:r>
        <w:rPr>
          <w:b/>
        </w:rPr>
        <w:t xml:space="preserve">Pub date: </w:t>
      </w:r>
      <w:r>
        <w:t>2026-04-28 00:00:00+00:00</w:t>
      </w:r>
      <w:r>
        <w:t xml:space="preserve">    </w:t>
      </w:r>
      <w:r>
        <w:rPr>
          <w:b/>
        </w:rPr>
        <w:t xml:space="preserve">DOI: </w:t>
      </w:r>
      <w:hyperlink r:id="rId345">
        <w:r>
          <w:rPr>
            <w:color w:val="1155CC"/>
            <w:u w:val="single"/>
          </w:rPr>
          <w:t>10.1038/s41563-026-02596-5</w:t>
        </w:r>
      </w:hyperlink>
    </w:p>
    <w:p>
      <w:pPr>
        <w:spacing w:before="0" w:after="120"/>
      </w:pPr>
      <w:r>
        <w:rPr>
          <w:b/>
        </w:rPr>
        <w:t xml:space="preserve">Notes: </w:t>
      </w:r>
      <w:r>
        <w:t>abstract_source=nature_html</w:t>
      </w:r>
    </w:p>
    <w:p>
      <w:pPr>
        <w:spacing w:before="0" w:after="80" w:lineRule="auto" w:line="276"/>
      </w:pPr>
      <w:r>
        <w:rPr>
          <w:b/>
        </w:rPr>
        <w:t xml:space="preserve">摘要（ZH）: </w:t>
      </w:r>
      <w:r>
        <w:t>为新型无机材料建立可行的固态合成路径仍然是材料科学中的一大挑战。以前使用成对反应方法的路径设计方法已经利用第一性原理数据导航了热力学景观，但缺乏动力学信息，限制了其有效性。这一差距导致了次优的前体选择和预测，特别是对于形成具有相似形成能的竞争相的反应，其中离子扩散是一个关键影响因素。在这里，我们通过将机器学习导出的传输特性通过‘液态’产物层引入热力学细胞反应模型，展示了一种无机合成框架。在以竞争多晶型著称的Ba–Ti–O系统中，我们获得了随着时间和温度变化的BaO:TiO2比例的相形成的准确预测。我们发现扩散–热力学相互作用决定了相组成，交叉离子传输系数对于预测扩散限制的选择性至关重要。这项工作通过整合固态反应动力学与第一性原理热力学和空间反应性，跨越了长度尺度和时间尺度。</w:t>
      </w:r>
    </w:p>
    <w:p>
      <w:pPr>
        <w:spacing w:before="0" w:after="200" w:lineRule="auto" w:line="276"/>
      </w:pPr>
      <w:r>
        <w:rPr>
          <w:b/>
        </w:rPr>
        <w:t xml:space="preserve">Abstract (EN): </w:t>
      </w:r>
      <w:r>
        <w:t>Establishing viable solid-state synthesis pathways for novel inorganic materials remains a major challenge in materials science. Previous pathway design methods using pairwise reaction approaches have navigated the thermodynamic landscape with first-principles data but lack kinetic information, limiting their effectiveness. This gap leads to suboptimal precursor selection and predictions, especially for reactions forming competing phases with similar formation energies, where ion diffusion is a critical influence. Here we demonstrate an inorganic synthesis framework by incorporating machine learning-derived transport properties through ‘liquid-like’ product layers into a thermodynamic cellular reaction model. In the Ba–Ti–O system, known for its competitive polymorphism, we obtain accurate predictions of phase formation with varying BaO:TiO2 ratios as a function of time and temperature. We find that diffusion–thermodynamics interplay governs phase compositions, with cross-ion transport coefficients critical for predicting diffusion-limited selectivity. This work bridges length scales and timescales by integrating solid-state reaction kinetics with first-principles thermodynamics and spatial reactivity.</w:t>
      </w:r>
    </w:p>
    <w:p>
      <w:pPr>
        <w:spacing w:before="120" w:after="120"/>
      </w:pPr>
      <w:r>
        <w:rPr>
          <w:sz w:val="18"/>
        </w:rPr>
        <w:t>——————————————————————————————————————————————————————————————————————</w:t>
      </w:r>
    </w:p>
    <w:p>
      <w:pPr>
        <w:spacing w:before="160" w:after="40" w:line="240" w:lineRule="auto"/>
      </w:pPr>
      <w:r>
        <w:rPr>
          <w:b/>
        </w:rPr>
        <w:t xml:space="preserve">[118] </w:t>
      </w:r>
      <w:hyperlink r:id="rId346">
        <w:r>
          <w:rPr>
            <w:color w:val="1155CC"/>
            <w:u w:val="single"/>
          </w:rPr>
          <w:t>数据中心存在争议：将它们发射到太空中会有帮助吗？</w:t>
        </w:r>
      </w:hyperlink>
    </w:p>
    <w:p>
      <w:pPr>
        <w:spacing w:before="0" w:after="80"/>
      </w:pPr>
      <w:r>
        <w:rPr>
          <w:i/>
          <w:sz w:val="20"/>
        </w:rPr>
        <w:t>EN: Data centres are controversial: will launching them into space help?</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47">
        <w:r>
          <w:rPr>
            <w:color w:val="1155CC"/>
            <w:u w:val="single"/>
          </w:rPr>
          <w:t>10.1038/d41586-026-01370-6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[119] </w:t>
      </w:r>
      <w:hyperlink r:id="rId348">
        <w:r>
          <w:rPr>
            <w:color w:val="1155CC"/>
            <w:u w:val="single"/>
          </w:rPr>
          <w:t>太空外交：弥合各种任务之间的操作差距</w:t>
        </w:r>
      </w:hyperlink>
    </w:p>
    <w:p>
      <w:pPr>
        <w:spacing w:before="0" w:after="80"/>
      </w:pPr>
      <w:r>
        <w:rPr>
          <w:i/>
          <w:sz w:val="20"/>
        </w:rPr>
        <w:t>EN: Space diplomacy: bridging the operating gaps between myriad missions</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49">
        <w:r>
          <w:rPr>
            <w:color w:val="1155CC"/>
            <w:u w:val="single"/>
          </w:rPr>
          <w:t>10.1038/d41586-026-01298-x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[120] </w:t>
      </w:r>
      <w:hyperlink r:id="rId350">
        <w:r>
          <w:rPr>
            <w:color w:val="1155CC"/>
            <w:u w:val="single"/>
          </w:rPr>
          <w:t>要招聘优秀的科学家，请查看他们的同行评审记录</w:t>
        </w:r>
      </w:hyperlink>
    </w:p>
    <w:p>
      <w:pPr>
        <w:spacing w:before="0" w:after="80"/>
      </w:pPr>
      <w:r>
        <w:rPr>
          <w:i/>
          <w:sz w:val="20"/>
        </w:rPr>
        <w:t>EN: To hire good scientists, look at their peer-reviewing records</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51">
        <w:r>
          <w:rPr>
            <w:color w:val="1155CC"/>
            <w:u w:val="single"/>
          </w:rPr>
          <w:t>10.1038/d41586-026-01368-0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[121] </w:t>
      </w:r>
      <w:hyperlink r:id="rId352">
        <w:r>
          <w:rPr>
            <w:color w:val="1155CC"/>
            <w:u w:val="single"/>
          </w:rPr>
          <w:t>首个详细的“气味地图”揭示了鼻子如何追踪气味</w:t>
        </w:r>
      </w:hyperlink>
    </w:p>
    <w:p>
      <w:pPr>
        <w:spacing w:before="0" w:after="80"/>
      </w:pPr>
      <w:r>
        <w:rPr>
          <w:i/>
          <w:sz w:val="20"/>
        </w:rPr>
        <w:t>EN: First detailed ‘smell maps’ reveal how noses track odours</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53">
        <w:r>
          <w:rPr>
            <w:color w:val="1155CC"/>
            <w:u w:val="single"/>
          </w:rPr>
          <w:t>10.1038/d41586-026-00894-1</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[122] </w:t>
      </w:r>
      <w:hyperlink r:id="rId354">
        <w:r>
          <w:rPr>
            <w:color w:val="1155CC"/>
            <w:u w:val="single"/>
          </w:rPr>
          <w:t>基于考虑点对点能源交易的最优流量追踪的碳排放责任分配</w:t>
        </w:r>
      </w:hyperlink>
    </w:p>
    <w:p>
      <w:pPr>
        <w:spacing w:before="0" w:after="80"/>
      </w:pPr>
      <w:r>
        <w:rPr>
          <w:i/>
          <w:sz w:val="20"/>
        </w:rPr>
        <w:t>EN: Carbon emission responsibility allocation based on optimal flow tracing considering peer-to-peer energy trading</w:t>
      </w:r>
    </w:p>
    <w:p>
      <w:pPr>
        <w:spacing w:before="0" w:after="120"/>
      </w:pPr>
      <w:r>
        <w:rPr>
          <w:b/>
        </w:rPr>
        <w:t xml:space="preserve">Source: </w:t>
      </w:r>
      <w:r>
        <w:t>ScienceDirect Publication: Applied Energy</w:t>
      </w:r>
      <w:r>
        <w:t xml:space="preserve">    </w:t>
      </w:r>
      <w:r>
        <w:rPr>
          <w:b/>
        </w:rPr>
        <w:t xml:space="preserve">Pub date: </w:t>
      </w:r>
      <w:r>
        <w:t>2026-04-28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[123] </w:t>
      </w:r>
      <w:hyperlink r:id="rId355">
        <w:r>
          <w:rPr>
            <w:color w:val="1155CC"/>
            <w:u w:val="single"/>
          </w:rPr>
          <w:t>通过层分辨1T到1H转变在TaS2中实现自适应异相超晶格</w:t>
        </w:r>
      </w:hyperlink>
    </w:p>
    <w:p>
      <w:pPr>
        <w:spacing w:before="0" w:after="80"/>
      </w:pPr>
      <w:r>
        <w:rPr>
          <w:i/>
          <w:sz w:val="20"/>
        </w:rPr>
        <w:t>EN: Self-adaptive hetero-phase superlattices in TaS2 via layer-resolved 1T-to-1H transformations</w:t>
      </w:r>
    </w:p>
    <w:p>
      <w:pPr>
        <w:spacing w:before="0" w:after="120"/>
      </w:pPr>
      <w:r>
        <w:rPr>
          <w:b/>
        </w:rPr>
        <w:t xml:space="preserve">Source: </w:t>
      </w:r>
      <w:r>
        <w:t>National Science Review Advance Access</w:t>
      </w:r>
      <w:r>
        <w:t xml:space="preserve">    </w:t>
      </w:r>
      <w:r>
        <w:rPr>
          <w:b/>
        </w:rPr>
        <w:t xml:space="preserve">Pub date: </w:t>
      </w:r>
      <w:r>
        <w:t>2026-04-28 00:00:00+00:00</w:t>
      </w:r>
      <w:r>
        <w:t xml:space="preserve">    </w:t>
      </w:r>
      <w:r>
        <w:rPr>
          <w:b/>
        </w:rPr>
        <w:t xml:space="preserve">DOI: </w:t>
      </w:r>
      <w:hyperlink r:id="rId356">
        <w:r>
          <w:rPr>
            <w:color w:val="1155CC"/>
            <w:u w:val="single"/>
          </w:rPr>
          <w:t>10.1093/nsr/nwag246</w:t>
        </w:r>
      </w:hyperlink>
    </w:p>
    <w:p>
      <w:pPr>
        <w:spacing w:before="0" w:after="120"/>
      </w:pPr>
      <w:r>
        <w:rPr>
          <w:b/>
        </w:rPr>
        <w:t xml:space="preserve">Notes: </w:t>
      </w:r>
      <w:r>
        <w:t>abstract_source=rss_oup</w:t>
      </w:r>
    </w:p>
    <w:p>
      <w:pPr>
        <w:spacing w:before="0" w:after="80" w:lineRule="auto" w:line="276"/>
      </w:pPr>
      <w:r>
        <w:rPr>
          <w:b/>
        </w:rPr>
        <w:t xml:space="preserve">摘要（ZH）: </w:t>
      </w:r>
      <w:r>
        <w:t>由过渡金属二硫属化物（TMDs）构建的人工异相超晶格为探索奇异物理现象和提供结构稳健的器件提供了一个强大的平台。然而，实现对块体结构中相堆叠序列的确定性控制仍然是一个重大挑战。在这里，我们报告了一种通过原位在TaS2晶体中形成的自适应超晶格系统。</w:t>
      </w:r>
    </w:p>
    <w:p>
      <w:pPr>
        <w:spacing w:before="0" w:after="200" w:lineRule="auto" w:line="276"/>
      </w:pPr>
      <w:r>
        <w:rPr>
          <w:b/>
        </w:rPr>
        <w:t xml:space="preserve">Abstract (EN): </w:t>
      </w:r>
      <w:r>
        <w:t>Artificial hetero-phase superlattices constructed from transition metal dichalcogenides (TMDs) provide a powerful platform for exploring exotic physical phenomena and delivering structurally robust devices. However, achieving deterministic control over phase-stacking sequences in bulk architectures remains a significant challenge. Here, we report a self-adaptive superlattice system formed in TaS2 crystals through an in-situ</w:t>
      </w:r>
    </w:p>
    <w:p>
      <w:pPr>
        <w:spacing w:before="120" w:after="120"/>
      </w:pPr>
      <w:r>
        <w:rPr>
          <w:sz w:val="18"/>
        </w:rPr>
        <w:t>——————————————————————————————————————————————————————————————————————</w:t>
      </w:r>
    </w:p>
    <w:p>
      <w:pPr>
        <w:spacing w:before="160" w:after="40" w:line="240" w:lineRule="auto"/>
      </w:pPr>
      <w:r>
        <w:rPr>
          <w:b/>
        </w:rPr>
        <w:t xml:space="preserve">[124] </w:t>
      </w:r>
      <w:hyperlink r:id="rId357">
        <w:r>
          <w:rPr>
            <w:color w:val="1155CC"/>
            <w:u w:val="single"/>
          </w:rPr>
          <w:t>中国最新推动研究商业化：将68万名创新者与公司匹配</w:t>
        </w:r>
      </w:hyperlink>
    </w:p>
    <w:p>
      <w:pPr>
        <w:spacing w:before="0" w:after="80"/>
      </w:pPr>
      <w:r>
        <w:rPr>
          <w:i/>
          <w:sz w:val="20"/>
        </w:rPr>
        <w:t>EN: China’s latest push to commercialize research: match 680,000 innovators with companies</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58">
        <w:r>
          <w:rPr>
            <w:color w:val="1155CC"/>
            <w:u w:val="single"/>
          </w:rPr>
          <w:t>10.1038/d41586-026-01202-7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[125] </w:t>
      </w:r>
      <w:hyperlink r:id="rId359">
        <w:r>
          <w:rPr>
            <w:color w:val="1155CC"/>
            <w:u w:val="single"/>
          </w:rPr>
          <w:t>塑料圈中的细胞外囊泡成为传播抗生素抗性和毒力基因的热点</w:t>
        </w:r>
      </w:hyperlink>
    </w:p>
    <w:p>
      <w:pPr>
        <w:spacing w:before="0" w:after="80"/>
      </w:pPr>
      <w:r>
        <w:rPr>
          <w:i/>
          <w:sz w:val="20"/>
        </w:rPr>
        <w:t>EN: Extracellular vesicles in the plastisphere emerge as hotspots to spread antibiotic resistance and virulence genes</w:t>
      </w:r>
    </w:p>
    <w:p>
      <w:pPr>
        <w:spacing w:before="0" w:after="120"/>
      </w:pPr>
      <w:r>
        <w:rPr>
          <w:b/>
        </w:rPr>
        <w:t xml:space="preserve">Source: </w:t>
      </w:r>
      <w:r>
        <w:t>One Earth</w:t>
      </w:r>
      <w:r>
        <w:t xml:space="preserve">    </w:t>
      </w:r>
      <w:r>
        <w:rPr>
          <w:b/>
        </w:rPr>
        <w:t xml:space="preserve">Pub date: </w:t>
      </w:r>
      <w:r>
        <w:t>2026-04-28 00:00:00+00:00</w:t>
      </w:r>
      <w:r>
        <w:t xml:space="preserve">    </w:t>
      </w:r>
      <w:r>
        <w:rPr>
          <w:b/>
        </w:rPr>
        <w:t xml:space="preserve">DOI: </w:t>
      </w:r>
      <w:hyperlink r:id="rId360">
        <w:r>
          <w:rPr>
            <w:color w:val="1155CC"/>
            <w:u w:val="single"/>
          </w:rPr>
          <w:t>10.1016/j.oneear.2026.101687</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[126] </w:t>
      </w:r>
      <w:hyperlink r:id="rId361">
        <w:r>
          <w:rPr>
            <w:color w:val="1155CC"/>
            <w:u w:val="single"/>
          </w:rPr>
          <w:t>针对随机能耗的充电站选址-路径问题的Benders分解：具有空间-电力网络视角的两阶段模型</w:t>
        </w:r>
      </w:hyperlink>
    </w:p>
    <w:p>
      <w:pPr>
        <w:spacing w:before="0" w:after="80"/>
      </w:pPr>
      <w:r>
        <w:rPr>
          <w:i/>
          <w:sz w:val="20"/>
        </w:rPr>
        <w:t>EN: Benders decomposition for the charging station location-routing problem under stochastic energy consumption: a two-stage model with a space-electricity network perspective</w:t>
      </w:r>
    </w:p>
    <w:p>
      <w:pPr>
        <w:spacing w:before="0" w:after="120"/>
      </w:pPr>
      <w:r>
        <w:rPr>
          <w:b/>
        </w:rPr>
        <w:t xml:space="preserve">Source: </w:t>
      </w:r>
      <w:r>
        <w:t>ScienceDirect Publication: Applied Energy</w:t>
      </w:r>
      <w:r>
        <w:t xml:space="preserve">    </w:t>
      </w:r>
      <w:r>
        <w:rPr>
          <w:b/>
        </w:rPr>
        <w:t xml:space="preserve">Pub date: </w:t>
      </w:r>
      <w:r>
        <w:t>2026-04-28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[127] </w:t>
      </w:r>
      <w:hyperlink r:id="rId362">
        <w:r>
          <w:rPr>
            <w:color w:val="1155CC"/>
            <w:u w:val="single"/>
          </w:rPr>
          <w:t>用于可重构电池储能系统的统一和自适应实时图论优化策略</w:t>
        </w:r>
      </w:hyperlink>
    </w:p>
    <w:p>
      <w:pPr>
        <w:spacing w:before="0" w:after="80"/>
      </w:pPr>
      <w:r>
        <w:rPr>
          <w:i/>
          <w:sz w:val="20"/>
        </w:rPr>
        <w:t>EN: A unified and adaptive real-time graph-theoretic optimization strategy for reconfigurable battery storage systems</w:t>
      </w:r>
    </w:p>
    <w:p>
      <w:pPr>
        <w:spacing w:before="0" w:after="120"/>
      </w:pPr>
      <w:r>
        <w:rPr>
          <w:b/>
        </w:rPr>
        <w:t xml:space="preserve">Source: </w:t>
      </w:r>
      <w:r>
        <w:t>ScienceDirect Publication: Applied Energy</w:t>
      </w:r>
      <w:r>
        <w:t xml:space="preserve">    </w:t>
      </w:r>
      <w:r>
        <w:rPr>
          <w:b/>
        </w:rPr>
        <w:t xml:space="preserve">Pub date: </w:t>
      </w:r>
      <w:r>
        <w:t>2026-04-28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[128] </w:t>
      </w:r>
      <w:hyperlink r:id="rId363">
        <w:r>
          <w:rPr>
            <w:color w:val="1155CC"/>
            <w:u w:val="single"/>
          </w:rPr>
          <w:t>美国关键科学小组被裁撤——其他小组变得不那么开放</w:t>
        </w:r>
      </w:hyperlink>
    </w:p>
    <w:p>
      <w:pPr>
        <w:spacing w:before="0" w:after="80"/>
      </w:pPr>
      <w:r>
        <w:rPr>
          <w:i/>
          <w:sz w:val="20"/>
        </w:rPr>
        <w:t>EN: Key US science panels are being axed — and others are becoming less open</w:t>
      </w:r>
    </w:p>
    <w:p>
      <w:pPr>
        <w:spacing w:before="0" w:after="120"/>
      </w:pPr>
      <w:r>
        <w:rPr>
          <w:b/>
        </w:rPr>
        <w:t xml:space="preserve">Source: </w:t>
      </w:r>
      <w:r>
        <w:t>Nature</w:t>
      </w:r>
      <w:r>
        <w:t xml:space="preserve">    </w:t>
      </w:r>
      <w:r>
        <w:rPr>
          <w:b/>
        </w:rPr>
        <w:t xml:space="preserve">Pub date: </w:t>
      </w:r>
      <w:r>
        <w:t>2026-04-28 00:00:00+00:00</w:t>
      </w:r>
      <w:r>
        <w:t xml:space="preserve">    </w:t>
      </w:r>
      <w:r>
        <w:rPr>
          <w:b/>
        </w:rPr>
        <w:t xml:space="preserve">DOI: </w:t>
      </w:r>
      <w:hyperlink r:id="rId364">
        <w:r>
          <w:rPr>
            <w:color w:val="1155CC"/>
            <w:u w:val="single"/>
          </w:rPr>
          <w:t>10.1038/d41586-026-01301-5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[129] </w:t>
      </w:r>
      <w:hyperlink r:id="rId365">
        <w:r>
          <w:rPr>
            <w:color w:val="1155CC"/>
            <w:u w:val="single"/>
          </w:rPr>
          <w:t>具有可调纳米粒子负载的磁响应微打印软纳米复合材料</w:t>
        </w:r>
      </w:hyperlink>
    </w:p>
    <w:p>
      <w:pPr>
        <w:spacing w:before="0" w:after="80"/>
      </w:pPr>
      <w:r>
        <w:rPr>
          <w:i/>
          <w:sz w:val="20"/>
        </w:rPr>
        <w:t>EN: Magnetically responsive microprintable soft nanocomposites with tunable nanoparticle loading</w:t>
      </w:r>
    </w:p>
    <w:p>
      <w:pPr>
        <w:spacing w:before="0" w:after="120"/>
      </w:pPr>
      <w:r>
        <w:rPr>
          <w:b/>
        </w:rPr>
        <w:t xml:space="preserve">Source: </w:t>
      </w:r>
      <w:r>
        <w:t>Matter</w:t>
      </w:r>
      <w:r>
        <w:t xml:space="preserve">    </w:t>
      </w:r>
      <w:r>
        <w:rPr>
          <w:b/>
        </w:rPr>
        <w:t xml:space="preserve">Pub date: </w:t>
      </w:r>
      <w:r>
        <w:t>2026-04-28 00:00:00+00:00</w:t>
      </w:r>
      <w:r>
        <w:t xml:space="preserve">    </w:t>
      </w:r>
      <w:r>
        <w:rPr>
          <w:b/>
        </w:rPr>
        <w:t xml:space="preserve">DOI: </w:t>
      </w:r>
      <w:hyperlink r:id="rId366">
        <w:r>
          <w:rPr>
            <w:color w:val="1155CC"/>
            <w:u w:val="single"/>
          </w:rPr>
          <w:t>10.1016/j.matt.2026.102809</w:t>
        </w:r>
      </w:hyperlink>
    </w:p>
    <w:p>
      <w:pPr>
        <w:spacing w:before="0" w:after="120"/>
      </w:pPr>
      <w:r>
        <w:rPr>
          <w:b/>
        </w:rPr>
        <w:t xml:space="preserve">Notes: </w:t>
      </w:r>
      <w:r>
        <w:t>abstract_source=rss_cell</w:t>
      </w:r>
    </w:p>
    <w:p>
      <w:pPr>
        <w:spacing w:before="0" w:after="80" w:lineRule="auto" w:line="276"/>
      </w:pPr>
      <w:r>
        <w:rPr>
          <w:b/>
        </w:rPr>
        <w:t xml:space="preserve">摘要（ZH）: </w:t>
      </w:r>
      <w:r>
        <w:t>微尺度的软磁响应材料在可重构设备、医疗机器人和软可动微系统中具有吸引力。然而，当前的制造方法限制了可实现的几何形状和磁功能。在此，展示了一种基于3D打印后进行浸渍-沉淀反应的微尺度磁活性材料的自由成型制造方法。这种单锅方法允许打印具有空间可编程磁响应的任意3D几何形状，使得能够稳健地制造机械和磁性可调的材料，以适用于广泛的微尺度应用。</w:t>
      </w:r>
    </w:p>
    <w:p>
      <w:pPr>
        <w:spacing w:before="0" w:after="200" w:lineRule="auto" w:line="276"/>
      </w:pPr>
      <w:r>
        <w:rPr>
          <w:b/>
        </w:rPr>
        <w:t xml:space="preserve">Abstract (EN): </w:t>
      </w:r>
      <w:r>
        <w:t>Soft magnetically responsive materials at the microscale are attractive for reconfigurable devices, medical robots, and soft actuatable microsystems. Yet, current manufacturing methods limit realizable geometry and magnetic functionality. Here, a method for freeform fabrication of microscale magnetoactive materials based on 3D printing followed by an infusion-precipitation reaction is demonstrated. This single-pot method allows for the printing of arbitrary 3D geometries with spatially programmable magnetic responsiveness, enabling robust fabrication of mechanically and magnetically tunable materials for a wide range of microscale applications.</w:t>
      </w:r>
    </w:p>
    <w:p>
      <w:pPr>
        <w:spacing w:before="120" w:after="120"/>
      </w:pPr>
      <w:r>
        <w:rPr>
          <w:sz w:val="18"/>
        </w:rPr>
        <w:t>——————————————————————————————————————————————————————————————————————</w:t>
      </w:r>
    </w:p>
    <w:p>
      <w:pPr>
        <w:spacing w:before="160" w:after="40" w:line="240" w:lineRule="auto"/>
      </w:pPr>
      <w:r>
        <w:rPr>
          <w:b/>
        </w:rPr>
        <w:t xml:space="preserve">[130] </w:t>
      </w:r>
      <w:hyperlink r:id="rId367">
        <w:r>
          <w:rPr>
            <w:color w:val="1155CC"/>
            <w:u w:val="single"/>
          </w:rPr>
          <w:t>极性可切换的离子二极管</w:t>
        </w:r>
      </w:hyperlink>
    </w:p>
    <w:p>
      <w:pPr>
        <w:spacing w:before="0" w:after="80"/>
      </w:pPr>
      <w:r>
        <w:rPr>
          <w:i/>
          <w:sz w:val="20"/>
        </w:rPr>
        <w:t>EN: Polarity-switchable ionic diode</w:t>
      </w:r>
    </w:p>
    <w:p>
      <w:pPr>
        <w:spacing w:before="0" w:after="120"/>
      </w:pPr>
      <w:r>
        <w:rPr>
          <w:b/>
        </w:rPr>
        <w:t xml:space="preserve">Source: </w:t>
      </w:r>
      <w:r>
        <w:t>Matter</w:t>
      </w:r>
      <w:r>
        <w:t xml:space="preserve">    </w:t>
      </w:r>
      <w:r>
        <w:rPr>
          <w:b/>
        </w:rPr>
        <w:t xml:space="preserve">Pub date: </w:t>
      </w:r>
      <w:r>
        <w:t>2026-04-28 00:00:00+00:00</w:t>
      </w:r>
      <w:r>
        <w:t xml:space="preserve">    </w:t>
      </w:r>
      <w:r>
        <w:rPr>
          <w:b/>
        </w:rPr>
        <w:t xml:space="preserve">DOI: </w:t>
      </w:r>
      <w:hyperlink r:id="rId368">
        <w:r>
          <w:rPr>
            <w:color w:val="1155CC"/>
            <w:u w:val="single"/>
          </w:rPr>
          <w:t>10.1016/j.matt.2026.102810</w:t>
        </w:r>
      </w:hyperlink>
    </w:p>
    <w:p>
      <w:pPr>
        <w:spacing w:before="0" w:after="120"/>
      </w:pPr>
      <w:r>
        <w:rPr>
          <w:b/>
        </w:rPr>
        <w:t xml:space="preserve">Notes: </w:t>
      </w:r>
      <w:r>
        <w:t>abstract_source=rss_cell</w:t>
      </w:r>
    </w:p>
    <w:p>
      <w:pPr>
        <w:spacing w:before="0" w:after="80" w:lineRule="auto" w:line="276"/>
      </w:pPr>
      <w:r>
        <w:rPr>
          <w:b/>
        </w:rPr>
        <w:t xml:space="preserve">摘要（ZH）: </w:t>
      </w:r>
      <w:r>
        <w:t>一种混合电荷的聚电解质水凝胶被电编程以产生内置电场，从而产生极性可切换的离子二极管。通过反转离子迁移方向，设备在两个整流状态之间切换。其可重构性在全波整流器中得以展示，其中四个二极管被集体重新编程以反转直流输出，而无需在传统电路中进行任何物理重新布线。</w:t>
      </w:r>
    </w:p>
    <w:p>
      <w:pPr>
        <w:spacing w:before="0" w:after="200" w:lineRule="auto" w:line="276"/>
      </w:pPr>
      <w:r>
        <w:rPr>
          <w:b/>
        </w:rPr>
        <w:t xml:space="preserve">Abstract (EN): </w:t>
      </w:r>
      <w:r>
        <w:t>A mixed-charged polyelectrolyte hydrogel is electrically programmed to generate a built-in electrical field, yielding a polarity-switchable ionic diode. By reversing ion-migration direction, the device switches between two rectifying states. Its reconfigurability is demonstrated in a full-wave rectifier where four diodes are collectively reprogrammed to invert the DC output, without any physical rewiring required in conventional circuits.</w:t>
      </w:r>
    </w:p>
    <w:p>
      <w:pPr>
        <w:spacing w:before="120" w:after="120"/>
      </w:pPr>
      <w:r>
        <w:rPr>
          <w:sz w:val="18"/>
        </w:rPr>
        <w:t>——————————————————————————————————————————————————————————————————————</w:t>
      </w:r>
    </w:p>
    <w:p>
      <w:pPr>
        <w:spacing w:before="160" w:after="40" w:line="240" w:lineRule="auto"/>
      </w:pPr>
      <w:r>
        <w:rPr>
          <w:b/>
        </w:rPr>
        <w:t xml:space="preserve">[131] </w:t>
      </w:r>
      <w:hyperlink r:id="rId369">
        <w:r>
          <w:rPr>
            <w:color w:val="1155CC"/>
            <w:u w:val="single"/>
          </w:rPr>
          <w:t>蛋白质-RNA聚集与相分离之间的竞争驱动hnRNPA1的再入相行为</w:t>
        </w:r>
      </w:hyperlink>
    </w:p>
    <w:p>
      <w:pPr>
        <w:spacing w:before="0" w:after="80"/>
      </w:pPr>
      <w:r>
        <w:rPr>
          <w:i/>
          <w:sz w:val="20"/>
        </w:rPr>
        <w:t>EN: Competition between protein-RNA clustering and phase separation drives re-entrant phase behavior of hnRNPA1</w:t>
      </w:r>
    </w:p>
    <w:p>
      <w:pPr>
        <w:spacing w:before="0" w:after="120"/>
      </w:pPr>
      <w:r>
        <w:rPr>
          <w:b/>
        </w:rPr>
        <w:t xml:space="preserve">Source: </w:t>
      </w:r>
      <w:r>
        <w:t>Nature Communications</w:t>
      </w:r>
      <w:r>
        <w:t xml:space="preserve">    </w:t>
      </w:r>
      <w:r>
        <w:rPr>
          <w:b/>
        </w:rPr>
        <w:t xml:space="preserve">Pub date: </w:t>
      </w:r>
      <w:r>
        <w:t>2026-04-28 00:00:00+00:00</w:t>
      </w:r>
      <w:r>
        <w:t xml:space="preserve">    </w:t>
      </w:r>
      <w:r>
        <w:rPr>
          <w:b/>
        </w:rPr>
        <w:t xml:space="preserve">DOI: </w:t>
      </w:r>
      <w:hyperlink r:id="rId370">
        <w:r>
          <w:rPr>
            <w:color w:val="1155CC"/>
            <w:u w:val="single"/>
          </w:rPr>
          <w:t>10.1038/s41467-026-71939-2</w:t>
        </w:r>
      </w:hyperlink>
    </w:p>
    <w:p>
      <w:pPr>
        <w:spacing w:before="0" w:after="120"/>
      </w:pPr>
      <w:r>
        <w:rPr>
          <w:b/>
        </w:rPr>
        <w:t xml:space="preserve">Notes: </w:t>
      </w:r>
      <w:r>
        <w:t>abstract_source=nature_html</w:t>
      </w:r>
    </w:p>
    <w:p>
      <w:pPr>
        <w:spacing w:before="0" w:after="80" w:lineRule="auto" w:line="276"/>
      </w:pPr>
      <w:r>
        <w:rPr>
          <w:b/>
        </w:rPr>
        <w:t xml:space="preserve">摘要（ZH）: </w:t>
      </w:r>
      <w:r>
        <w:t>RNA结合蛋白的相分离在细胞中起着关键作用，并受到RNA的调节，包括在低RNA浓度下的促进和高RNA浓度下的抑制。在复杂的共聚物中，相分离的抑制通过增加一种成分的浓度导致电荷反转来解释。在此，我们展示了在高RNA浓度下，RNA结合蛋白hnRNPA1的生物分子凝聚体的抑制是由不同的机制驱动的，即与稀相中形成纳米级蛋白-RNA簇的竞争。我们表明，这种竞争不仅受RNA浓度的调节，还受RNA类型的影响，特定RNA在促进簇形成方面比非特定RNA更有效。我们进一步展示了蛋白-RNA簇在较长时间尺度上转化为淀粉样纤维，与凝聚体相比，提供了更高的动力学稳定性。本研究中报道的簇化与相分离之间的竞争可能为理解hnRNPA1在细胞核和细胞质中的不同组装提供统一的框架，在那里蛋白暴露于不同类型和浓度的RNA。</w:t>
      </w:r>
    </w:p>
    <w:p>
      <w:pPr>
        <w:spacing w:before="0" w:after="200" w:lineRule="auto" w:line="276"/>
      </w:pPr>
      <w:r>
        <w:rPr>
          <w:b/>
        </w:rPr>
        <w:t xml:space="preserve">Abstract (EN): </w:t>
      </w:r>
      <w:r>
        <w:t>Phase separation of RNA-binding proteins plays crucial roles in the cell and is modulated by RNA, including promotion and suppression at low and high RNA concentrations, respectively. In complex coacervates, suppression of phase separation is rationalized by charge inversion when increasing the concentration of one component. Here, we show that suppression of biomolecular condensates of the RNA-binding protein hnRNPA1 at high RNA concentration is driven by a different mechanism, namely the competition with formation of nano-sized protein-RNA clusters in the dilute phase. We show that the competition is modulated not only by RNA concentration, but also by the type of RNA, with specific RNA being more effective in promoting cluster formation than unspecific RNA. We further show that protein-RNA clusters convert into amyloid fibrils over a longer time-scale compared to condensates, therefore providing higher kinetic stability. The competition between clustering and phase separation reported in this study could provide a unifying framework to understand the distinct assemblies of hnRNPA1 in the nucleus and the cytoplasm, where the protein is exposed to different types and concentrations of RNA.</w:t>
      </w:r>
    </w:p>
    <w:p>
      <w:pPr>
        <w:spacing w:before="120" w:after="120"/>
      </w:pPr>
      <w:r>
        <w:rPr>
          <w:sz w:val="18"/>
        </w:rPr>
        <w:t>——————————————————————————————————————————————————————————————————————</w:t>
      </w:r>
    </w:p>
    <w:p>
      <w:pPr>
        <w:spacing w:before="160" w:after="40" w:line="240" w:lineRule="auto"/>
      </w:pPr>
      <w:r>
        <w:rPr>
          <w:b/>
        </w:rPr>
        <w:t xml:space="preserve">[132] </w:t>
      </w:r>
      <w:hyperlink r:id="rId371">
        <w:r>
          <w:rPr>
            <w:color w:val="1155CC"/>
            <w:u w:val="single"/>
          </w:rPr>
          <w:t>基于社区的参与性研究用于清洁能源和基础设施决策</w:t>
        </w:r>
      </w:hyperlink>
    </w:p>
    <w:p>
      <w:pPr>
        <w:spacing w:before="0" w:after="80"/>
      </w:pPr>
      <w:r>
        <w:rPr>
          <w:i/>
          <w:sz w:val="20"/>
        </w:rPr>
        <w:t>EN: Community-based participatory research for clean energy and infrastructure decision-making</w:t>
      </w:r>
    </w:p>
    <w:p>
      <w:pPr>
        <w:spacing w:before="0" w:after="120"/>
      </w:pPr>
      <w:r>
        <w:rPr>
          <w:b/>
        </w:rPr>
        <w:t xml:space="preserve">Source: </w:t>
      </w:r>
      <w:r>
        <w:t>Nature Reviews Clean Technology</w:t>
      </w:r>
      <w:r>
        <w:t xml:space="preserve">    </w:t>
      </w:r>
      <w:r>
        <w:rPr>
          <w:b/>
        </w:rPr>
        <w:t xml:space="preserve">Pub date: </w:t>
      </w:r>
      <w:r>
        <w:t>2026-04-28 00:00:00+00:00</w:t>
      </w:r>
      <w:r>
        <w:t xml:space="preserve">    </w:t>
      </w:r>
      <w:r>
        <w:rPr>
          <w:b/>
        </w:rPr>
        <w:t xml:space="preserve">DOI: </w:t>
      </w:r>
      <w:hyperlink r:id="rId372">
        <w:r>
          <w:rPr>
            <w:color w:val="1155CC"/>
            <w:u w:val="single"/>
          </w:rPr>
          <w:t>10.1038/s44359-026-00169-y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[133] </w:t>
      </w:r>
      <w:hyperlink r:id="rId373">
        <w:r>
          <w:rPr>
            <w:color w:val="1155CC"/>
            <w:u w:val="single"/>
          </w:rPr>
          <w:t>将间隔物（0D, 1D, 2D, 3D）集成到2D MXenes中以增强能量存储和转换应用</w:t>
        </w:r>
      </w:hyperlink>
    </w:p>
    <w:p>
      <w:pPr>
        <w:spacing w:before="0" w:after="80"/>
      </w:pPr>
      <w:r>
        <w:rPr>
          <w:i/>
          <w:sz w:val="20"/>
        </w:rPr>
        <w:t>EN: Integrating spacers (0D, 1D, 2D, 3D) into 2D MXenes for enhanced energy storage and conversion applications</w:t>
      </w:r>
    </w:p>
    <w:p>
      <w:pPr>
        <w:spacing w:before="0" w:after="120"/>
      </w:pPr>
      <w:r>
        <w:rPr>
          <w:b/>
        </w:rPr>
        <w:t xml:space="preserve">Source: </w:t>
      </w:r>
      <w:r>
        <w:t>ScienceDirect Publication: Applied Energy</w:t>
      </w:r>
      <w:r>
        <w:t xml:space="preserve">    </w:t>
      </w:r>
      <w:r>
        <w:rPr>
          <w:b/>
        </w:rPr>
        <w:t xml:space="preserve">Pub date: </w:t>
      </w:r>
      <w:r>
        <w:t>2026-04-28 00:00:00+00:00</w:t>
      </w:r>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[134] </w:t>
      </w:r>
      <w:hyperlink r:id="rId374">
        <w:r>
          <w:rPr>
            <w:color w:val="1155CC"/>
            <w:u w:val="single"/>
          </w:rPr>
          <w:t>三重态密度和重原子效应的协同调控加速窄带多共振TADF发射体的反向系间窜越</w:t>
        </w:r>
      </w:hyperlink>
    </w:p>
    <w:p>
      <w:pPr>
        <w:spacing w:before="0" w:after="80"/>
      </w:pPr>
      <w:r>
        <w:rPr>
          <w:i/>
          <w:sz w:val="20"/>
        </w:rPr>
        <w:t>EN: Synergistic Modulation of Triplet Density and Heavy‐Atom Effect Accelerates Reverse Intersystem Crossing for Narrowband Multi‐Resonance TADF Emitters</w:t>
      </w:r>
    </w:p>
    <w:p>
      <w:pPr>
        <w:spacing w:before="0" w:after="120"/>
      </w:pPr>
      <w:r>
        <w:rPr>
          <w:b/>
        </w:rPr>
        <w:t xml:space="preserve">Source: </w:t>
      </w:r>
      <w:r>
        <w:t>Wiley: Angewandte Chemie International Edition: Table of Contents</w:t>
      </w:r>
      <w:r>
        <w:t xml:space="preserve">    </w:t>
      </w:r>
      <w:r>
        <w:rPr>
          <w:b/>
        </w:rPr>
        <w:t xml:space="preserve">Pub date: </w:t>
      </w:r>
      <w:r>
        <w:t>2026-04-28 05:06:37+00:00</w:t>
      </w:r>
      <w:r>
        <w:t xml:space="preserve">    </w:t>
      </w:r>
      <w:r>
        <w:rPr>
          <w:b/>
        </w:rPr>
        <w:t xml:space="preserve">DOI: </w:t>
      </w:r>
      <w:hyperlink r:id="rId375">
        <w:r>
          <w:rPr>
            <w:color w:val="1155CC"/>
            <w:u w:val="single"/>
          </w:rPr>
          <w:t>10.1002/anie.4318204</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将快速的三重态到单重态自旋转换与符合BT.2020标准的色彩纯度结合在一个纯有机发光体中，仍然是OLED开发中的一个重大挑战。在此，我们报告了一种协同策略，该策略结合了增加的三重态密度和适度的重原子效应，其中一个能量匹配的含硫片段被融合到多共振热激活延迟荧光（MR-TADF）骨架中，以加速反向系间窜跃（RISC），同时保持窄带发射。所得发光体在514 nm处表现出纯绿色发射，半峰全宽为17 nm，并具有超快的RISC速率常数5.1 × 10^6 s^−1。理论研究和对照实验共同揭示了S1附近的三重态状态密集，并显示硫原子增强了不同电子特征状态之间的自旋轨道耦合，开启了多条高效的RISC路径。得益于这些特性，相应的非敏化器件在10 000 cd m^−2时的最大外部量子效率（EQE）为34.6%，效率滚降最小（25.2%），国际照明委员会（CIE）坐标为(0.20, 0.74)，在具有二元发光层的绿色器件中表现优异。这些结果展示了一种克服超</w:t>
      </w:r>
    </w:p>
    <w:p>
      <w:pPr>
        <w:spacing w:before="0" w:after="200" w:lineRule="auto" w:line="276"/>
      </w:pPr>
      <w:r>
        <w:rPr>
          <w:b/>
        </w:rPr>
        <w:t xml:space="preserve">Abstract (EN): </w:t>
      </w:r>
      <w:r>
        <w:t>Combining rapid triplet‐to‐singlet spin conversion with BT.2020‐relevant color purity in a single purely organic emitter remains a major challenge for OLED development. Here, we report a synergistic strategy that couples increased triplet density with a modest heavy‐atom effect, in which an energetically matched sulfur‐containing fragment is fused into a multi‐resonance thermally activated delayed fluorescence (MR‐TADF) skeleton to accelerate reverse intersystem crossing (RISC) while preserving narrowband emission. The resulting emitter exhibits pure‐green emission at 514 nm with a full width at half‐maximum of 17 nm, together with an ultrafast RISC rate constant of 5.1 × 10</w:t>
      </w:r>
      <w:r>
        <w:rPr>
          <w:vertAlign w:val="subscript"/>
        </w:rPr>
        <w:t>6</w:t>
      </w:r>
      <w:r>
        <w:t>s</w:t>
      </w:r>
      <w:r>
        <w:t xml:space="preserve"> </w:t>
      </w:r>
      <w:r>
        <w:t>−1</w:t>
      </w:r>
      <w:r>
        <w:t xml:space="preserve"> </w:t>
      </w:r>
      <w:r>
        <w:t>. Theoretical studies and control experiments jointly reveal a dense manifold of triplet states near S</w:t>
      </w:r>
      <w:r>
        <w:rPr>
          <w:vertAlign w:val="subscript"/>
        </w:rPr>
        <w:t>1</w:t>
      </w:r>
      <w:r>
        <w:t>and show that the sulfur atom enhances spin–orbit coupling between states of distinct electronic character, opening multiple efficient RISC pathways. Benefiting from these features, the corresponding non‐sensitized devices deliver a maximum external quantum efficiency (EQE) of 34.6% with minimal efficiency roll‐off (25.2% at 10 000 cd m</w:t>
      </w:r>
      <w:r>
        <w:t xml:space="preserve"> </w:t>
      </w:r>
      <w:r>
        <w:t>−2</w:t>
      </w:r>
      <w:r>
        <w:t xml:space="preserve"> </w:t>
      </w:r>
      <w:r>
        <w:t>) and Commission Internationale de l’Éclairage (CIE) coordinates of (0.20, 0.74), ranking among the best‐performing green devices with a binary emitting layer. These results demonstrate a general design principle for overcoming the trade‐off between ultrafast RISC and color purity in MR‐TADF systems.</w:t>
      </w:r>
    </w:p>
    <w:p>
      <w:pPr>
        <w:spacing w:before="120" w:after="120"/>
      </w:pPr>
      <w:r>
        <w:rPr>
          <w:sz w:val="18"/>
        </w:rPr>
        <w:t>——————————————————————————————————————————————————————————————————————</w:t>
      </w:r>
    </w:p>
    <w:p>
      <w:pPr>
        <w:spacing w:before="160" w:after="40" w:line="240" w:lineRule="auto"/>
      </w:pPr>
      <w:r>
        <w:rPr>
          <w:b/>
        </w:rPr>
        <w:t xml:space="preserve">[135] </w:t>
      </w:r>
      <w:hyperlink r:id="rId376">
        <w:r>
          <w:rPr>
            <w:color w:val="1155CC"/>
            <w:u w:val="single"/>
          </w:rPr>
          <w:t>通过成分调控提高高熵Ruddlesden-Popper钙钛矿空气电极在固体氧化物电池中的电催化活性</w:t>
        </w:r>
      </w:hyperlink>
    </w:p>
    <w:p>
      <w:pPr>
        <w:spacing w:before="0" w:after="80"/>
      </w:pPr>
      <w:r>
        <w:rPr>
          <w:i/>
          <w:sz w:val="20"/>
        </w:rPr>
        <w:t>EN: Improving the Electrocatalytic Activity of a High‐Entropy Ruddlesden–Popper Perovskite Air Electrode for Solid Oxide Cells Through Composition Regulation</w:t>
      </w:r>
    </w:p>
    <w:p>
      <w:pPr>
        <w:spacing w:before="0" w:after="120"/>
      </w:pPr>
      <w:r>
        <w:rPr>
          <w:b/>
        </w:rPr>
        <w:t xml:space="preserve">Source: </w:t>
      </w:r>
      <w:r>
        <w:t>Wiley: Advanced Energy Materials: Table of Contents</w:t>
      </w:r>
      <w:r>
        <w:t xml:space="preserve">    </w:t>
      </w:r>
      <w:r>
        <w:rPr>
          <w:b/>
        </w:rPr>
        <w:t xml:space="preserve">Pub date: </w:t>
      </w:r>
      <w:r>
        <w:t>2026-04-28 05:07:26+00:00</w:t>
      </w:r>
      <w:r>
        <w:t xml:space="preserve">    </w:t>
      </w:r>
      <w:r>
        <w:rPr>
          <w:b/>
        </w:rPr>
        <w:t xml:space="preserve">DOI: </w:t>
      </w:r>
      <w:hyperlink r:id="rId377">
        <w:r>
          <w:rPr>
            <w:color w:val="1155CC"/>
            <w:u w:val="single"/>
          </w:rPr>
          <w:t>10.1002/aenm.70992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固体氧化物电池技术应用的一个主要挑战是空气电极的催化活性和稳定性差。高熵工程被认为是一种有前途的策略，可以提高钙钛矿衍生空气电极的活性和耐久性。然而，对构型熵和特定元素组成对性能提升的个体贡献的理解仍然不足。在此，研究了A位元素和构型熵对Ruddlesden–Popper结构(La/Sr/Pr/Ba/Ca)2Ni0.5Fe0.5O4±δ电极性能的影响。结果表明，电极的电催化活性与晶格氧的反应性高度相关。电极的极化电阻与Sr含量和构型熵负相关，富Sr的Sr0.8La0.3Pr0.3Ba0.3Ca0.3Ni0.5Fe0.5O4±δ电极具有亚高熵，表现出最低的极化电阻0.044 Ω cm</w:t>
      </w:r>
    </w:p>
    <w:p>
      <w:pPr>
        <w:spacing w:before="0" w:after="200" w:lineRule="auto" w:line="276"/>
      </w:pPr>
      <w:r>
        <w:rPr>
          <w:b/>
        </w:rPr>
        <w:t xml:space="preserve">Abstract (EN): </w:t>
      </w:r>
      <w:r>
        <w:t>One major challenge to the application of solid oxide cell technology is the poor catalytic activity and stability of air electrodes. High‐entropy engineering has been considered as a promising strategy to improve the activity and durability of perovskite‐derived air electrodes. However, the understanding of the individual contributions of configurational entropy and specific elemental composition to the performance improvement is still insufficient. Herein, the effects of A‐site elements and configurational entropy on the performance of Ruddlesden–Popper‐structured (La/Sr/Pr/Ba/Ca)</w:t>
      </w:r>
      <w:r>
        <w:rPr>
          <w:vertAlign w:val="subscript"/>
        </w:rPr>
        <w:t>2</w:t>
      </w:r>
      <w:r>
        <w:t>Ni</w:t>
      </w:r>
      <w:r>
        <w:t xml:space="preserve"> </w:t>
      </w:r>
      <w:r>
        <w:t>0.5</w:t>
      </w:r>
      <w:r>
        <w:t xml:space="preserve"> </w:t>
      </w:r>
      <w:r>
        <w:t>Fe</w:t>
      </w:r>
      <w:r>
        <w:t xml:space="preserve"> </w:t>
      </w:r>
      <w:r>
        <w:t>0.5</w:t>
      </w:r>
      <w:r>
        <w:t xml:space="preserve"> </w:t>
      </w:r>
      <w:r>
        <w:t>O</w:t>
      </w:r>
      <w:r>
        <w:t xml:space="preserve"> </w:t>
      </w:r>
      <w:r>
        <w:t>4±δ</w:t>
      </w:r>
      <w:r>
        <w:t xml:space="preserve"> </w:t>
      </w:r>
      <w:r>
        <w:t>electrodes are investigated. The results demonstrate that the electrocatalytic activity of the electrode is highly related to the reactivity of lattice oxygen. The polarization resistance of the electrode is negatively correlated with the content of Sr and the configurational entropy, and a Sr‐rich Sr</w:t>
      </w:r>
      <w:r>
        <w:t xml:space="preserve"> </w:t>
      </w:r>
      <w:r>
        <w:t>0.8</w:t>
      </w:r>
      <w:r>
        <w:t xml:space="preserve"> </w:t>
      </w:r>
      <w:r>
        <w:t>La</w:t>
      </w:r>
      <w:r>
        <w:t xml:space="preserve"> </w:t>
      </w:r>
      <w:r>
        <w:t>0.3</w:t>
      </w:r>
      <w:r>
        <w:t xml:space="preserve"> </w:t>
      </w:r>
      <w:r>
        <w:t>Pr</w:t>
      </w:r>
      <w:r>
        <w:t xml:space="preserve"> </w:t>
      </w:r>
      <w:r>
        <w:t>0.3</w:t>
      </w:r>
      <w:r>
        <w:t xml:space="preserve"> </w:t>
      </w:r>
      <w:r>
        <w:t>Ba</w:t>
      </w:r>
      <w:r>
        <w:t xml:space="preserve"> </w:t>
      </w:r>
      <w:r>
        <w:t>0.3</w:t>
      </w:r>
      <w:r>
        <w:t xml:space="preserve"> </w:t>
      </w:r>
      <w:r>
        <w:t>Ca</w:t>
      </w:r>
      <w:r>
        <w:t xml:space="preserve"> </w:t>
      </w:r>
      <w:r>
        <w:t>0.3</w:t>
      </w:r>
      <w:r>
        <w:t xml:space="preserve"> </w:t>
      </w:r>
      <w:r>
        <w:t>Ni</w:t>
      </w:r>
      <w:r>
        <w:t xml:space="preserve"> </w:t>
      </w:r>
      <w:r>
        <w:t>0.5</w:t>
      </w:r>
      <w:r>
        <w:t xml:space="preserve"> </w:t>
      </w:r>
      <w:r>
        <w:t>Fe</w:t>
      </w:r>
      <w:r>
        <w:t xml:space="preserve"> </w:t>
      </w:r>
      <w:r>
        <w:t>0.5</w:t>
      </w:r>
      <w:r>
        <w:t xml:space="preserve"> </w:t>
      </w:r>
      <w:r>
        <w:t>O</w:t>
      </w:r>
      <w:r>
        <w:t xml:space="preserve"> </w:t>
      </w:r>
      <w:r>
        <w:t>4±δ</w:t>
      </w:r>
      <w:r>
        <w:t xml:space="preserve"> </w:t>
      </w:r>
      <w:r>
        <w:t>electrode with a sub‐high entropy exhibits the lowest polarization resistance of 0.044 Ω cm</w:t>
      </w:r>
      <w:r>
        <w:rPr>
          <w:vertAlign w:val="subscript"/>
        </w:rPr>
        <w:t>2</w:t>
      </w:r>
      <w:r>
        <w:t>at 700°C. A protonic ceramic cell with that air electrode achieves a peak power density of 2.15 W cm</w:t>
      </w:r>
      <w:r>
        <w:t xml:space="preserve"> </w:t>
      </w:r>
      <w:r>
        <w:t>−2</w:t>
      </w:r>
      <w:r>
        <w:t xml:space="preserve"> </w:t>
      </w:r>
      <w:r>
        <w:t>in the fuel cell mode and a current density of 2.88 A cm</w:t>
      </w:r>
      <w:r>
        <w:t xml:space="preserve"> </w:t>
      </w:r>
      <w:r>
        <w:t>−2</w:t>
      </w:r>
      <w:r>
        <w:t xml:space="preserve"> </w:t>
      </w:r>
      <w:r>
        <w:t>for H</w:t>
      </w:r>
      <w:r>
        <w:rPr>
          <w:vertAlign w:val="subscript"/>
        </w:rPr>
        <w:t>2</w:t>
      </w:r>
      <w:r>
        <w:t>O electrolysis under 1.3 V at 700°C. Meanwhile, the air electrode exhibits high stability in CO</w:t>
      </w:r>
      <w:r>
        <w:rPr>
          <w:vertAlign w:val="subscript"/>
        </w:rPr>
        <w:t>2</w:t>
      </w:r>
      <w:r>
        <w:t>and H</w:t>
      </w:r>
      <w:r>
        <w:rPr>
          <w:vertAlign w:val="subscript"/>
        </w:rPr>
        <w:t>2</w:t>
      </w:r>
      <w:r>
        <w:t>O atmospheres.</w:t>
      </w:r>
    </w:p>
    <w:p>
      <w:pPr>
        <w:spacing w:before="120" w:after="120"/>
      </w:pPr>
      <w:r>
        <w:rPr>
          <w:sz w:val="18"/>
        </w:rPr>
        <w:t>——————————————————————————————————————————————————————————————————————</w:t>
      </w:r>
    </w:p>
    <w:p>
      <w:pPr>
        <w:spacing w:before="160" w:after="40" w:line="240" w:lineRule="auto"/>
      </w:pPr>
      <w:r>
        <w:rPr>
          <w:b/>
        </w:rPr>
        <w:t xml:space="preserve">[136] </w:t>
      </w:r>
      <w:hyperlink r:id="rId378">
        <w:r>
          <w:rPr>
            <w:color w:val="1155CC"/>
            <w:u w:val="single"/>
          </w:rPr>
          <w:t>对“四元层状硼化物Ti4MoSiB2：一种结构功能一体化的高温自润滑和负磨损材料”的更正</w:t>
        </w:r>
      </w:hyperlink>
    </w:p>
    <w:p>
      <w:pPr>
        <w:spacing w:before="0" w:after="80"/>
      </w:pPr>
      <w:r>
        <w:rPr>
          <w:i/>
          <w:sz w:val="20"/>
        </w:rPr>
        <w:t>EN: Correction to “Quaternary Layered Boride Ti4MoSiB2: A Structure‐Function Integrated High‐Temperature Self‐Lubricating and Negative‐Wear Material”</w:t>
      </w:r>
    </w:p>
    <w:p>
      <w:pPr>
        <w:spacing w:before="0" w:after="120"/>
      </w:pPr>
      <w:r>
        <w:rPr>
          <w:b/>
        </w:rPr>
        <w:t xml:space="preserve">Source: </w:t>
      </w:r>
      <w:r>
        <w:t>Wiley: Advanced Materials: Table of Contents</w:t>
      </w:r>
      <w:r>
        <w:t xml:space="preserve">    </w:t>
      </w:r>
      <w:r>
        <w:rPr>
          <w:b/>
        </w:rPr>
        <w:t xml:space="preserve">Pub date: </w:t>
      </w:r>
      <w:r>
        <w:t>2026-04-28 05:15:49+00:00</w:t>
      </w:r>
      <w:r>
        <w:t xml:space="preserve">    </w:t>
      </w:r>
      <w:r>
        <w:rPr>
          <w:b/>
        </w:rPr>
        <w:t xml:space="preserve">DOI: </w:t>
      </w:r>
      <w:hyperlink r:id="rId379">
        <w:r>
          <w:rPr>
            <w:color w:val="1155CC"/>
            <w:u w:val="single"/>
          </w:rPr>
          <w:t>10.1002/adma.73222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[137] </w:t>
      </w:r>
      <w:hyperlink r:id="rId380">
        <w:r>
          <w:rPr>
            <w:color w:val="1155CC"/>
            <w:u w:val="single"/>
          </w:rPr>
          <w:t>通过电子晶体学确定手性沸石Beta的多晶型A富集和绝对结构</w:t>
        </w:r>
      </w:hyperlink>
    </w:p>
    <w:p>
      <w:pPr>
        <w:spacing w:before="0" w:after="80"/>
      </w:pPr>
      <w:r>
        <w:rPr>
          <w:i/>
          <w:sz w:val="20"/>
        </w:rPr>
        <w:t>EN: Determination of Polymorph A‐Enrichment and Absolute Structure of Chiral Zeolite Beta Through Electron Crystallography</w:t>
      </w:r>
    </w:p>
    <w:p>
      <w:pPr>
        <w:spacing w:before="0" w:after="120"/>
      </w:pPr>
      <w:r>
        <w:rPr>
          <w:b/>
        </w:rPr>
        <w:t xml:space="preserve">Source: </w:t>
      </w:r>
      <w:r>
        <w:t>Wiley: Advanced Materials: Table of Contents</w:t>
      </w:r>
      <w:r>
        <w:t xml:space="preserve">    </w:t>
      </w:r>
      <w:r>
        <w:rPr>
          <w:b/>
        </w:rPr>
        <w:t xml:space="preserve">Pub date: </w:t>
      </w:r>
      <w:r>
        <w:t>2026-04-28 05:58:15+00:00</w:t>
      </w:r>
      <w:r>
        <w:t xml:space="preserve">    </w:t>
      </w:r>
      <w:r>
        <w:rPr>
          <w:b/>
        </w:rPr>
        <w:t xml:space="preserve">DOI: </w:t>
      </w:r>
      <w:hyperlink r:id="rId381">
        <w:r>
          <w:rPr>
            <w:color w:val="1155CC"/>
            <w:u w:val="single"/>
          </w:rPr>
          <w:t>10.1002/adma.73198</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沸石Beta是最早被认可的手性沸石系统之一，广泛应用于化学工业，但由于其多晶型的互生，给其手性结构的表征带来了重大挑战。在此，我们报告了一种综合的电子晶体学框架，用于确定沸石Beta中的多晶型比例、绝对结构和对映体分布。通过开发基于扫描透射电子显微镜的优化实空间成像协议，我们绕过了电子显微镜的机械倾斜限制，即使在任意晶体取向下也能进行手性识别。此外，我们引入了一种加权精炼策略用于3D电子衍射（3D ED）。通过利用动态衍射模拟从对映体强度差异中推导加权因子，显著增强了绝对结构确定的灵敏度，克服了由中心对称成分引起的手性信号稀释。实验验证证实，这种综合方法准确量化了区域多晶型A的富集，并成功区分了P4122和P4322对映体。该工作不仅解决了表征互生手性沸石的长期挑战，还为研究此类复杂多孔材料提供了一种精细的方法论范式。</w:t>
      </w:r>
    </w:p>
    <w:p>
      <w:pPr>
        <w:spacing w:before="0" w:after="200" w:lineRule="auto" w:line="276"/>
      </w:pPr>
      <w:r>
        <w:rPr>
          <w:b/>
        </w:rPr>
        <w:t xml:space="preserve">Abstract (EN): </w:t>
      </w:r>
      <w:r>
        <w:t>Zeolite Beta, one of the earliest recognized chiral zeolitic systems and widely used in the chemical industry, poses a significant challenge for characterizing its chiral structure because of its intergrowth of polymorphs. Herein, we report a comprehensive electron crystallography framework for the determination of polymorph ratios, absolute structures, and enantiomeric distributions in zeolite Beta. By developing an optimized real‐space imaging protocol based on scanning transmission electron microscopy, we circumvent the mechanical tilting limits of electron microscopy, enabling chiral identification even at arbitrary crystal orientations. Furthermore, we introduce a weighted refinement strategy for 3D electron diffraction (3D ED). By utilizing dynamical diffraction simulations to derive weighting factors from enantiomeric intensity disparities, the sensitivity of absolute structure determination is significantly enhanced, overcoming the dilution of chiral signals by centrosymmetric components. Experimental validation confirms that this integrated approach accurately quantifies regional polymorph A enrichment and successfully discriminates between</w:t>
      </w:r>
      <w:r>
        <w:t xml:space="preserve"> </w:t>
      </w:r>
      <w:r>
        <w:t>P</w:t>
      </w:r>
      <w:r>
        <w:rPr>
          <w:vertAlign w:val="subscript"/>
        </w:rPr>
        <w:t>4</w:t>
      </w:r>
      <w:r>
        <w:rPr>
          <w:vertAlign w:val="subscript"/>
        </w:rPr>
        <w:t>1</w:t>
      </w:r>
      <w:r>
        <w:t>22 and</w:t>
      </w:r>
      <w:r>
        <w:t xml:space="preserve"> </w:t>
      </w:r>
      <w:r>
        <w:t>P</w:t>
      </w:r>
      <w:r>
        <w:rPr>
          <w:vertAlign w:val="subscript"/>
        </w:rPr>
        <w:t>4</w:t>
      </w:r>
      <w:r>
        <w:rPr>
          <w:vertAlign w:val="subscript"/>
        </w:rPr>
        <w:t>3</w:t>
      </w:r>
      <w:r>
        <w:t>22 enantiomers. This work not only addresses long‐standing challenges in characterizing intergrown chiral zeolites but also provides a refined methodological paradigm for investigating such complex porous materials.</w:t>
      </w:r>
    </w:p>
    <w:p>
      <w:pPr>
        <w:spacing w:before="120" w:after="120"/>
      </w:pPr>
      <w:r>
        <w:rPr>
          <w:sz w:val="18"/>
        </w:rPr>
        <w:t>——————————————————————————————————————————————————————————————————————</w:t>
      </w:r>
    </w:p>
    <w:p>
      <w:pPr>
        <w:spacing w:before="160" w:after="40" w:line="240" w:lineRule="auto"/>
      </w:pPr>
      <w:r>
        <w:rPr>
          <w:b/>
        </w:rPr>
        <w:t xml:space="preserve">[138] </w:t>
      </w:r>
      <w:hyperlink r:id="rId382">
        <w:r>
          <w:rPr>
            <w:color w:val="1155CC"/>
            <w:u w:val="single"/>
          </w:rPr>
          <w:t>协同空穴选择性接触实现高效钙钛矿/有机叠层太阳能电池</w:t>
        </w:r>
      </w:hyperlink>
    </w:p>
    <w:p>
      <w:pPr>
        <w:spacing w:before="0" w:after="80"/>
      </w:pPr>
      <w:r>
        <w:rPr>
          <w:i/>
          <w:sz w:val="20"/>
        </w:rPr>
        <w:t>EN: Synergistic Hole‐Selective Contact Enabling Highly Efficient Perovskite/Organic Tandem Solar Cells</w:t>
      </w:r>
    </w:p>
    <w:p>
      <w:pPr>
        <w:spacing w:before="0" w:after="120"/>
      </w:pPr>
      <w:r>
        <w:rPr>
          <w:b/>
        </w:rPr>
        <w:t xml:space="preserve">Source: </w:t>
      </w:r>
      <w:r>
        <w:t>Wiley: Advanced Energy Materials: Table of Contents</w:t>
      </w:r>
      <w:r>
        <w:t xml:space="preserve">    </w:t>
      </w:r>
      <w:r>
        <w:rPr>
          <w:b/>
        </w:rPr>
        <w:t xml:space="preserve">Pub date: </w:t>
      </w:r>
      <w:r>
        <w:t>2026-04-28 06:00:12+00:00</w:t>
      </w:r>
      <w:r>
        <w:t xml:space="preserve">    </w:t>
      </w:r>
      <w:r>
        <w:rPr>
          <w:b/>
        </w:rPr>
        <w:t xml:space="preserve">DOI: </w:t>
      </w:r>
      <w:hyperlink r:id="rId383">
        <w:r>
          <w:rPr>
            <w:color w:val="1155CC"/>
            <w:u w:val="single"/>
          </w:rPr>
          <w:t>10.1002/aenm.70945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机太阳能电池（OSCs）、钙钛矿太阳能电池（PSCs）和串联太阳能电池（TSCs）的效率提升关键在于优化的空穴选择性界面接触。共组装自组装单分子层（co‐SAMs）提供了一种有效途径来增强空穴提取。然而，其实际设计受到缺乏通用材料选择规则的限制，常导致分子堆积不兼容和界面不理想。在此，我们提出了一种协同co‐SAM策略，使OSCs、PSCs和TSCs的高质量空穴选择性接触成为可能。通过共组装基于咔唑的磷酸与链长匹配的磷酸衍生物，我们揭示了合理的分子配对决定了共吸附剂的协同行为。PAC2Br与2PACz表现出最佳兼容性，而PAC4Br与4PACz匹配良好，导致均匀的分子分布、紧密的表面覆盖和有利的能级对齐。这些协同界面有效抑制了界面复合并增强了电荷提取。因此，co‐SAM修饰的器件在OSCs中实现了19.60%的功率转换效率。证明了co‐SAM策略的普遍性，co‐SAM配对使PSCs的效率达到25.78%，并进一步实现了钙钛矿/有机TSCs的26.06%的冠军PCE。该工作确立了协同co‐SAMs作为一种通用且有效的界面设计原则。</w:t>
      </w:r>
    </w:p>
    <w:p>
      <w:pPr>
        <w:spacing w:before="0" w:after="200" w:lineRule="auto" w:line="276"/>
      </w:pPr>
      <w:r>
        <w:rPr>
          <w:b/>
        </w:rPr>
        <w:t xml:space="preserve">Abstract (EN): </w:t>
      </w:r>
      <w:r>
        <w:t>Efficiency improvements in organic solar cells (OSCs), perovskite solar cells (PSCs), and tandem solar cells (TSCs) critically depend on optimized hole‐selective interfacial contacts. Co‐assembled self‐assembled monolayers (co‐SAMs) offer an effective route to enhance hole extraction. However, their practical design is limited by the absence of universal material selection rules, often leading to incompatible molecular packing and suboptimal interfaces. Here, we propose a synergistic co‐SAM strategy that enables high‐quality hole‐selective contacts across OSCs, PSCs, and TSCs. By co‐assembling carbazole‐based phosphonic acids with chain length‐matched phosphonic acid derivatives, we reveal that rational molecular pairing governs the synergistic behavior of co‐adsorbates. PAC</w:t>
      </w:r>
      <w:r>
        <w:rPr>
          <w:vertAlign w:val="subscript"/>
        </w:rPr>
        <w:t>2</w:t>
      </w:r>
      <w:r>
        <w:t>Br shows optimal compatibility with 2PACz, while PAC</w:t>
      </w:r>
      <w:r>
        <w:rPr>
          <w:vertAlign w:val="subscript"/>
        </w:rPr>
        <w:t>4</w:t>
      </w:r>
      <w:r>
        <w:t>Br matches well with 4PACz, resulting in homogeneous molecular distribution, compact surface coverage, and favorable energy‐level alignment. These synergistic interfaces effectively suppress interfacial recombination and enhance charge extraction. Consequently, co‐SAM‐modified devices achieve power conversion efficiencies of 19.60% in OSCs. Demonstrating the universality of the co‐SAM strategy, the co‐SAM pairing yields PSCs with efficiencies up to 25.78%, and further enables a champion PCE of 26.06% for perovskite/organic TSCs. This work establishes synergistic co‐SAMs as a general and effective interfacial design principle for high‐efficiency photovoltaic devices.</w:t>
      </w:r>
    </w:p>
    <w:p>
      <w:pPr>
        <w:spacing w:before="120" w:after="120"/>
      </w:pPr>
      <w:r>
        <w:rPr>
          <w:sz w:val="18"/>
        </w:rPr>
        <w:t>——————————————————————————————————————————————————————————————————————</w:t>
      </w:r>
    </w:p>
    <w:p>
      <w:pPr>
        <w:spacing w:before="160" w:after="40" w:line="240" w:lineRule="auto"/>
      </w:pPr>
      <w:r>
        <w:rPr>
          <w:b/>
        </w:rPr>
        <w:t xml:space="preserve">[139] </w:t>
      </w:r>
      <w:hyperlink r:id="rId384">
        <w:r>
          <w:rPr>
            <w:color w:val="1155CC"/>
            <w:u w:val="single"/>
          </w:rPr>
          <w:t>分级工程化多酶纳米反应器用于体外药物生物合成和细胞内途径移植</w:t>
        </w:r>
      </w:hyperlink>
    </w:p>
    <w:p>
      <w:pPr>
        <w:spacing w:before="0" w:after="80"/>
      </w:pPr>
      <w:r>
        <w:rPr>
          <w:i/>
          <w:sz w:val="20"/>
        </w:rPr>
        <w:t>EN: Hierarchically Engineered Multi‐Enzyme Nanoreactors for in vitro Drug Biosynthesis and Pathway Transplantation Into Cells</w:t>
      </w:r>
    </w:p>
    <w:p>
      <w:pPr>
        <w:spacing w:before="0" w:after="120"/>
      </w:pPr>
      <w:r>
        <w:rPr>
          <w:b/>
        </w:rPr>
        <w:t xml:space="preserve">Source: </w:t>
      </w:r>
      <w:r>
        <w:t>Wiley: Advanced Materials: Table of Contents</w:t>
      </w:r>
      <w:r>
        <w:t xml:space="preserve">    </w:t>
      </w:r>
      <w:r>
        <w:rPr>
          <w:b/>
        </w:rPr>
        <w:t xml:space="preserve">Pub date: </w:t>
      </w:r>
      <w:r>
        <w:t>2026-04-28 06:00:15+00:00</w:t>
      </w:r>
      <w:r>
        <w:t xml:space="preserve">    </w:t>
      </w:r>
      <w:r>
        <w:rPr>
          <w:b/>
        </w:rPr>
        <w:t xml:space="preserve">DOI: </w:t>
      </w:r>
      <w:hyperlink r:id="rId385">
        <w:r>
          <w:rPr>
            <w:color w:val="1155CC"/>
            <w:u w:val="single"/>
          </w:rPr>
          <w:t>10.1002/adma.202523006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尽管大多数蛋白质进化为在多蛋白系统中发挥功能，如代谢网络或信号通路，但大多数技术蛋白应用基于孤立的蛋白质，例如治疗性抗体或工业酶。多蛋白系统的稳定化、体外操作和细胞内递送的可靠方法可以在绿色生物技术、诊断和医学治疗中解锁新应用。我们证明了整个紫罗酮生物合成途径，由多达六种单独纯化的酶组成，可以渗透到分层蚀刻的MIL‐101(Fe) (eMIL)金属有机框架中。eMIL纳米反应器重塑了途径动态和反应流，增加了体外紫罗酮产量，并实现了途径再利用、冻干和储存。此外，eMIL纳米反应器将六蛋白系统递送到哺乳动物细胞中，在那里它从细胞提供的底物和辅因子中产生紫罗酮。这些发现为设计用于生物技术和医学应用的“智能”刺激响应多酶纳米反应器铺平了道路。</w:t>
      </w:r>
    </w:p>
    <w:p>
      <w:pPr>
        <w:spacing w:before="0" w:after="200" w:lineRule="auto" w:line="276"/>
      </w:pPr>
      <w:r>
        <w:rPr>
          <w:b/>
        </w:rPr>
        <w:t xml:space="preserve">Abstract (EN): </w:t>
      </w:r>
      <w:r>
        <w:t>Even though most proteins evolved to function within multi‐protein systems such as metabolic networks or signaling pathways, most technical protein applications are based on isolated proteins, for example therapeutic antibodies or industrial enzymes. Reliable methods for the stabilization, in vitro operation and intracellular delivery of multi‐protein systems could unlock new applications in green biotechnology, diagnostics, and medical therapy. We demonstrate that the entire violacein biosynthesis pathway, consisting of up to six separately purified enzymes, can be infiltrated into a hierarchically etched MIL‐101(Fe) (eMIL) metal organic framework. eMIL nanoreactors reshaped pathway dynamics and reaction flows, multiplied violacein yield in vitro and enabled pathway reuse, lyophilization and storage. Moreover, eMIL nanoreactors delivered the six‐protein system into mammalian cells, where it produced violacein from cell‐provided substrates and cofactors. These findings pave the way for the design of “smart” stimuli‐responsive multi‐enzyme nanoreactors for biotechnological and medical applications.</w:t>
      </w:r>
    </w:p>
    <w:p>
      <w:pPr>
        <w:spacing w:before="120" w:after="120"/>
      </w:pPr>
      <w:r>
        <w:rPr>
          <w:sz w:val="18"/>
        </w:rPr>
        <w:t>——————————————————————————————————————————————————————————————————————</w:t>
      </w:r>
    </w:p>
    <w:p>
      <w:pPr>
        <w:spacing w:before="160" w:after="40" w:line="240" w:lineRule="auto"/>
      </w:pPr>
      <w:r>
        <w:rPr>
          <w:b/>
        </w:rPr>
        <w:t xml:space="preserve">[140] </w:t>
      </w:r>
      <w:hyperlink r:id="rId386">
        <w:r>
          <w:rPr>
            <w:color w:val="1155CC"/>
            <w:u w:val="single"/>
          </w:rPr>
          <w:t>通过1‑氮杂双环[1.1.0]丁烷的应变释放进行电化学分歧合成氮杂环丁烷</w:t>
        </w:r>
      </w:hyperlink>
    </w:p>
    <w:p>
      <w:pPr>
        <w:spacing w:before="0" w:after="80"/>
      </w:pPr>
      <w:r>
        <w:rPr>
          <w:i/>
          <w:sz w:val="20"/>
        </w:rPr>
        <w:t>EN: Electrochemical Divergent Synthesis of Azetidines via Strain Release of 1‑Azabicyclo[1.1.0]butanes</w:t>
      </w:r>
    </w:p>
    <w:p>
      <w:pPr>
        <w:spacing w:before="0" w:after="120"/>
      </w:pPr>
      <w:r>
        <w:rPr>
          <w:b/>
        </w:rPr>
        <w:t xml:space="preserve">Source: </w:t>
      </w:r>
      <w:r>
        <w:t>Wiley: Angewandte Chemie International Edition: Table of Contents</w:t>
      </w:r>
      <w:r>
        <w:t xml:space="preserve">    </w:t>
      </w:r>
      <w:r>
        <w:rPr>
          <w:b/>
        </w:rPr>
        <w:t xml:space="preserve">Pub date: </w:t>
      </w:r>
      <w:r>
        <w:t>2026-04-28 06:02:29+00:00</w:t>
      </w:r>
      <w:r>
        <w:t xml:space="preserve">    </w:t>
      </w:r>
      <w:r>
        <w:rPr>
          <w:b/>
        </w:rPr>
        <w:t xml:space="preserve">DOI: </w:t>
      </w:r>
      <w:hyperlink r:id="rId387">
        <w:r>
          <w:rPr>
            <w:color w:val="1155CC"/>
            <w:u w:val="single"/>
          </w:rPr>
          <w:t>10.1002/anie.5707597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由于氮杂环丁烷环的有利药物性质，它可以作为生物等排体替代饱和杂环，如哌嗪、哌啶和吡咯烷，在药物发现中使用。氮杂环丁烷合成的多样方法仍然有限且具有挑战性。在此，我们设计了一类新的1‐氮杂双环[1.1.0]丁烷（ABB），并报告了通过直接阳极氧化合成化学选择性三氟甲磺酰化和三氟甲基化氮杂环丁烷衍生物的首个电化学方案。该策略的关键特征包括：(i) ABB的电化学阳极氧化形成N‐中心自由基阳离子，(ii) 罕见的[2,3]‐σ迁移硫酮，(iii) 选择性氧化Langlois试剂（NaSO2CF3），以及(iv) 开发方法学的动力学研究。该策略展示了广泛的底物范围和可扩展性，使其具有实用性。将生成的氮杂环丁烷安装到市售药物基序中，包括布洛芬、萘普生和奥拉帕尼衍生物，展示了该方法的实用性。通过对照实验、循环伏安法和电化学阻抗谱（EIS）支持的机制研究提供了对反应途径的关键见解。这种电化学方法推进了ABB的应变释放化学，并为未来的发展提供了一个有前景的平台。</w:t>
      </w:r>
    </w:p>
    <w:p>
      <w:pPr>
        <w:spacing w:before="0" w:after="200" w:lineRule="auto" w:line="276"/>
      </w:pPr>
      <w:r>
        <w:rPr>
          <w:b/>
        </w:rPr>
        <w:t xml:space="preserve">Abstract (EN): </w:t>
      </w:r>
      <w:r>
        <w:t>Due to the favorable pharmaceutical properties of the azetidine ring, it can serve as a bioisostere to replace saturated heterocycles such as piperazines, piperidines, and pyrrolidines in drug discovery. The diverse methods for azetidine synthesis are still limited and challenging. Herein, we design a new class of 1‐azabicyclo[1.1.0]butanes (ABBs) and report the first electrochemical protocol for the synthesis of chemo‐selective trifluoromethanesulfonylated and trifluoromethylated azetidine derivatives via direct anodic oxidation. The key features of this strategy involve: (i) electrochemical anodic oxidation of ABB to form a</w:t>
      </w:r>
      <w:r>
        <w:t xml:space="preserve"> </w:t>
      </w:r>
      <w:r>
        <w:t>N</w:t>
      </w:r>
      <w:r>
        <w:t xml:space="preserve"> </w:t>
      </w:r>
      <w:r>
        <w:t>‐centered radical cation, (ii) a rare [2,3]‐sigmatropic shift of sulfone, (iii) selective oxidation of Langlois’ reagent (NaSO</w:t>
      </w:r>
      <w:r>
        <w:rPr>
          <w:vertAlign w:val="subscript"/>
        </w:rPr>
        <w:t>2</w:t>
      </w:r>
      <w:r>
        <w:t>CF</w:t>
      </w:r>
      <w:r>
        <w:rPr>
          <w:vertAlign w:val="subscript"/>
        </w:rPr>
        <w:t>3</w:t>
      </w:r>
      <w:r>
        <w:t>), and (iv) the kinetic study of the developed methodology. The strategy exhibits broad substrate scope and scalability, making it practical. Installation of generated azetidines into marketed drug motifs, including ibuprofen, naproxen, and olaparib derivative, demonstrates the method's utility. Mechanistic investigations, supported by control experiments, cyclic voltammetry, and electrochemical impedance spectroscopy (EIS), provided key insights into the reaction pathway. This electrochemical approach advances the strain‐release chemistry of ABBs and offers a promising platform for future developments.</w:t>
      </w:r>
    </w:p>
    <w:p>
      <w:pPr>
        <w:spacing w:before="120" w:after="120"/>
      </w:pPr>
      <w:r>
        <w:rPr>
          <w:sz w:val="18"/>
        </w:rPr>
        <w:t>——————————————————————————————————————————————————————————————————————</w:t>
      </w:r>
    </w:p>
    <w:p>
      <w:pPr>
        <w:spacing w:before="160" w:after="40" w:line="240" w:lineRule="auto"/>
      </w:pPr>
      <w:r>
        <w:rPr>
          <w:b/>
        </w:rPr>
        <w:t xml:space="preserve">[141] </w:t>
      </w:r>
      <w:hyperlink r:id="rId388">
        <w:r>
          <w:rPr>
            <w:color w:val="1155CC"/>
            <w:u w:val="single"/>
          </w:rPr>
          <w:t>有序胶体晶体柱实现的高通量单细胞分辨空间蛋白质组学</w:t>
        </w:r>
      </w:hyperlink>
    </w:p>
    <w:p>
      <w:pPr>
        <w:spacing w:before="0" w:after="80"/>
      </w:pPr>
      <w:r>
        <w:rPr>
          <w:i/>
          <w:sz w:val="20"/>
        </w:rPr>
        <w:t>EN: High‐Throughput Single‐Cell‐Resolved Spatial Proteomics Enabled by an Ordered Colloidal Crystal Column</w:t>
      </w:r>
    </w:p>
    <w:p>
      <w:pPr>
        <w:spacing w:before="0" w:after="120"/>
      </w:pPr>
      <w:r>
        <w:rPr>
          <w:b/>
        </w:rPr>
        <w:t xml:space="preserve">Source: </w:t>
      </w:r>
      <w:r>
        <w:t>Wiley: Angewandte Chemie International Edition: Table of Contents</w:t>
      </w:r>
      <w:r>
        <w:t xml:space="preserve">    </w:t>
      </w:r>
      <w:r>
        <w:rPr>
          <w:b/>
        </w:rPr>
        <w:t xml:space="preserve">Pub date: </w:t>
      </w:r>
      <w:r>
        <w:t>2026-04-28 06:16:02+00:00</w:t>
      </w:r>
      <w:r>
        <w:t xml:space="preserve">    </w:t>
      </w:r>
      <w:r>
        <w:rPr>
          <w:b/>
        </w:rPr>
        <w:t xml:space="preserve">DOI: </w:t>
      </w:r>
      <w:hyperlink r:id="rId389">
        <w:r>
          <w:rPr>
            <w:color w:val="1155CC"/>
            <w:u w:val="single"/>
          </w:rPr>
          <w:t>10.1002/anie.8045649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空间蛋白质组学对于阐明生物功能和发病机制至关重要，其中nanoLC–MS结合组织显微切割是一种强大的工具。然而，吞吐量受到对众多显微切割切片进行耗时的nanoLC–MS分析的限制。在此，为了提高空间蛋白质组学的吞吐量，开发了一种有序胶体晶体柱，用于快速nanoLC–MS分析低输入量的显微切割切片，达到单细胞分辨率。由于800 nm胶体颗粒的高度有序排列，柱效率达到2 560 000 plates·m−1，比常用的亚2 µm颗粒填充柱高10倍，实现了稳健和快速的肽分离。使用这样的柱子，实现了高通量nanoLC–MS分析，如通过5分钟和2分钟梯度分别从250 pg HeLa消化物中鉴定出5942和4388种蛋白质。更值得注意的是，该柱在单细胞空间蛋白质组学中表现出卓越的性能，在仅5分钟梯度内从单个肝细胞切片中鉴定出多达2304种蛋白质。即使在超快速的2分钟梯度下，也能从单细胞切片中鉴定出多达1292种蛋白质，比传统方法快16倍。所有这些结果展示了胶体晶体柱在具有单细胞分辨率的高通量空间蛋白质组学中的巨大潜力。</w:t>
      </w:r>
    </w:p>
    <w:p>
      <w:pPr>
        <w:spacing w:before="0" w:after="200" w:lineRule="auto" w:line="276"/>
      </w:pPr>
      <w:r>
        <w:rPr>
          <w:b/>
        </w:rPr>
        <w:t xml:space="preserve">Abstract (EN): </w:t>
      </w:r>
      <w:r>
        <w:t>Spatial proteomics is essential to elucidate biological function and pathogenesis, for which nanoLC–MS coupled with tissue microdissection is a powerful tool. However, the throughput is limited by the time‐consuming nanoLC–MS analysis of numerous microdissected slices. Herein, to boost the throughput of spatial proteomics, an ordered colloidal crystal column was developed for fast nanoLC–MS analysis of microdissected slices with low‐input amounts, down to single‐cell resolution. Contributed by a highly ordered arrangement of 800 nm colloidal particles, the column efficiency reached 2 560 000 plates·m</w:t>
      </w:r>
      <w:r>
        <w:t xml:space="preserve"> </w:t>
      </w:r>
      <w:r>
        <w:t>−1</w:t>
      </w:r>
      <w:r>
        <w:t xml:space="preserve"> </w:t>
      </w:r>
      <w:r>
        <w:t>, 10‐fold higher than that of commonly used sub‐2‐µm particle packed columns, enabling robust and rapid peptide separation. With such a column, high‐throughput nanoLC–MS analysis was achieved, as demonstrated by the identification of 5942 and 4388 proteins from 250 pg HeLa digests using 5‐ and 2‐min gradients, respectively. More notably, the column exhibited exceptional performance in single‐cell spatial proteomics, enabling the identification of up to 2304 proteins from a single hepatocyte slice within only a 5‐min gradient. Even under an ultrarapid 2‐min gradient, up to 1292 proteins were identified from single‐cell slices, which is 16 times faster than conventional methods. All these results demonstrated great promise of the colloidal crystal column for high‐throughput spatial proteomics with single‐cell resolution.</w:t>
      </w:r>
    </w:p>
    <w:p>
      <w:pPr>
        <w:spacing w:before="120" w:after="120"/>
      </w:pPr>
      <w:r>
        <w:rPr>
          <w:sz w:val="18"/>
        </w:rPr>
        <w:t>——————————————————————————————————————————————————————————————————————</w:t>
      </w:r>
    </w:p>
    <w:p>
      <w:pPr>
        <w:spacing w:before="160" w:after="40" w:line="240" w:lineRule="auto"/>
      </w:pPr>
      <w:r>
        <w:rPr>
          <w:b/>
        </w:rPr>
        <w:t xml:space="preserve">[142] </w:t>
      </w:r>
      <w:hyperlink r:id="rId390">
        <w:r>
          <w:rPr>
            <w:color w:val="1155CC"/>
            <w:u w:val="single"/>
          </w:rPr>
          <w:t>对“迈向超高品质因数无线激射磁共振传感”的更正</w:t>
        </w:r>
      </w:hyperlink>
    </w:p>
    <w:p>
      <w:pPr>
        <w:spacing w:before="0" w:after="80"/>
      </w:pPr>
      <w:r>
        <w:rPr>
          <w:i/>
          <w:sz w:val="20"/>
        </w:rPr>
        <w:t>EN: Correction to “Toward Ultra‐High‐Quality‐Factor Wireless Masing Magnetic Resonance Sensing”</w:t>
      </w:r>
    </w:p>
    <w:p>
      <w:pPr>
        <w:spacing w:before="0" w:after="120"/>
      </w:pPr>
      <w:r>
        <w:rPr>
          <w:b/>
        </w:rPr>
        <w:t xml:space="preserve">Source: </w:t>
      </w:r>
      <w:r>
        <w:t>Wiley: Angewandte Chemie International Edition: Table of Contents</w:t>
      </w:r>
      <w:r>
        <w:t xml:space="preserve">    </w:t>
      </w:r>
      <w:r>
        <w:rPr>
          <w:b/>
        </w:rPr>
        <w:t xml:space="preserve">Pub date: </w:t>
      </w:r>
      <w:r>
        <w:t>2026-04-28 06:19:38+00:00</w:t>
      </w:r>
      <w:r>
        <w:t xml:space="preserve">    </w:t>
      </w:r>
      <w:r>
        <w:rPr>
          <w:b/>
        </w:rPr>
        <w:t xml:space="preserve">DOI: </w:t>
      </w:r>
      <w:hyperlink r:id="rId391">
        <w:r>
          <w:rPr>
            <w:color w:val="1155CC"/>
            <w:u w:val="single"/>
          </w:rPr>
          <w:t>10.1002/anie.4892726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[143] </w:t>
      </w:r>
      <w:hyperlink r:id="rId392">
        <w:r>
          <w:rPr>
            <w:color w:val="1155CC"/>
            <w:u w:val="single"/>
          </w:rPr>
          <w:t>自旋轨道扭矩通过可切换的晶体反演对称性破缺诱导</w:t>
        </w:r>
      </w:hyperlink>
    </w:p>
    <w:p>
      <w:pPr>
        <w:spacing w:before="0" w:after="80"/>
      </w:pPr>
      <w:r>
        <w:rPr>
          <w:i/>
          <w:sz w:val="20"/>
        </w:rPr>
        <w:t>EN: Spin‐Orbit Torque Induced by Switchable Crystal Inversion Symmetry Breaking</w:t>
      </w:r>
    </w:p>
    <w:p>
      <w:pPr>
        <w:spacing w:before="0" w:after="120"/>
      </w:pPr>
      <w:r>
        <w:rPr>
          <w:b/>
        </w:rPr>
        <w:t xml:space="preserve">Source: </w:t>
      </w:r>
      <w:r>
        <w:t>Wiley: Advanced Materials: Table of Contents</w:t>
      </w:r>
      <w:r>
        <w:t xml:space="preserve">    </w:t>
      </w:r>
      <w:r>
        <w:rPr>
          <w:b/>
        </w:rPr>
        <w:t xml:space="preserve">Pub date: </w:t>
      </w:r>
      <w:r>
        <w:t>2026-04-28 06:19:51+00:00</w:t>
      </w:r>
      <w:r>
        <w:t xml:space="preserve">    </w:t>
      </w:r>
      <w:r>
        <w:rPr>
          <w:b/>
        </w:rPr>
        <w:t xml:space="preserve">DOI: </w:t>
      </w:r>
      <w:hyperlink r:id="rId393">
        <w:r>
          <w:rPr>
            <w:color w:val="1155CC"/>
            <w:u w:val="single"/>
          </w:rPr>
          <w:t>10.1002/adma.73219</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有效利用和操控自旋轨道扭矩（SOT）对于开发低功耗自旋电子器件至关重要。引入额外的反演对称性破缺（ISB）可以操控Rashba自旋分裂，从而控制SOT的生成效率。然而，以往的研究主要集中在由异质结构引入的界面空间ISB。引入晶体ISB的有效方法及其对SOT效率的影响仍不明确。在此，我们报告了一种在SrRuO</w:t>
      </w:r>
      <w:r>
        <w:rPr>
          <w:vertAlign w:val="subscript"/>
        </w:rPr>
        <w:t>3</w:t>
      </w:r>
      <w:r>
        <w:t>（SRO）中可以通过相邻铁电（FE）材料的铁电极化可逆操控的奇异晶体ISB。扫描透射电子显微镜揭示这种晶体ISB是一种新颖的晶体畸变，即</w:t>
      </w:r>
      <w:r>
        <w:t xml:space="preserve"> </w:t>
      </w:r>
      <w:r>
        <w:t>c</w:t>
      </w:r>
      <w:r>
        <w:t xml:space="preserve"> </w:t>
      </w:r>
      <w:r>
        <w:t>/</w:t>
      </w:r>
      <w:r>
        <w:t>a</w:t>
      </w:r>
      <w:r>
        <w:t xml:space="preserve"> </w:t>
      </w:r>
      <w:r>
        <w:t>晶体比率变化，由于FE场内静电屏蔽深度内的Ru阳离子偏心位移引起。通过电谐波测量，我们揭示这种晶体ISB的存在可以显著提高SRO层的SOT效率超过60%。我们的工作为设计高效SOT源层提供了一种替代方案，为低功耗自旋电子学铺平了道路。</w:t>
      </w:r>
    </w:p>
    <w:p>
      <w:pPr>
        <w:spacing w:before="0" w:after="200" w:lineRule="auto" w:line="276"/>
      </w:pPr>
      <w:r>
        <w:rPr>
          <w:b/>
        </w:rPr>
        <w:t xml:space="preserve">Abstract (EN): </w:t>
      </w:r>
      <w:r>
        <w:t>Effective utilization and manipulation of spin‐orbit torque (SOT) is crucial for developing low‐power spintronic devices. Inducing additional inversion symmetry breaking (ISB) can manipulate the Rashba spin splitting and thus control the SOT generation efficiency. However, previous works mainly focus on spatial ISB at the interface introduced by the heterostructure. Effective method to introduce crystal ISB and how it impacts the SOT efficiency remains elusive. Here, we report an exotic crystal ISB in SrRuO</w:t>
      </w:r>
      <w:r>
        <w:rPr>
          <w:vertAlign w:val="subscript"/>
        </w:rPr>
        <w:t>3</w:t>
      </w:r>
      <w:r>
        <w:t>(SRO) that can be reversibly manipulated by the ferroelectric (FE) polarization of the adjacent FE material. Scanning transmission electron microscopy reveals that this crystal ISB is a novel crystal distortion, i.e.,</w:t>
      </w:r>
      <w:r>
        <w:t xml:space="preserve"> </w:t>
      </w:r>
      <w:r>
        <w:t>c</w:t>
      </w:r>
      <w:r>
        <w:t xml:space="preserve"> </w:t>
      </w:r>
      <w:r>
        <w:t>/</w:t>
      </w:r>
      <w:r>
        <w:t>a</w:t>
      </w:r>
      <w:r>
        <w:t xml:space="preserve"> </w:t>
      </w:r>
      <w:r>
        <w:t>crystal ratio change, induced by the Ru cation's off‐center displacement within the electrostatic screening depth due to the FE field. By electrical harmonic measurement, we reveal that the existence of this crystal ISB can dramatically enhance the SOT efficiency in the SRO layer by more than 60%. Our work provides an alternative to design highly efficient SOT source layer, paving the way toward low‐power spintronics.</w:t>
      </w:r>
    </w:p>
    <w:p>
      <w:pPr>
        <w:spacing w:before="120" w:after="120"/>
      </w:pPr>
      <w:r>
        <w:rPr>
          <w:sz w:val="18"/>
        </w:rPr>
        <w:t>——————————————————————————————————————————————————————————————————————</w:t>
      </w:r>
    </w:p>
    <w:p>
      <w:pPr>
        <w:spacing w:before="160" w:after="40" w:line="240" w:lineRule="auto"/>
      </w:pPr>
      <w:r>
        <w:rPr>
          <w:b/>
        </w:rPr>
        <w:t xml:space="preserve">[144] </w:t>
      </w:r>
      <w:hyperlink r:id="rId394">
        <w:r>
          <w:rPr>
            <w:color w:val="1155CC"/>
            <w:u w:val="single"/>
          </w:rPr>
          <w:t>正交单体设计实现超低介电应用的顺序固化混合聚合物</w:t>
        </w:r>
      </w:hyperlink>
    </w:p>
    <w:p>
      <w:pPr>
        <w:spacing w:before="0" w:after="80"/>
      </w:pPr>
      <w:r>
        <w:rPr>
          <w:i/>
          <w:sz w:val="20"/>
        </w:rPr>
        <w:t>EN: Orthogonal Monomer Design Enables Sequentially Cured Hybrid Polymers for Ultralow‐Dielectric Applications</w:t>
      </w:r>
    </w:p>
    <w:p>
      <w:pPr>
        <w:spacing w:before="0" w:after="120"/>
      </w:pPr>
      <w:r>
        <w:rPr>
          <w:b/>
        </w:rPr>
        <w:t xml:space="preserve">Source: </w:t>
      </w:r>
      <w:r>
        <w:t>Wiley: Advanced Materials: Table of Contents</w:t>
      </w:r>
      <w:r>
        <w:t xml:space="preserve">    </w:t>
      </w:r>
      <w:r>
        <w:rPr>
          <w:b/>
        </w:rPr>
        <w:t xml:space="preserve">Pub date: </w:t>
      </w:r>
      <w:r>
        <w:t>2026-04-28 06:22:09+00:00</w:t>
      </w:r>
      <w:r>
        <w:t xml:space="preserve">    </w:t>
      </w:r>
      <w:r>
        <w:rPr>
          <w:b/>
        </w:rPr>
        <w:t xml:space="preserve">DOI: </w:t>
      </w:r>
      <w:hyperlink r:id="rId395">
        <w:r>
          <w:rPr>
            <w:color w:val="1155CC"/>
            <w:u w:val="single"/>
          </w:rPr>
          <w:t>10.1002/adma.202600007</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精确的分子设计和正交反应路径为工程聚合物网络提供了强大的工具，具有控制的纳米级结构和先进的介电性能。在此，我们报告了一种正交单体设计策略，结合开环易位聚合（ROMP）、光二聚和热诱导苯并环丁烯（BCB）交联，以构建具有顺序固化、纳米限域倍半硅氧烷（SSQ）域的混合聚合物。将光反应性蒽和热活性BCB单元模块化地引入ROMP兼容单体中，实现了化学解耦的双重固化。这种顺序交联允许在共价有机基体内精确空间限域SSQ域，有效地最小化界面缺陷和相分离。所得混合网络表现出超低介电常数（</w:t>
      </w:r>
      <w:r>
        <w:t xml:space="preserve"> </w:t>
      </w:r>
      <w:r>
        <w:t>D</w:t>
      </w:r>
      <w:r>
        <w:t xml:space="preserve"> </w:t>
      </w:r>
      <w:r>
        <w:t>k</w:t>
      </w:r>
      <w:r>
        <w:t xml:space="preserve"> </w:t>
      </w:r>
      <w:r>
        <w:t>= 2.08）、极低的耗散因子（</w:t>
      </w:r>
      <w:r>
        <w:t xml:space="preserve"> </w:t>
      </w:r>
      <w:r>
        <w:t>D</w:t>
      </w:r>
      <w:r>
        <w:t xml:space="preserve"> </w:t>
      </w:r>
      <w:r>
        <w:t>f</w:t>
      </w:r>
      <w:r>
        <w:t xml:space="preserve"> </w:t>
      </w:r>
      <w:r>
        <w:t>= 6.67 × 10</w:t>
      </w:r>
      <w:r>
        <w:t xml:space="preserve"> </w:t>
      </w:r>
      <w:r>
        <w:t>−4</w:t>
      </w:r>
      <w:r>
        <w:t xml:space="preserve"> </w:t>
      </w:r>
      <w:r>
        <w:t>）、高热稳定性（5%重量损失温度，</w:t>
      </w:r>
      <w:r>
        <w:t xml:space="preserve"> </w:t>
      </w:r>
      <w:r>
        <w:t>T</w:t>
      </w:r>
      <w:r>
        <w:t xml:space="preserve"> </w:t>
      </w:r>
      <w:r>
        <w:t>d5</w:t>
      </w:r>
      <w:r>
        <w:t xml:space="preserve"> </w:t>
      </w:r>
      <w:r>
        <w:t>&gt; 400°C）、疏水表面（水接触角&gt; 100°）和强大的机械完整性。该工作强调了一种可推广的化学设计范式，将正交单体反应性与纳米结构控制和多功能介电性能联系起来。</w:t>
      </w:r>
    </w:p>
    <w:p>
      <w:pPr>
        <w:spacing w:before="0" w:after="200" w:lineRule="auto" w:line="276"/>
      </w:pPr>
      <w:r>
        <w:rPr>
          <w:b/>
        </w:rPr>
        <w:t xml:space="preserve">Abstract (EN): </w:t>
      </w:r>
      <w:r>
        <w:t>Precise molecular design and orthogonal reaction pathways offer powerful tools for engineering polymer networks with controlled nanoscale architectures and advanced dielectric properties. Herein, we report an orthogonal monomer design strategy that integrates ring‐opening metathesis polymerization (ROMP), photodimerization, and thermally induced benzocyclobutene (BCB) crosslinking to construct hybrid polymers with sequentially cured, nanoconfined silsesquioxane (SSQ) domains. The modular incorporation of photoreactive anthracene and thermally active BCB units into ROMP‐compatible monomers enables chemically decoupled dual curing. This sequential crosslinking allows precise spatial confinement of SSQ domains within a covalent organic matrix, effectively minimizing interfacial defects and phase separation. The resulting hybrid networks exhibit an ultralow dielectric constant (</w:t>
      </w:r>
      <w:r>
        <w:t xml:space="preserve"> </w:t>
      </w:r>
      <w:r>
        <w:t>D</w:t>
      </w:r>
      <w:r>
        <w:t xml:space="preserve"> </w:t>
      </w:r>
      <w:r>
        <w:t>k</w:t>
      </w:r>
      <w:r>
        <w:t xml:space="preserve"> </w:t>
      </w:r>
      <w:r>
        <w:t>= 2.08), extremely low dissipation factor (</w:t>
      </w:r>
      <w:r>
        <w:t xml:space="preserve"> </w:t>
      </w:r>
      <w:r>
        <w:t>D</w:t>
      </w:r>
      <w:r>
        <w:t xml:space="preserve"> </w:t>
      </w:r>
      <w:r>
        <w:t>f</w:t>
      </w:r>
      <w:r>
        <w:t xml:space="preserve"> </w:t>
      </w:r>
      <w:r>
        <w:t>= 6.67 × 10</w:t>
      </w:r>
      <w:r>
        <w:t xml:space="preserve"> </w:t>
      </w:r>
      <w:r>
        <w:t>−4</w:t>
      </w:r>
      <w:r>
        <w:t xml:space="preserve"> </w:t>
      </w:r>
      <w:r>
        <w:t>), high thermal stability (the 5% weight loss temperature,</w:t>
      </w:r>
      <w:r>
        <w:t xml:space="preserve"> </w:t>
      </w:r>
      <w:r>
        <w:t>T</w:t>
      </w:r>
      <w:r>
        <w:t xml:space="preserve"> </w:t>
      </w:r>
      <w:r>
        <w:t>d5</w:t>
      </w:r>
      <w:r>
        <w:t xml:space="preserve"> </w:t>
      </w:r>
      <w:r>
        <w:t>&amp;gt; 400°C), hydrophobic surfaces (water contact angle &amp;gt; 100°), and robust mechanical integrity. This work highlights a generalizable chemical design paradigm that links orthogonal monomer reactivity to nanoscale structure control and multifunctional dielectric performance, offering a promising pathway for advanced electronic packaging materials.</w:t>
      </w:r>
    </w:p>
    <w:p>
      <w:pPr>
        <w:spacing w:before="120" w:after="120"/>
      </w:pPr>
      <w:r>
        <w:rPr>
          <w:sz w:val="18"/>
        </w:rPr>
        <w:t>——————————————————————————————————————————————————————————————————————</w:t>
      </w:r>
    </w:p>
    <w:p>
      <w:pPr>
        <w:spacing w:before="160" w:after="40" w:line="240" w:lineRule="auto"/>
      </w:pPr>
      <w:r>
        <w:rPr>
          <w:b/>
        </w:rPr>
        <w:t xml:space="preserve">[145] </w:t>
      </w:r>
      <w:hyperlink r:id="rId396">
        <w:r>
          <w:rPr>
            <w:color w:val="1155CC"/>
            <w:u w:val="single"/>
          </w:rPr>
          <w:t>具有多尺度异质通道和镶嵌电荷结构的双聚酰胺薄膜复合膜，用于提升离子传输和渗透能量转换</w:t>
        </w:r>
      </w:hyperlink>
    </w:p>
    <w:p>
      <w:pPr>
        <w:spacing w:before="0" w:after="80"/>
      </w:pPr>
      <w:r>
        <w:rPr>
          <w:i/>
          <w:sz w:val="20"/>
        </w:rPr>
        <w:t>EN: Dual Polyamide Thin‐Film Composite Membrane With Multiscale Hetero‐Channels and Mosaic Charge Architecture for Boosting Ion Transport and Osmotic Energy Conversion</w:t>
      </w:r>
    </w:p>
    <w:p>
      <w:pPr>
        <w:spacing w:before="0" w:after="120"/>
      </w:pPr>
      <w:r>
        <w:rPr>
          <w:b/>
        </w:rPr>
        <w:t xml:space="preserve">Source: </w:t>
      </w:r>
      <w:r>
        <w:t>Wiley: Angewandte Chemie International Edition: Table of Contents</w:t>
      </w:r>
      <w:r>
        <w:t xml:space="preserve">    </w:t>
      </w:r>
      <w:r>
        <w:rPr>
          <w:b/>
        </w:rPr>
        <w:t xml:space="preserve">Pub date: </w:t>
      </w:r>
      <w:r>
        <w:t>2026-04-28 06:25:56+00:00</w:t>
      </w:r>
      <w:r>
        <w:t xml:space="preserve">    </w:t>
      </w:r>
      <w:r>
        <w:rPr>
          <w:b/>
        </w:rPr>
        <w:t xml:space="preserve">DOI: </w:t>
      </w:r>
      <w:hyperlink r:id="rId397">
        <w:r>
          <w:rPr>
            <w:color w:val="1155CC"/>
            <w:u w:val="single"/>
          </w:rPr>
          <w:t>10.1002/anie.4186742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非对称离子选择性膜在高效渗透能量收集方面显示出前景。目前大多数非对称膜采用双极结构以减轻浓度极化。然而，这种方法通常会增加传输阻力并损害离子选择性。为了解决这些问题，我们通过顺序界面聚合（IP）合理设计了一种双聚酰胺薄膜复合（dPA TFC）膜。该膜由两层不同的聚酰胺（PA）层组成，原位形成于大孔基底上。通过表面活性剂辅助的IP过程，获得了具有均匀且带负电荷的3D孔结构的超薄内层PA层，提供了高离子选择性和渗透性。随后，使用质子化卟啉作为构建块构建了具有镶嵌电荷结构的松散外层PA层。该层促进显著的单向离子传输并有效抑制浓度极化，同时保持高阳离子选择性0.962。此外，该膜表现出光响应行为，实现了光增强的渗透能量转换和抗菌活性。因此，dPA TFC膜在光照下实现了13.2 W m−2的高渗透功率密度。这项工作提供了一种设计范式，克服了传统的渗透性-选择性权衡，同时在抑制离子浓度极化与高选择性之间取得平衡，从而推进了</w:t>
      </w:r>
    </w:p>
    <w:p>
      <w:pPr>
        <w:spacing w:before="0" w:after="200" w:lineRule="auto" w:line="276"/>
      </w:pPr>
      <w:r>
        <w:rPr>
          <w:b/>
        </w:rPr>
        <w:t xml:space="preserve">Abstract (EN): </w:t>
      </w:r>
      <w:r>
        <w:t>Asymmetric ion‐selective membranes show promise for efficient osmotic energy harvesting. Most current asymmetric membranes adopt a bipolar structure to mitigate concentration polarization. However, this approach usually increases transport resistance and compromises ion selectivity. To address these, we rationally designed a dual polyamide thin‐film composite (dPA TFC) membrane via sequential interfacial polymerization (IP). The membrane is composed of two distinct polyamide (PA) layers in situ formed on a macroporous substrate. Through a surfactant‐assisted IP process, an ultrathin inner PA layer with a uniform and negatively charged 3D pore structure was obtained, delivering both high ion selectivity and permeability. Subsequently, a loose outer PA layer featuring a mosaic charge architecture was constructed using protonated porphyrin as a building block. This layer promotes significant unidirectional ion transport and effectively suppresses concentration polarization, while maintaining a high cation selectivity of 0.962. Additionally, the membrane exhibits photo‐responsive behavior, enabling photo‐enhanced osmotic energy conversion and antibacterial activity. As a result, the dPA TFC membrane achieves a high osmotic power density of 13.2 W m</w:t>
      </w:r>
      <w:r>
        <w:t xml:space="preserve"> </w:t>
      </w:r>
      <w:r>
        <w:t>−2</w:t>
      </w:r>
      <w:r>
        <w:t xml:space="preserve"> </w:t>
      </w:r>
      <w:r>
        <w:t>under light irradiation. This work provides a design paradigm that overcomes the conventional permeability‐selectivity trade‐off while simultaneously balancing ion concentration polarization suppression with high selectivity, thereby advancing the development of osmotic energy conversion systems.</w:t>
      </w:r>
    </w:p>
    <w:p>
      <w:pPr>
        <w:spacing w:before="120" w:after="120"/>
      </w:pPr>
      <w:r>
        <w:rPr>
          <w:sz w:val="18"/>
        </w:rPr>
        <w:t>——————————————————————————————————————————————————————————————————————</w:t>
      </w:r>
    </w:p>
    <w:p>
      <w:pPr>
        <w:spacing w:before="160" w:after="40" w:line="240" w:lineRule="auto"/>
      </w:pPr>
      <w:r>
        <w:rPr>
          <w:b/>
        </w:rPr>
        <w:t xml:space="preserve">[146] </w:t>
      </w:r>
      <w:hyperlink r:id="rId398">
        <w:r>
          <w:rPr>
            <w:color w:val="1155CC"/>
            <w:u w:val="single"/>
          </w:rPr>
          <w:t>铟磷化物硫属化合物中的功能性铟空位</w:t>
        </w:r>
      </w:hyperlink>
    </w:p>
    <w:p>
      <w:pPr>
        <w:spacing w:before="0" w:after="80"/>
      </w:pPr>
      <w:r>
        <w:rPr>
          <w:i/>
          <w:sz w:val="20"/>
        </w:rPr>
        <w:t>EN: Functional Indium Vacancies in Indium Phosphors Chalcogenides</w:t>
      </w:r>
    </w:p>
    <w:p>
      <w:pPr>
        <w:spacing w:before="0" w:after="120"/>
      </w:pPr>
      <w:r>
        <w:rPr>
          <w:b/>
        </w:rPr>
        <w:t xml:space="preserve">Source: </w:t>
      </w:r>
      <w:r>
        <w:t>Wiley: Advanced Materials: Table of Contents</w:t>
      </w:r>
      <w:r>
        <w:t xml:space="preserve">    </w:t>
      </w:r>
      <w:r>
        <w:rPr>
          <w:b/>
        </w:rPr>
        <w:t xml:space="preserve">Pub date: </w:t>
      </w:r>
      <w:r>
        <w:t>2026-04-28 06:26:17+00:00</w:t>
      </w:r>
      <w:r>
        <w:t xml:space="preserve">    </w:t>
      </w:r>
      <w:r>
        <w:rPr>
          <w:b/>
        </w:rPr>
        <w:t xml:space="preserve">DOI: </w:t>
      </w:r>
      <w:hyperlink r:id="rId399">
        <w:r>
          <w:rPr>
            <w:color w:val="1155CC"/>
            <w:u w:val="single"/>
          </w:rPr>
          <w:t>10.1002/adma.202523655</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层状磷化铟三硫族化物（In4/3P2X6）因其有序的铟空位和依赖堆叠的特性而受到广泛关注，使其在电子学、催化和能量存储中具有应用潜力。然而，In4/3P2X6中的空位控制堆叠多型和原子结构仍然难以捉摸。此外，铟空位在外部刺激下的易重构性使其直接可视化具有挑战性。在此，采用低剂量像差校正扫描透射电子显微镜（STEM）、四维STEM（4D-STEM）技术和密度泛函理论（DFT）系统地探索了In4/3P2X6的原子结构及掺杂In4/3P2X6的磁性。In4/3P2X6中具有滑移反射对称排序的铟空位在原子尺度上被解析，驱动了具有非传统s</w:t>
      </w:r>
    </w:p>
    <w:p>
      <w:pPr>
        <w:spacing w:before="0" w:after="200" w:lineRule="auto" w:line="276"/>
      </w:pPr>
      <w:r>
        <w:rPr>
          <w:b/>
        </w:rPr>
        <w:t xml:space="preserve">Abstract (EN): </w:t>
      </w:r>
      <w:r>
        <w:t>Layered Indium phosphorus trichalcogenides (In</w:t>
      </w:r>
      <w:r>
        <w:t xml:space="preserve"> </w:t>
      </w:r>
      <w:r>
        <w:t>4/3</w:t>
      </w:r>
      <w:r>
        <w:t xml:space="preserve"> </w:t>
      </w:r>
      <w:r>
        <w:t>P</w:t>
      </w:r>
      <w:r>
        <w:rPr>
          <w:vertAlign w:val="subscript"/>
        </w:rPr>
        <w:t>2</w:t>
      </w:r>
      <w:r>
        <w:t>X</w:t>
      </w:r>
      <w:r>
        <w:rPr>
          <w:vertAlign w:val="subscript"/>
        </w:rPr>
        <w:t>6</w:t>
      </w:r>
      <w:r>
        <w:t>) have received significant attention due to their ordered indium vacancies and stacking‐dependent properties, enabling applications in electronics, catalysis, and energy storage. However, the vacancy‐governed stacking polytypes and atomic structures in In</w:t>
      </w:r>
      <w:r>
        <w:t xml:space="preserve"> </w:t>
      </w:r>
      <w:r>
        <w:t>4/3</w:t>
      </w:r>
      <w:r>
        <w:t xml:space="preserve"> </w:t>
      </w:r>
      <w:r>
        <w:t>P</w:t>
      </w:r>
      <w:r>
        <w:rPr>
          <w:vertAlign w:val="subscript"/>
        </w:rPr>
        <w:t>2</w:t>
      </w:r>
      <w:r>
        <w:t>X</w:t>
      </w:r>
      <w:r>
        <w:rPr>
          <w:vertAlign w:val="subscript"/>
        </w:rPr>
        <w:t>6</w:t>
      </w:r>
      <w:r>
        <w:t>remain elusive. Moreover, the facile reconstruction of the indium vacancies upon external stimulus makes their direct visualization challenging. Here, a low‐dose aberration‐corrected scanning transmission electron microscopy (STEM), four‐dimensional STEM (4D‐STEM) techniques, and density functional theory (DFT) are employed to systematically explore the atomic structure of In</w:t>
      </w:r>
      <w:r>
        <w:t xml:space="preserve"> </w:t>
      </w:r>
      <w:r>
        <w:t>4/3</w:t>
      </w:r>
      <w:r>
        <w:t xml:space="preserve"> </w:t>
      </w:r>
      <w:r>
        <w:t>P</w:t>
      </w:r>
      <w:r>
        <w:rPr>
          <w:vertAlign w:val="subscript"/>
        </w:rPr>
        <w:t>2</w:t>
      </w:r>
      <w:r>
        <w:t>X</w:t>
      </w:r>
      <w:r>
        <w:rPr>
          <w:vertAlign w:val="subscript"/>
        </w:rPr>
        <w:t>6</w:t>
      </w:r>
      <w:r>
        <w:t>and the magnetic properties of doped In</w:t>
      </w:r>
      <w:r>
        <w:t xml:space="preserve"> </w:t>
      </w:r>
      <w:r>
        <w:t>4/3</w:t>
      </w:r>
      <w:r>
        <w:t xml:space="preserve"> </w:t>
      </w:r>
      <w:r>
        <w:t>P</w:t>
      </w:r>
      <w:r>
        <w:rPr>
          <w:vertAlign w:val="subscript"/>
        </w:rPr>
        <w:t>2</w:t>
      </w:r>
      <w:r>
        <w:t>X</w:t>
      </w:r>
      <w:r>
        <w:rPr>
          <w:vertAlign w:val="subscript"/>
        </w:rPr>
        <w:t>6</w:t>
      </w:r>
      <w:r>
        <w:t>. The indium vacancies with glide‐reflection symmetric ordering in In</w:t>
      </w:r>
      <w:r>
        <w:t xml:space="preserve"> </w:t>
      </w:r>
      <w:r>
        <w:t>4/3</w:t>
      </w:r>
      <w:r>
        <w:t xml:space="preserve"> </w:t>
      </w:r>
      <w:r>
        <w:t>P</w:t>
      </w:r>
      <w:r>
        <w:rPr>
          <w:vertAlign w:val="subscript"/>
        </w:rPr>
        <w:t>2</w:t>
      </w:r>
      <w:r>
        <w:t>X</w:t>
      </w:r>
      <w:r>
        <w:rPr>
          <w:vertAlign w:val="subscript"/>
        </w:rPr>
        <w:t>6</w:t>
      </w:r>
      <w:r>
        <w:t>are resolved at the atomic scale, driving armchair‐type interlayer gliding with an unconventional step in In</w:t>
      </w:r>
      <w:r>
        <w:t xml:space="preserve"> </w:t>
      </w:r>
      <w:r>
        <w:t>4/3</w:t>
      </w:r>
      <w:r>
        <w:t xml:space="preserve"> </w:t>
      </w:r>
      <w:r>
        <w:t>P</w:t>
      </w:r>
      <w:r>
        <w:rPr>
          <w:vertAlign w:val="subscript"/>
        </w:rPr>
        <w:t>2</w:t>
      </w:r>
      <w:r>
        <w:t>Se</w:t>
      </w:r>
      <w:r>
        <w:rPr>
          <w:vertAlign w:val="subscript"/>
        </w:rPr>
        <w:t>6</w:t>
      </w:r>
      <w:r>
        <w:t>and zigzag‐type gliding in In</w:t>
      </w:r>
      <w:r>
        <w:t xml:space="preserve"> </w:t>
      </w:r>
      <w:r>
        <w:t>4/3</w:t>
      </w:r>
      <w:r>
        <w:t xml:space="preserve"> </w:t>
      </w:r>
      <w:r>
        <w:t>P</w:t>
      </w:r>
      <w:r>
        <w:rPr>
          <w:vertAlign w:val="subscript"/>
        </w:rPr>
        <w:t>2</w:t>
      </w:r>
      <w:r>
        <w:t>S</w:t>
      </w:r>
      <w:r>
        <w:rPr>
          <w:vertAlign w:val="subscript"/>
        </w:rPr>
        <w:t>6</w:t>
      </w:r>
      <w:r>
        <w:t>, yielding ABC and nearly‐ABC stacking polytypes, respectively. DFT calculations reveal that both gliding modes are energetically favorable, with their distinctions arising from the ligand‐modulated interlayer charge distributions. Besides, filling the indium vacancies with magnetic dopants induces tunable magnetic ordering in In</w:t>
      </w:r>
      <w:r>
        <w:t xml:space="preserve"> </w:t>
      </w:r>
      <w:r>
        <w:t>4/3</w:t>
      </w:r>
      <w:r>
        <w:t xml:space="preserve"> </w:t>
      </w:r>
      <w:r>
        <w:t>P</w:t>
      </w:r>
      <w:r>
        <w:rPr>
          <w:vertAlign w:val="subscript"/>
        </w:rPr>
        <w:t>2</w:t>
      </w:r>
      <w:r>
        <w:t>X</w:t>
      </w:r>
      <w:r>
        <w:rPr>
          <w:vertAlign w:val="subscript"/>
        </w:rPr>
        <w:t>6</w:t>
      </w:r>
      <w:r>
        <w:t>, and also drives a structural transition to an MPX</w:t>
      </w:r>
      <w:r>
        <w:rPr>
          <w:vertAlign w:val="subscript"/>
        </w:rPr>
        <w:t>3</w:t>
      </w:r>
      <w:r>
        <w:t>‐like phase and a non‐magnetic paramagnetic (PM)−FM transition. This study sheds light on vacancy‐governed structure in In</w:t>
      </w:r>
      <w:r>
        <w:t xml:space="preserve"> </w:t>
      </w:r>
      <w:r>
        <w:t>4/3</w:t>
      </w:r>
      <w:r>
        <w:t xml:space="preserve"> </w:t>
      </w:r>
      <w:r>
        <w:t>P</w:t>
      </w:r>
      <w:r>
        <w:rPr>
          <w:vertAlign w:val="subscript"/>
        </w:rPr>
        <w:t>2</w:t>
      </w:r>
      <w:r>
        <w:t>X</w:t>
      </w:r>
      <w:r>
        <w:rPr>
          <w:vertAlign w:val="subscript"/>
        </w:rPr>
        <w:t>6</w:t>
      </w:r>
      <w:r>
        <w:t>and highlights it as an excellent matrix for designing novel functional 2D magnets via doping engineering.</w:t>
      </w:r>
    </w:p>
    <w:p>
      <w:pPr>
        <w:spacing w:before="120" w:after="120"/>
      </w:pPr>
      <w:r>
        <w:rPr>
          <w:sz w:val="18"/>
        </w:rPr>
        <w:t>——————————————————————————————————————————————————————————————————————</w:t>
      </w:r>
    </w:p>
    <w:p>
      <w:pPr>
        <w:spacing w:before="160" w:after="40" w:line="240" w:lineRule="auto"/>
      </w:pPr>
      <w:r>
        <w:rPr>
          <w:b/>
        </w:rPr>
        <w:t xml:space="preserve">[147] </w:t>
      </w:r>
      <w:hyperlink r:id="rId400">
        <w:r>
          <w:rPr>
            <w:color w:val="1155CC"/>
            <w:u w:val="single"/>
          </w:rPr>
          <w:t>设计{InCu6}异金属氧簇以实现优异的质子传导：机理洞察和基于湿度梯度的发电</w:t>
        </w:r>
      </w:hyperlink>
    </w:p>
    <w:p>
      <w:pPr>
        <w:spacing w:before="0" w:after="80"/>
      </w:pPr>
      <w:r>
        <w:rPr>
          <w:i/>
          <w:sz w:val="20"/>
        </w:rPr>
        <w:t>EN: Rational Design of a {InCu6} Heterometallic Oxo Cluster for Superior Proton Conduction: Mechanistic Insights and Humidity Gradient‐Based Power Generation</w:t>
      </w:r>
    </w:p>
    <w:p>
      <w:pPr>
        <w:spacing w:before="0" w:after="120"/>
      </w:pPr>
      <w:r>
        <w:rPr>
          <w:b/>
        </w:rPr>
        <w:t xml:space="preserve">Source: </w:t>
      </w:r>
      <w:r>
        <w:t>Wiley: Angewandte Chemie International Edition: Table of Contents</w:t>
      </w:r>
      <w:r>
        <w:t xml:space="preserve">    </w:t>
      </w:r>
      <w:r>
        <w:rPr>
          <w:b/>
        </w:rPr>
        <w:t xml:space="preserve">Pub date: </w:t>
      </w:r>
      <w:r>
        <w:t>2026-04-28 06:27:40+00:00</w:t>
      </w:r>
      <w:r>
        <w:t xml:space="preserve">    </w:t>
      </w:r>
      <w:r>
        <w:rPr>
          <w:b/>
        </w:rPr>
        <w:t xml:space="preserve">DOI: </w:t>
      </w:r>
      <w:hyperlink r:id="rId401">
        <w:r>
          <w:rPr>
            <w:color w:val="1155CC"/>
            <w:u w:val="single"/>
          </w:rPr>
          <w:t>10.1002/anie.6584076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本研究采用模板导向组装策略合成了首个In3+/Cu2+异金属氧簇{InCu6}。{InCu6}由l-(+)-酒石酸和乙酸共稳定，具有一个中心InO6八面体，周围环绕六个Cu2+离子。与结构类似的异金属氧簇相比，{InCu6}在30°C和90%相对湿度（RH）下表现出优越的质子导电性，为7.95 × 10−2 S cm−1。DFT计算表明，引入In3+显著降低了{InCu6}中氧原子上质子脱离的能量障碍，从而阐明了In3+/Cu</w:t>
      </w:r>
    </w:p>
    <w:p>
      <w:pPr>
        <w:spacing w:before="0" w:after="200" w:lineRule="auto" w:line="276"/>
      </w:pPr>
      <w:r>
        <w:rPr>
          <w:b/>
        </w:rPr>
        <w:t xml:space="preserve">Abstract (EN): </w:t>
      </w:r>
      <w:r>
        <w:t>This study employs a template‐directed assembly strategy to synthesize the first In</w:t>
      </w:r>
      <w:r>
        <w:t xml:space="preserve"> </w:t>
      </w:r>
      <w:r>
        <w:t>3+</w:t>
      </w:r>
      <w:r>
        <w:t xml:space="preserve"> </w:t>
      </w:r>
      <w:r>
        <w:t>/Cu</w:t>
      </w:r>
      <w:r>
        <w:t xml:space="preserve"> </w:t>
      </w:r>
      <w:r>
        <w:t>2+</w:t>
      </w:r>
      <w:r>
        <w:t xml:space="preserve"> </w:t>
      </w:r>
      <w:r>
        <w:t>heterometallic oxo cluster,</w:t>
      </w:r>
      <w:r>
        <w:t xml:space="preserve"> </w:t>
      </w:r>
      <w:r>
        <w:t>{InCu</w:t>
      </w:r>
      <w:r>
        <w:rPr>
          <w:vertAlign w:val="subscript"/>
        </w:rPr>
        <w:t>6</w:t>
      </w:r>
      <w:r>
        <w:t>}</w:t>
      </w:r>
      <w:r>
        <w:t xml:space="preserve"> </w:t>
      </w:r>
      <w:r>
        <w:t>.</w:t>
      </w:r>
      <w:r>
        <w:t xml:space="preserve"> </w:t>
      </w:r>
      <w:r>
        <w:t>{InCu</w:t>
      </w:r>
      <w:r>
        <w:rPr>
          <w:vertAlign w:val="subscript"/>
        </w:rPr>
        <w:t>6</w:t>
      </w:r>
      <w:r>
        <w:t>}</w:t>
      </w:r>
      <w:r>
        <w:t xml:space="preserve"> </w:t>
      </w:r>
      <w:r>
        <w:t>costabilized by</w:t>
      </w:r>
      <w:r>
        <w:t xml:space="preserve"> </w:t>
      </w:r>
      <w:r>
        <w:t>l</w:t>
      </w:r>
      <w:r>
        <w:t xml:space="preserve"> </w:t>
      </w:r>
      <w:r>
        <w:t>‐(+)‐tartaric and acetic acids, features a central InO</w:t>
      </w:r>
      <w:r>
        <w:rPr>
          <w:vertAlign w:val="subscript"/>
        </w:rPr>
        <w:t>6</w:t>
      </w:r>
      <w:r>
        <w:t>octahedron surrounded by six Cu</w:t>
      </w:r>
      <w:r>
        <w:t xml:space="preserve"> </w:t>
      </w:r>
      <w:r>
        <w:t>2+</w:t>
      </w:r>
      <w:r>
        <w:t xml:space="preserve"> </w:t>
      </w:r>
      <w:r>
        <w:t>ions. Benchmarked against structurally analogous heterometallic oxo clusters,</w:t>
      </w:r>
      <w:r>
        <w:t xml:space="preserve"> </w:t>
      </w:r>
      <w:r>
        <w:t>{InCu</w:t>
      </w:r>
      <w:r>
        <w:rPr>
          <w:vertAlign w:val="subscript"/>
        </w:rPr>
        <w:t>6</w:t>
      </w:r>
      <w:r>
        <w:t>}</w:t>
      </w:r>
      <w:r>
        <w:t xml:space="preserve"> </w:t>
      </w:r>
      <w:r>
        <w:t>demonstrates superior proton conductivity of 7.95 × 10</w:t>
      </w:r>
      <w:r>
        <w:t xml:space="preserve"> </w:t>
      </w:r>
      <w:r>
        <w:t>−2</w:t>
      </w:r>
      <w:r>
        <w:t xml:space="preserve"> </w:t>
      </w:r>
      <w:r>
        <w:t>S cm</w:t>
      </w:r>
      <w:r>
        <w:t xml:space="preserve"> </w:t>
      </w:r>
      <w:r>
        <w:t>−1</w:t>
      </w:r>
      <w:r>
        <w:t xml:space="preserve"> </w:t>
      </w:r>
      <w:r>
        <w:t>at 30°C and 90% relative humidity (RH). DFT calculations indicate that the introduction of In</w:t>
      </w:r>
      <w:r>
        <w:t xml:space="preserve"> </w:t>
      </w:r>
      <w:r>
        <w:t>3+</w:t>
      </w:r>
      <w:r>
        <w:t xml:space="preserve"> </w:t>
      </w:r>
      <w:r>
        <w:t>significantly reduces the energy barrier for proton detachment from the oxygen atoms in</w:t>
      </w:r>
      <w:r>
        <w:t xml:space="preserve"> </w:t>
      </w:r>
      <w:r>
        <w:t>{InCu</w:t>
      </w:r>
      <w:r>
        <w:rPr>
          <w:vertAlign w:val="subscript"/>
        </w:rPr>
        <w:t>6</w:t>
      </w:r>
      <w:r>
        <w:t>}</w:t>
      </w:r>
      <w:r>
        <w:t xml:space="preserve"> </w:t>
      </w:r>
      <w:r>
        <w:t>, thus elucidating the kinetic mechanism by which In</w:t>
      </w:r>
      <w:r>
        <w:t xml:space="preserve"> </w:t>
      </w:r>
      <w:r>
        <w:t>3+</w:t>
      </w:r>
      <w:r>
        <w:t xml:space="preserve"> </w:t>
      </w:r>
      <w:r>
        <w:t>/Cu</w:t>
      </w:r>
      <w:r>
        <w:t xml:space="preserve"> </w:t>
      </w:r>
      <w:r>
        <w:t>2+</w:t>
      </w:r>
      <w:r>
        <w:t xml:space="preserve"> </w:t>
      </w:r>
      <w:r>
        <w:t>synergy enhances the conduction efficiency. To translate this molecular performance into a functional device for humidity gradient‐based power generators (HGPGs), a novel cationic polymer (</w:t>
      </w:r>
      <w:r>
        <w:t xml:space="preserve"> </w:t>
      </w:r>
      <w:r>
        <w:t>PVA‐CTPP</w:t>
      </w:r>
      <w:r>
        <w:t xml:space="preserve"> </w:t>
      </w:r>
      <w:r>
        <w:t>+</w:t>
      </w:r>
      <w:r>
        <w:t xml:space="preserve"> </w:t>
      </w:r>
      <w:r>
        <w:t>Br</w:t>
      </w:r>
      <w:r>
        <w:t xml:space="preserve"> </w:t>
      </w:r>
      <w:r>
        <w:t>−</w:t>
      </w:r>
      <w:r>
        <w:t xml:space="preserve"> </w:t>
      </w:r>
      <w:r>
        <w:t>) was designed and synthesized as the matrix to form a uniform</w:t>
      </w:r>
      <w:r>
        <w:t xml:space="preserve"> </w:t>
      </w:r>
      <w:r>
        <w:t>PVA‐CTPP</w:t>
      </w:r>
      <w:r>
        <w:t xml:space="preserve"> </w:t>
      </w:r>
      <w:r>
        <w:t>+</w:t>
      </w:r>
      <w:r>
        <w:t xml:space="preserve"> </w:t>
      </w:r>
      <w:r>
        <w:t>‐{InCu</w:t>
      </w:r>
      <w:r>
        <w:rPr>
          <w:vertAlign w:val="subscript"/>
        </w:rPr>
        <w:t>6</w:t>
      </w:r>
      <w:r>
        <w:t>}</w:t>
      </w:r>
      <w:r>
        <w:t xml:space="preserve"> </w:t>
      </w:r>
      <w:r>
        <w:t>composite film. The resulting planar generator demonstrated stable performance, delivering an output of 0.63 V and 14.3 µA cm</w:t>
      </w:r>
      <w:r>
        <w:t xml:space="preserve"> </w:t>
      </w:r>
      <w:r>
        <w:t>−2</w:t>
      </w:r>
      <w:r>
        <w:t xml:space="preserve"> </w:t>
      </w:r>
      <w:r>
        <w:t>at 92% RH and room temperature.</w:t>
      </w:r>
    </w:p>
    <w:p>
      <w:pPr>
        <w:spacing w:before="120" w:after="120"/>
      </w:pPr>
      <w:r>
        <w:rPr>
          <w:sz w:val="18"/>
        </w:rPr>
        <w:t>——————————————————————————————————————————————————————————————————————</w:t>
      </w:r>
    </w:p>
    <w:p>
      <w:pPr>
        <w:spacing w:before="160" w:after="40" w:line="240" w:lineRule="auto"/>
      </w:pPr>
      <w:r>
        <w:rPr>
          <w:b/>
        </w:rPr>
        <w:t xml:space="preserve">[148] </w:t>
      </w:r>
      <w:hyperlink r:id="rId402">
        <w:r>
          <w:rPr>
            <w:color w:val="1155CC"/>
            <w:u w:val="single"/>
          </w:rPr>
          <w:t>在硅酸盐矿物表面水微滴中意外自发光化学形成过氧化氢</w:t>
        </w:r>
      </w:hyperlink>
    </w:p>
    <w:p>
      <w:pPr>
        <w:spacing w:before="0" w:after="80"/>
      </w:pPr>
      <w:r>
        <w:rPr>
          <w:i/>
          <w:sz w:val="20"/>
        </w:rPr>
        <w:t>EN: Unexpected Spontaneous Photochemical Formation of Hydrogen Peroxide in Water Microdroplets on Silicate Mineral Surfaces</w:t>
      </w:r>
    </w:p>
    <w:p>
      <w:pPr>
        <w:spacing w:before="0" w:after="120"/>
      </w:pPr>
      <w:r>
        <w:rPr>
          <w:b/>
        </w:rPr>
        <w:t xml:space="preserve">Source: </w:t>
      </w:r>
      <w:r>
        <w:t>Wiley: Angewandte Chemie International Edition: Table of Contents</w:t>
      </w:r>
      <w:r>
        <w:t xml:space="preserve">    </w:t>
      </w:r>
      <w:r>
        <w:rPr>
          <w:b/>
        </w:rPr>
        <w:t xml:space="preserve">Pub date: </w:t>
      </w:r>
      <w:r>
        <w:t>2026-04-28 06:28:15+00:00</w:t>
      </w:r>
      <w:r>
        <w:t xml:space="preserve">    </w:t>
      </w:r>
      <w:r>
        <w:rPr>
          <w:b/>
        </w:rPr>
        <w:t xml:space="preserve">DOI: </w:t>
      </w:r>
      <w:hyperlink r:id="rId403">
        <w:r>
          <w:rPr>
            <w:color w:val="1155CC"/>
            <w:u w:val="single"/>
          </w:rPr>
          <w:t>10.1002/anie.9633132</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过氧化氢（H</w:t>
      </w:r>
      <w:r>
        <w:rPr>
          <w:vertAlign w:val="subscript"/>
        </w:rPr>
        <w:t>2</w:t>
      </w:r>
      <w:r>
        <w:t>O</w:t>
      </w:r>
      <w:r>
        <w:rPr>
          <w:vertAlign w:val="subscript"/>
        </w:rPr>
        <w:t>2</w:t>
      </w:r>
      <w:r>
        <w:t>）是一种重要的活性氧物种，在大气和环境化学中具有重要作用。虽然其在水微滴中的自发生成引起了关注，但其形成的非生物途径仍未完全理解。在本研究中，我们展示了在无氧条件下，H</w:t>
      </w:r>
      <w:r>
        <w:rPr>
          <w:vertAlign w:val="subscript"/>
        </w:rPr>
        <w:t>2</w:t>
      </w:r>
      <w:r>
        <w:t>O</w:t>
      </w:r>
      <w:r>
        <w:rPr>
          <w:vertAlign w:val="subscript"/>
        </w:rPr>
        <w:t>2</w:t>
      </w:r>
      <w:r>
        <w:t>在石英表面纯水微滴中的快速自发光化学生成。我们表明，H</w:t>
      </w:r>
      <w:r>
        <w:rPr>
          <w:vertAlign w:val="subscript"/>
        </w:rPr>
        <w:t>2</w:t>
      </w:r>
      <w:r>
        <w:t>O</w:t>
      </w:r>
      <w:r>
        <w:rPr>
          <w:vertAlign w:val="subscript"/>
        </w:rPr>
        <w:t>2</w:t>
      </w:r>
      <w:r>
        <w:t>通过多种途径高效形成，包括在固体-水界面的直接水光氧化，更显著的是水与石英表面结合的过氧自由基（≡Si–O–O·）之间的反应。在石英微滴中观察到的H</w:t>
      </w:r>
      <w:r>
        <w:rPr>
          <w:vertAlign w:val="subscript"/>
        </w:rPr>
        <w:t>2</w:t>
      </w:r>
      <w:r>
        <w:t>O</w:t>
      </w:r>
      <w:r>
        <w:rPr>
          <w:vertAlign w:val="subscript"/>
        </w:rPr>
        <w:t>2</w:t>
      </w:r>
      <w:r>
        <w:t>生成速率达到2.5 × 10</w:t>
      </w:r>
      <w:r>
        <w:rPr>
          <w:vertAlign w:val="subscript"/>
        </w:rPr>
        <w:t>11</w:t>
      </w:r>
      <w:r>
        <w:t>分子 cm</w:t>
      </w:r>
      <w:r>
        <w:t xml:space="preserve"> </w:t>
      </w:r>
      <w:r>
        <w:t>−</w:t>
      </w:r>
      <w:r>
        <w:rPr>
          <w:vertAlign w:val="subscript"/>
        </w:rPr>
        <w:t>2</w:t>
      </w:r>
      <w:r>
        <w:t>s</w:t>
      </w:r>
      <w:r>
        <w:t xml:space="preserve"> </w:t>
      </w:r>
      <w:r>
        <w:t>−</w:t>
      </w:r>
      <w:r>
        <w:rPr>
          <w:vertAlign w:val="subscript"/>
        </w:rPr>
        <w:t>1</w:t>
      </w:r>
      <w:r>
        <w:t>，超过了体相水光解五个数量级。该过程发生在各种天然硅酸盐矿物中，表明水微滴在硅酸盐表面上的光化学反应可能代表了一种重要但以前被忽视的H</w:t>
      </w:r>
      <w:r>
        <w:rPr>
          <w:vertAlign w:val="subscript"/>
        </w:rPr>
        <w:t>2</w:t>
      </w:r>
      <w:r>
        <w:t>O</w:t>
      </w:r>
      <w:r>
        <w:rPr>
          <w:vertAlign w:val="subscript"/>
        </w:rPr>
        <w:t>2</w:t>
      </w:r>
      <w:r>
        <w:t>来源。</w:t>
      </w:r>
    </w:p>
    <w:p>
      <w:pPr>
        <w:spacing w:before="0" w:after="200" w:lineRule="auto" w:line="276"/>
      </w:pPr>
      <w:r>
        <w:rPr>
          <w:b/>
        </w:rPr>
        <w:t xml:space="preserve">Abstract (EN): </w:t>
      </w:r>
      <w:r>
        <w:t>Hydrogen peroxide (H</w:t>
      </w:r>
      <w:r>
        <w:rPr>
          <w:vertAlign w:val="subscript"/>
        </w:rPr>
        <w:t>2</w:t>
      </w:r>
      <w:r>
        <w:t>O</w:t>
      </w:r>
      <w:r>
        <w:rPr>
          <w:vertAlign w:val="subscript"/>
        </w:rPr>
        <w:t>2</w:t>
      </w:r>
      <w:r>
        <w:t>) is a vital reactive oxygen species with significant roles in atmospheric and environmental chemistry. While its spontaneous generation in water microdroplets has gained attention, the abiotic pathways for its formation are still not fully understood. In this study, we demonstrate the rapid and spontaneous photochemical generation of H</w:t>
      </w:r>
      <w:r>
        <w:rPr>
          <w:vertAlign w:val="subscript"/>
        </w:rPr>
        <w:t>2</w:t>
      </w:r>
      <w:r>
        <w:t>O</w:t>
      </w:r>
      <w:r>
        <w:rPr>
          <w:vertAlign w:val="subscript"/>
        </w:rPr>
        <w:t>2</w:t>
      </w:r>
      <w:r>
        <w:t>in pure water microdroplets on quartz surfaces under anoxic conditions. We show that H</w:t>
      </w:r>
      <w:r>
        <w:rPr>
          <w:vertAlign w:val="subscript"/>
        </w:rPr>
        <w:t>2</w:t>
      </w:r>
      <w:r>
        <w:t>O</w:t>
      </w:r>
      <w:r>
        <w:rPr>
          <w:vertAlign w:val="subscript"/>
        </w:rPr>
        <w:t>2</w:t>
      </w:r>
      <w:r>
        <w:t>is efficiently formed through multiple pathways, including direct water photooxidation at the solid–water interface and, more significantly, reactions between water and quartz surface‐bound peroxy radicals (≡Si–O–O·). The observed H</w:t>
      </w:r>
      <w:r>
        <w:rPr>
          <w:vertAlign w:val="subscript"/>
        </w:rPr>
        <w:t>2</w:t>
      </w:r>
      <w:r>
        <w:t>O</w:t>
      </w:r>
      <w:r>
        <w:rPr>
          <w:vertAlign w:val="subscript"/>
        </w:rPr>
        <w:t>2</w:t>
      </w:r>
      <w:r>
        <w:t>production rate reached 2.5 × 10</w:t>
      </w:r>
      <w:r>
        <w:rPr>
          <w:vertAlign w:val="subscript"/>
        </w:rPr>
        <w:t>11</w:t>
      </w:r>
      <w:r>
        <w:t>molecules cm</w:t>
      </w:r>
      <w:r>
        <w:t xml:space="preserve"> </w:t>
      </w:r>
      <w:r>
        <w:t>−</w:t>
      </w:r>
      <w:r>
        <w:rPr>
          <w:vertAlign w:val="subscript"/>
        </w:rPr>
        <w:t>2</w:t>
      </w:r>
      <w:r>
        <w:t>s</w:t>
      </w:r>
      <w:r>
        <w:t xml:space="preserve"> </w:t>
      </w:r>
      <w:r>
        <w:t>−</w:t>
      </w:r>
      <w:r>
        <w:rPr>
          <w:vertAlign w:val="subscript"/>
        </w:rPr>
        <w:t>1</w:t>
      </w:r>
      <w:r>
        <w:t>in microdroplets on quartz, exceeding that of bulk water photolysis by five orders of magnitude. This process occurs across various natural silicate minerals, suggesting that photochemical reactions in water microdroplets on silicate surfaces may represent a significant yet previously overlooked source of H</w:t>
      </w:r>
      <w:r>
        <w:rPr>
          <w:vertAlign w:val="subscript"/>
        </w:rPr>
        <w:t>2</w:t>
      </w:r>
      <w:r>
        <w:t>O</w:t>
      </w:r>
      <w:r>
        <w:rPr>
          <w:vertAlign w:val="subscript"/>
        </w:rPr>
        <w:t>2</w:t>
      </w:r>
      <w:r>
        <w:t>in Earth's environment. Additionally, the solid–liquid interface reactions demonstrated in this study may offer a novel approach for the industrial‐scale synthesis of H</w:t>
      </w:r>
      <w:r>
        <w:rPr>
          <w:vertAlign w:val="subscript"/>
        </w:rPr>
        <w:t>2</w:t>
      </w:r>
      <w:r>
        <w:t>O</w:t>
      </w:r>
      <w:r>
        <w:rPr>
          <w:vertAlign w:val="subscript"/>
        </w:rPr>
        <w:t>2</w:t>
      </w:r>
      <w:r>
        <w:t>, providing an efficient and sustainable alternative to traditional methods.</w:t>
      </w:r>
    </w:p>
    <w:p>
      <w:pPr>
        <w:spacing w:before="120" w:after="120"/>
      </w:pPr>
      <w:r>
        <w:rPr>
          <w:sz w:val="18"/>
        </w:rPr>
        <w:t>——————————————————————————————————————————————————————————————————————</w:t>
      </w:r>
    </w:p>
    <w:p>
      <w:pPr>
        <w:spacing w:before="160" w:after="40" w:line="240" w:lineRule="auto"/>
      </w:pPr>
      <w:r>
        <w:rPr>
          <w:b/>
        </w:rPr>
        <w:t xml:space="preserve">[149] </w:t>
      </w:r>
      <w:hyperlink r:id="rId404">
        <w:r>
          <w:rPr>
            <w:color w:val="1155CC"/>
            <w:u w:val="single"/>
          </w:rPr>
          <w:t>三重孪晶超材料：通过高分辨率XCT揭示力学和失效路径</w:t>
        </w:r>
      </w:hyperlink>
    </w:p>
    <w:p>
      <w:pPr>
        <w:spacing w:before="0" w:after="80"/>
      </w:pPr>
      <w:r>
        <w:rPr>
          <w:i/>
          <w:sz w:val="20"/>
        </w:rPr>
        <w:t>EN: Triply‐Twinned Metamaterials: Unraveling the Mechanics and Failure Pathways Through High‐Resolution XCT</w:t>
      </w:r>
    </w:p>
    <w:p>
      <w:pPr>
        <w:spacing w:before="0" w:after="120"/>
      </w:pPr>
      <w:r>
        <w:rPr>
          <w:b/>
        </w:rPr>
        <w:t xml:space="preserve">Source: </w:t>
      </w:r>
      <w:r>
        <w:t>Wiley: Advanced Materials: Table of Contents</w:t>
      </w:r>
      <w:r>
        <w:t xml:space="preserve">    </w:t>
      </w:r>
      <w:r>
        <w:rPr>
          <w:b/>
        </w:rPr>
        <w:t xml:space="preserve">Pub date: </w:t>
      </w:r>
      <w:r>
        <w:t>2026-04-28 06:28:41+00:00</w:t>
      </w:r>
      <w:r>
        <w:t xml:space="preserve">    </w:t>
      </w:r>
      <w:r>
        <w:rPr>
          <w:b/>
        </w:rPr>
        <w:t xml:space="preserve">DOI: </w:t>
      </w:r>
      <w:hyperlink r:id="rId405">
        <w:r>
          <w:rPr>
            <w:color w:val="1155CC"/>
            <w:u w:val="single"/>
          </w:rPr>
          <w:t>10.1002/adma.202516173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我们设计并工程化了一种新型三重孪晶体心立方（BCCT）晶格，其机械性能比传统BCC晶格架构提高了三倍。低效的支柱变形和缺陷敏感的失效限制了结构化超材料的性能和可靠性。三重孪晶元晶体架构将主导的支柱尺度变形从弯曲转变为在聚合物（Rigid 4K）和金属（Ti‐6Al‐4V）增材制造（AM）BCCT晶格中的拉伸，显著增强了其刚度（+380%）和强度（+279%）。利用高分辨率同步辐射X射线计算机断层扫描、基于图像的有限元模型、扫描电子显微镜和高温计，我们将断裂机制与这些AM晶格的架构设计和建造缺陷相关联。通过调整晶格的构建方向，我们在不改变整体失效模式的情况下，将缺陷驱动的断裂减少了50%。这种集成的多尺度方法将基本变形力学与可制造性联系起来，为下一代具有卓越性能和可靠性的结构化超材料提供了一种广泛适用的设计策略。</w:t>
      </w:r>
    </w:p>
    <w:p>
      <w:pPr>
        <w:spacing w:before="0" w:after="200" w:lineRule="auto" w:line="276"/>
      </w:pPr>
      <w:r>
        <w:rPr>
          <w:b/>
        </w:rPr>
        <w:t xml:space="preserve">Abstract (EN): </w:t>
      </w:r>
      <w:r>
        <w:t>We designed and engineered a novel class of triply‐twinned Body‐Centred Cubic (BCCT) lattices that achieved up to three‐fold improvements in mechanical performance over conventional BCC lattice architecture. Inefficient strut deformation and defect‐sensitive failure limit the performance and reliability of architected metamaterials. Triply‐twinned meta‐crystal architectures transform the dominant strut‐scale deformation from bending to stretching in both polymeric (Rigid 4K) and metallic (Ti‐6Al‐4V) Additively Manufactured (AM) BCCT lattices, significantly enhancing their stiffness (+380%) and strength (+279%). Using high‐resolution synchrotron X‐ray computed tomography, image‐based finite element models, scanning electron microscopy, and pyrometry, we correlate fracture mechanisms to the architecture design and as‐built defects in these AM lattices. We further reduce defect‐driven fracture by 50% without altering the global failure mode by adjusting the build orientation of the lattices. This integrated, multi‐scale approach links fundamental deformation mechanics to manufacturability, providing a broadly applicable design strategy for next‐generation architected metamaterials with exceptional performance and reliability.</w:t>
      </w:r>
    </w:p>
    <w:p>
      <w:pPr>
        <w:spacing w:before="120" w:after="120"/>
      </w:pPr>
      <w:r>
        <w:rPr>
          <w:sz w:val="18"/>
        </w:rPr>
        <w:t>——————————————————————————————————————————————————————————————————————</w:t>
      </w:r>
    </w:p>
    <w:p>
      <w:pPr>
        <w:spacing w:before="160" w:after="40" w:line="240" w:lineRule="auto"/>
      </w:pPr>
      <w:r>
        <w:rPr>
          <w:b/>
        </w:rPr>
        <w:t xml:space="preserve">[150] </w:t>
      </w:r>
      <w:hyperlink r:id="rId406">
        <w:r>
          <w:rPr>
            <w:color w:val="1155CC"/>
            <w:u w:val="single"/>
          </w:rPr>
          <w:t>在包含杯芳烃机械变色团的聚氨酯中实现机械激活发光</w:t>
        </w:r>
      </w:hyperlink>
    </w:p>
    <w:p>
      <w:pPr>
        <w:spacing w:before="0" w:after="80"/>
      </w:pPr>
      <w:r>
        <w:rPr>
          <w:i/>
          <w:sz w:val="20"/>
        </w:rPr>
        <w:t>EN: Mechanically Activated Luminescence in Polyurethanes Incorporating Calixarene Mechanophores</w:t>
      </w:r>
    </w:p>
    <w:p>
      <w:pPr>
        <w:spacing w:before="0" w:after="120"/>
      </w:pPr>
      <w:r>
        <w:rPr>
          <w:b/>
        </w:rPr>
        <w:t xml:space="preserve">Source: </w:t>
      </w:r>
      <w:r>
        <w:t>Wiley: Angewandte Chemie International Edition: Table of Contents</w:t>
      </w:r>
      <w:r>
        <w:t xml:space="preserve">    </w:t>
      </w:r>
      <w:r>
        <w:rPr>
          <w:b/>
        </w:rPr>
        <w:t xml:space="preserve">Pub date: </w:t>
      </w:r>
      <w:r>
        <w:t>2026-04-28 06:29:19+00:00</w:t>
      </w:r>
      <w:r>
        <w:t xml:space="preserve">    </w:t>
      </w:r>
      <w:r>
        <w:rPr>
          <w:b/>
        </w:rPr>
        <w:t xml:space="preserve">DOI: </w:t>
      </w:r>
      <w:hyperlink r:id="rId407">
        <w:r>
          <w:rPr>
            <w:color w:val="1155CC"/>
            <w:u w:val="single"/>
          </w:rPr>
          <w:t>10.1002/anie.9927716</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利用</w:t>
      </w:r>
      <w:r>
        <w:t xml:space="preserve"> </w:t>
      </w:r>
      <w:r>
        <w:t>cone</w:t>
      </w:r>
      <w:r>
        <w:t xml:space="preserve"> </w:t>
      </w:r>
      <w:r>
        <w:t>杯[4]芳烃的构象特性，开发了首例基于杯芳烃的机械发光体。通过在杯[4]芳烃的上缘远端位置功能化芘基团，我们制备了一个包含两个1,6-双（苯乙炔基）芘荧光团的宏环。杯[4]芳烃骨架的灵活性促进了芘单元之间的分子内基态激基复合物的形成，这通过</w:t>
      </w:r>
      <w:r>
        <w:rPr>
          <w:vertAlign w:val="subscript"/>
        </w:rPr>
        <w:t>1</w:t>
      </w:r>
      <w:r>
        <w:t>H NMR和荧光光谱得到了证实。将杯芳烃机械发光体掺入线性聚氨酯中，得到均匀的薄膜，在紫外光照射下拉伸时，荧光从绿黄色转变为蓝色。这种荧光变化在多次应力和释放循环中是可逆且可重复的。我们将这种行为归因于机械力触发的杯[4]芳烃构象变化，特别是分子内芘激基复合物暂时解离为芘单体。因此，灵活的杯[4]芳烃骨架在保持荧光团空间接近的同时，实现了两者的可逆分离。我们提出，这一设计概念可以为创建无分子间聚集效应的超分子机械发光体提供一般指导。</w:t>
      </w:r>
    </w:p>
    <w:p>
      <w:pPr>
        <w:spacing w:before="0" w:after="200" w:lineRule="auto" w:line="276"/>
      </w:pPr>
      <w:r>
        <w:rPr>
          <w:b/>
        </w:rPr>
        <w:t xml:space="preserve">Abstract (EN): </w:t>
      </w:r>
      <w:r>
        <w:t>The conformational properties of</w:t>
      </w:r>
      <w:r>
        <w:t xml:space="preserve"> </w:t>
      </w:r>
      <w:r>
        <w:t>cone</w:t>
      </w:r>
      <w:r>
        <w:t xml:space="preserve"> </w:t>
      </w:r>
      <w:r>
        <w:t>calix[4]arenes are exploited to develop the first example of a calixarene‐based mechanoluminophore. By functionalizing the distal positions at the upper rim of a calix[4]arene with pyrene moieties, we produce a macrocycle incorporating two 1,6‐bis(phenylethynyl)pyrene fluorophores. The flexibility of the calix[4]arene scaffold facilitates the formation of intramolecular ground‐state excimers involving the pyrene units, as evidenced by</w:t>
      </w:r>
      <w:r>
        <w:rPr>
          <w:vertAlign w:val="subscript"/>
        </w:rPr>
        <w:t>1</w:t>
      </w:r>
      <w:r>
        <w:t>H NMR and fluorescence spectroscopy. Incorporating the calixarene mechanoluminophore into linear polyurethanes yields uniform films that exhibit the characteristic pyrene excimer emission. When these films are stretched, either manually or using a universal tensile tester, a fluorescence shift from green–yellow to blue is observed under irradiation with UV light. Such fluorescence change is reversible and repeatable over numerous stress and release cycles. We attribute this behavior to conformational changes in the calix[4]arene triggered by mechanical force, and in particular to the temporary dissociation of the intramolecular pyrene excimers into pyrene monomers. Thus, the flexible calix[4]arene scaffold enables the reversible separation of the two fluorophores while preserving their spatial proximity. We propose that this design concept can provide general guidelines for creating supramolecular mechanophores free of intermolecular aggregation effects.</w:t>
      </w:r>
    </w:p>
    <w:p>
      <w:pPr>
        <w:spacing w:before="120" w:after="120"/>
      </w:pPr>
      <w:r>
        <w:rPr>
          <w:sz w:val="18"/>
        </w:rPr>
        <w:t>——————————————————————————————————————————————————————————————————————</w:t>
      </w:r>
    </w:p>
    <w:p>
      <w:pPr>
        <w:spacing w:before="160" w:after="40" w:line="240" w:lineRule="auto"/>
      </w:pPr>
      <w:r>
        <w:rPr>
          <w:b/>
        </w:rPr>
        <w:t xml:space="preserve">[151] </w:t>
      </w:r>
      <w:hyperlink r:id="rId408">
        <w:r>
          <w:rPr>
            <w:color w:val="1155CC"/>
            <w:u w:val="single"/>
          </w:rPr>
          <w:t>产生大横向响应的巡游铁磁平带的证据</w:t>
        </w:r>
      </w:hyperlink>
    </w:p>
    <w:p>
      <w:pPr>
        <w:spacing w:before="0" w:after="80"/>
      </w:pPr>
      <w:r>
        <w:rPr>
          <w:i/>
          <w:sz w:val="20"/>
        </w:rPr>
        <w:t>EN: Evidence for Itinerant Ferromagnetic Flat Bands Producing Large Transverse Responses</w:t>
      </w:r>
    </w:p>
    <w:p>
      <w:pPr>
        <w:spacing w:before="0" w:after="120"/>
      </w:pPr>
      <w:r>
        <w:rPr>
          <w:b/>
        </w:rPr>
        <w:t xml:space="preserve">Source: </w:t>
      </w:r>
      <w:r>
        <w:t>Wiley: Advanced Materials: Table of Contents</w:t>
      </w:r>
      <w:r>
        <w:t xml:space="preserve">    </w:t>
      </w:r>
      <w:r>
        <w:rPr>
          <w:b/>
        </w:rPr>
        <w:t xml:space="preserve">Pub date: </w:t>
      </w:r>
      <w:r>
        <w:t>2026-04-28 06:30:27+00:00</w:t>
      </w:r>
      <w:r>
        <w:t xml:space="preserve">    </w:t>
      </w:r>
      <w:r>
        <w:rPr>
          <w:b/>
        </w:rPr>
        <w:t xml:space="preserve">DOI: </w:t>
      </w:r>
      <w:hyperlink r:id="rId409">
        <w:r>
          <w:rPr>
            <w:color w:val="1155CC"/>
            <w:u w:val="single"/>
          </w:rPr>
          <w:t>10.1002/adma.202517521</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电子波函数的干涉可能导致平带的出现，并在平带穿过费米能级时触发非平凡的相关现象和相态形成。迄今为止，这种在没有对称性破缺的情况下的巡游平带已被报道。如果即使在对称性破缺的情况下也出现平带，则有序状态可能为研究新颖相和自发响应提供一个独特的平台。在此，我们报告了实验和理论证据，表明在堆叠的蜂窝-笼目晶格上由自旋极化的d电子轨道形成的巡游铁磁平带，承载着蜂窝和笼目亚晶格的交替堆叠。我们的理论结合角分辨光电子能谱和磁热电测量发现，在其居里温度940 K以下的铁磁体中，多个拓扑平带在费米能级处产生了大的贝里曲率。我们观察到大的横向响应，特别是巨大的异常能斯特效应，在室温下产生超过10 A的最大的横向热电导率。我们的研究为开发巡游磁性平带及其自旋电子学和热电应用铺平了道路。</w:t>
      </w:r>
    </w:p>
    <w:p>
      <w:pPr>
        <w:spacing w:before="0" w:after="200" w:lineRule="auto" w:line="276"/>
      </w:pPr>
      <w:r>
        <w:rPr>
          <w:b/>
        </w:rPr>
        <w:t xml:space="preserve">Abstract (EN): </w:t>
      </w:r>
      <w:r>
        <w:t>Interference of electronic wavefunctions may result in the emergence of a flat band, and trigger nontrivial correlated phenomena and phase formations when the flat band crosses the Fermi energy . To date, such an itinerant flat band at  has been reported for electronic states without symmetry breaking. If a flat band arises at  even with broken symmetry, the ordered state may offer a distinct platform for studying novel phases and spontaneous responses. Here we report experimental and theoretical evidence for itinerant ferromagnetic flat bands formed by spin‐polarized ‐electron orbitals on a stacked honeycomb–kagome lattice, hosting the alternating stack of honeycomb and kagome sublattices. Our theory together with angle‐resolved photoemission spectroscopy and magneto–thermoelectric measurements finds multiple topological flat bands at  generating large Berry curvature in the ferrimagnet  below its Curie temperature of 940 K. We observe large transverse responses, in particular, gigantic anomalous Nernst effect producing the largest transverse thermoelectric conductivity over 10 A   at room temperature. Our study paves a path for developing itinerant magnetic flat bands and to their spintronic and thermoelectric applications.</w:t>
      </w:r>
    </w:p>
    <w:p>
      <w:pPr>
        <w:spacing w:before="120" w:after="120"/>
      </w:pPr>
      <w:r>
        <w:rPr>
          <w:sz w:val="18"/>
        </w:rPr>
        <w:t>——————————————————————————————————————————————————————————————————————</w:t>
      </w:r>
    </w:p>
    <w:p>
      <w:pPr>
        <w:spacing w:before="160" w:after="40" w:line="240" w:lineRule="auto"/>
      </w:pPr>
      <w:r>
        <w:rPr>
          <w:b/>
        </w:rPr>
        <w:t xml:space="preserve">[152] </w:t>
      </w:r>
      <w:hyperlink r:id="rId410">
        <w:r>
          <w:rPr>
            <w:color w:val="1155CC"/>
            <w:u w:val="single"/>
          </w:rPr>
          <w:t>由L簇结合的固氮酶组装平台定义的最小ATP非依赖性N2还原系统</w:t>
        </w:r>
      </w:hyperlink>
    </w:p>
    <w:p>
      <w:pPr>
        <w:spacing w:before="0" w:after="80"/>
      </w:pPr>
      <w:r>
        <w:rPr>
          <w:i/>
          <w:sz w:val="20"/>
        </w:rPr>
        <w:t>EN: Minimal ATP‐Independent N2‐Reducing Systems Defined by L‐Cluster‐Bound Nitrogenase Assembly Platforms</w:t>
      </w:r>
    </w:p>
    <w:p>
      <w:pPr>
        <w:spacing w:before="0" w:after="120"/>
      </w:pPr>
      <w:r>
        <w:rPr>
          <w:b/>
        </w:rPr>
        <w:t xml:space="preserve">Source: </w:t>
      </w:r>
      <w:r>
        <w:t>Wiley: Angewandte Chemie International Edition: Table of Contents</w:t>
      </w:r>
      <w:r>
        <w:t xml:space="preserve">    </w:t>
      </w:r>
      <w:r>
        <w:rPr>
          <w:b/>
        </w:rPr>
        <w:t xml:space="preserve">Pub date: </w:t>
      </w:r>
      <w:r>
        <w:t>2026-04-28 06:31:51+00:00</w:t>
      </w:r>
      <w:r>
        <w:t xml:space="preserve">    </w:t>
      </w:r>
      <w:r>
        <w:rPr>
          <w:b/>
        </w:rPr>
        <w:t xml:space="preserve">DOI: </w:t>
      </w:r>
      <w:hyperlink r:id="rId411">
        <w:r>
          <w:rPr>
            <w:color w:val="1155CC"/>
            <w:u w:val="single"/>
          </w:rPr>
          <w:t>10.1002/anie.2968123</w:t>
        </w:r>
      </w:hyperlink>
    </w:p>
    <w:p>
      <w:pPr>
        <w:spacing w:before="0" w:after="120"/>
      </w:pPr>
      <w:r>
        <w:rPr>
          <w:b/>
        </w:rPr>
        <w:t xml:space="preserve">Notes: </w:t>
      </w:r>
      <w:r>
        <w:t>abstract_source=crossref</w:t>
      </w:r>
    </w:p>
    <w:p>
      <w:pPr>
        <w:spacing w:before="0" w:after="80" w:lineRule="auto" w:line="276"/>
      </w:pPr>
      <w:r>
        <w:rPr>
          <w:b/>
        </w:rPr>
        <w:t xml:space="preserve">摘要（ZH）: </w:t>
      </w:r>
      <w:r>
        <w:t>摘要</w:t>
      </w:r>
      <w:r>
        <w:t xml:space="preserve"> </w:t>
      </w:r>
      <w:r>
        <w:t>钼氮酶由还原酶组分（NifH）和催化组分（NifDK）组成，在其活性位点M簇（[(R-同柠檬酸)MoFe7S9C]）催化ATP依赖的N2还原为NH3。M簇是一个复杂的金属辅因子，通过NifB介导的中间体L簇（[Fe8S9C]）的形成组装而成，随后在NifEN上成熟为M簇。在此，我们展示了L簇本质上赋予组装蛋白NifB和NifEN以N2还原活性。这种功能严格依赖于L簇，因为NifB只有在前体K簇（2x[Fe4S4]）转化为L簇后才获得N2还原能力。结合L簇的NifB（NifBL）和NifEN（NifENL）在体外提供化学还原剂或光激发量子点时催化ATP非依赖的N2还原。此外，这些含有L簇的蛋白质在体内支持N2固定。</w:t>
      </w:r>
    </w:p>
    <w:p>
      <w:pPr>
        <w:spacing w:before="0" w:after="200" w:lineRule="auto" w:line="276"/>
      </w:pPr>
      <w:r>
        <w:rPr>
          <w:b/>
        </w:rPr>
        <w:t xml:space="preserve">Abstract (EN): </w:t>
      </w:r>
      <w:r>
        <w:t>The Mo‐nitrogenase, which consists of a reductase component (NifH) and a catalytic component (NifDK), catalyzes ATP‐dependent reduction of N</w:t>
      </w:r>
      <w:r>
        <w:rPr>
          <w:vertAlign w:val="subscript"/>
        </w:rPr>
        <w:t>2</w:t>
      </w:r>
      <w:r>
        <w:t>to NH</w:t>
      </w:r>
      <w:r>
        <w:rPr>
          <w:vertAlign w:val="subscript"/>
        </w:rPr>
        <w:t>3</w:t>
      </w:r>
      <w:r>
        <w:t>at its active‐site M‐cluster ([(</w:t>
      </w:r>
      <w:r>
        <w:t xml:space="preserve"> </w:t>
      </w:r>
      <w:r>
        <w:t>R</w:t>
      </w:r>
      <w:r>
        <w:t xml:space="preserve"> </w:t>
      </w:r>
      <w:r>
        <w:t>‐homocitrate)MoFe</w:t>
      </w:r>
      <w:r>
        <w:rPr>
          <w:vertAlign w:val="subscript"/>
        </w:rPr>
        <w:t>7</w:t>
      </w:r>
      <w:r>
        <w:t>S</w:t>
      </w:r>
      <w:r>
        <w:rPr>
          <w:vertAlign w:val="subscript"/>
        </w:rPr>
        <w:t>9</w:t>
      </w:r>
      <w:r>
        <w:t>C]). A complex metallocofactor, the M‐cluster is assembled through NifB‐mediated formation of the intermediate L‐cluster ([Fe</w:t>
      </w:r>
      <w:r>
        <w:rPr>
          <w:vertAlign w:val="subscript"/>
        </w:rPr>
        <w:t>8</w:t>
      </w:r>
      <w:r>
        <w:t>S</w:t>
      </w:r>
      <w:r>
        <w:rPr>
          <w:vertAlign w:val="subscript"/>
        </w:rPr>
        <w:t>9</w:t>
      </w:r>
      <w:r>
        <w:t>C]), followed by L‐to‐M cluster maturation on NifEN. Here, we show that the L‐cluster intrinsically endows the assembly proteins NifB and NifEN with N</w:t>
      </w:r>
      <w:r>
        <w:rPr>
          <w:vertAlign w:val="subscript"/>
        </w:rPr>
        <w:t>2</w:t>
      </w:r>
      <w:r>
        <w:t>‐reducing activity. Such a function is strictly dependent on the L‐cluster, as NifB acquires N</w:t>
      </w:r>
      <w:r>
        <w:rPr>
          <w:vertAlign w:val="subscript"/>
        </w:rPr>
        <w:t>2</w:t>
      </w:r>
      <w:r>
        <w:t>‐reducing capability only after conversion of the precursor K‐cluster (2x[Fe</w:t>
      </w:r>
      <w:r>
        <w:rPr>
          <w:vertAlign w:val="subscript"/>
        </w:rPr>
        <w:t>4</w:t>
      </w:r>
      <w:r>
        <w:t>S</w:t>
      </w:r>
      <w:r>
        <w:rPr>
          <w:vertAlign w:val="subscript"/>
        </w:rPr>
        <w:t>4</w:t>
      </w:r>
      <w:r>
        <w:t>]) to an L‐cluster. Both L‐cluster‐bound NifB (NifB</w:t>
      </w:r>
      <w:r>
        <w:t xml:space="preserve"> </w:t>
      </w:r>
      <w:r>
        <w:t>L</w:t>
      </w:r>
      <w:r>
        <w:t xml:space="preserve"> </w:t>
      </w:r>
      <w:r>
        <w:t>) and NifEN (NifEN</w:t>
      </w:r>
      <w:r>
        <w:t xml:space="preserve"> </w:t>
      </w:r>
      <w:r>
        <w:t>L</w:t>
      </w:r>
      <w:r>
        <w:t xml:space="preserve"> </w:t>
      </w:r>
      <w:r>
        <w:t>) catalyze ATP‐independent N</w:t>
      </w:r>
      <w:r>
        <w:rPr>
          <w:vertAlign w:val="subscript"/>
        </w:rPr>
        <w:t>2</w:t>
      </w:r>
      <w:r>
        <w:t>reduction in vitro when supplied with a chemical reductant or photoexcited quantum dots. Moreover, these L‐cluster‐containing proteins support in vivo N</w:t>
      </w:r>
      <w:r>
        <w:rPr>
          <w:vertAlign w:val="subscript"/>
        </w:rPr>
        <w:t>2</w:t>
      </w:r>
      <w:r>
        <w:t>‐fixation in NifH‐deficient</w:t>
      </w:r>
      <w:r>
        <w:t xml:space="preserve"> </w:t>
      </w:r>
      <w:r>
        <w:t>E. coli</w:t>
      </w:r>
      <w:r>
        <w:t xml:space="preserve"> </w:t>
      </w:r>
      <w:r>
        <w:t>strains, where the low‐potential ferredoxin YfhL serves as an essential physiological electron donor. The intrinsic reactivity of the L‐cluster toward N</w:t>
      </w:r>
      <w:r>
        <w:rPr>
          <w:vertAlign w:val="subscript"/>
        </w:rPr>
        <w:t>2</w:t>
      </w:r>
      <w:r>
        <w:t>supports an evolutionary model in which primordial nitrogenase was a simpler, one‐component, NifEN</w:t>
      </w:r>
      <w:r>
        <w:t xml:space="preserve"> </w:t>
      </w:r>
      <w:r>
        <w:t>L</w:t>
      </w:r>
      <w:r>
        <w:t xml:space="preserve"> </w:t>
      </w:r>
      <w:r>
        <w:t>‐like enzyme that preceded the modern, high‐efficiency two‐component system; whereas the shared L‐cluster topology found in ancient nondiazotrophic enzymes like methyl‐CoM reductase and methylthio‐alkane reductase further implies that the L‐cluster may represent an evolutionary link among nitrogen, carbon, and sulfur biogeochemical cycles.</w:t>
      </w:r>
    </w:p>
    <w:p>
      <w:pPr>
        <w:spacing w:before="120" w:after="120"/>
      </w:pPr>
      <w:r>
        <w:rPr>
          <w:sz w:val="18"/>
        </w:rPr>
        <w:t>——————————————————————————————————————————————————————————————————————</w:t>
      </w:r>
    </w:p>
    <w:p>
      <w:pPr>
        <w:spacing w:before="160" w:after="40" w:line="240" w:lineRule="auto"/>
      </w:pPr>
      <w:r>
        <w:rPr>
          <w:b/>
        </w:rPr>
        <w:t xml:space="preserve">[153] </w:t>
      </w:r>
      <w:hyperlink r:id="rId412">
        <w:r>
          <w:rPr>
            <w:color w:val="1155CC"/>
            <w:u w:val="single"/>
          </w:rPr>
          <w:t>一种特洛伊木马病原体突破昆虫肠道的伙伴选择屏障</w:t>
        </w:r>
      </w:hyperlink>
    </w:p>
    <w:p>
      <w:pPr>
        <w:spacing w:before="0" w:after="80"/>
      </w:pPr>
      <w:r>
        <w:rPr>
          <w:i/>
          <w:sz w:val="20"/>
        </w:rPr>
        <w:t>EN: A Trojan horse pathogen breaking through partner-choice barriers in the insect gut</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13">
        <w:r>
          <w:rPr>
            <w:color w:val="1155CC"/>
            <w:u w:val="single"/>
          </w:rPr>
          <w:t>10.1073/pnas.2533244123</w:t>
        </w:r>
      </w:hyperlink>
    </w:p>
    <w:p>
      <w:pPr>
        <w:spacing w:before="0" w:after="120"/>
      </w:pPr>
      <w:r>
        <w:rPr>
          <w:b/>
        </w:rPr>
        <w:t xml:space="preserve">Notes: </w:t>
      </w:r>
      <w:r>
        <w:t>abstract_source=pubmed</w:t>
      </w:r>
    </w:p>
    <w:p>
      <w:pPr>
        <w:spacing w:before="0" w:after="80" w:lineRule="auto" w:line="276"/>
      </w:pPr>
      <w:r>
        <w:rPr>
          <w:b/>
        </w:rPr>
        <w:t xml:space="preserve">摘要（ZH）: </w:t>
      </w:r>
      <w:r>
        <w:t>互利共生关系可能容易受到剥削，特别是在从环境中获取共生体的宿主中，那里有害的剥削者栖息。许多共生关系中复杂的伙伴选择机制的独立进化和持久性证明了专门剥削者对互利关系的威胁，尽管在自然界中只有少数被记录在案。我们在此报告一种致命的“特洛伊木马”病原体，Burkholderia sp. SJ1，利用臭虫-Caballeronia肠道共生关系。这种细菌通过使用包裹运动穿过宿主的分拣器官，诱导共生器官形态发生并定殖它，从而类似于共生体。然而，与互利者不同的是，它通过抵抗宿主消化来获取营养，突破肠上皮并引起败血症，迅速杀死宿主。共生器官的定殖对于其致命性至关重要。这个案例展示了病原体如何利用互利关系，强调了塑造伙伴选择机制的进化压力以及即使是高度专业化的互利关系的脆弱性。</w:t>
      </w:r>
    </w:p>
    <w:p>
      <w:pPr>
        <w:spacing w:before="0" w:after="200" w:lineRule="auto" w:line="276"/>
      </w:pPr>
      <w:r>
        <w:rPr>
          <w:b/>
        </w:rPr>
        <w:t xml:space="preserve">Abstract (EN): </w:t>
      </w:r>
      <w:r>
        <w:t>Mutualistic symbioses are potentially vulnerable to exploitation, particularly in hosts that acquire symbionts from the environment, where harmful exploiters inhabit. The independent evolution and persistence of intricate partner-choice mechanisms in many symbioses testify the threat by specialized exploiters of mutualisms, although only few have been documented in nature. We report here a lethal "Trojan horse" pathogen, Burkholderia sp. SJ1, exploiting the stinkbug-Caballeronia gut symbiosis. This bacterium resembles symbionts by using wrapping motility to traverse the host's sorting organ, inducing symbiotic organ morphogenesis and colonizing it. Unlike mutualists, however, it resists host digestion for nutrient acquisition, breaches the gut epithelium, and causes sepsis, rapidly killing the host. Colonization of the symbiotic organ is essential for its lethality. This case shows how pathogens can exploit mutualisms, highlighting the evolutionary pressures shaping partner-choice mechanisms and the fragility of even highly specialized mutualisms.</w:t>
      </w:r>
    </w:p>
    <w:p>
      <w:pPr>
        <w:spacing w:before="120" w:after="120"/>
      </w:pPr>
      <w:r>
        <w:rPr>
          <w:sz w:val="18"/>
        </w:rPr>
        <w:t>——————————————————————————————————————————————————————————————————————</w:t>
      </w:r>
    </w:p>
    <w:p>
      <w:pPr>
        <w:spacing w:before="160" w:after="40" w:line="240" w:lineRule="auto"/>
      </w:pPr>
      <w:r>
        <w:rPr>
          <w:b/>
        </w:rPr>
        <w:t xml:space="preserve">[154] </w:t>
      </w:r>
      <w:hyperlink r:id="rId414">
        <w:r>
          <w:rPr>
            <w:color w:val="1155CC"/>
            <w:u w:val="single"/>
          </w:rPr>
          <w:t>Betti数的渐近分布[数学]</w:t>
        </w:r>
      </w:hyperlink>
    </w:p>
    <w:p>
      <w:pPr>
        <w:spacing w:before="0" w:after="80"/>
      </w:pPr>
      <w:r>
        <w:rPr>
          <w:i/>
          <w:sz w:val="20"/>
        </w:rPr>
        <w:t>EN: Asymptotic distribution of the Betti numbers of [math]</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15">
        <w:r>
          <w:rPr>
            <w:color w:val="1155CC"/>
            <w:u w:val="single"/>
          </w:rPr>
          <w:t>10.1073/pnas.2601111123</w:t>
        </w:r>
      </w:hyperlink>
    </w:p>
    <w:p>
      <w:pPr>
        <w:spacing w:before="0" w:after="120"/>
      </w:pPr>
      <w:r>
        <w:rPr>
          <w:b/>
        </w:rPr>
        <w:t xml:space="preserve">Notes: </w:t>
      </w:r>
      <w:r>
        <w:t>abstract_source=pubmed</w:t>
      </w:r>
    </w:p>
    <w:p>
      <w:pPr>
        <w:spacing w:before="0" w:after="80" w:lineRule="auto" w:line="276"/>
      </w:pPr>
      <w:r>
        <w:rPr>
          <w:b/>
        </w:rPr>
        <w:t xml:space="preserve">摘要（ZH）: </w:t>
      </w:r>
      <w:r>
        <w:t>渐近正态性在大型组合结构中经常被观察到，并已严格确立在许多数量上，如随机排列中的循环或反转、随机整数的质因子数量以及随机图的各种参数。在本文中，我们研究这种正态极限行为是否扩展到几何空间的拓扑不变量。我们表明，具有[Formula: see text]标记点的有理曲线模空间[Formula: see text]和Fulton-MacPherson配置空间[Formula: see text]的Betti数是渐近正态分布的。基于数值证据和已建立的对数凹性，我们推测这些空间被对称群[Formula: see text]商的Betti数也是渐近正态分布的。相反，我们提供了一些不遵循这种高斯定律的几何空间的例子。</w:t>
      </w:r>
    </w:p>
    <w:p>
      <w:pPr>
        <w:spacing w:before="0" w:after="200" w:lineRule="auto" w:line="276"/>
      </w:pPr>
      <w:r>
        <w:rPr>
          <w:b/>
        </w:rPr>
        <w:t xml:space="preserve">Abstract (EN): </w:t>
      </w:r>
      <w:r>
        <w:t>Asymptotic normality is frequently observed in large combinatorial structures, rigorously established for many quantities such as cycles or inversions in random permutations, the number of prime factors of random integers, and various parameters of random graphs. In this paper, we investigate whether this normal limit behavior extends to the topological invariants of geometric spaces. We show that the Betti numbers of the moduli space of rational curves with [Formula: see text] marked points [Formula: see text] and the Fulton-MacPherson configuration space [Formula: see text] are asymptotically normally distributed. Based on numerical evidence and established log-concavity, we conjecture that the Betti numbers of the quotients of these spaces by the symmetric group [Formula: see text] are also asymptotically normally distributed. In contrast, we provide examples of geometric spaces that do not follow this Gaussian law.</w:t>
      </w:r>
    </w:p>
    <w:p>
      <w:pPr>
        <w:spacing w:before="120" w:after="120"/>
      </w:pPr>
      <w:r>
        <w:rPr>
          <w:sz w:val="18"/>
        </w:rPr>
        <w:t>——————————————————————————————————————————————————————————————————————</w:t>
      </w:r>
    </w:p>
    <w:p>
      <w:pPr>
        <w:spacing w:before="160" w:after="40" w:line="240" w:lineRule="auto"/>
      </w:pPr>
      <w:r>
        <w:rPr>
          <w:b/>
        </w:rPr>
        <w:t xml:space="preserve">[155] </w:t>
      </w:r>
      <w:hyperlink r:id="rId416">
        <w:r>
          <w:rPr>
            <w:color w:val="1155CC"/>
            <w:u w:val="single"/>
          </w:rPr>
          <w:t>一种用于全有机、超柔性和慢性神经接口的超导水凝胶</w:t>
        </w:r>
      </w:hyperlink>
    </w:p>
    <w:p>
      <w:pPr>
        <w:spacing w:before="0" w:after="80"/>
      </w:pPr>
      <w:r>
        <w:rPr>
          <w:i/>
          <w:sz w:val="20"/>
        </w:rPr>
        <w:t>EN: An exceptionally conductive hydrogel for all-organic, ultraflexible, and chronic neural interfaces</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17">
        <w:r>
          <w:rPr>
            <w:color w:val="1155CC"/>
            <w:u w:val="single"/>
          </w:rPr>
          <w:t>10.1073/pnas.2532840123</w:t>
        </w:r>
      </w:hyperlink>
    </w:p>
    <w:p>
      <w:pPr>
        <w:spacing w:before="0" w:after="120"/>
      </w:pPr>
      <w:r>
        <w:rPr>
          <w:b/>
        </w:rPr>
        <w:t xml:space="preserve">Notes: </w:t>
      </w:r>
      <w:r>
        <w:t>abstract_source=pubmed</w:t>
      </w:r>
    </w:p>
    <w:p>
      <w:pPr>
        <w:spacing w:before="0" w:after="80" w:lineRule="auto" w:line="276"/>
      </w:pPr>
      <w:r>
        <w:rPr>
          <w:b/>
        </w:rPr>
        <w:t xml:space="preserve">摘要（ZH）: </w:t>
      </w:r>
      <w:r>
        <w:t>慢性神经接口对于推进脑机接口、神经假肢和神经调节技术至关重要。然而，由于同时实现优越的电性能、机械顺应性和生物相容性的材料稀缺，性能和寿命之间的长期权衡仍然存在。在此，我们通过一种全有机、超柔性皮层电图（ECoG）设计克服了这一限制，其厚度仅为9 µm，实现了低电极-组织阻抗和体内耐久性。该设计的核心是一种具有界面渗透（CHIP）微结构的导电水凝胶，具有可调节的水合水平和柔软性，实现了最高的面内电导率为2,512 S cm-1。我们进一步开发了一种干燥、软保护蚀刻策略的面内膨胀控制，在水凝胶加工过程中保持结构完整性。最终的全有机ECoG阵列符合皮层表面，最大限度地减少异物反应并提供卓越的信号质量，最长记录达550 d。</w:t>
      </w:r>
    </w:p>
    <w:p>
      <w:pPr>
        <w:spacing w:before="0" w:after="200" w:lineRule="auto" w:line="276"/>
      </w:pPr>
      <w:r>
        <w:rPr>
          <w:b/>
        </w:rPr>
        <w:t xml:space="preserve">Abstract (EN): </w:t>
      </w:r>
      <w:r>
        <w:t>Chronic neural interfaces are essential for advancing brain-computer interfaces, neuroprosthetics, and neuromodulation technologies. However, a long-standing trade-off between performance and longevity persists due to the scarcity of materials that simultaneously achieve superior electrical performance, mechanical compliance, and biocompatibility. Here, we overcome this limitation with an all-organic, ultraflexible electrocorticography (ECoG) design that features a thickness of only 9 µm, achieving low electrode-tissue impedance and durability in vivo. Central to this design is a conductive hydrogel featuring an interfacial percolation (CHIP) microstructure, with tunable hydration levels and softness, achieving a highest in-plane electrical conductivity of 2,512 S cm-1. We further developed an in-plane swelling control with a dry, soft-protective etching strategy that preserves the structural integrity during hydrogel processing. The resulting all-organic ECoG array conforms to the cortical surface, minimizing foreign body response and providing exceptional signal quality, with the longest record up to 550 d.</w:t>
      </w:r>
    </w:p>
    <w:p>
      <w:pPr>
        <w:spacing w:before="120" w:after="120"/>
      </w:pPr>
      <w:r>
        <w:rPr>
          <w:sz w:val="18"/>
        </w:rPr>
        <w:t>——————————————————————————————————————————————————————————————————————</w:t>
      </w:r>
    </w:p>
    <w:p>
      <w:pPr>
        <w:spacing w:before="160" w:after="40" w:line="240" w:lineRule="auto"/>
      </w:pPr>
      <w:r>
        <w:rPr>
          <w:b/>
        </w:rPr>
        <w:t xml:space="preserve">[156] </w:t>
      </w:r>
      <w:hyperlink r:id="rId418">
        <w:r>
          <w:rPr>
            <w:color w:val="1155CC"/>
            <w:u w:val="single"/>
          </w:rPr>
          <w:t>线粒体融合异质性驱动联合肝细胞-胆管癌中的双向肿瘤表型转变</w:t>
        </w:r>
      </w:hyperlink>
    </w:p>
    <w:p>
      <w:pPr>
        <w:spacing w:before="0" w:after="80"/>
      </w:pPr>
      <w:r>
        <w:rPr>
          <w:i/>
          <w:sz w:val="20"/>
        </w:rPr>
        <w:t>EN: Mitochondrial fusion heterogeneity drives bidirectional tumor phenotypic transition in combined hepatocellular–cholangiocarcinoma</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19">
        <w:r>
          <w:rPr>
            <w:color w:val="1155CC"/>
            <w:u w:val="single"/>
          </w:rPr>
          <w:t>10.1073/pnas.2521310123</w:t>
        </w:r>
      </w:hyperlink>
    </w:p>
    <w:p>
      <w:pPr>
        <w:spacing w:before="0" w:after="120"/>
      </w:pPr>
      <w:r>
        <w:rPr>
          <w:b/>
        </w:rPr>
        <w:t xml:space="preserve">Notes: </w:t>
      </w:r>
      <w:r>
        <w:t>abstract_source=pubmed</w:t>
      </w:r>
    </w:p>
    <w:p>
      <w:pPr>
        <w:spacing w:before="0" w:after="80" w:lineRule="auto" w:line="276"/>
      </w:pPr>
      <w:r>
        <w:rPr>
          <w:b/>
        </w:rPr>
        <w:t xml:space="preserve">摘要（ZH）: </w:t>
      </w:r>
      <w:r>
        <w:t>线粒体动力学的失调调节恶性细胞命运；然而，个体肿瘤结节内肿瘤细胞之间线粒体动力学的显著异质性及其导致的功能后果仍未得到充分表征。在这项研究中，我们在肿瘤形成条件下诱导小鼠肝脏线粒体融合的镶嵌性损伤，意外地发现了结合性肝细胞-胆管癌（cHC）的形成，这是一种显示肝细胞癌（HCC）和肝内胆管癌（ICC）特征的单克隆肿瘤。恢复线粒体融合蛋白MFN1有效抑制了cHC的发展。对人类cHC样本的分析表明，与HCC样细胞相比，ICC样细胞表现出更明显的线粒体融合损伤。在机制上，线粒体融合损伤的增加导致反应性氧物种（ROS）的剂量依赖性升高。低水平的ROS上调HNF4α，促进HCC样分化，而高水平的ROS激活HES1，促进ICC样分化。总体而言，这些结果表明线粒体动力学的异质性是cHC发病机制的关键决定因素。</w:t>
      </w:r>
    </w:p>
    <w:p>
      <w:pPr>
        <w:spacing w:before="0" w:after="200" w:lineRule="auto" w:line="276"/>
      </w:pPr>
      <w:r>
        <w:rPr>
          <w:b/>
        </w:rPr>
        <w:t xml:space="preserve">Abstract (EN): </w:t>
      </w:r>
      <w:r>
        <w:t>Dysregulation of mitochondrial dynamics modulates malignant cell fate; however, the substantial heterogeneity in mitochondrial dynamics among tumor cells within individual tumor nodules and the resultant functional consequences remain inadequately characterized. In this study, we induced mosaic impairment of mitochondrial fusion in mouse liver under tumorigenic conditions and unexpectedly identified the formation of combined hepatocellular-cholangiocarcinoma (cHC), a monoclonal tumor displaying features of both hepatocellular carcinoma (HCC) and intrahepatic cholangiocarcinoma (ICC). Restoration of the mitochondrial fusion protein MFN1 effectively suppressed cHC development. Analysis of human cHC samples revealed that ICC-like cells exhibit more pronounced mitochondrial fusion impairment compared to HCC-like cells. Mechanistically, increasing impairment of mitochondrial fusion resulted in a dose-dependent elevation of reactive oxygen species (ROS). Low levels of ROS upregulated HNF4α, promoting HCC-like differentiation, whereas high ROS levels activated HES1, facilitating ICC-like differentiation. Collectively, these results demonstrate that heterogeneity in mitochondrial dynamics is a critical determinant of cHC path-ogenesis.</w:t>
      </w:r>
    </w:p>
    <w:p>
      <w:pPr>
        <w:spacing w:before="120" w:after="120"/>
      </w:pPr>
      <w:r>
        <w:rPr>
          <w:sz w:val="18"/>
        </w:rPr>
        <w:t>——————————————————————————————————————————————————————————————————————</w:t>
      </w:r>
    </w:p>
    <w:p>
      <w:pPr>
        <w:spacing w:before="160" w:after="40" w:line="240" w:lineRule="auto"/>
      </w:pPr>
      <w:r>
        <w:rPr>
          <w:b/>
        </w:rPr>
        <w:t xml:space="preserve">[157] </w:t>
      </w:r>
      <w:hyperlink r:id="rId420">
        <w:r>
          <w:rPr>
            <w:color w:val="1155CC"/>
            <w:u w:val="single"/>
          </w:rPr>
          <w:t>通过尺度自适应方法揭示全球野地-人类界面的上升威胁</w:t>
        </w:r>
      </w:hyperlink>
    </w:p>
    <w:p>
      <w:pPr>
        <w:spacing w:before="0" w:after="80"/>
      </w:pPr>
      <w:r>
        <w:rPr>
          <w:i/>
          <w:sz w:val="20"/>
        </w:rPr>
        <w:t>EN: The rising threats of global wildland–human interface revealed by a scale-adaptive approach</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21">
        <w:r>
          <w:rPr>
            <w:color w:val="1155CC"/>
            <w:u w:val="single"/>
          </w:rPr>
          <w:t>10.1073/pnas.2604044123</w:t>
        </w:r>
      </w:hyperlink>
    </w:p>
    <w:p>
      <w:pPr>
        <w:spacing w:before="0" w:after="120"/>
      </w:pPr>
      <w:r>
        <w:rPr>
          <w:b/>
        </w:rPr>
        <w:t xml:space="preserve">Notes: </w:t>
      </w:r>
      <w:r>
        <w:t>abstract_source=pubmed</w:t>
      </w:r>
    </w:p>
    <w:p>
      <w:pPr>
        <w:spacing w:before="0" w:after="80" w:lineRule="auto" w:line="276"/>
      </w:pPr>
      <w:r>
        <w:rPr>
          <w:b/>
        </w:rPr>
        <w:t xml:space="preserve">摘要（ZH）: </w:t>
      </w:r>
      <w:r>
        <w:t>野地-人类界面（WHI）是人类基础设施和活动与野地植被相遇或交织的关键人类-环境冲突区域。在此，我们首次提出了一个全球地图，明确区分了2000年至2020年间的野地-城市界面（WUI）和野地-农业界面（WAI）组件，使用了尺度自适应HEALpix四叉树算法。我们显示，2020年全球WHI覆盖了4.87%的陆地面积，其中WAI（4.68%）明显比WUI（0.19%）更为广泛。在这二十年间，全球WUI面积显著扩展了59.76%，而WAI面积则经历了3.26%的净减少。这一WAI的边际净变化掩盖了高空间周转。由于农业扩张导致的原始WAI的主要损失在很大程度上被其他地方新WAI的增加所补偿。值得注意的是，在此期间，全球5.03%的关键保护区受到WHI侵占的影响。我们的分析揭示了WHI类型明显影响了野火制度和生物多样性梯度。这些发现强调了建立全球WHI监测网络以缓解对生态系统和人类安全日益增长的威胁的关键必要性。</w:t>
      </w:r>
    </w:p>
    <w:p>
      <w:pPr>
        <w:spacing w:before="0" w:after="200" w:lineRule="auto" w:line="276"/>
      </w:pPr>
      <w:r>
        <w:rPr>
          <w:b/>
        </w:rPr>
        <w:t xml:space="preserve">Abstract (EN): </w:t>
      </w:r>
      <w:r>
        <w:t>The Wildland-Human Interface (WHI), where human infrastructure and activities meet or intermingle with wildland vegetation, represents a critical zone of human-environmental conflict. Here, we present the first global map to explicitly differentiate the WHI into its Wildland-Urban Interface (WUI) and Wildland-Agriculture Interface (WAI) components between 2000 and 2020, using a scale-adaptive HEALpix Quadtree algorithm. We show that the global WHI covered 4.87% of terrestrial area in 2020, with the WAI (4.68%) being significantly more extensive than the WUI (0.19%). Over the two decades, the global WUI area expanded dramatically by 59.76%, whereas the WAI area experienced a net decrease of 3.26%. This marginal net change in WAI masks high spatial turnover. Major losses of original WAI due to agricultural expansion were largely compensated by gains in new WAI elsewhere. Notably, 5.03% of the world's key protected areas were affected by WHI encroachment over this period. Our analysis reveals that the type of WHI has distinctly shaped both wildfire regimes and biodiversity gradients. These findings underscore the critical need for establishing a global WHI monitoring network to mitigate rising threats to ecosystems and human security.</w:t>
      </w:r>
    </w:p>
    <w:p>
      <w:pPr>
        <w:spacing w:before="120" w:after="120"/>
      </w:pPr>
      <w:r>
        <w:rPr>
          <w:sz w:val="18"/>
        </w:rPr>
        <w:t>——————————————————————————————————————————————————————————————————————</w:t>
      </w:r>
    </w:p>
    <w:p>
      <w:pPr>
        <w:spacing w:before="160" w:after="40" w:line="240" w:lineRule="auto"/>
      </w:pPr>
      <w:r>
        <w:rPr>
          <w:b/>
        </w:rPr>
        <w:t xml:space="preserve">[158] </w:t>
      </w:r>
      <w:hyperlink r:id="rId422">
        <w:r>
          <w:rPr>
            <w:color w:val="1155CC"/>
            <w:u w:val="single"/>
          </w:rPr>
          <w:t>HIV-1感染诱导Vif介导的宿主RNA剪接因子的SUMO化，这对正确的病毒RNA剪接很重要</w:t>
        </w:r>
      </w:hyperlink>
    </w:p>
    <w:p>
      <w:pPr>
        <w:spacing w:before="0" w:after="80"/>
      </w:pPr>
      <w:r>
        <w:rPr>
          <w:i/>
          <w:sz w:val="20"/>
        </w:rPr>
        <w:t>EN: HIV-1 infection induces Vif-mediated SUMOylation of host RNA splicing factors important for proper viral RNA splicing</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23">
        <w:r>
          <w:rPr>
            <w:color w:val="1155CC"/>
            <w:u w:val="single"/>
          </w:rPr>
          <w:t>10.1073/pnas.2532659123</w:t>
        </w:r>
      </w:hyperlink>
    </w:p>
    <w:p>
      <w:pPr>
        <w:spacing w:before="0" w:after="120"/>
      </w:pPr>
      <w:r>
        <w:rPr>
          <w:b/>
        </w:rPr>
        <w:t xml:space="preserve">Notes: </w:t>
      </w:r>
      <w:r>
        <w:t>abstract_source=pubmed</w:t>
      </w:r>
    </w:p>
    <w:p>
      <w:pPr>
        <w:spacing w:before="0" w:after="80" w:lineRule="auto" w:line="276"/>
      </w:pPr>
      <w:r>
        <w:rPr>
          <w:b/>
        </w:rPr>
        <w:t xml:space="preserve">摘要（ZH）: </w:t>
      </w:r>
      <w:r>
        <w:t>SUMO化是一种动态调节的翻译后修饰，涉及小泛素样修饰物（SUMOs）与目标蛋白赖氨酸残基的共价结合。SUMO化调节多种基本的宿主细胞途径，包括被HIV-1劫持以实现复制的途径，但在HIV-1感染背景下尚未通过大规模蛋白质组学进行探索。在此，我们进行了基于蛋白质组范围的质谱筛选，以识别对HIV-1感染响应的SUMO化蛋白。我们显示，HIV-1感染导致异质核核糖核蛋白（HNRNP）A/B家族的广泛SUMO化增加。这一表型由HIV-1病毒感染因子（Vif）的表达驱动，提示该蛋白的未探索功能。HNRNP A/B蛋白的耗竭导致HIV-1病毒RNA的剪接改变，并显著降低HIV-1的感染性。我们的数据表明一种机制，涉及HIV-1诱导的、Vif介导的宿主RNA剪接因子的SUMO化，以调节HIV-1的可变剪接。</w:t>
      </w:r>
    </w:p>
    <w:p>
      <w:pPr>
        <w:spacing w:before="0" w:after="200" w:lineRule="auto" w:line="276"/>
      </w:pPr>
      <w:r>
        <w:rPr>
          <w:b/>
        </w:rPr>
        <w:t xml:space="preserve">Abstract (EN): </w:t>
      </w:r>
      <w:r>
        <w:t>SUMOylation is a dynamically regulated post-translational modification involving covalent attachment of small ubiquitin-like modifiers (SUMOs) to lysine residues of target proteins. SUMOylation modulates multiple fundamental host cellular pathways, including pathways hijacked by HIV-1 to enable replication, but has not been explored by large-scale proteomics in the context of HIV-1 infection. Here, we performed a proteome-wide, mass spectrometry-based screen to identify proteins that are SUMOylated in response to HIV-1 infection. We show that infection with HIV-1 leads to the widespread increased SUMOylation of the heterogeneous nuclear ribonucleoprotein (HNRNP) A/B family. This phenotype was driven by expression of HIV-1 Viral Infectivity Factor (Vif), suggesting an unexplored function for this protein. Depletion of HNRNP A/B proteins led to altered splicing of HIV-1 viral RNAs and dramatically reduced HIV-1 infectivity. Our data suggest a mechanism involving HIV-1-induced, Vif-mediated SUMOylation of host RNA splicing factors as a means to regulate HIV-1 alternative splicing.</w:t>
      </w:r>
    </w:p>
    <w:p>
      <w:pPr>
        <w:spacing w:before="120" w:after="120"/>
      </w:pPr>
      <w:r>
        <w:rPr>
          <w:sz w:val="18"/>
        </w:rPr>
        <w:t>——————————————————————————————————————————————————————————————————————</w:t>
      </w:r>
    </w:p>
    <w:p>
      <w:pPr>
        <w:spacing w:before="160" w:after="40" w:line="240" w:lineRule="auto"/>
      </w:pPr>
      <w:r>
        <w:rPr>
          <w:b/>
        </w:rPr>
        <w:t xml:space="preserve">[159] </w:t>
      </w:r>
      <w:hyperlink r:id="rId424">
        <w:r>
          <w:rPr>
            <w:color w:val="1155CC"/>
            <w:u w:val="single"/>
          </w:rPr>
          <w:t>感知细菌群体感应信号激活三方植物免疫策略</w:t>
        </w:r>
      </w:hyperlink>
    </w:p>
    <w:p>
      <w:pPr>
        <w:spacing w:before="0" w:after="80"/>
      </w:pPr>
      <w:r>
        <w:rPr>
          <w:i/>
          <w:sz w:val="20"/>
        </w:rPr>
        <w:t>EN: Perception of a bacterial quorum sensing signal activates a tripartite plant immune strategy</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25">
        <w:r>
          <w:rPr>
            <w:color w:val="1155CC"/>
            <w:u w:val="single"/>
          </w:rPr>
          <w:t>10.1073/pnas.2532423123</w:t>
        </w:r>
      </w:hyperlink>
    </w:p>
    <w:p>
      <w:pPr>
        <w:spacing w:before="0" w:after="120"/>
      </w:pPr>
      <w:r>
        <w:rPr>
          <w:b/>
        </w:rPr>
        <w:t xml:space="preserve">Notes: </w:t>
      </w:r>
      <w:r>
        <w:t>abstract_source=pubmed</w:t>
      </w:r>
    </w:p>
    <w:p>
      <w:pPr>
        <w:spacing w:before="0" w:after="80" w:lineRule="auto" w:line="276"/>
      </w:pPr>
      <w:r>
        <w:rPr>
          <w:b/>
        </w:rPr>
        <w:t xml:space="preserve">摘要（ZH）: </w:t>
      </w:r>
      <w:r>
        <w:t>细菌群体感应（QS）信号在致病过程中构成日益严重的威胁。植物如何通过QS感知部署及时防御尚不清楚。在此，我们报告拟南芥感知来自铜绿假单胞菌的挥发性QS信号2'-氨基苯乙酮（2'-AA），并启动多层次防御。这一反应包括依赖于BRI1-相关受体激酶1（BAK1）的细胞内免疫，通过释放乙酸进行的细胞外群体淬灭，以及根部微生物群的生态重塑以抑制假单胞菌。我们的研究结果表明，植物可以将特定细菌QS分子的检测转化为协调的、预防性的抗病策略。</w:t>
      </w:r>
    </w:p>
    <w:p>
      <w:pPr>
        <w:spacing w:before="0" w:after="200" w:lineRule="auto" w:line="276"/>
      </w:pPr>
      <w:r>
        <w:rPr>
          <w:b/>
        </w:rPr>
        <w:t xml:space="preserve">Abstract (EN): </w:t>
      </w:r>
      <w:r>
        <w:t>Bacterial quorum sensing (QS) signals an increasing threat during pathogenesis. How plants deploy timely defenses through QS perception is poorly understood. Here, we report that Arabidopsis thaliana perceives 2'-aminoacetophenone (2'-AA), a volatile QS signal from Pseudomonas aeruginosa, and mounts a multilayered defense. This response comprises BRI1-ASSOCIATED RECEPTOR KINASE 1 (BAK1)-dependent intracellular immunity, extracellular quorum quenching through the release of acetic acid, and ecological remodeling of the root microbiome to suppress Pseudomonas. Our findings demonstrate that plants can translate the detection of a specific bacterial QS molecule into a coordinated, preemptive disease resistance strategy.</w:t>
      </w:r>
    </w:p>
    <w:p>
      <w:pPr>
        <w:spacing w:before="120" w:after="120"/>
      </w:pPr>
      <w:r>
        <w:rPr>
          <w:sz w:val="18"/>
        </w:rPr>
        <w:t>——————————————————————————————————————————————————————————————————————</w:t>
      </w:r>
    </w:p>
    <w:p>
      <w:pPr>
        <w:spacing w:before="160" w:after="40" w:line="240" w:lineRule="auto"/>
      </w:pPr>
      <w:r>
        <w:rPr>
          <w:b/>
        </w:rPr>
        <w:t xml:space="preserve">[160] </w:t>
      </w:r>
      <w:hyperlink r:id="rId426">
        <w:r>
          <w:rPr>
            <w:color w:val="1155CC"/>
            <w:u w:val="single"/>
          </w:rPr>
          <w:t>伪狂犬病病毒在病毒性脑炎中触发铁蛋白自噬介导的铁死亡和神经炎症</w:t>
        </w:r>
      </w:hyperlink>
    </w:p>
    <w:p>
      <w:pPr>
        <w:spacing w:before="0" w:after="80"/>
      </w:pPr>
      <w:r>
        <w:rPr>
          <w:i/>
          <w:sz w:val="20"/>
        </w:rPr>
        <w:t>EN: Pseudorabies virus triggers ferritinophagy-mediated ferroptosis and neuroinflammation in viral encephalitis</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27">
        <w:r>
          <w:rPr>
            <w:color w:val="1155CC"/>
            <w:u w:val="single"/>
          </w:rPr>
          <w:t>10.1073/pnas.2508352123</w:t>
        </w:r>
      </w:hyperlink>
    </w:p>
    <w:p>
      <w:pPr>
        <w:spacing w:before="0" w:after="120"/>
      </w:pPr>
      <w:r>
        <w:rPr>
          <w:b/>
        </w:rPr>
        <w:t xml:space="preserve">Notes: </w:t>
      </w:r>
      <w:r>
        <w:t>abstract_source=pubmed</w:t>
      </w:r>
    </w:p>
    <w:p>
      <w:pPr>
        <w:spacing w:before="0" w:after="80" w:lineRule="auto" w:line="276"/>
      </w:pPr>
      <w:r>
        <w:rPr>
          <w:b/>
        </w:rPr>
        <w:t xml:space="preserve">摘要（ZH）: </w:t>
      </w:r>
      <w:r>
        <w:t>伪狂犬病毒（PRV），属于α疱疹病毒亚科，主要感染猪，对养猪业构成重大威胁。近年来，已报告新出现的PRV变种感染人类，主要引起脑炎。铁死亡是一种新近识别的程序性细胞死亡形式，其特征是铁依赖性脂质过氧化。它在包括神经退行性疾病和病毒感染在内的多种疾病的发病机制中起作用。然而，PRV是否在中枢神经系统中诱导铁死亡及其潜在机制尚未完全阐明。本研究表明，PRV感染在N2a细胞、小鼠初级神经元和小鼠大脑中诱导铁死亡。具体而言，PRV感染在N2a细胞、小鼠初级神经元和大脑中触发铁蛋白自噬，增加细胞内游离铁水平和随后的脂质过氧化，最终驱动铁死亡。此外，PRV诱导的铁死亡与神经炎症密切相关。在机制上，铁死亡上调前列腺素内过氧化物合酶2（PTGS2），从而增强前列腺素E2（PGE2）合成并加剧炎症反应。综合转录组和代谢组分析进一步证实，PRV诱导的铁死亡通过PTGS2/PGE2通路驱动神经炎症。值得注意的是，铁死亡抑制剂去铁胺的治疗有效减轻PRV诱导的铁死亡，降低小鼠大脑中的病毒滴度，并缓解病毒性脑炎。总之，我们的研究揭示了</w:t>
      </w:r>
    </w:p>
    <w:p>
      <w:pPr>
        <w:spacing w:before="0" w:after="200" w:lineRule="auto" w:line="276"/>
      </w:pPr>
      <w:r>
        <w:rPr>
          <w:b/>
        </w:rPr>
        <w:t xml:space="preserve">Abstract (EN): </w:t>
      </w:r>
      <w:r>
        <w:t>Pseudorabies virus (PRV), a member of the Alphaherpesvirinae subfamily, primarily infects pigs and poses a significant threat to the swine industry. In recent years, emerging PRV variants have been reported to infect humans, predominantly causing encephalitis. Ferroptosis is a recently identified form of programmed cell death, characterized by iron-dependent lipid peroxidation. It has been implicated in the pathogenesis of various diseases, including neurodegenerative disorders and viral infections. However, whether PRV induces ferroptosis in the central nervous system and the underlying mechanisms remain to be fully elucidated. This study demonstrates that PRV infection induces ferroptosis in N2a cells, mouse primary neurons, and murine brains. Specifically, PRV infection triggers ferritinophagy in N2a cells, mouse primary neurons, and brain, increasing intracellular free iron levels and subsequent lipid peroxidation, ultimately driving ferroptosis. Furthermore, PRV-induced ferroptosis is closely associated with neuroinflammation. Mechanistically, ferroptosis upregulates prostaglandin-endoperoxide synthase 2 (PTGS2), thereby enhancing prostaglandin E2 (PGE2) synthesis and exacerbating inflammatory responses. Integrated transcriptomic and metabolomic analyses further confirm that PRV-induced ferroptosis drives neuroinflammation through the PTGS2/PGE2 pathway. Notably, treatment with the ferroptosis inhibitor deferoxamine effectively mitigates PRV-induced ferroptosis, reduces viral titers in mouse brains, and alleviates viral encephalitis. In conclusion, our study reveals the critical role of ferroptosis in PRV-induced viral encephalitis, providing therapeutic insights for treating PRV-associated neurological diseases.</w:t>
      </w:r>
    </w:p>
    <w:p>
      <w:pPr>
        <w:spacing w:before="120" w:after="120"/>
      </w:pPr>
      <w:r>
        <w:rPr>
          <w:sz w:val="18"/>
        </w:rPr>
        <w:t>——————————————————————————————————————————————————————————————————————</w:t>
      </w:r>
    </w:p>
    <w:p>
      <w:pPr>
        <w:spacing w:before="160" w:after="40" w:line="240" w:lineRule="auto"/>
      </w:pPr>
      <w:r>
        <w:rPr>
          <w:b/>
        </w:rPr>
        <w:t xml:space="preserve">[161] </w:t>
      </w:r>
      <w:hyperlink r:id="rId428">
        <w:r>
          <w:rPr>
            <w:color w:val="1155CC"/>
            <w:u w:val="single"/>
          </w:rPr>
          <w:t>HIF异二聚体的上下文依赖性变异影响与大分子和小分子伙伴的相互作用</w:t>
        </w:r>
      </w:hyperlink>
    </w:p>
    <w:p>
      <w:pPr>
        <w:spacing w:before="0" w:after="80"/>
      </w:pPr>
      <w:r>
        <w:rPr>
          <w:i/>
          <w:sz w:val="20"/>
        </w:rPr>
        <w:t>EN: Context-dependent variability of HIF heterodimers influences interactions with macromolecular and small molecule partners</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29">
        <w:r>
          <w:rPr>
            <w:color w:val="1155CC"/>
            <w:u w:val="single"/>
          </w:rPr>
          <w:t>10.1073/pnas.2514042123</w:t>
        </w:r>
      </w:hyperlink>
    </w:p>
    <w:p>
      <w:pPr>
        <w:spacing w:before="0" w:after="120"/>
      </w:pPr>
      <w:r>
        <w:rPr>
          <w:b/>
        </w:rPr>
        <w:t xml:space="preserve">Notes: </w:t>
      </w:r>
      <w:r>
        <w:t>abstract_source=pubmed</w:t>
      </w:r>
    </w:p>
    <w:p>
      <w:pPr>
        <w:spacing w:before="0" w:after="80" w:lineRule="auto" w:line="276"/>
      </w:pPr>
      <w:r>
        <w:rPr>
          <w:b/>
        </w:rPr>
        <w:t xml:space="preserve">摘要（ZH）: </w:t>
      </w:r>
      <w:r>
        <w:t>缺氧诱导因子（HIFs）是异二聚体转录因子，通过结合O2调节基因附近的短缺氧反应元件（HRE）DNA序列来协调细胞对低氧水平的反应。先前的研究表明，HIF/HRE复合物通过附近附加因子的结合得到增强，但这些相互作用尚不清楚。在此，我们整合了结构和生化方法来研究几种功能相关的HIF与其他蛋白质、小分子和DNA伙伴的组装。首先，我们使用冷冻电子显微镜（cryo-EM）建立了HIF-1和HIF-2在扩展的人类EPO增强子序列上自组装成“异二聚体二聚体”（DoHD）复合物，一个异二聚体结合在经典HRE位点，第二个以倒置方式结合在距HRE相邻序列8 bp处。与ARNT PAS-B结构域在DoHD内的相互作用占主导地位一致，我们发现HIF-1和HIF-2在同一DNA上共同组装混合DoHD复合物。其次，我们观察到尽管较大复合物的复杂性增加，分离的ARNT或HIF-2α PAS-B结构域的配体仍然结合并破坏了异二聚体和DoHD复合物，尽管根据配体的不同效力有所不同。最后，我们结合cryo-EM和质谱氢-氘交换（HDX-MS）显示HIF-1和HIF-2异二聚体如何通过ARNT和HIF-α亚基与转化酸性螺旋卷曲含蛋白3共激活因子结合，尽管在较大的DoHD中未见到这种情况。我们的研究结果强调了分子</w:t>
      </w:r>
    </w:p>
    <w:p>
      <w:pPr>
        <w:spacing w:before="0" w:after="200" w:lineRule="auto" w:line="276"/>
      </w:pPr>
      <w:r>
        <w:rPr>
          <w:b/>
        </w:rPr>
        <w:t xml:space="preserve">Abstract (EN): </w:t>
      </w:r>
      <w:r>
        <w:t>Hypoxia inducible factors (HIFs) are heterodimeric transcription factors that coordinate cellular responses to low oxygen levels by binding a short hypoxia response element (HRE) DNA sequence near O2-regulated genes. Prior studies suggest HIF/HRE complexes are augmented by the binding of additional factors nearby, but those interactions are not well understood. Here, we integrated structural and biochemical approaches to investigate several functionally relevant HIF assemblies with other protein, small molecule, and DNA partners. First, we used cryo-electron microscopy (cryo-EM) to establish that HIF-1 and HIF-2 self-assemble into "dimer-of-heterodimers" (DoHD) complexes on extended human EPO enhancer sequences, with one heterodimer bound at a canonical HRE site and the second binding in an inverted fashion to an HRE-adjacent sequence 8 bp away. Consistent with ARNT PAS-B domains predominating interactions within a DoHD, we found HIF-1 and HIF-2 coassemble mixed DoHD complexes on the same DNA. Second, we saw that despite the increased complexities of the larger complexes, ligands for the isolated ARNT or HIF-2α PAS-B domains still bound and disrupted both heterodimeric and DoHD complexes, albeit with variable potencies depending on the ligand. Finally, we combined cryo-EM and hydrogen-deuterium exchange by mass spectrometry (HDX-MS) to show how HIF-1 and HIF-2 heterodimers engage the transforming acidic coiled-coil containing protein 3 coactivator via both ARNT and HIF-α subunits, though this was unseen in the larger DoHD. Our findings highlight the importance of molecular context in biomolecular complex formation, adding to the complexities of potential regulation.</w:t>
      </w:r>
    </w:p>
    <w:p>
      <w:pPr>
        <w:spacing w:before="120" w:after="120"/>
      </w:pPr>
      <w:r>
        <w:rPr>
          <w:sz w:val="18"/>
        </w:rPr>
        <w:t>——————————————————————————————————————————————————————————————————————</w:t>
      </w:r>
    </w:p>
    <w:p>
      <w:pPr>
        <w:spacing w:before="160" w:after="40" w:line="240" w:lineRule="auto"/>
      </w:pPr>
      <w:r>
        <w:rPr>
          <w:b/>
        </w:rPr>
        <w:t xml:space="preserve">[162] </w:t>
      </w:r>
      <w:hyperlink r:id="rId430">
        <w:r>
          <w:rPr>
            <w:color w:val="1155CC"/>
            <w:u w:val="single"/>
          </w:rPr>
          <w:t>DARPins作为温度敏感p53癌症突变体的全反应激活剂</w:t>
        </w:r>
      </w:hyperlink>
    </w:p>
    <w:p>
      <w:pPr>
        <w:spacing w:before="0" w:after="80"/>
      </w:pPr>
      <w:r>
        <w:rPr>
          <w:i/>
          <w:sz w:val="20"/>
        </w:rPr>
        <w:t>EN: DARPins as pan-reactivators of temperature-sensitive p53 cancer mutants</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31">
        <w:r>
          <w:rPr>
            <w:color w:val="1155CC"/>
            <w:u w:val="single"/>
          </w:rPr>
          <w:t>10.1073/pnas.2531747123</w:t>
        </w:r>
      </w:hyperlink>
    </w:p>
    <w:p>
      <w:pPr>
        <w:spacing w:before="0" w:after="120"/>
      </w:pPr>
      <w:r>
        <w:rPr>
          <w:b/>
        </w:rPr>
        <w:t xml:space="preserve">Notes: </w:t>
      </w:r>
      <w:r>
        <w:t>abstract_source=pubmed</w:t>
      </w:r>
    </w:p>
    <w:p>
      <w:pPr>
        <w:spacing w:before="0" w:after="80" w:lineRule="auto" w:line="276"/>
      </w:pPr>
      <w:r>
        <w:rPr>
          <w:b/>
        </w:rPr>
        <w:t xml:space="preserve">摘要（ZH）: </w:t>
      </w:r>
      <w:r>
        <w:t>抑癌基因p53是肿瘤中最常见的突变蛋白，也是药物开发的目标。已经报道了超过2000种与癌症相关的p53错义突变，其中大多数位于DNA结合域（DBD）。由于后者固有的热稳定性低，它们常常在生理温度下展开。用小分子稳定DBD已被证明在重新激活腔体创造的癌症突变体Y220C方面有效。不幸的是，大多数p53突变体似乎缺乏可药物结合的小分子结合口袋。我们在此展示了一种设计的锚蛋白重复蛋白（DARPin），它结合到p53 DBD上，稳定了温度敏感（TS）的p53癌症突变体，从而补偿了突变引起的稳定性丧失。我们确定了多个DARPin-突变p53复合物的高分辨率晶体结构，提供了这种稳定模式的机制见解。对一组全面的癌症相关突变体进行的报告基因检测显示，大多数TS突变体被重新激活，而DNA接触突变体和那些DNA结合表面局部错误折叠的突变体则保持不活跃，正如预期的那样。我们证明这种重新激活诱导了经典p53目标基因的转录，并在癌细胞系中引发了抗增殖效应。这种DARPin与基于mRNA/脂质纳米颗粒的转染方法结合，可能有潜力重新激活大多数TS p53突变体，并使癌细胞对化疗重新敏感。</w:t>
      </w:r>
    </w:p>
    <w:p>
      <w:pPr>
        <w:spacing w:before="0" w:after="200" w:lineRule="auto" w:line="276"/>
      </w:pPr>
      <w:r>
        <w:rPr>
          <w:b/>
        </w:rPr>
        <w:t xml:space="preserve">Abstract (EN): </w:t>
      </w:r>
      <w:r>
        <w:t>The tumor suppressor p53 is the most frequently mutated protein in tumors and a target for drug development. More than 2000 cancer-associated p53 missense mutations have been reported, most of them located in the DNA-binding domain (DBD). Due to the low intrinsic thermostability of the latter, they often lead to unfolding at physiological temperature. Stabilizing the DBD with small molecules has been shown to be effective in reactivating the cavity-creating cancer mutant Y220C. Unfortunately, the majority of p53 mutants seem to lack druggable binding pockets for small molecules. Here we show that a designed ankyrin repeat protein (DARPin) that binds to the p53 DBD stabilizes temperature-sensitive (TS) p53 cancer mutants, thereby compensating for mutation-induced loss of stability. We determined high-resolution crystal structures of multiple DARPin-mutant p53 complexes, providing mechanistic insights into this mode of stabilization. Reporter gene assays across a comprehensive panel of cancer-associated mutants revealed reactivation of the majority of TS mutants, whereas DNA-contact mutants and those with local misfolding of the DNA-binding surface remained inactive, as expected. We demonstrate that this reactivation induces the transcription of canonical p53 target genes and elicits antiproliferative effects in cancer cell lines. A combination of this DARPin with an mRNA/lipid nanoparticle-based transfection approach may have the potential to reactivate most TS p53 mutants and resensitize cancer cells to chemotherapy.</w:t>
      </w:r>
    </w:p>
    <w:p>
      <w:pPr>
        <w:spacing w:before="120" w:after="120"/>
      </w:pPr>
      <w:r>
        <w:rPr>
          <w:sz w:val="18"/>
        </w:rPr>
        <w:t>——————————————————————————————————————————————————————————————————————</w:t>
      </w:r>
    </w:p>
    <w:p>
      <w:pPr>
        <w:spacing w:before="160" w:after="40" w:line="240" w:lineRule="auto"/>
      </w:pPr>
      <w:r>
        <w:rPr>
          <w:b/>
        </w:rPr>
        <w:t xml:space="preserve">[163] </w:t>
      </w:r>
      <w:hyperlink r:id="rId432">
        <w:r>
          <w:rPr>
            <w:color w:val="1155CC"/>
            <w:u w:val="single"/>
          </w:rPr>
          <w:t>线粒体双链RNA通过RIG-I/TLR3炎症促进胰腺癌生长</w:t>
        </w:r>
      </w:hyperlink>
    </w:p>
    <w:p>
      <w:pPr>
        <w:spacing w:before="0" w:after="80"/>
      </w:pPr>
      <w:r>
        <w:rPr>
          <w:i/>
          <w:sz w:val="20"/>
        </w:rPr>
        <w:t>EN: Mitochondrial double-stranded RNA fuels pancreatic cancer growth via RIG-I/TLR3 inflammation</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33">
        <w:r>
          <w:rPr>
            <w:color w:val="1155CC"/>
            <w:u w:val="single"/>
          </w:rPr>
          <w:t>10.1073/pnas.2528281123</w:t>
        </w:r>
      </w:hyperlink>
    </w:p>
    <w:p>
      <w:pPr>
        <w:spacing w:before="0" w:after="120"/>
      </w:pPr>
      <w:r>
        <w:rPr>
          <w:b/>
        </w:rPr>
        <w:t xml:space="preserve">Notes: </w:t>
      </w:r>
      <w:r>
        <w:t>abstract_source=pubmed</w:t>
      </w:r>
    </w:p>
    <w:p>
      <w:pPr>
        <w:spacing w:before="0" w:after="80" w:lineRule="auto" w:line="276"/>
      </w:pPr>
      <w:r>
        <w:rPr>
          <w:b/>
        </w:rPr>
        <w:t xml:space="preserve">摘要（ZH）: </w:t>
      </w:r>
      <w:r>
        <w:t>线粒体激活炎症和先天免疫以抵御感染，但其在癌症中的作用尚不清楚。在此，我们报告胰腺导管腺癌（PDAC）患者中，线粒体支架Mic60或内线粒体膜蛋白水平降低，表现出炎症增加、高NFκB活性和TNFα的产生。这是由结构缺陷的Mic60低线粒体释放的双链RNA（dsRNA）介导的，它参与TLR3/RIG-I感应，激活NFκB基因表达，并重新编程转录和信号网络以促进PDAC增殖。线粒体dsRNA信号的临床前靶向触发快速细胞死亡和肿瘤生长抑制，选择性地在Mic60敲低的PDAC中，而在体内没有明显的毒性。因此，从缺陷线粒体释放的dsRNA产生促肿瘤炎症，并为选择的PDAC患者提供了一个可操作的治疗靶点。</w:t>
      </w:r>
    </w:p>
    <w:p>
      <w:pPr>
        <w:spacing w:before="0" w:after="200" w:lineRule="auto" w:line="276"/>
      </w:pPr>
      <w:r>
        <w:rPr>
          <w:b/>
        </w:rPr>
        <w:t xml:space="preserve">Abstract (EN): </w:t>
      </w:r>
      <w:r>
        <w:t>Mitochondria activate inflammation and innate immunity to protect against infections, but the role in cancer is unknown. Here, we report that patients with pancreatic ductal adenocarcinoma (PDAC) with reduced levels of the mitochondrial scaffold, Mic60, or inner mitochondrial membrane protein, exhibit increased inflammation, high NFκB activity and production of TNFα. This is mediated by double-stranded RNA (dsRNA) released from structurally defective, Mic60-low mitochondria, which engages TLR3/RIG-I sensing, activates NFκB gene expression and reprograms transcriptional and signaling networks to promote PDAC proliferation. Preclinical targeting of mitochondrial dsRNA signaling triggers rapid cell death and inhibition of tumor growth, selectively in Mic60-knockdown PDAC, without overt toxicity, in vivo. Therefore, dsRNA released from defective mitochondria generates protumorigenic inflammation and provides an actionable therapeutic target in selected PDAC patients.</w:t>
      </w:r>
    </w:p>
    <w:p>
      <w:pPr>
        <w:spacing w:before="120" w:after="120"/>
      </w:pPr>
      <w:r>
        <w:rPr>
          <w:sz w:val="18"/>
        </w:rPr>
        <w:t>——————————————————————————————————————————————————————————————————————</w:t>
      </w:r>
    </w:p>
    <w:p>
      <w:pPr>
        <w:spacing w:before="160" w:after="40" w:line="240" w:lineRule="auto"/>
      </w:pPr>
      <w:r>
        <w:rPr>
          <w:b/>
        </w:rPr>
        <w:t xml:space="preserve">[164] </w:t>
      </w:r>
      <w:hyperlink r:id="rId434">
        <w:r>
          <w:rPr>
            <w:color w:val="1155CC"/>
            <w:u w:val="single"/>
          </w:rPr>
          <w:t>LRBA在远端肾单位段中组织不同的囊泡运输系统以节约水和钠</w:t>
        </w:r>
      </w:hyperlink>
    </w:p>
    <w:p>
      <w:pPr>
        <w:spacing w:before="0" w:after="80"/>
      </w:pPr>
      <w:r>
        <w:rPr>
          <w:i/>
          <w:sz w:val="20"/>
        </w:rPr>
        <w:t>EN: LRBA organizes distinct vesicular trafficking systems in distal nephron segments for water and sodium conservation</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35">
        <w:r>
          <w:rPr>
            <w:color w:val="1155CC"/>
            <w:u w:val="single"/>
          </w:rPr>
          <w:t>10.1073/pnas.2525505123</w:t>
        </w:r>
      </w:hyperlink>
    </w:p>
    <w:p>
      <w:pPr>
        <w:spacing w:before="0" w:after="120"/>
      </w:pPr>
      <w:r>
        <w:rPr>
          <w:b/>
        </w:rPr>
        <w:t xml:space="preserve">Notes: </w:t>
      </w:r>
      <w:r>
        <w:t>abstract_source=pubmed</w:t>
      </w:r>
    </w:p>
    <w:p>
      <w:pPr>
        <w:spacing w:before="0" w:after="80" w:lineRule="auto" w:line="276"/>
      </w:pPr>
      <w:r>
        <w:rPr>
          <w:b/>
        </w:rPr>
        <w:t xml:space="preserve">摘要（ZH）: </w:t>
      </w:r>
      <w:r>
        <w:t>脂多糖响应和米色样锚蛋白（LRBA）缺乏症是一种罕见的遗传性疾病，其特征是免疫失调。在缺乏LRBA的情况下，免疫检查点分子细胞毒性T淋巴细胞相关抗原4（CTLA-4）无法进行适当的膜运输。除了免疫细胞外，LRBA还定位于各种上皮细胞的细胞内囊泡；然而，其生理作用尚未被准确解读。本研究观察到，LRBA通过促进肾集合管细胞中水通道蛋白-2（AQP2）和AQP4的囊泡运输以及远曲小管细胞中无菌20/SPS1相关脯氨酸/丙氨酸丰富激酶（SPAK）的运输，促进水和钠的运输。因此，Lrba敲除小鼠在钠限制条件下表现出抗加压素性多尿和低血压。这项登记研究揭示了一部分LRBA缺乏症患者的多尿表型，其特征是在慢性腹泻的情况下尿比重不适当地低。值得注意的是，去氨加压素治疗改善了人类LRBA缺乏症小鼠模型中受损的尿液浓缩。LRBA通过组织肾上皮细胞中的段特异性囊泡运输系统，作为液体和钠稳态的中央协调者。</w:t>
      </w:r>
    </w:p>
    <w:p>
      <w:pPr>
        <w:spacing w:before="0" w:after="200" w:lineRule="auto" w:line="276"/>
      </w:pPr>
      <w:r>
        <w:rPr>
          <w:b/>
        </w:rPr>
        <w:t xml:space="preserve">Abstract (EN): </w:t>
      </w:r>
      <w:r>
        <w:t>Lipopolysaccharide-responsive and beige-like anchor protein (LRBA) deficiency is a rare genetic disorder characterized by immune dysregulation. The immune checkpoint molecule cytotoxic T lymphocyte-associated antigen 4 (CTLA-4) fails to perform proper membrane trafficking in the absence of LRBA. In addition to immune cells, LRBA localizes to intracellular vesicles in various epithelial cells; however, its physiological roles have not been accurately deciphered. It was observed in this study that LRBA facilitates water and sodium transport by promoting vesicular trafficking of aquaporin-2 (AQP2) and AQP4 in renal collecting duct cells and that of sterile 20/SPS1-related proline/alanine-rich kinase (SPAK) in distal convoluted tubule cells. Consequently, Lrba knockout mice exhibited vasopressin-resistant polyuria and hypotension under sodium-restricted conditions. This registry study revealed a polyuric phenotype in a subset of patients with LRBA deficiency, characterized by inappropriately low urine specific gravity despite the presence of chronic diarrhea. Notably, desmopressin treatment ameliorated impaired urinary concentration in a mouse model of human LRBA deficiency. LRBA functions as a central coordinator of fluid and sodium homeostasis by organizing segment-specific vesicular trafficking systems in renal epithelial cells.</w:t>
      </w:r>
    </w:p>
    <w:p>
      <w:pPr>
        <w:spacing w:before="120" w:after="120"/>
      </w:pPr>
      <w:r>
        <w:rPr>
          <w:sz w:val="18"/>
        </w:rPr>
        <w:t>——————————————————————————————————————————————————————————————————————</w:t>
      </w:r>
    </w:p>
    <w:p>
      <w:pPr>
        <w:spacing w:before="160" w:after="40" w:line="240" w:lineRule="auto"/>
      </w:pPr>
      <w:r>
        <w:rPr>
          <w:b/>
        </w:rPr>
        <w:t xml:space="preserve">[165] </w:t>
      </w:r>
      <w:hyperlink r:id="rId436">
        <w:r>
          <w:rPr>
            <w:color w:val="1155CC"/>
            <w:u w:val="single"/>
          </w:rPr>
          <w:t>在一种侵袭性乳腺癌小鼠模型中，热量限制的抗转移效应被自愿运动所抵消</w:t>
        </w:r>
      </w:hyperlink>
    </w:p>
    <w:p>
      <w:pPr>
        <w:spacing w:before="0" w:after="80"/>
      </w:pPr>
      <w:r>
        <w:rPr>
          <w:i/>
          <w:sz w:val="20"/>
        </w:rPr>
        <w:t>EN: The antimetastatic effects of calorie restriction are negated by voluntary exercise in an aggressive breast cancer mouse model</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37">
        <w:r>
          <w:rPr>
            <w:color w:val="1155CC"/>
            <w:u w:val="single"/>
          </w:rPr>
          <w:t>10.1073/pnas.2524488123</w:t>
        </w:r>
      </w:hyperlink>
    </w:p>
    <w:p>
      <w:pPr>
        <w:spacing w:before="0" w:after="120"/>
      </w:pPr>
      <w:r>
        <w:rPr>
          <w:b/>
        </w:rPr>
        <w:t xml:space="preserve">Notes: </w:t>
      </w:r>
      <w:r>
        <w:t>abstract_source=pubmed</w:t>
      </w:r>
    </w:p>
    <w:p>
      <w:pPr>
        <w:spacing w:before="0" w:after="80" w:lineRule="auto" w:line="276"/>
      </w:pPr>
      <w:r>
        <w:rPr>
          <w:b/>
        </w:rPr>
        <w:t xml:space="preserve">摘要（ZH）: </w:t>
      </w:r>
      <w:r>
        <w:t>生活方式干预在治疗成功中的作用已成为几乎每种疾病的关键。健康的饮食习惯、定期锻炼和压力管理是可以改善治疗期间生活质量的关键支柱，同时也可以延缓疾病的发作和进展。在这项研究中，我们重点研究了轻度热量限制（CR）和自愿运动作为化疗的辅助剂在使用4T1小鼠模型治疗三阴性乳腺癌中的结合。在该模型中，自愿运动在原发肿瘤大小、身体组成或身体表现方面没有超出化疗加CR的益处，同时减弱了CR在久坐小鼠肺部的抗转移效应。这些发现突显了将结果从一个临床前模型转化到另一个模型，最终转化到人类的挑战。饮食和运动类型以及化疗药物影响每种癌症类型的结果。需要更多的研究来确定是否以及何时应向特定癌症患者推荐运动。</w:t>
      </w:r>
    </w:p>
    <w:p>
      <w:pPr>
        <w:spacing w:before="0" w:after="200" w:lineRule="auto" w:line="276"/>
      </w:pPr>
      <w:r>
        <w:rPr>
          <w:b/>
        </w:rPr>
        <w:t xml:space="preserve">Abstract (EN): </w:t>
      </w:r>
      <w:r>
        <w:t>The role of lifestyle interventions in treatment success has become essential for nearly every disease. Healthy dietary habits, regular exercise, and stress management are key pillars that can improve quality of life during treatment, as well as delay disease onset and progression. In this study, we focus on the combination of mild calorie restriction (CR) and voluntary exercise as coadjuvants to chemotherapy in the treatment of triple-negative breast cancer using the 4T1 mouse model. In this model, voluntary exercise did not add benefits beyond chemotherapy plus CR in terms of primary tumor size, body composition, or physical performance, while dampening the antimetastatic effect of CR in the lungs of sedentary mice. These findings highlight the challenges of translating results from one preclinical model to another, and ultimately to humans. Diet and exercise type and chemotherapeutic agent influence the outcomes of each type of cancer. More research is needed to determine if and when exercise should be recommended to particular cancer patients.</w:t>
      </w:r>
    </w:p>
    <w:p>
      <w:pPr>
        <w:spacing w:before="120" w:after="120"/>
      </w:pPr>
      <w:r>
        <w:rPr>
          <w:sz w:val="18"/>
        </w:rPr>
        <w:t>——————————————————————————————————————————————————————————————————————</w:t>
      </w:r>
    </w:p>
    <w:p>
      <w:pPr>
        <w:spacing w:before="160" w:after="40" w:line="240" w:lineRule="auto"/>
      </w:pPr>
      <w:r>
        <w:rPr>
          <w:b/>
        </w:rPr>
        <w:t xml:space="preserve">[166] </w:t>
      </w:r>
      <w:hyperlink r:id="rId438">
        <w:r>
          <w:rPr>
            <w:color w:val="1155CC"/>
            <w:u w:val="single"/>
          </w:rPr>
          <w:t>在(1–x)BiFeO3–(x)BaTiO3薄膜中，强固有多铁性和磁电耦合</w:t>
        </w:r>
      </w:hyperlink>
    </w:p>
    <w:p>
      <w:pPr>
        <w:spacing w:before="0" w:after="80"/>
      </w:pPr>
      <w:r>
        <w:rPr>
          <w:i/>
          <w:sz w:val="20"/>
        </w:rPr>
        <w:t>EN: Strong intrinsic multiferroism and magnetoelectric coupling in (1–x)BiFeO3–(x)BaTiO3 films</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39">
        <w:r>
          <w:rPr>
            <w:color w:val="1155CC"/>
            <w:u w:val="single"/>
          </w:rPr>
          <w:t>10.1073/pnas.2603475123</w:t>
        </w:r>
      </w:hyperlink>
    </w:p>
    <w:p>
      <w:pPr>
        <w:spacing w:before="0" w:after="120"/>
      </w:pPr>
      <w:r>
        <w:rPr>
          <w:b/>
        </w:rPr>
        <w:t xml:space="preserve">Notes: </w:t>
      </w:r>
      <w:r>
        <w:t>abstract_source=pubmed</w:t>
      </w:r>
    </w:p>
    <w:p>
      <w:pPr>
        <w:spacing w:before="0" w:after="80" w:lineRule="auto" w:line="276"/>
      </w:pPr>
      <w:r>
        <w:rPr>
          <w:b/>
        </w:rPr>
        <w:t xml:space="preserve">摘要（ZH）: </w:t>
      </w:r>
      <w:r>
        <w:t>BiFeO3中铁电和反铁磁有序的共存使其在下一代磁电设备中具有前景。然而，具有稳健室温极化和磁化的单相多铁性材料很少见。在这里，外延(1-x)BiFeO3-(x)BaTiO3薄膜中观察到增强的室温铁电极化（≈ 120 µC cm-2）、饱和磁化（≈ 40 emu cm-3）和强磁电耦合（≈ 400 mV cm-1 Oe-1）。这些磁化和磁电耦合的值分别比广泛研究的母材料BiFeO3中的相同特性大一个和两个数量级。这种备受追捧的特性组合在一个独特的四方相中被发现，该相不同于BiFeO3的菱面体和超四方变体，通过化学替代和外延应变的结合在x = 0.2到0.3时出现。结构和物理特性表征以及第一性原理计算揭示了从单斜到四方对称的过渡，并表明四方相中钛的短程有序导致铁磁自旋有序。这项工作展示了一种独特的单相多铁性材料，通过操控耦合的化学有序和自旋有序，实现了强极化、磁化和磁电耦合，从而解决了多铁性研究中的一个重大挑战，并为实用的室温高效电荷到自旋和自旋到电荷转换技术提供了一条路径。</w:t>
      </w:r>
    </w:p>
    <w:p>
      <w:pPr>
        <w:spacing w:before="0" w:after="200" w:lineRule="auto" w:line="276"/>
      </w:pPr>
      <w:r>
        <w:rPr>
          <w:b/>
        </w:rPr>
        <w:t xml:space="preserve">Abstract (EN): </w:t>
      </w:r>
      <w:r>
        <w:t>The coexistence of ferroelectric and antiferromagnetic order in BiFeO3 makes it promising for next-generation magnetoelectric devices. But, single-phase multiferroics with robust room-temperature polarization and magnetization are rare. Here, enhanced, room-temperature ferroelectric polarization (≈ 120 µC cm-2), saturation magnetization (≈ 40 emu cm-3), and strong magnetoelectric coupling (≈ 400 mV cm-1 Oe-1) are observed in epitaxial (1-x)BiFeO3-(x)BaTiO3 thin films. These values of magnetization and magnetoelectric coupling are, respectively, one- and two-orders of magnitude larger than those same properties in the widely studied parent material BiFeO3. This sought after combination of properties is found in a distinct tetragonal phase, which is different from rhombohedral and super-tetragonal variants of BiFeO3, that emerges at x = 0.2 to 0.3 via combined chemical substitution and epitaxial strain. Structural and physical-property characterization, along with first-principles calculations, reveal a transition from monoclinic to tetragonal symmetry and suggest that short-range ordering of the titanium in the tetragonal phase results in ferrimagnetic spin ordering. This work demonstrates a unique single-phase multiferroic combining strong polarization, magnetization, and magnetoelectric coupling achieved through manipulation of the coupled chemical order and spin order; thereby addressing a major challenge in multiferroics research and providing a path toward practical room-temperature, efficient charge-to-spin and spin-to-charge conversion technologies.</w:t>
      </w:r>
    </w:p>
    <w:p>
      <w:pPr>
        <w:spacing w:before="120" w:after="120"/>
      </w:pPr>
      <w:r>
        <w:rPr>
          <w:sz w:val="18"/>
        </w:rPr>
        <w:t>——————————————————————————————————————————————————————————————————————</w:t>
      </w:r>
    </w:p>
    <w:p>
      <w:pPr>
        <w:spacing w:before="160" w:after="40" w:line="240" w:lineRule="auto"/>
      </w:pPr>
      <w:r>
        <w:rPr>
          <w:b/>
        </w:rPr>
        <w:t xml:space="preserve">[167] </w:t>
      </w:r>
      <w:hyperlink r:id="rId440">
        <w:r>
          <w:rPr>
            <w:color w:val="1155CC"/>
            <w:u w:val="single"/>
          </w:rPr>
          <w:t>使用分子胶恢复Noonan综合征中的14-3-3/CRAF调节相互作用</w:t>
        </w:r>
      </w:hyperlink>
    </w:p>
    <w:p>
      <w:pPr>
        <w:spacing w:before="0" w:after="80"/>
      </w:pPr>
      <w:r>
        <w:rPr>
          <w:i/>
          <w:sz w:val="20"/>
        </w:rPr>
        <w:t>EN: Restoring the 14-3-3/CRAF regulatory interaction in Noonan syndrome using molecular glues</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41">
        <w:r>
          <w:rPr>
            <w:color w:val="1155CC"/>
            <w:u w:val="single"/>
          </w:rPr>
          <w:t>10.1073/pnas.2602101123</w:t>
        </w:r>
      </w:hyperlink>
    </w:p>
    <w:p>
      <w:pPr>
        <w:spacing w:before="0" w:after="120"/>
      </w:pPr>
      <w:r>
        <w:rPr>
          <w:b/>
        </w:rPr>
        <w:t xml:space="preserve">Notes: </w:t>
      </w:r>
      <w:r>
        <w:t>abstract_source=pubmed</w:t>
      </w:r>
    </w:p>
    <w:p>
      <w:pPr>
        <w:spacing w:before="0" w:after="80" w:lineRule="auto" w:line="276"/>
      </w:pPr>
      <w:r>
        <w:rPr>
          <w:b/>
        </w:rPr>
        <w:t xml:space="preserve">摘要（ZH）: </w:t>
      </w:r>
      <w:r>
        <w:t>Noonan综合征（NS）是最常见的RASopathy，一种源于丝裂原活化蛋白激酶（MAPK）通路失调的发育障碍。NS是由通路中蛋白质的适度激活突变引起的。Trametinib，一种MEK抑制剂，已在某些NS并发症中显示出有希望的结果，但缺乏NS特异性治疗选择。由适配蛋白14-3-3调控的CRAF活性代表了一个尚未被利用的关键NS调节节点。当在CRAF S259处磷酸化（p）时，14-3-3/CRAF-pS259复合物采用一种不活跃构象，其中CRAF未完全结合RAS或其他RAFs。NS中CRAF的突变发生在围绕S259的残基（CRAFNS）。在这里，我们量化了这些突变如何通过减少磷酸化（64%到97%）和减少与14-3-3的结合亲和力（三到超过100倍的减少）来削弱14-3-3/CRAF。我们还探索了使用分子胶（MGs）增强14-3-3/CRAF抑制复合物以恢复NS中的稳态的潜力。我们报告说，MGs在CRAF效应器NS突变背景下保护CRAFWT-pS259的磷酸化。它们还稳定14-3-3/CRAFNS相互作用，并将S259磷酸化水平提高至2.8倍，导致CRAF与NRAS的结合减少和活性CRAF激酶二聚体的形成减少。最终，CRAF激活的抑制导致下游靶ERK的磷酸化减少，类似于trametinib，在三种不同的NS变体中（磷酸酶SHOC2的激活、CRAFS257L和CRAFV263A）。</w:t>
      </w:r>
    </w:p>
    <w:p>
      <w:pPr>
        <w:spacing w:before="0" w:after="200" w:lineRule="auto" w:line="276"/>
      </w:pPr>
      <w:r>
        <w:rPr>
          <w:b/>
        </w:rPr>
        <w:t xml:space="preserve">Abstract (EN): </w:t>
      </w:r>
      <w:r>
        <w:t>Noonan syndrome (NS) is the most common RASopathy, a developmental disorder that derives from dysregulation of the mitogen-activated protein kinase (MAPK) pathway. NS results from modestly activating mutations in proteins throughout the pathway. Trametinib, a MEK inhibitor, has shown promising results for certain NS complications, but NS-specific therapeutic options are lacking. CRAF activity, which is governed by the adaptor protein 14-3-3, represents a key NS regulatory node that has not been exploited. When phosphorylated (p) at CRAF S259, the 14-3-3/CRAF-pS259 complex adopts an inactive conformation in which CRAF does not fully bind to RAS or to other RAFs. NS mutations in CRAF occur at residues surrounding S259 (CRAFNS). Here, we quantify how these mutations impair 14-3-3/CRAF, both through decreased phosphorylation (64 to 97%) and decreased binding affinity to 14-3-3 (three- to &gt;100-fold decrease). We also explore the potential of restoring homeostasis in NS using molecular glues (MGs) to enhance the 14-3-3/CRAF inhibitory complex. We report that MGs protect phosphorylation of CRAFWT-pS259 in CRAF-effector NS mutant backgrounds. They also stabilize 14-3-3/CRAFNS interactions and increase the levels of S259 phosphorylation up to 2.8-fold, leading to decreased association of CRAF with NRAS and decreased formation of the active CRAF kinase dimers. Ultimately, inhibition of CRAF activation leads to decreased phosphorylation of the downstream target ERK, similarly to trametinib, in three different NS variants (activation of the phosphatase SHOC2, CRAFS257L, and CRAFV263A). These results reveal a potential therapeutic strategy for NS and related RASopathies. They also demonstrate the scope and limitations of stabilizing mutation-weakened complexes with molecular glues.</w:t>
      </w:r>
    </w:p>
    <w:p>
      <w:pPr>
        <w:spacing w:before="120" w:after="120"/>
      </w:pPr>
      <w:r>
        <w:rPr>
          <w:sz w:val="18"/>
        </w:rPr>
        <w:t>——————————————————————————————————————————————————————————————————————</w:t>
      </w:r>
    </w:p>
    <w:p>
      <w:pPr>
        <w:spacing w:before="160" w:after="40" w:line="240" w:lineRule="auto"/>
      </w:pPr>
      <w:r>
        <w:rPr>
          <w:b/>
        </w:rPr>
        <w:t xml:space="preserve">[168] </w:t>
      </w:r>
      <w:hyperlink r:id="rId442">
        <w:r>
          <w:rPr>
            <w:color w:val="1155CC"/>
            <w:u w:val="single"/>
          </w:rPr>
          <w:t>脂肪细胞中的脂质代谢通过Nplp2介导的Wnt5信号在远处调节肿瘤生长</w:t>
        </w:r>
      </w:hyperlink>
    </w:p>
    <w:p>
      <w:pPr>
        <w:spacing w:before="0" w:after="80"/>
      </w:pPr>
      <w:r>
        <w:rPr>
          <w:i/>
          <w:sz w:val="20"/>
        </w:rPr>
        <w:t>EN: Lipid metabolism in adipocytes modulates tumor growth at a distance through Nplp2-mediated Wnt5 signal</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43">
        <w:r>
          <w:rPr>
            <w:color w:val="1155CC"/>
            <w:u w:val="single"/>
          </w:rPr>
          <w:t>10.1073/pnas.2601991123</w:t>
        </w:r>
      </w:hyperlink>
    </w:p>
    <w:p>
      <w:pPr>
        <w:spacing w:before="0" w:after="120"/>
      </w:pPr>
      <w:r>
        <w:rPr>
          <w:b/>
        </w:rPr>
        <w:t xml:space="preserve">Notes: </w:t>
      </w:r>
      <w:r>
        <w:t>abstract_source=pubmed</w:t>
      </w:r>
    </w:p>
    <w:p>
      <w:pPr>
        <w:spacing w:before="0" w:after="80" w:lineRule="auto" w:line="276"/>
      </w:pPr>
      <w:r>
        <w:rPr>
          <w:b/>
        </w:rPr>
        <w:t xml:space="preserve">摘要（ZH）: </w:t>
      </w:r>
      <w:r>
        <w:t>宿主的代谢状态可能会影响在局部生长的肿瘤的生长轨迹，这在不同人群中是高度可变和不可预测的。全身代谢与肿瘤生长结果之间的分子联系仍然很不清楚。在这里，我们利用果蝇模型的遗传优势进行遗传筛选，并在脂肪组织中识别出可以改变远程生长肿瘤生长轨迹的分子参与者。我们发现，脂肪细胞中三酰基甘油（TAG）代谢状态的变化（这是胰岛素信号调节的下游）可以显著改变远程肿瘤的生长轨迹。在机制上，我们发现从脂肪细胞分泌并通过Nplp2-脂蛋白颗粒群体在循环中运输的Wnt5是远程肿瘤生长所必需的。扰乱TAG代谢或减少脂肪细胞中Nplp2-脂蛋白颗粒的形成会减少循环中的Wnt5，从而限制远程肿瘤的生长。</w:t>
      </w:r>
    </w:p>
    <w:p>
      <w:pPr>
        <w:spacing w:before="0" w:after="200" w:lineRule="auto" w:line="276"/>
      </w:pPr>
      <w:r>
        <w:rPr>
          <w:b/>
        </w:rPr>
        <w:t xml:space="preserve">Abstract (EN): </w:t>
      </w:r>
      <w:r>
        <w:t>The host metabolic state can potentially affect the growth trajectories of tumors growing at local sites, which are highly variable and unpredictable among populations. The molecular links between systemic metabolism and tumor growth outcomes remain largely unclear. Here, we harnessed the genetic power of the Drosophila model to perform genetic screens and identified molecular players in the adipose tissue that can change the growth trajectory of remotely growing tumors. We found that variation of triacylglycerol (TAG) metabolism state in adipocytes, which is downstream of insulin signaling regulation, can strongly change the growth trajectory of distant tumors. Mechanistically, we identified that Wnt5, which is secreted from adipocytes and transported in circulation through a population of Nplp2-lipoprotein particles, is required for distant tumor growth. Perturbation of TAG metabolism or depletion of Nplp2-lipoprotein particle formation in adipocytes reduces Wnt5 in circulation and therefore restricts distant tumor growth.</w:t>
      </w:r>
    </w:p>
    <w:p>
      <w:pPr>
        <w:spacing w:before="120" w:after="120"/>
      </w:pPr>
      <w:r>
        <w:rPr>
          <w:sz w:val="18"/>
        </w:rPr>
        <w:t>——————————————————————————————————————————————————————————————————————</w:t>
      </w:r>
    </w:p>
    <w:p>
      <w:pPr>
        <w:spacing w:before="160" w:after="40" w:line="240" w:lineRule="auto"/>
      </w:pPr>
      <w:r>
        <w:rPr>
          <w:b/>
        </w:rPr>
        <w:t xml:space="preserve">[169] </w:t>
      </w:r>
      <w:hyperlink r:id="rId444">
        <w:r>
          <w:rPr>
            <w:color w:val="1155CC"/>
            <w:u w:val="single"/>
          </w:rPr>
          <w:t>通过合理设计可以逆转由致癌跨膜突变引起的IL-7R二聚化结构重组</w:t>
        </w:r>
      </w:hyperlink>
    </w:p>
    <w:p>
      <w:pPr>
        <w:spacing w:before="0" w:after="80"/>
      </w:pPr>
      <w:r>
        <w:rPr>
          <w:i/>
          <w:sz w:val="20"/>
        </w:rPr>
        <w:t>EN: Structural rewiring of IL-7R dimerization by an oncogenic transmembrane mutation can be reversed by rational design</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45">
        <w:r>
          <w:rPr>
            <w:color w:val="1155CC"/>
            <w:u w:val="single"/>
          </w:rPr>
          <w:t>10.1073/pnas.2601748123</w:t>
        </w:r>
      </w:hyperlink>
    </w:p>
    <w:p>
      <w:pPr>
        <w:spacing w:before="0" w:after="120"/>
      </w:pPr>
      <w:r>
        <w:rPr>
          <w:b/>
        </w:rPr>
        <w:t xml:space="preserve">Notes: </w:t>
      </w:r>
      <w:r>
        <w:t>abstract_source=pubmed</w:t>
      </w:r>
    </w:p>
    <w:p>
      <w:pPr>
        <w:spacing w:before="0" w:after="80" w:lineRule="auto" w:line="276"/>
      </w:pPr>
      <w:r>
        <w:rPr>
          <w:b/>
        </w:rPr>
        <w:t xml:space="preserve">摘要（ZH）: </w:t>
      </w:r>
      <w:r>
        <w:t>单次跨膜受体的跨膜域（TMDs）内的突变通常会导致异常的、配体非依赖性的受体信号传导，这与多种恶性肿瘤有关，但其作用机制仍然很大程度上未知。这些TMD突变通常不可靶向，因为它们埋藏在膜中。在这里，我们确定了与T细胞急性淋巴细胞白血病相关的白细胞介素-7受体（IL-7R）的功能获得（GOF）TMD突变的机制，并通过使用合理设计的跨膜螺旋来恢复对失控信号的秩序，探讨了直接靶向TMD突变的可能性。我们发现IL-7R的GOF突变严重改变了TMD同二聚化界面，导致受体以激活下游信号的几何形状同二聚化，而不依赖于配体。设计的跨膜螺旋干扰新的界面，通过mRNA技术递送，选择性地阻断配体非依赖性而非配体依赖性信号。我们的研究为理解和修复单次跨膜细胞因子受体的致病TMD突变提供了概念框架。</w:t>
      </w:r>
    </w:p>
    <w:p>
      <w:pPr>
        <w:spacing w:before="0" w:after="200" w:lineRule="auto" w:line="276"/>
      </w:pPr>
      <w:r>
        <w:rPr>
          <w:b/>
        </w:rPr>
        <w:t xml:space="preserve">Abstract (EN): </w:t>
      </w:r>
      <w:r>
        <w:t>Mutations within the transmembrane domains (TMDs) of single-pass transmembrane receptors often cause aberrant, ligand-independent receptor signaling associated with diverse malignancies, but their mechanism of action remains largely unknown. These TMD mutations are generally not targetable as they are buried in the membrane. Here, we determined the mechanism of a gain-of-function (GOF) TMD mutation of interleukin-7 receptor (IL-7R) associated with T cell acute lymphoblastic leukemia and addressed the possibility of directly targeting the TMD mutation by using rationally designed transmembrane helices to restore order to uncontrolled signaling. We find that the GOF mutation of IL-7R severely shifts the TMD homodimerization interface, causing the receptor to homodimerize in a geometry that activates downstream signaling independent of ligand. Designed transmembrane helices that interfere with the new interface, delivered with mRNA technology, selectively block ligand-independent but not ligand-dependent signaling. Our study provides a conceptual framework for understanding and repairing disease-causing TMD mutations of single-pass cytokine receptors.</w:t>
      </w:r>
    </w:p>
    <w:p>
      <w:pPr>
        <w:spacing w:before="120" w:after="120"/>
      </w:pPr>
      <w:r>
        <w:rPr>
          <w:sz w:val="18"/>
        </w:rPr>
        <w:t>——————————————————————————————————————————————————————————————————————</w:t>
      </w:r>
    </w:p>
    <w:p>
      <w:pPr>
        <w:spacing w:before="160" w:after="40" w:line="240" w:lineRule="auto"/>
      </w:pPr>
      <w:r>
        <w:rPr>
          <w:b/>
        </w:rPr>
        <w:t xml:space="preserve">[170] </w:t>
      </w:r>
      <w:hyperlink r:id="rId446">
        <w:r>
          <w:rPr>
            <w:color w:val="1155CC"/>
            <w:u w:val="single"/>
          </w:rPr>
          <w:t>用于结构化合并近似下系统发育推断的并行算法</w:t>
        </w:r>
      </w:hyperlink>
    </w:p>
    <w:p>
      <w:pPr>
        <w:spacing w:before="0" w:after="80"/>
      </w:pPr>
      <w:r>
        <w:rPr>
          <w:i/>
          <w:sz w:val="20"/>
        </w:rPr>
        <w:t>EN: Parallel algorithms for phylogenetic inference under a structured coalescent approximation</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47">
        <w:r>
          <w:rPr>
            <w:color w:val="1155CC"/>
            <w:u w:val="single"/>
          </w:rPr>
          <w:t>10.1073/pnas.2602412123</w:t>
        </w:r>
      </w:hyperlink>
    </w:p>
    <w:p>
      <w:pPr>
        <w:spacing w:before="0" w:after="120"/>
      </w:pPr>
      <w:r>
        <w:rPr>
          <w:b/>
        </w:rPr>
        <w:t xml:space="preserve">Notes: </w:t>
      </w:r>
      <w:r>
        <w:t>abstract_source=pubmed</w:t>
      </w:r>
    </w:p>
    <w:p>
      <w:pPr>
        <w:spacing w:before="0" w:after="80" w:lineRule="auto" w:line="276"/>
      </w:pPr>
      <w:r>
        <w:rPr>
          <w:b/>
        </w:rPr>
        <w:t xml:space="preserve">摘要（ZH）: </w:t>
      </w:r>
      <w:r>
        <w:t>分子流行病学和计算建模的进展提高了我们追踪病原体进化的能力，但准确重建时空传播对于流行病准备和响应仍然至关重要。结构化合并模型通过限制同一群体内谱系的合并提供了一个系统地理框架。尽管贝叶斯结构化合并近似（BASTA）提供了一种可行的方法，但涉及数十个地方和数百到数千个基因组的当代系统地理分析超出了现有实现的计算能力。由于矩阵指数和部分似然向量更新，BASTA似然随着群体数量呈立方增长，随着序列数量呈平方增长。在这里，我们引入了一种结构化合并似然的算法重组，消除了冗余，优化了内存访问，并揭示了并行化机会。我们的方法沿三个维度重组计算：i）跨时间间隔独立计算群体转换概率矩阵；ii）在时间切片内同时评估部分似然向量；iii）同时聚合合并概率。算法重组将平均合并似然计算减少了7到8倍，并行化进一步将性能提升到10到26倍，使得对10个南美国家的登革热病毒和20个欧亚地区的H5N1禽流感的联合系统地理分析在之前时间的一小部分内完成。</w:t>
      </w:r>
    </w:p>
    <w:p>
      <w:pPr>
        <w:spacing w:before="0" w:after="200" w:lineRule="auto" w:line="276"/>
      </w:pPr>
      <w:r>
        <w:rPr>
          <w:b/>
        </w:rPr>
        <w:t xml:space="preserve">Abstract (EN): </w:t>
      </w:r>
      <w:r>
        <w:t>Advances in molecular epidemiology and computational modeling have improved our ability to track pathogen evolution, but accurate reconstruction of spatiotemporal transmission remains essential for epidemic preparedness and response. Structured coalescent models offer a phylogeographic framework by restricting coalescence to lineages within the same deme. Although the Bayesian structured coalescent approximation (BASTA) provides a tractable approach, contemporary phylogeographic analyses involving dozens of localities and hundreds to thousands of genomes exceed the computational capacity of existing implementations. The BASTA likelihood scales cubically with deme count and quadratically with sequence count due to matrix exponentiation and partial likelihood vectors update. Here, we introduce an algorithmic restructuring of the structured coalescent likelihood that eliminates redundancies, optimizes memory access, and exposes parallelization opportunities. Our approach reorganizes computations along three dimensions: i) independent calculation of deme-transition probability matrices across time intervals; ii) simultaneous evaluation of partial likelihood vectors within temporal slices; and iii) concurrent aggregation of coalescent probabilities. Algorithmic restructuring cuts average coalescent likelihood computation by 7 to 8 fold, and parallelization further boosts performance to 10 to 26 fold, enabling joint phylogeographic analyses of dengue virus across 10 South American countries and H5N1 avian influenza across 20 Eurasian regions to finish in a fraction of prior time. This computational efficiency also enables comparison between backward-in-time structured coalescent approximations and forward-in-time phylogeographic methods, revealing that the former provides appropriately conservative posterior estimates, particularly at intermediate phylogenetic depths. We integrate our implementation into the BEAST X and BEAGLE software packages, providing researchers with an accessible and scalable tool for real-time phylogeographic surveillance of rapidly evolving pathogens.</w:t>
      </w:r>
    </w:p>
    <w:p>
      <w:pPr>
        <w:spacing w:before="120" w:after="120"/>
      </w:pPr>
      <w:r>
        <w:rPr>
          <w:sz w:val="18"/>
        </w:rPr>
        <w:t>——————————————————————————————————————————————————————————————————————</w:t>
      </w:r>
    </w:p>
    <w:p>
      <w:pPr>
        <w:spacing w:before="160" w:after="40" w:line="240" w:lineRule="auto"/>
      </w:pPr>
      <w:r>
        <w:rPr>
          <w:b/>
        </w:rPr>
        <w:t xml:space="preserve">[171] </w:t>
      </w:r>
      <w:hyperlink r:id="rId448">
        <w:r>
          <w:rPr>
            <w:color w:val="1155CC"/>
            <w:u w:val="single"/>
          </w:rPr>
          <w:t>TLR1缺乏与免疫失调和结肠炎相关</w:t>
        </w:r>
      </w:hyperlink>
    </w:p>
    <w:p>
      <w:pPr>
        <w:spacing w:before="0" w:after="80"/>
      </w:pPr>
      <w:r>
        <w:rPr>
          <w:i/>
          <w:sz w:val="20"/>
        </w:rPr>
        <w:t>EN: TLR1 deficiency associates with immune dysregulation and colitis</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49">
        <w:r>
          <w:rPr>
            <w:color w:val="1155CC"/>
            <w:u w:val="single"/>
          </w:rPr>
          <w:t>10.1073/pnas.2517429123</w:t>
        </w:r>
      </w:hyperlink>
    </w:p>
    <w:p>
      <w:pPr>
        <w:spacing w:before="0" w:after="120"/>
      </w:pPr>
      <w:r>
        <w:rPr>
          <w:b/>
        </w:rPr>
        <w:t xml:space="preserve">Notes: </w:t>
      </w:r>
      <w:r>
        <w:t>abstract_source=pubmed</w:t>
      </w:r>
    </w:p>
    <w:p>
      <w:pPr>
        <w:spacing w:before="0" w:after="80" w:lineRule="auto" w:line="276"/>
      </w:pPr>
      <w:r>
        <w:rPr>
          <w:b/>
        </w:rPr>
        <w:t xml:space="preserve">摘要（ZH）: </w:t>
      </w:r>
      <w:r>
        <w:t>Toll样受体1（TLR1）是TLR家族的成员，在病原体识别和先天免疫激活中起着关键作用。在这项研究中，我们鉴定出一个与免疫失调和结肠炎相关的纯合截短TLR1变体。来自患者的外周血单个核细胞表现出强烈的炎症特征和缺陷的TLR1信号反应。TLR1缺陷细胞在TLR1配体刺激后表现出广谱炎症细胞因子、抗菌肽和抗炎细胞因子IL-10的产生受损。这一缺陷导致杀菌活性受损和炎症反应的终止失调，特别是以CXCR3信号通路显著增强为特征。TLR1-KO小鼠对沙门氏菌感染和葡聚糖硫酸钠诱导的结肠炎表现出更高的易感性，病理性结肠中单核细胞和巨噬细胞的浸润增加。IL-10的给药显著缓解了与TLR1缺陷相关的小鼠结肠炎表型。这项研究强调了TLR1在协调适当的免疫反应以应对微生物入侵的关键功能，同时避免过度炎症，从而突显其在人类生理和疾病中的不可或缺的作用。</w:t>
      </w:r>
    </w:p>
    <w:p>
      <w:pPr>
        <w:spacing w:before="0" w:after="200" w:lineRule="auto" w:line="276"/>
      </w:pPr>
      <w:r>
        <w:rPr>
          <w:b/>
        </w:rPr>
        <w:t xml:space="preserve">Abstract (EN): </w:t>
      </w:r>
      <w:r>
        <w:t>Toll-like receptor 1 (TLR1), a member of the TLR family, assumes a pivotal role in pathogen recognition and the activation of innate immunity. In this study, we have identified a homozygous truncating TLR1 variant associated with immune dysregulation and colitis. Peripheral blood mononuclear cells derived from the patient manifested robust inflammatory signatures and defective TLR1 signaling responses. TLR1-deficient cells demonstrated impaired production of a wide-spectrum of inflammatory cytokines, antimicrobial peptides, and the anti-inflammatory cytokine IL-10 following stimulation with TLR1 ligand. This defect culminated in impaired bactericidal activity and dysregulated termination of the inflammatory response, especially characterized by a significant enhancement of the CXCR3 signaling pathway. TLR1-KO mice exhibited increased susceptibility to Salmonella Typhimurium infection and dextran sulfate sodium-induced colitis, with augmented infiltration of monocytes and macrophages in the pathological colon. The administration of IL-10 significantly alleviated the colitis phenotype associated with TLR1 deficiency in mice. This investigation underscores the crucial function of TLR1 in orchestrating a context-appropriate immune response to microbial invasion while averting excessive inflammation, thereby highlighting its indispensable role in human physiology and disease.</w:t>
      </w:r>
    </w:p>
    <w:p>
      <w:pPr>
        <w:spacing w:before="120" w:after="120"/>
      </w:pPr>
      <w:r>
        <w:rPr>
          <w:sz w:val="18"/>
        </w:rPr>
        <w:t>——————————————————————————————————————————————————————————————————————</w:t>
      </w:r>
    </w:p>
    <w:p>
      <w:pPr>
        <w:spacing w:before="160" w:after="40" w:line="240" w:lineRule="auto"/>
      </w:pPr>
      <w:r>
        <w:rPr>
          <w:b/>
        </w:rPr>
        <w:t xml:space="preserve">[172] </w:t>
      </w:r>
      <w:hyperlink r:id="rId450">
        <w:r>
          <w:rPr>
            <w:color w:val="1155CC"/>
            <w:u w:val="single"/>
          </w:rPr>
          <w:t>抑制而非激活整合应激反应(GCN2–ATF4)通路可延长果蝇寿命</w:t>
        </w:r>
      </w:hyperlink>
    </w:p>
    <w:p>
      <w:pPr>
        <w:spacing w:before="0" w:after="80"/>
      </w:pPr>
      <w:r>
        <w:rPr>
          <w:i/>
          <w:sz w:val="20"/>
        </w:rPr>
        <w:t>EN: Suppression rather than activation of the integrated stress response (GCN2–ATF4) pathway extends lifespan in the fly</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51">
        <w:r>
          <w:rPr>
            <w:color w:val="1155CC"/>
            <w:u w:val="single"/>
          </w:rPr>
          <w:t>10.1073/pnas.2518812123</w:t>
        </w:r>
      </w:hyperlink>
    </w:p>
    <w:p>
      <w:pPr>
        <w:spacing w:before="0" w:after="120"/>
      </w:pPr>
      <w:r>
        <w:rPr>
          <w:b/>
        </w:rPr>
        <w:t xml:space="preserve">Notes: </w:t>
      </w:r>
      <w:r>
        <w:t>abstract_source=pubmed</w:t>
      </w:r>
    </w:p>
    <w:p>
      <w:pPr>
        <w:spacing w:before="0" w:after="80" w:lineRule="auto" w:line="276"/>
      </w:pPr>
      <w:r>
        <w:rPr>
          <w:b/>
        </w:rPr>
        <w:t xml:space="preserve">摘要（ZH）: </w:t>
      </w:r>
      <w:r>
        <w:t>应激反应通路正在成为寿命的保守调节因子。当前的假设是激活应激反应通路，包括综合应激反应（ISR）的氨基酸缺乏分支（GCN2-ATF4通路），是延长寿命的。ATF4同源物的激活延长了酿酒酵母和秀丽隐杆线虫的寿命，但其在其他长寿命生物中的作用尚不清楚。我们首次全面测试了GCN2-ATF4通路在果蝇（Drosophila melanogaster）寿命中的作用。我们使用条件性基因操控dGCN2及其下游效应因子果蝇ATF4（crc; dATF4）。与先前的研究相反，我们显示过表达dGCN2和dATF4显著缩短寿命，而dATF4的敲低（体内RNAi）延长寿命。我们确认使用荧光dATF4激活报告基成功调节了dATF4活性。tRNA合成酶抑制剂博雷利定显著缩短了寿命，这种效应在dATF4和饮食依赖的情况下独立于微生物负荷，显示我们对dATF4的调节改变了营养到ISR信号传导。我们进一步进行了长读长RNA测序，发现我们对dATF4的操控改变了全球转录方向，包括已知的ATF4靶基因。富集分析显示，dATF4过表达可能驱动代谢应激，而dATF4敲低可能上调蛋白质稳态和DNA修复通路。我们的工作揭示了ATF4可能在衰老中表现出双重、剂量和情境依赖的作用。慢性dATF4</w:t>
      </w:r>
    </w:p>
    <w:p>
      <w:pPr>
        <w:spacing w:before="0" w:after="200" w:lineRule="auto" w:line="276"/>
      </w:pPr>
      <w:r>
        <w:rPr>
          <w:b/>
        </w:rPr>
        <w:t xml:space="preserve">Abstract (EN): </w:t>
      </w:r>
      <w:r>
        <w:t>Stress response pathways are emerging as conserved modulators of lifespan. The prevailing hypothesis is that activation of stress-responsive pathways, including the amino acid deprivation arm of the integrated stress response (ISR; the GCN2-ATF4 pathway), is prolongevity. Activation of ATF4 orthologs extends lifespan in Saccharomyces cerevisiae and Caenorhabditis elegans, but its role in other longer-lived organisms remains unclear. We comprehensively tested the role of the GCN2-ATF4 pathway in longevity in the fly (Drosophila melanogaster) for the first time. We used conditional genetic manipulation of dGCN2 and its downstream effector Drosophila ATF4 (crc; dATF4). In contrast to previous studies, we show that overexpression of dGCN2 and dATF4 significantly reduces lifespan, while knockdown (in vivo RNAi) of dATF4 extends lifespan. We confirmed that dATF4 activity was successfully modulated using a fluorescent dATF4 activation reporter. Borrelidin, a tRNA synthetase inhibitor, significantly reduced lifespan in a both dATF4 and diet-dependent manner, independent of microbial load, showing our modulation of dATF4 altered nutrient to ISR signaling. We further conducted long-read RNA sequencing and found that our manipulation of dATF4 changed global transcription in opposite directions, including known ATF4 target genes. Enrichment analysis revealed that dATF4 overexpression may drive metabolic stress, while dATF4 knockdown may upregulate proteostasis and DNA repair pathways. Our work reveals that ATF4 may exhibit a dual, dose-, and context-dependent role in aging. Chronic dATF4 activation is detrimental in flies, while chronic suppression is prolongevity. The GCN2-ATF4 pathway thus qualifies as a modifiable control of lifespan with cross-species relevance.</w:t>
      </w:r>
    </w:p>
    <w:p>
      <w:pPr>
        <w:spacing w:before="120" w:after="120"/>
      </w:pPr>
      <w:r>
        <w:rPr>
          <w:sz w:val="18"/>
        </w:rPr>
        <w:t>——————————————————————————————————————————————————————————————————————</w:t>
      </w:r>
    </w:p>
    <w:p>
      <w:pPr>
        <w:spacing w:before="160" w:after="40" w:line="240" w:lineRule="auto"/>
      </w:pPr>
      <w:r>
        <w:rPr>
          <w:b/>
        </w:rPr>
        <w:t xml:space="preserve">[173] </w:t>
      </w:r>
      <w:hyperlink r:id="rId452">
        <w:r>
          <w:rPr>
            <w:color w:val="1155CC"/>
            <w:u w:val="single"/>
          </w:rPr>
          <w:t>在实验加热下，少数关键物种驱动群落热化</w:t>
        </w:r>
      </w:hyperlink>
    </w:p>
    <w:p>
      <w:pPr>
        <w:spacing w:before="0" w:after="80"/>
      </w:pPr>
      <w:r>
        <w:rPr>
          <w:i/>
          <w:sz w:val="20"/>
        </w:rPr>
        <w:t>EN: A few key species drive community thermophilization under experimental warming</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53">
        <w:r>
          <w:rPr>
            <w:color w:val="1155CC"/>
            <w:u w:val="single"/>
          </w:rPr>
          <w:t>10.1073/pnas.2533434123</w:t>
        </w:r>
      </w:hyperlink>
    </w:p>
    <w:p>
      <w:pPr>
        <w:spacing w:before="0" w:after="120"/>
      </w:pPr>
      <w:r>
        <w:rPr>
          <w:b/>
        </w:rPr>
        <w:t xml:space="preserve">Notes: </w:t>
      </w:r>
      <w:r>
        <w:t>abstract_source=pubmed</w:t>
      </w:r>
    </w:p>
    <w:p>
      <w:pPr>
        <w:spacing w:before="0" w:after="80" w:lineRule="auto" w:line="276"/>
      </w:pPr>
      <w:r>
        <w:rPr>
          <w:b/>
        </w:rPr>
        <w:t xml:space="preserve">摘要（ZH）: </w:t>
      </w:r>
      <w:r>
        <w:t>群落热化——即群落越来越多地由来自较温暖生物地理区域的物种主导的过程——是对变暖的广泛生态响应。然而，大多数关于热化的研究使用观察数据，这使得直接将变暖归因于热化的驱动因素变得困难。此外，了解特定物种作为热化关键驱动因素的知识可能对自然资源管理和恢复实践尤为重要，但这些关键贡献者在热化研究中很少被识别。为了解决这些差距，我们分析了来自美国六个实验变暖研究的植物群落数据。我们使用群落温度指数（CTI）量化了年内和跨年的热化，CTI反映了群落中物种的平均热亲和性，然后将CTI变化分解为个别物种的贡献。在所有实验中，变暖的地块的CTI始终高于环境地块，显示出变暖的明确因果效应。在所有实验中，热化由少数物种驱动：物种贡献的基尼系数范围为0.49到0.85，表明少数物种占据了大部分贡献。这些发现确认了变暖是群落热化的驱动因素，并突显了负责CTI变化的关键物种，这可能对旨在提高群落恢复力或维持生态系统功能的保护计划尤为重要。</w:t>
      </w:r>
    </w:p>
    <w:p>
      <w:pPr>
        <w:spacing w:before="0" w:after="200" w:lineRule="auto" w:line="276"/>
      </w:pPr>
      <w:r>
        <w:rPr>
          <w:b/>
        </w:rPr>
        <w:t xml:space="preserve">Abstract (EN): </w:t>
      </w:r>
      <w:r>
        <w:t>Community thermophilization-the process by which communities are increasingly dominated by species from warmer biogeographic regions-is a widespread ecological response to warming. However, most studies on thermophilization use observational data, making it difficult to directly attribute warming as the driver of thermophilization. Furthermore, knowledge of specific species that are key drivers of thermophilization may be especially relevant to natural resource management and restoration practices, but these key contributors are rarely identified in thermophilization studies. To address these gaps, we analyzed plant community data from six experimental warming studies across the United States. We quantified thermophilization within and across years using the Community Temperature Index (CTI), which reflects the average thermal affinity of species in a community, and then decomposed CTI changes into individual species contributions. Across experiments, warmed plots consistently had higher CTIs than ambient plots, demonstrating a clear causal effect of warming. In all experiments, thermophilization was driven by a small subset of species: The Gini coefficients for species contributions ranged from 0.49 to 0.85, indicating that a small number of species account for most of the contributions. These findings confirm warming as a driver for community thermophilization and highlight the key species responsible for the shifts in CTIs, which may be especially relevant for conservation initiatives aimed at increasing community resilience or maintaining ecosystem function in a warmer climate.</w:t>
      </w:r>
    </w:p>
    <w:p>
      <w:pPr>
        <w:spacing w:before="120" w:after="120"/>
      </w:pPr>
      <w:r>
        <w:rPr>
          <w:sz w:val="18"/>
        </w:rPr>
        <w:t>——————————————————————————————————————————————————————————————————————</w:t>
      </w:r>
    </w:p>
    <w:p>
      <w:pPr>
        <w:spacing w:before="160" w:after="40" w:line="240" w:lineRule="auto"/>
      </w:pPr>
      <w:r>
        <w:rPr>
          <w:b/>
        </w:rPr>
        <w:t xml:space="preserve">[174] </w:t>
      </w:r>
      <w:hyperlink r:id="rId454">
        <w:r>
          <w:rPr>
            <w:color w:val="1155CC"/>
            <w:u w:val="single"/>
          </w:rPr>
          <w:t>HLA I类超级结合体的计算设计以实现广泛的T细胞免疫原性</w:t>
        </w:r>
      </w:hyperlink>
    </w:p>
    <w:p>
      <w:pPr>
        <w:spacing w:before="0" w:after="80"/>
      </w:pPr>
      <w:r>
        <w:rPr>
          <w:i/>
          <w:sz w:val="20"/>
        </w:rPr>
        <w:t>EN: Computational design of HLA class I superbinders for broad T cell immunogenicity</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55">
        <w:r>
          <w:rPr>
            <w:color w:val="1155CC"/>
            <w:u w:val="single"/>
          </w:rPr>
          <w:t>10.1073/pnas.2518820123</w:t>
        </w:r>
      </w:hyperlink>
    </w:p>
    <w:p>
      <w:pPr>
        <w:spacing w:before="0" w:after="120"/>
      </w:pPr>
      <w:r>
        <w:rPr>
          <w:b/>
        </w:rPr>
        <w:t xml:space="preserve">Notes: </w:t>
      </w:r>
      <w:r>
        <w:t>abstract_source=pubmed</w:t>
      </w:r>
    </w:p>
    <w:p>
      <w:pPr>
        <w:spacing w:before="0" w:after="80" w:lineRule="auto" w:line="276"/>
      </w:pPr>
      <w:r>
        <w:rPr>
          <w:b/>
        </w:rPr>
        <w:t xml:space="preserve">摘要（ZH）: </w:t>
      </w:r>
      <w:r>
        <w:t>人类白细胞抗原（HLA）I类分子具有高度多态性，将肽结合限制在狭窄的序列子集中。设计能够结合多种HLA超型的肽（称为超级结合体）为广谱T细胞疫苗和免疫疗法提供了一种有前途的策略。在此，我们提出了superHLA，这是一种计算框架，将马尔可夫链蒙特卡罗优化与最先进的主要组织相容性复合体结合预测器结合起来，设计具有广泛HLA结合特征的合成9肽。使用superHLA，我们生成了超过190,000个候选超级结合体，预测可结合8到12个不同超型的HLA I类等位基因。一个多层过滤管道——结合序列聚类、合成可行性、交叉预测验证和自体肽组排除——最终筛选出100个肽用于实验测试。其中，21个在体外结合了4到9个超型。超级结合体表现出不同的锚定残基偏好，并显示出与人类肽的相似性极小。这些结果表明，HLA超级结合体比以前认识的更为丰富，并且可以在规模上合理设计。这种方法支持开发具有广泛人群覆盖的全HLA免疫原，并可能为疫苗研究、新抗原发现和免疫疗法的应用提供信息。</w:t>
      </w:r>
    </w:p>
    <w:p>
      <w:pPr>
        <w:spacing w:before="0" w:after="200" w:lineRule="auto" w:line="276"/>
      </w:pPr>
      <w:r>
        <w:rPr>
          <w:b/>
        </w:rPr>
        <w:t xml:space="preserve">Abstract (EN): </w:t>
      </w:r>
      <w:r>
        <w:t>Human leukocyte antigen (HLA) class I molecules are highly polymorphic, restricting peptide binding to narrow sequence subsets. Designing peptides that bind multiple HLA supertypes-termed superbinders-offers a promising strategy for broad-spectrum T cell vaccines and immunotherapies. Here, we present superHLA, a computational framework that combines Markov Chain Monte Carlo optimization with state-of-the-art major histocompatibility complex binding predictors to design synthetic 9-mer peptides with broad HLA-binding profiles. Using superHLA, we generated over 190,000 candidate superbinders predicted to bind 8 to 12 HLA class I alleles across distinct supertypes. A multitier filtering pipeline-incorporating sequence clustering, synthesis feasibility, cross-predictor validation, and self-peptidome exclusion-yielded a final panel of 100 peptides for experimental testing. Of these, 21 bound 4 to 9 supertypes in vitro. Superbinders displayed distinct anchor residue preferences and showed minimal similarity to human peptides. These results suggest that HLA superbinders are more abundant than previously recognized and can be rationally designed at scale. This approach supports development of pan-HLA immunogens with broad population coverage and may inform applications in vaccine research, neoantigen discovery, and immunotherapy.</w:t>
      </w:r>
    </w:p>
    <w:p>
      <w:pPr>
        <w:spacing w:before="120" w:after="120"/>
      </w:pPr>
      <w:r>
        <w:rPr>
          <w:sz w:val="18"/>
        </w:rPr>
        <w:t>——————————————————————————————————————————————————————————————————————</w:t>
      </w:r>
    </w:p>
    <w:p>
      <w:pPr>
        <w:spacing w:before="160" w:after="40" w:line="240" w:lineRule="auto"/>
      </w:pPr>
      <w:r>
        <w:rPr>
          <w:b/>
        </w:rPr>
        <w:t xml:space="preserve">[175] </w:t>
      </w:r>
      <w:hyperlink r:id="rId456">
        <w:r>
          <w:rPr>
            <w:color w:val="1155CC"/>
            <w:u w:val="single"/>
          </w:rPr>
          <w:t>来自成骨细胞的红铁调素调节应激性红细胞生成</w:t>
        </w:r>
      </w:hyperlink>
    </w:p>
    <w:p>
      <w:pPr>
        <w:spacing w:before="0" w:after="80"/>
      </w:pPr>
      <w:r>
        <w:rPr>
          <w:i/>
          <w:sz w:val="20"/>
        </w:rPr>
        <w:t>EN: Erythroferrone derived from osteoblasts regulates stress erythropoiesis</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57">
        <w:r>
          <w:rPr>
            <w:color w:val="1155CC"/>
            <w:u w:val="single"/>
          </w:rPr>
          <w:t>10.1073/pnas.2537627123</w:t>
        </w:r>
      </w:hyperlink>
    </w:p>
    <w:p>
      <w:pPr>
        <w:spacing w:before="0" w:after="120"/>
      </w:pPr>
      <w:r>
        <w:rPr>
          <w:b/>
        </w:rPr>
        <w:t xml:space="preserve">Notes: </w:t>
      </w:r>
      <w:r>
        <w:t>abstract_source=pubmed</w:t>
      </w:r>
    </w:p>
    <w:p>
      <w:pPr>
        <w:spacing w:before="0" w:after="80" w:lineRule="auto" w:line="276"/>
      </w:pPr>
      <w:r>
        <w:rPr>
          <w:b/>
        </w:rPr>
        <w:t xml:space="preserve">摘要（ZH）: </w:t>
      </w:r>
      <w:r>
        <w:t>由红细胞母细胞分泌的红细胞铁调素（ERFE）被认为是通过抑制铁调素来调节铁代谢的经典调节因子。因此，由于铁调素抑制不足和铁可用性降低，全球Erfe-/-小鼠在放血后表现出恢复延迟。我们之前已经证明，除了红细胞母细胞外，ERFE在成骨细胞中也显著表达。为了专门探讨成骨细胞来源的ERFE在应激性红细胞生成中的作用，我们首先创建了Erfefl/fl小鼠，然后与Col2.3-Cre小鼠交叉生成成骨细胞选择性Erfe突变体（或Col2.3-Cre;Erfefl/fl小鼠）。通过放血诱导这些小鼠的应激性红细胞生成，导致血清ERFE水平降低和肝脏Hamp（铁调素）表达增加。重要的是，Col2.3-Cre;Erfefl/fl小鼠在放血后6天显示出更强的红细胞（RBC）恢复，与Erfefl/fl小鼠相比，骨髓Erfe没有差异。此外，尽管基线RBC计数、网织红细胞计数、脾脏大小或骨髓细胞性没有差异，成骨细胞选择性ERFE丧失导致体内全骨和体外成骨细胞中促红细胞生成素受体（Epor）和骨形态发生蛋白4（Bmp4）表达增强。最后，成骨细胞选择性Erfe突变体显示出红系增殖和以BMP4为依赖的EPO响应增强。综上所述，我们认为成骨细胞中特异性ERFE丧失增强了应激性红细胞生成期间的RBC恢复，定义了调节机制。</w:t>
      </w:r>
    </w:p>
    <w:p>
      <w:pPr>
        <w:spacing w:before="0" w:after="200" w:lineRule="auto" w:line="276"/>
      </w:pPr>
      <w:r>
        <w:rPr>
          <w:b/>
        </w:rPr>
        <w:t xml:space="preserve">Abstract (EN): </w:t>
      </w:r>
      <w:r>
        <w:t>Erythroferrone (ERFE), secreted by erythroblasts, is regarded as a classical regulator of iron metabolism through its suppression of hepcidin. Thus, as a consequence of insufficient hepcidin suppression and reduced iron availability, global Erfe-/- mice exhibit delayed recovery after phlebotomy. We have shown previously that, apart from erythroblasts, ERFE is notably expressed in osteoblasts. To explore the effect specifically of osteoblast-derived ERFE during stress erythropoiesis, we first created Erfefl/fl mice, which were then crossed with Col2.3-Cre mice to generate osteoblast-selective Erfe mutants (or Col2.3-Cre;Erfefl/fl mice). The induction of stress erythropoiesis in these latter mice by phlebotomy resulted in reduced serum ERFE levels and increased liver Hamp (hepcidin) expression. Importantly, Col2.3-Cre;Erfefl/fl mice showed a more robust red blood cell (RBC) recovery 6 d postphlebotomy, with no differences in bone marrow Erfe relative to Erfefl/fl mice. Furthermore, despite no differences in the baseline RBC count, reticulocyte count, spleen size, or bone marrow cellularity, osteoblast-selective ERFE loss resulted in enhanced erythropoietin receptor (Epor) and bone morphogenetic protein 4 (Bmp4) expression in whole bone in vivo and in osteoblasts ex vivo. Finally, the osteoblast-selective Erfe mutants showed erythroid lineage proliferation and enhanced EPO responsiveness in a BMP4-dependent manner. Taken together, we posit that ERFE loss specifically from osteoblasts enhances RBC recovery during stress erythropoiesis-defining mechanisms of regulation in the crosstalk between osteoblasts and erythroblasts.</w:t>
      </w:r>
    </w:p>
    <w:p>
      <w:pPr>
        <w:spacing w:before="120" w:after="120"/>
      </w:pPr>
      <w:r>
        <w:rPr>
          <w:sz w:val="18"/>
        </w:rPr>
        <w:t>——————————————————————————————————————————————————————————————————————</w:t>
      </w:r>
    </w:p>
    <w:p>
      <w:pPr>
        <w:spacing w:before="160" w:after="40" w:line="240" w:lineRule="auto"/>
      </w:pPr>
      <w:r>
        <w:rPr>
          <w:b/>
        </w:rPr>
        <w:t xml:space="preserve">[176] </w:t>
      </w:r>
      <w:hyperlink r:id="rId458">
        <w:r>
          <w:rPr>
            <w:color w:val="1155CC"/>
            <w:u w:val="single"/>
          </w:rPr>
          <w:t>本期内容</w:t>
        </w:r>
      </w:hyperlink>
    </w:p>
    <w:p>
      <w:pPr>
        <w:spacing w:before="0" w:after="80"/>
      </w:pPr>
      <w:r>
        <w:rPr>
          <w:i/>
          <w:sz w:val="20"/>
        </w:rPr>
        <w:t>EN: In This Issue</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59">
        <w:r>
          <w:rPr>
            <w:color w:val="1155CC"/>
            <w:u w:val="single"/>
          </w:rPr>
          <w:t>10.1073/iti1726123</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[177] </w:t>
      </w:r>
      <w:hyperlink r:id="rId460">
        <w:r>
          <w:rPr>
            <w:color w:val="1155CC"/>
            <w:u w:val="single"/>
          </w:rPr>
          <w:t>用于高性能&gt;1,300 nm NIR-II荧光分子成像的章鱼探针</w:t>
        </w:r>
      </w:hyperlink>
    </w:p>
    <w:p>
      <w:pPr>
        <w:spacing w:before="0" w:after="80"/>
      </w:pPr>
      <w:r>
        <w:rPr>
          <w:i/>
          <w:sz w:val="20"/>
        </w:rPr>
        <w:t>EN: An Octopus probe for high-performance &gt;1,300 nm NIR-II fluorescence molecular imaging of cancer</w:t>
      </w:r>
    </w:p>
    <w:p>
      <w:pPr>
        <w:spacing w:before="0" w:after="120"/>
      </w:pPr>
      <w:r>
        <w:rPr>
          <w:b/>
        </w:rPr>
        <w:t xml:space="preserve">Source: </w:t>
      </w:r>
      <w:r>
        <w:t>Proceedings of the National Academy of Sciences: Keyword search for query</w:t>
      </w:r>
      <w:r>
        <w:t xml:space="preserve">    </w:t>
      </w:r>
      <w:r>
        <w:rPr>
          <w:b/>
        </w:rPr>
        <w:t xml:space="preserve">Pub date: </w:t>
      </w:r>
      <w:r>
        <w:t>2026-04-28 07:00:00+00:00</w:t>
      </w:r>
      <w:r>
        <w:t xml:space="preserve">    </w:t>
      </w:r>
      <w:r>
        <w:rPr>
          <w:b/>
        </w:rPr>
        <w:t xml:space="preserve">DOI: </w:t>
      </w:r>
      <w:hyperlink r:id="rId461">
        <w:r>
          <w:rPr>
            <w:color w:val="1155CC"/>
            <w:u w:val="single"/>
          </w:rPr>
          <w:t>10.1073/pnas.2534014123</w:t>
        </w:r>
      </w:hyperlink>
    </w:p>
    <w:p>
      <w:pPr>
        <w:spacing w:before="0" w:after="120"/>
      </w:pPr>
      <w:r>
        <w:rPr>
          <w:b/>
        </w:rPr>
        <w:t xml:space="preserve">Notes: </w:t>
      </w:r>
      <w:r>
        <w:t>abstract_source=pubmed</w:t>
      </w:r>
    </w:p>
    <w:p>
      <w:pPr>
        <w:spacing w:before="0" w:after="80" w:lineRule="auto" w:line="276"/>
      </w:pPr>
      <w:r>
        <w:rPr>
          <w:b/>
        </w:rPr>
        <w:t xml:space="preserve">摘要（ZH）: </w:t>
      </w:r>
      <w:r>
        <w:t>在外科肿瘤学中，精确的术中恶性肿瘤划界以实现完整但不过度的切除一直是一个挑战。近红外II（NIR-II，1,000至3,000 nm）成像能够实现深层组织的高对比度可视化，但临床转化受限于缺乏稳健的探针。Cytalux是第一个临床批准的用于叶酸受体（FR）阳性癌症的NIR-I（700至1,000 nm）探针，但在成像深度和肿瘤与正常组织对比度方面有限。在此，我们提出了“Octopus”（OCTP），这是一种模块化多臂PEG基NIR-II探针，靶向FR，能够在系统给药后快速且持续地在肿瘤中积累，以提供优越的肿瘤与背景比和精确的边缘可视化，通过NIR-II成像显著优于Cytalux在小鼠模型中的表现。重要的是，我们发现NIR-I激发下的&gt;1,300 nm发射范围内的NIR-II成像完全抑制了组织自发荧光，允许对肿瘤边缘残留癌细胞进行明确的分子成像以进行切除。药代动力学和毒性研究表明快速清除，最小的非靶向积累和优良的生物相容性。OCTP实现了准确、无背景的&gt;1,300 nm荧光引导的肿瘤手术，作为下一代NIR-II癌症分子成像的有前途的选择。</w:t>
      </w:r>
    </w:p>
    <w:p>
      <w:pPr>
        <w:spacing w:before="0" w:after="200" w:lineRule="auto" w:line="276"/>
      </w:pPr>
      <w:r>
        <w:rPr>
          <w:b/>
        </w:rPr>
        <w:t xml:space="preserve">Abstract (EN): </w:t>
      </w:r>
      <w:r>
        <w:t>In surgical oncology, precise intraoperative delineation of malignant tumors for complete yet non-excessive resection has been challenging. Near-infrared II (NIR-II, 1,000 to 3,000 nm) imaging enables deep-tissue, high-contrast visualization, but clinical translation is limited by the lack of robust probes. Cytalux, the first clinically approved NIR-I (700 to 1,000 nm) probe for folate receptor (FR)-positive cancers, is limited in shallow imaging depth and low tumor to normal tissue contrast. Here, we present "Octopus" (OCTP), a modular multi-arm PEG-based NIR-II probe targeting FR capable of rapid and sustained tumor accumulation upon systemic administration to afford superior tumor-to-background ratios and precise margin visualization by NIR-II imaging, significantly outperforming Cytalux in mouse models. Importantly, we uncovered that NIR-II imaging in the &gt;1,300 nm emission range under NIR-I excitation completely suppressed tissue autofluorescence, allowing unambiguous molecular imaging of residual cancerous cells at tumor margins for resection. Pharmacokinetic and toxicity studies demonstrate rapid clearance, minimal off-target accumulation, and excellent biocompatibility. OCTP enables accurate, background-free &gt;1,300 nm fluorescence-guided tumor surgery, promising as the next-generation NIR-II molecular imaging of cancer.</w:t>
      </w:r>
    </w:p>
    <w:p>
      <w:pPr>
        <w:spacing w:before="120" w:after="120"/>
      </w:pPr>
      <w:r>
        <w:rPr>
          <w:sz w:val="18"/>
        </w:rPr>
        <w:t>——————————————————————————————————————————————————————————————————————</w:t>
      </w:r>
    </w:p>
    <w:p>
      <w:pPr>
        <w:spacing w:before="160" w:after="40" w:line="240" w:lineRule="auto"/>
      </w:pPr>
      <w:r>
        <w:rPr>
          <w:b/>
        </w:rPr>
        <w:t xml:space="preserve">[178] </w:t>
      </w:r>
      <w:hyperlink r:id="rId462">
        <w:r>
          <w:rPr>
            <w:color w:val="1155CC"/>
            <w:u w:val="single"/>
          </w:rPr>
          <w:t>[ASAP] 对“包含手性阴离子的二维量子自旋液体候选物：κ-(BEDT-TTF)2[BR/S(salicylate)2]”的更正</w:t>
        </w:r>
      </w:hyperlink>
    </w:p>
    <w:p>
      <w:pPr>
        <w:spacing w:before="0" w:after="80"/>
      </w:pPr>
      <w:r>
        <w:rPr>
          <w:i/>
          <w:sz w:val="20"/>
        </w:rPr>
        <w:t>EN: [ASAP] Correction to “2D Quantum Spin-Liquid Candidate Including a Chiral Anion: κ-(BEDT-TTF)2[BR/S(salicylate)2]”</w:t>
      </w:r>
    </w:p>
    <w:p>
      <w:pPr>
        <w:spacing w:before="0" w:after="120"/>
      </w:pPr>
      <w:r>
        <w:rPr>
          <w:b/>
        </w:rPr>
        <w:t xml:space="preserve">Source: </w:t>
      </w:r>
      <w:r>
        <w:t>Journal of the American Chemical Society: Latest Articles (ACS Publications)</w:t>
      </w:r>
      <w:r>
        <w:t xml:space="preserve">    </w:t>
      </w:r>
      <w:r>
        <w:rPr>
          <w:b/>
        </w:rPr>
        <w:t xml:space="preserve">Pub date: </w:t>
      </w:r>
      <w:r>
        <w:t>2026-04-28 08:15:54+00:00</w:t>
      </w:r>
      <w:r>
        <w:t xml:space="preserve">    </w:t>
      </w:r>
      <w:r>
        <w:rPr>
          <w:b/>
        </w:rPr>
        <w:t xml:space="preserve">DOI: </w:t>
      </w:r>
      <w:hyperlink r:id="rId463">
        <w:r>
          <w:rPr>
            <w:color w:val="1155CC"/>
            <w:u w:val="single"/>
          </w:rPr>
          <w:t>10.1021/jacs.6c07716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[179] </w:t>
      </w:r>
      <w:hyperlink r:id="rId464">
        <w:r>
          <w:rPr>
            <w:color w:val="1155CC"/>
            <w:u w:val="single"/>
          </w:rPr>
          <w:t>[ASAP] 一次性碳插入解锁多环框架和近红外光催化剂</w:t>
        </w:r>
      </w:hyperlink>
    </w:p>
    <w:p>
      <w:pPr>
        <w:spacing w:before="0" w:after="80"/>
      </w:pPr>
      <w:r>
        <w:rPr>
          <w:i/>
          <w:sz w:val="20"/>
        </w:rPr>
        <w:t>EN: [ASAP] One-Shot Carbon Insertion Unlocks Polycyclic Frameworks and Near-Infrared Photocatalysts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2026-04-28 09:01:13+00:00</w:t>
      </w:r>
      <w:r>
        <w:t xml:space="preserve">    </w:t>
      </w:r>
      <w:r>
        <w:rPr>
          <w:b/>
        </w:rPr>
        <w:t xml:space="preserve">DOI: </w:t>
      </w:r>
      <w:hyperlink r:id="rId465">
        <w:r>
          <w:rPr>
            <w:color w:val="1155CC"/>
            <w:u w:val="single"/>
          </w:rPr>
          <w:t>10.1021/jacs.6c02244</w:t>
        </w:r>
      </w:hyperlink>
    </w:p>
    <w:p>
      <w:pPr>
        <w:spacing w:before="0" w:after="120"/>
      </w:pPr>
      <w:r>
        <w:rPr>
          <w:b/>
        </w:rPr>
        <w:t xml:space="preserve">Notes: </w:t>
      </w:r>
      <w:r>
        <w:t>abstract_source=pubmed</w:t>
      </w:r>
    </w:p>
    <w:p>
      <w:pPr>
        <w:spacing w:before="0" w:after="80" w:lineRule="auto" w:line="276"/>
      </w:pPr>
      <w:r>
        <w:rPr>
          <w:b/>
        </w:rPr>
        <w:t xml:space="preserve">摘要（ZH）: </w:t>
      </w:r>
      <w:r>
        <w:t>单次单原子插入代表了一种优雅但尚未被广泛探索的策略，用于快速生成分子复杂性。虽然涉及氮和硼的杂原子变体已经得到充分研究，但碳插入仍未实现，尽管碳在定义分子结构中起着核心作用。在此，我们报告了一种单次碳插入环化反应，直接将二芳胺苯转化为通过使用Vilsmeier试剂作为单碳源的亲电芳香取代级联反应生成的融合多环碳正离子。所得的π-共轭阳离子框架无法通过逐步合成获得，表现出可调的红至近红外吸收，并作为高效的近红外响应光催化剂发挥作用。更广泛地说，这项工作确立了碳插入环化作为单原子分子构建与新兴光子功能之间的直接联系。</w:t>
      </w:r>
    </w:p>
    <w:p>
      <w:pPr>
        <w:spacing w:before="0" w:after="200" w:lineRule="auto" w:line="276"/>
      </w:pPr>
      <w:r>
        <w:rPr>
          <w:b/>
        </w:rPr>
        <w:t xml:space="preserve">Abstract (EN): </w:t>
      </w:r>
      <w:r>
        <w:t>One-shot single-atom insertion represents an elegant yet largely unexplored strategy for rapidly generating molecular complexity. While heteroatom-based variants involving nitrogen and boron are well established, carbon insertion has remained unrealized despite carbon's central role in defining molecular architecture. Here we report a one-shot carbon-insertion annulation that directly converts diarylaminobenzenes into fused polycyclic carbocations through a cascade of electrophilic aromatic substitutions using the Vilsmeier reagent as a single-carbon source. The resulting π-conjugated cationic frameworks, inaccessible by stepwise synthesis, exhibit tunable red-to-near-infrared absorption and function as efficient near-infrared-responsive photocatalysts. More broadly, this work establishes carbon insertion annulation as a direct link between single-atom molecular construction and emergent photonic function.</w:t>
      </w:r>
    </w:p>
    <w:p>
      <w:pPr>
        <w:spacing w:before="120" w:after="120"/>
      </w:pPr>
      <w:r>
        <w:rPr>
          <w:sz w:val="18"/>
        </w:rPr>
        <w:t>——————————————————————————————————————————————————————————————————————</w:t>
      </w:r>
    </w:p>
    <w:p>
      <w:pPr>
        <w:spacing w:before="160" w:after="40" w:line="240" w:lineRule="auto"/>
      </w:pPr>
      <w:r>
        <w:rPr>
          <w:b/>
        </w:rPr>
        <w:t xml:space="preserve">[180] </w:t>
      </w:r>
      <w:hyperlink r:id="rId466">
        <w:r>
          <w:rPr>
            <w:color w:val="1155CC"/>
            <w:u w:val="single"/>
          </w:rPr>
          <w:t>[ASAP] 融合金属-碳卟啉嵌入的石墨烯纳米带段</w:t>
        </w:r>
      </w:hyperlink>
    </w:p>
    <w:p>
      <w:pPr>
        <w:spacing w:before="0" w:after="80"/>
      </w:pPr>
      <w:r>
        <w:rPr>
          <w:i/>
          <w:sz w:val="20"/>
        </w:rPr>
        <w:t>EN: [ASAP] Fused Metallo-Carbaporphyrin-Embedded Graphene Nanoribbon Segments</w:t>
      </w:r>
    </w:p>
    <w:p>
      <w:pPr>
        <w:spacing w:before="0" w:after="120"/>
      </w:pPr>
      <w:r>
        <w:rPr>
          <w:b/>
        </w:rPr>
        <w:t xml:space="preserve">Source: </w:t>
      </w:r>
      <w:r>
        <w:t>Journal of the American Chemical Society: Latest Articles (ACS Publications)</w:t>
      </w:r>
      <w:r>
        <w:t xml:space="preserve">    </w:t>
      </w:r>
      <w:r>
        <w:rPr>
          <w:b/>
        </w:rPr>
        <w:t xml:space="preserve">Pub date: </w:t>
      </w:r>
      <w:r>
        <w:t>2026-04-28 09:07:19+00:00</w:t>
      </w:r>
      <w:r>
        <w:t xml:space="preserve">    </w:t>
      </w:r>
      <w:r>
        <w:rPr>
          <w:b/>
        </w:rPr>
        <w:t xml:space="preserve">DOI: </w:t>
      </w:r>
      <w:hyperlink r:id="rId467">
        <w:r>
          <w:rPr>
            <w:color w:val="1155CC"/>
            <w:u w:val="single"/>
          </w:rPr>
          <w:t>10.1021/jacs.6c05014</w:t>
        </w:r>
      </w:hyperlink>
    </w:p>
    <w:p>
      <w:pPr>
        <w:spacing w:before="0" w:after="120"/>
      </w:pPr>
      <w:r>
        <w:rPr>
          <w:b/>
        </w:rPr>
        <w:t xml:space="preserve">Notes: </w:t>
      </w:r>
      <w:r>
        <w:t>abstract_source=pubmed</w:t>
      </w:r>
    </w:p>
    <w:p>
      <w:pPr>
        <w:spacing w:before="0" w:after="80" w:lineRule="auto" w:line="276"/>
      </w:pPr>
      <w:r>
        <w:rPr>
          <w:b/>
        </w:rPr>
        <w:t xml:space="preserve">摘要（ZH）: </w:t>
      </w:r>
      <w:r>
        <w:t>石墨烯纳米带（GNRs）可以被视为石墨烯片或纳米级多环芳烃（PAHs）的尺寸受限剪裁。这些所谓的“片段”作为这些较大结构的模型系统，并因其代表的合成挑战及其可能允许的广泛应用而备受关注。一种吸引人的方法是通过在骨架中引入卟啉来调节GNRs和片段的电子特性。迄今为止，表面合成方法已被广泛用于以原子定义的方式将卟啉融合到GNRs中。我们在此描述了使用六苯并并苯（HBC）融合的碳卟啉基团来创建GNR片段，具有两个PdII-碳卟啉核心和多个金属-碳键，具有直接的Pd介导的三重融合。通过单晶X射线衍射分析明确表征了一个目标，揭示了超过3 nm的平面骨架长度。嵌入PdII-碳卟啉的GNR片段在NIR-II光谱区域显示出强烈的吸收特征，并具有配体到金属电荷转移（LMCT）激发态，主要通过非辐射衰减放松。刚性Pd掺入的骨架赋予光和热稳定性，有效解决了有机NIR-II染料典型的光降解易感性。它还受益于LMCT驱动的放松路径，使得在980或1064 nm光照下实现高光热转换效率（PCEs）。本研究提供了新的</w:t>
      </w:r>
    </w:p>
    <w:p>
      <w:pPr>
        <w:spacing w:before="0" w:after="200" w:lineRule="auto" w:line="276"/>
      </w:pPr>
      <w:r>
        <w:rPr>
          <w:b/>
        </w:rPr>
        <w:t xml:space="preserve">Abstract (EN): </w:t>
      </w:r>
      <w:r>
        <w:t>Graphene nanoribbons (GNRs) may be considered as size-limited cutouts from graphene sheets or nanoscale polycyclic aromatic hydrocarbons (PAHs). These so-called "segments" serve as model systems for these larger constructs and are of interest in their own right because of the synthetic challenges they represent and the wide range of applications they might permit. One appealing approach to tune the electronic features of GNRs and segments involves introducing porphyrins into the backbone. To date, surface synthesis approaches have been extensively used to fuse porphyrins into GNRs in an atomically defined manner. We describe here the use of hexa-peri-hexabenzocoronene (HBC)-fused carbaporphyrin moieties to create GNR segments featuring two PdII-carbaporphyrin cores with multiple metal-carbon bonds, featuring a direct Pd-mediated triply fusion. One target was unambiguously characterized via single-crystal X-ray diffraction analysis, revealing a planar backbone length of over 3 nm. The PdII-carbaporphyrin-embedded GNR segment displays intense absorption features in the NIR-II spectral region and a ligand-to-metal charge transfer (LMCT) excited state that relaxes predominantly through nonradiative decay. The rigid Pd-incorporated backbone imparts photo- and thermal stability, effectively addressing the susceptibility to photodegradation typical of organic NIR-II dyes. It also benefits from an LMCT-driven relaxation pathway that allows high photothermal conversion efficiencies (PCEs) to be achieved under photoirradiation at either 980 or 1064 nm. The present study provides new insights into solution-phase syntheses of atomically precise porphyrinoid-GNR hybrids, particularly those that feature metal centers.</w:t>
      </w:r>
    </w:p>
    <w:p>
      <w:pPr>
        <w:spacing w:before="120" w:after="120"/>
      </w:pPr>
      <w:r>
        <w:rPr>
          <w:sz w:val="18"/>
        </w:rPr>
        <w:t>——————————————————————————————————————————————————————————————————————</w:t>
      </w:r>
    </w:p>
    <w:p>
      <w:pPr>
        <w:spacing w:before="160" w:after="40" w:line="240" w:lineRule="auto"/>
      </w:pPr>
      <w:r>
        <w:rPr>
          <w:b/>
        </w:rPr>
        <w:t xml:space="preserve">[181] </w:t>
      </w:r>
      <w:hyperlink r:id="rId468">
        <w:r>
          <w:rPr>
            <w:color w:val="1155CC"/>
            <w:u w:val="single"/>
          </w:rPr>
          <w:t>[ASAP] 对“用于可逆交换信号放大的全氟化铱催化剂提供无金属水相超极化[1-13C]-丙酮酸”的更正</w:t>
        </w:r>
      </w:hyperlink>
    </w:p>
    <w:p>
      <w:pPr>
        <w:spacing w:before="0" w:after="80"/>
      </w:pPr>
      <w:r>
        <w:rPr>
          <w:i/>
          <w:sz w:val="20"/>
        </w:rPr>
        <w:t>EN: [ASAP] Correction to “Perfluorinated Iridium Catalyst for Signal Amplification by Reversible Exchange Provides Metal-Free Aqueous Hyperpolarized [1-13C]-Pyruvate”</w:t>
      </w:r>
    </w:p>
    <w:p>
      <w:pPr>
        <w:spacing w:before="0" w:after="120"/>
      </w:pPr>
      <w:r>
        <w:rPr>
          <w:b/>
        </w:rPr>
        <w:t xml:space="preserve">Source: </w:t>
      </w:r>
      <w:r>
        <w:t>Journal of the American Chemical Society: Latest Articles (ACS Publications)</w:t>
      </w:r>
      <w:r>
        <w:t xml:space="preserve">    </w:t>
      </w:r>
      <w:r>
        <w:rPr>
          <w:b/>
        </w:rPr>
        <w:t xml:space="preserve">Pub date: </w:t>
      </w:r>
      <w:r>
        <w:t>2026-04-28 09:12:52+00:00</w:t>
      </w:r>
      <w:r>
        <w:t xml:space="preserve">    </w:t>
      </w:r>
      <w:r>
        <w:rPr>
          <w:b/>
        </w:rPr>
        <w:t xml:space="preserve">DOI: </w:t>
      </w:r>
      <w:hyperlink r:id="rId469">
        <w:r>
          <w:rPr>
            <w:color w:val="1155CC"/>
            <w:u w:val="single"/>
          </w:rPr>
          <w:t>10.1021/jacs.6c07788</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[182] </w:t>
      </w:r>
      <w:hyperlink r:id="rId470">
        <w:r>
          <w:rPr>
            <w:color w:val="1155CC"/>
            <w:u w:val="single"/>
          </w:rPr>
          <w:t>[ASAP] 光敏化引发的自由基芳基转移中的意外化学选择性</w:t>
        </w:r>
      </w:hyperlink>
    </w:p>
    <w:p>
      <w:pPr>
        <w:spacing w:before="0" w:after="80"/>
      </w:pPr>
      <w:r>
        <w:rPr>
          <w:i/>
          <w:sz w:val="20"/>
        </w:rPr>
        <w:t>EN: [ASAP] Unexpected Chemoselectivity in Radical Aryl Translocation via Photosensitization</w:t>
      </w:r>
    </w:p>
    <w:p>
      <w:pPr>
        <w:spacing w:before="0" w:after="120"/>
      </w:pPr>
      <w:r>
        <w:rPr>
          <w:b/>
        </w:rPr>
        <w:t xml:space="preserve">Source: </w:t>
      </w:r>
      <w:r>
        <w:t>Journal of the American Chemical Society: Latest Articles (ACS Publications)</w:t>
      </w:r>
      <w:r>
        <w:t xml:space="preserve">    </w:t>
      </w:r>
      <w:r>
        <w:rPr>
          <w:b/>
        </w:rPr>
        <w:t xml:space="preserve">Pub date: </w:t>
      </w:r>
      <w:r>
        <w:t>2026-04-28 09:31:10+00:00</w:t>
      </w:r>
      <w:r>
        <w:t xml:space="preserve">    </w:t>
      </w:r>
      <w:r>
        <w:rPr>
          <w:b/>
        </w:rPr>
        <w:t xml:space="preserve">DOI: </w:t>
      </w:r>
      <w:hyperlink r:id="rId471">
        <w:r>
          <w:rPr>
            <w:color w:val="1155CC"/>
            <w:u w:val="single"/>
          </w:rPr>
          <w:t>10.1021/jacs.6c00498</w:t>
        </w:r>
      </w:hyperlink>
    </w:p>
    <w:p>
      <w:pPr>
        <w:spacing w:before="0" w:after="120"/>
      </w:pPr>
      <w:r>
        <w:rPr>
          <w:b/>
        </w:rPr>
        <w:t xml:space="preserve">Notes: </w:t>
      </w:r>
      <w:r>
        <w:t>abstract_source=pubmed</w:t>
      </w:r>
    </w:p>
    <w:p>
      <w:pPr>
        <w:spacing w:before="0" w:after="80" w:lineRule="auto" w:line="276"/>
      </w:pPr>
      <w:r>
        <w:rPr>
          <w:b/>
        </w:rPr>
        <w:t xml:space="preserve">摘要（ZH）: </w:t>
      </w:r>
      <w:r>
        <w:t>芳香环的选择性迁移是分子合成的基本工具，但其应用受到化学选择性长期规则的限制。在此，我们报告了一种颠覆这些规则的光化学策略。通过可见光光敏化，我们解锁了自由基芳基转移中的普遍且意外的选择性。该方法通过能量转移介导的重排和应力释放开环序列，将简单的羰基前体转化为复杂的三碳同系产物。机制和计算研究表明，光化学反应颠覆了传统的迁移层次结构，优先转移具有挑战性的芳基而非传统上优先的杂芳基。这种能量转移启用的平台建立了控制自由基反应性的新范式，并提供了一种强大的策略来重新定向合成路径。</w:t>
      </w:r>
    </w:p>
    <w:p>
      <w:pPr>
        <w:spacing w:before="0" w:after="200" w:lineRule="auto" w:line="276"/>
      </w:pPr>
      <w:r>
        <w:rPr>
          <w:b/>
        </w:rPr>
        <w:t xml:space="preserve">Abstract (EN): </w:t>
      </w:r>
      <w:r>
        <w:t>The selective migration of aromatic rings is a fundamental tool for molecular synthesis, yet its application is constrained by the long-standing rules of chemoselectivity. Here, we report a photochemical strategy that overturns these rules. Using visible-light photosensitization, we unlock general and unexpected selectivity in radical aryl translocation. This method transforms simple carbonyl precursors into complex, three-carbon-homologated products through a sequence of energy-transfer-mediated rearrangement and strain-release ring opening. Mechanistic and computational studies reveal that the photochemical reaction inverts the conventional migratory hierarchy, favoring the translocation of challenging aryl groups over traditionally privileged heteroaryl motifs. This energy transfer enabled platform establishes a new paradigm for controlling radical reactivity and offers a powerful strategy to redirect synthetic pathways.</w:t>
      </w:r>
    </w:p>
    <w:p>
      <w:pPr>
        <w:spacing w:before="120" w:after="120"/>
      </w:pPr>
      <w:r>
        <w:rPr>
          <w:sz w:val="18"/>
        </w:rPr>
        <w:t>——————————————————————————————————————————————————————————————————————</w:t>
      </w:r>
    </w:p>
    <w:p>
      <w:pPr>
        <w:spacing w:before="160" w:after="40" w:line="240" w:lineRule="auto"/>
      </w:pPr>
      <w:r>
        <w:rPr>
          <w:b/>
        </w:rPr>
        <w:t xml:space="preserve">[183] </w:t>
      </w:r>
      <w:hyperlink r:id="rId472">
        <w:r>
          <w:rPr>
            <w:color w:val="1155CC"/>
            <w:u w:val="single"/>
          </w:rPr>
          <w:t>[ASAP] 酶介导的共价标记实现RNA修饰状态的原位成像</w:t>
        </w:r>
      </w:hyperlink>
    </w:p>
    <w:p>
      <w:pPr>
        <w:spacing w:before="0" w:after="80"/>
      </w:pPr>
      <w:r>
        <w:rPr>
          <w:i/>
          <w:sz w:val="20"/>
        </w:rPr>
        <w:t>EN: [ASAP] Enzyme-Mediated Covalent Labeling Enables In Situ Imaging of RNA Modification States</w:t>
      </w:r>
    </w:p>
    <w:p>
      <w:pPr>
        <w:spacing w:before="0" w:after="120"/>
      </w:pPr>
      <w:r>
        <w:rPr>
          <w:b/>
        </w:rPr>
        <w:t xml:space="preserve">Source: </w:t>
      </w:r>
      <w:r>
        <w:t>Journal of the American Chemical Society: Latest Articles (ACS Publications)</w:t>
      </w:r>
      <w:r>
        <w:t xml:space="preserve">    </w:t>
      </w:r>
      <w:r>
        <w:rPr>
          <w:b/>
        </w:rPr>
        <w:t xml:space="preserve">Pub date: </w:t>
      </w:r>
      <w:r>
        <w:t>2026-04-28 09:32:00+00:00</w:t>
      </w:r>
      <w:r>
        <w:t xml:space="preserve">    </w:t>
      </w:r>
      <w:r>
        <w:rPr>
          <w:b/>
        </w:rPr>
        <w:t xml:space="preserve">DOI: </w:t>
      </w:r>
      <w:hyperlink r:id="rId473">
        <w:r>
          <w:rPr>
            <w:color w:val="1155CC"/>
            <w:u w:val="single"/>
          </w:rPr>
          <w:t>10.1021/jacs.6c03719</w:t>
        </w:r>
      </w:hyperlink>
    </w:p>
    <w:p>
      <w:pPr>
        <w:spacing w:before="0" w:after="120"/>
      </w:pPr>
      <w:r>
        <w:rPr>
          <w:b/>
        </w:rPr>
        <w:t xml:space="preserve">Notes: </w:t>
      </w:r>
      <w:r>
        <w:t>abstract_source=pubmed</w:t>
      </w:r>
    </w:p>
    <w:p>
      <w:pPr>
        <w:spacing w:before="0" w:after="80" w:lineRule="auto" w:line="276"/>
      </w:pPr>
      <w:r>
        <w:rPr>
          <w:b/>
        </w:rPr>
        <w:t xml:space="preserve">摘要（ZH）: </w:t>
      </w:r>
      <w:r>
        <w:t>转录后tRNA修饰是基因表达的调节因子，但由于缺乏在细胞内追踪tRNA修饰状态的方法，其空间组织和动态调控仍然知之甚少。测序和生化方法提供了群体水平的读数，但通常需要RNA提取，消除了空间信息并掩盖了细胞间的异质性。在此，我们报告了一种化学酶促RNA荧光标记策略，使得在哺乳动物细胞中成像特定的tRNA修饰状态成为可能。我们的方法依赖于细菌酶tRNA鸟嘌呤转糖基酶（TGT）的催化选择性，仅在缺乏queuine（一种影响翻译、应激反应和哺乳动物生理的独特超修饰碱基）时，将荧光团结合的preQ1类似物共价结合到q-同源tRNA中。由于queuine修饰的tRNA不是转糖基化的底物，荧光团的结合直接报告了低修饰状态。queuine低修饰的tRNA在固定细胞中以亚细胞分辨率选择性可视化。使用这种方法，我们跟踪了queuine的结合和丢失动力学，分析了控制修饰的遗传因素，并解决了胞质和线粒体tRNA群体之间的差异。除了queuine之外，这项工作展示了一种将内源性RNA修饰状态转化为共价荧光读数的策略，为在完整细胞中进行RNA修饰的空间分析提供了化学框架。</w:t>
      </w:r>
    </w:p>
    <w:p>
      <w:pPr>
        <w:spacing w:before="0" w:after="200" w:lineRule="auto" w:line="276"/>
      </w:pPr>
      <w:r>
        <w:rPr>
          <w:b/>
        </w:rPr>
        <w:t xml:space="preserve">Abstract (EN): </w:t>
      </w:r>
      <w:r>
        <w:t>Post-transcriptional tRNA modifications are regulators of gene expression, yet their spatial organization and dynamic regulation remain poorly understood, because methods to track tRNA modification status inside cells are lacking. Sequencing and biochemical approaches provide population-level readouts but typically require RNA extraction, eliminating spatial information and obscuring cell-to-cell heterogeneity. Here, we report a chemoenzymatic RNA fluorescent labeling strategy that enables the imaging of a specific tRNA modification state in mammalian cells. Our method relies on the catalytic selectivity of the bacterial enzyme tRNA guanine transglycosylase (TGT) to covalently incorporate fluorophore-conjugated preQ1 analogues into q-cognate tRNAs only when they lack queuine, a unique hypermodified base that influences translation, stress responses, and mammalian physiology. Because queuine-modified tRNAs are not substrates for transglycosylation, fluorophore incorporation directly reports the hypomodification status. Queuine-hypomodified tRNAs are selectively visualized with subcellular resolution in fixed cells. Using this approach, we track queuine incorporation and loss kinetics across cell lines, analyze genetic factors that control modification, and resolve differences between cytosolic and mitochondrial tRNA populations. Beyond queuine, this work demonstrates a strategy for converting the endogenous RNA modification state into a covalent fluorescent readout, providing a chemical framework for spatial analysis of RNA modifications in intact cells.</w:t>
      </w:r>
    </w:p>
    <w:p>
      <w:pPr>
        <w:spacing w:before="120" w:after="120"/>
      </w:pPr>
      <w:r>
        <w:rPr>
          <w:sz w:val="18"/>
        </w:rPr>
        <w:t>——————————————————————————————————————————————————————————————————————</w:t>
      </w:r>
    </w:p>
    <w:p>
      <w:pPr>
        <w:spacing w:before="160" w:after="40" w:line="240" w:lineRule="auto"/>
      </w:pPr>
      <w:r>
        <w:rPr>
          <w:b/>
        </w:rPr>
        <w:t xml:space="preserve">[184] </w:t>
      </w:r>
      <w:hyperlink r:id="rId474">
        <w:r>
          <w:rPr>
            <w:color w:val="1155CC"/>
            <w:u w:val="single"/>
          </w:rPr>
          <w:t>[ASAP] 大卫之星[2]链环的配位化学</w:t>
        </w:r>
      </w:hyperlink>
    </w:p>
    <w:p>
      <w:pPr>
        <w:spacing w:before="0" w:after="80"/>
      </w:pPr>
      <w:r>
        <w:rPr>
          <w:i/>
          <w:sz w:val="20"/>
        </w:rPr>
        <w:t>EN: [ASAP] Coordination Chemistry of a Star of David [2]Catenand</w:t>
      </w:r>
    </w:p>
    <w:p>
      <w:pPr>
        <w:spacing w:before="0" w:after="120"/>
      </w:pPr>
      <w:r>
        <w:rPr>
          <w:b/>
        </w:rPr>
        <w:t xml:space="preserve">Source: </w:t>
      </w:r>
      <w:r>
        <w:t>Journal of the American Chemical Society: Latest Articles (ACS Publications)</w:t>
      </w:r>
      <w:r>
        <w:t xml:space="preserve">    </w:t>
      </w:r>
      <w:r>
        <w:rPr>
          <w:b/>
        </w:rPr>
        <w:t xml:space="preserve">Pub date: </w:t>
      </w:r>
      <w:r>
        <w:t>2026-04-28 09:53:21+00:00</w:t>
      </w:r>
      <w:r>
        <w:t xml:space="preserve">    </w:t>
      </w:r>
      <w:r>
        <w:rPr>
          <w:b/>
        </w:rPr>
        <w:t xml:space="preserve">DOI: </w:t>
      </w:r>
      <w:hyperlink r:id="rId475">
        <w:r>
          <w:rPr>
            <w:color w:val="1155CC"/>
            <w:u w:val="single"/>
          </w:rPr>
          <w:t>10.1021/jacs.6c00828</w:t>
        </w:r>
      </w:hyperlink>
    </w:p>
    <w:p>
      <w:pPr>
        <w:spacing w:before="0" w:after="120"/>
      </w:pPr>
      <w:r>
        <w:rPr>
          <w:b/>
        </w:rPr>
        <w:t xml:space="preserve">Notes: </w:t>
      </w:r>
      <w:r>
        <w:t>abstract_source=pubmed</w:t>
      </w:r>
    </w:p>
    <w:p>
      <w:pPr>
        <w:spacing w:before="0" w:after="80" w:lineRule="auto" w:line="276"/>
      </w:pPr>
      <w:r>
        <w:rPr>
          <w:b/>
        </w:rPr>
        <w:t xml:space="preserve">摘要（ZH）: </w:t>
      </w:r>
      <w:r>
        <w:t>机械互锁可以深刻改变配位环境，但其对金属-配体自组装的影响仍未得到充分探索。在此，我们报告了一种由两个三重互锁大环组成的大卫之星[2]环烯的配位化学，并展示了这种拓扑受限配体内的预组织如何从根本上重塑金属化路径。直接用Fe(II)、Co(II)、Ni(II)或Cu(II)进行金属化会导致动力学陷阱和不明确的产物，而Zn(II)则迅速且可逆地重新形成一个有序的六核环烯。利用Zn(II)-联吡啶配位的可逆性，我们展示了一种逐步的转金属化策略，使得清洁、定量地获得Fe(II)以及其他难以获得的Co(II)、Ni(II)和Cu(II)大卫之星[2]环烯成为可能。时间分辨质谱揭示了离散的异金属中间体，支持了一种在逐步金属交换过程中最小化大规模错误配位和配体重组的机制。Co(II)和Cu(II)类似物的单晶X射线结构确认了大卫之星拓扑的保留，并揭示了即使在其他阴离子交换和/或转金属化后，中心腔内仍然存在对离子的持续囚禁。Ni(II)系统的部分晶体学数据和Fe(II)及Zn(II)类似物的光谱一致性支持了整个系列的结构保守性。Co(II)6-大卫之星环烯的氧化顺利产生了Co(III)6-类似物。等温滴定卡洛</w:t>
      </w:r>
    </w:p>
    <w:p>
      <w:pPr>
        <w:spacing w:before="0" w:after="200" w:lineRule="auto" w:line="276"/>
      </w:pPr>
      <w:r>
        <w:rPr>
          <w:b/>
        </w:rPr>
        <w:t xml:space="preserve">Abstract (EN): </w:t>
      </w:r>
      <w:r>
        <w:t>Mechanical interlocking can profoundly alter coordination environments, yet its influence on metal-ligand self-assembly remains underexplored. Here we report on the coordination chemistry of a Star of David [2]catenane comprising two triply interlocked macrocycles, each containing 9 bipyridine units, and show that preorganization within this topologically constrained ligand fundamentally reshapes metalation pathways. Direct metalation with Fe(II), Co(II), Ni(II), or Cu(II) leads to kinetically trapped, ill-defined products, whereas Zn(II) rapidly and reversibly reforms a well-ordered hexanuclear catenate. Exploiting the lability of Zn(II)-bipyridine coordination, we demonstrate a stepwise transmetalation strategy that enables clean, quantitative access to the Fe(II), and otherwise inaccessible Co(II), Ni(II), and Cu(II), Star of David [2]catenates. Time-resolved mass spectrometry reveals discrete heterometallic intermediates, supporting a mechanism that minimizes large-scale mis-coordination and ligand reorganization during stepwise metal exchange. Single-crystal X-ray structures of the Co(II) and Cu(II) analogues confirm retention of the Star of David topology and reveal persistent incarceration of a counterion within the central cavity, even following other anion exchange and/or transmetalation. Partial crystallographic data for the Ni(II) system and spectroscopic consistency of the Fe(II) and Zn(II) analogues support structural conservation across the series. Oxidation of the Co(II)6-Star of David catenate smoothly affords the Co(III)6-analogue. Isothermal titration calorimetry shows that the Star of David catenates bind iodide within the central cavity with metal-dependent affinities reflecting both the coordination geometry and the residual anion occupancy. Together, these results establish stepwise transmetalation as a strategy for overcoming kinetic barriers in topologically complex coordination assemblies and highlight mechanical bonding as a design element for controlling metal ion reactivity and guest recognition.</w:t>
      </w:r>
    </w:p>
    <w:p>
      <w:pPr>
        <w:spacing w:before="120" w:after="120"/>
      </w:pPr>
      <w:r>
        <w:rPr>
          <w:sz w:val="18"/>
        </w:rPr>
        <w:t>——————————————————————————————————————————————————————————————————————</w:t>
      </w:r>
    </w:p>
    <w:p>
      <w:pPr>
        <w:spacing w:before="160" w:after="40" w:line="240" w:lineRule="auto"/>
      </w:pPr>
      <w:r>
        <w:rPr>
          <w:b/>
        </w:rPr>
        <w:t xml:space="preserve">[185] </w:t>
      </w:r>
      <w:hyperlink r:id="rId476">
        <w:r>
          <w:rPr>
            <w:color w:val="1155CC"/>
            <w:u w:val="single"/>
          </w:rPr>
          <w:t>[ASAP] 可光切换的COX-2选择性抑制剂作为光调控的抗炎剂</w:t>
        </w:r>
      </w:hyperlink>
    </w:p>
    <w:p>
      <w:pPr>
        <w:spacing w:before="0" w:after="80"/>
      </w:pPr>
      <w:r>
        <w:rPr>
          <w:i/>
          <w:sz w:val="20"/>
        </w:rPr>
        <w:t>EN: [ASAP] Photoswitchable COX-2-Selective Inhibitors as Light-Regulated Anti-Inflammatory Agents</w:t>
      </w:r>
    </w:p>
    <w:p>
      <w:pPr>
        <w:spacing w:before="0" w:after="120"/>
      </w:pPr>
      <w:r>
        <w:rPr>
          <w:b/>
        </w:rPr>
        <w:t xml:space="preserve">Source: </w:t>
      </w:r>
      <w:r>
        <w:t>Journal of the American Chemical Society: Latest Articles (ACS Publications)</w:t>
      </w:r>
      <w:r>
        <w:t xml:space="preserve">    </w:t>
      </w:r>
      <w:r>
        <w:rPr>
          <w:b/>
        </w:rPr>
        <w:t xml:space="preserve">Pub date: </w:t>
      </w:r>
      <w:r>
        <w:t>2026-04-28 12:01:55+00:00</w:t>
      </w:r>
      <w:r>
        <w:t xml:space="preserve">    </w:t>
      </w:r>
      <w:r>
        <w:rPr>
          <w:b/>
        </w:rPr>
        <w:t xml:space="preserve">DOI: </w:t>
      </w:r>
      <w:hyperlink r:id="rId477">
        <w:r>
          <w:rPr>
            <w:color w:val="1155CC"/>
            <w:u w:val="single"/>
          </w:rPr>
          <w:t>10.1021/jacs.6c03529</w:t>
        </w:r>
      </w:hyperlink>
    </w:p>
    <w:p>
      <w:pPr>
        <w:spacing w:before="0" w:after="120"/>
      </w:pPr>
      <w:r>
        <w:rPr>
          <w:b/>
        </w:rPr>
        <w:t xml:space="preserve">Notes: </w:t>
      </w:r>
      <w:r>
        <w:t>abstract_source=pubmed</w:t>
      </w:r>
    </w:p>
    <w:p>
      <w:pPr>
        <w:spacing w:before="0" w:after="80" w:lineRule="auto" w:line="276"/>
      </w:pPr>
      <w:r>
        <w:rPr>
          <w:b/>
        </w:rPr>
        <w:t xml:space="preserve">摘要（ZH）: </w:t>
      </w:r>
      <w:r>
        <w:t>尽管非甾体抗炎药（NSAIDs）被广泛使用，但其治疗潜力仍然受到不良副作用的显著限制。这一限制主要源于选择性不足，因为目前的NSAIDs不仅抑制炎症部位的诱导型环氧合酶-2（COX-2）同工酶，还抑制健康组织中的组成型COX-2，并且经常抑制环氧合酶-1。为了解决这一挑战，我们开发了光开关NSAIDs，它们结合了COX-2选择性和光控活性，以实现治疗效果在炎症组织的时空限制。在对最广泛使用的COX-2选择性NSAID——塞来昔布的偶氮芳香衍生物库进行计算设计和筛选后，合成了三种光开关类似物，这些类似物表现出可逆且高效的反-顺光转换。在体外实验中，这些化合物的光控和选择性COX-2抑制得到了证明，在巨噬细胞实验中，通过从初始的、暗适应的反式异构体到顺式状态的光异构化，效力增强了多达5倍。最佳候选物在斑马鱼急性炎症模型中显示出体内疗效，其中光诱导的顺式形式的给药减少了伤口部位的白细胞募集。这些发现将光开关NSAIDs定位为治疗炎症及相关疾病（包括癌症）的常规药物的有前途的替代品。</w:t>
      </w:r>
    </w:p>
    <w:p>
      <w:pPr>
        <w:spacing w:before="0" w:after="200" w:lineRule="auto" w:line="276"/>
      </w:pPr>
      <w:r>
        <w:rPr>
          <w:b/>
        </w:rPr>
        <w:t xml:space="preserve">Abstract (EN): </w:t>
      </w:r>
      <w:r>
        <w:t>Despite their extensive use, the therapeutic potential of nonsteroidal anti-inflammatory drugs (NSAIDs) remains significantly constrained by adverse side effects. This limitation primarily arises from insufficient selectivity, as current NSAIDs inhibit not only the inducible cyclooxygenase-2 (COX-2) isoform at sites of inflammation but also constitutive COX-2 in healthy tissues and, frequently, cyclooxygenase-1. To address this challenge, we developed photoswitchable NSAIDs that combine COX-2 selectivity with light-controlled activity to enable spatiotemporal confinement of the therapeutic effect at inflamed tissues. Following computational design and screening of a library of azoaromatic derivatives of celecoxib─the most widely used COX-2 selective NSAID─three photoswitchable analogues were synthesized, which exhibited reversible and efficient trans-cis photoconversion. Light-controlled and selective COX-2 inhibition was demonstrated for these compounds in vitro, reaching up to 5-fold potency enhancement in macrophage assays upon photoisomerization from the initial, dark-adapted trans isomer to the cis state. The best candidate displayed in vivo efficacy in a zebrafish model of acute inflammation, where administration of the photoinduced cis form reduced leukocyte recruitment at the wound site. These findings position photoswitchable NSAIDs as a promising alternative to conventional drugs for treating inflammation and related conditions, including cancer.</w:t>
      </w:r>
    </w:p>
    <w:p>
      <w:pPr>
        <w:spacing w:before="120" w:after="120"/>
      </w:pPr>
      <w:r>
        <w:rPr>
          <w:sz w:val="18"/>
        </w:rPr>
        <w:t>——————————————————————————————————————————————————————————————————————</w:t>
      </w:r>
    </w:p>
    <w:p>
      <w:pPr>
        <w:spacing w:before="160" w:after="40" w:line="240" w:lineRule="auto"/>
      </w:pPr>
      <w:r>
        <w:rPr>
          <w:b/>
        </w:rPr>
        <w:t xml:space="preserve">[186] </w:t>
      </w:r>
      <w:hyperlink r:id="rId478">
        <w:r>
          <w:rPr>
            <w:color w:val="1155CC"/>
            <w:u w:val="single"/>
          </w:rPr>
          <w:t>[ASAP] 在可扩展的铝基金属有机框架中高可逆性和选择性捕获微量SO2</w:t>
        </w:r>
      </w:hyperlink>
    </w:p>
    <w:p>
      <w:pPr>
        <w:spacing w:before="0" w:after="80"/>
      </w:pPr>
      <w:r>
        <w:rPr>
          <w:i/>
          <w:sz w:val="20"/>
        </w:rPr>
        <w:t>EN: [ASAP] Highly Reversible and Selective Capture of Trace SO2 in a Scalable Aluminum-Based Metal–Organic Framework</w:t>
      </w:r>
    </w:p>
    <w:p>
      <w:pPr>
        <w:spacing w:before="0" w:after="120"/>
      </w:pPr>
      <w:r>
        <w:rPr>
          <w:b/>
        </w:rPr>
        <w:t xml:space="preserve">Source: </w:t>
      </w:r>
      <w:r>
        <w:t>Journal of the American Chemical Society: Latest Articles (ACS Publications)</w:t>
      </w:r>
      <w:r>
        <w:t xml:space="preserve">    </w:t>
      </w:r>
      <w:r>
        <w:rPr>
          <w:b/>
        </w:rPr>
        <w:t xml:space="preserve">Pub date: </w:t>
      </w:r>
      <w:r>
        <w:t>2026-04-28 13:58:47+00:00</w:t>
      </w:r>
      <w:r>
        <w:t xml:space="preserve">    </w:t>
      </w:r>
      <w:r>
        <w:rPr>
          <w:b/>
        </w:rPr>
        <w:t xml:space="preserve">DOI: </w:t>
      </w:r>
      <w:hyperlink r:id="rId479">
        <w:r>
          <w:rPr>
            <w:color w:val="1155CC"/>
            <w:u w:val="single"/>
          </w:rPr>
          <w:t>10.1021/jacs.6c01974</w:t>
        </w:r>
      </w:hyperlink>
    </w:p>
    <w:p>
      <w:pPr>
        <w:spacing w:before="0" w:after="120"/>
      </w:pPr>
      <w:r>
        <w:rPr>
          <w:b/>
        </w:rPr>
        <w:t xml:space="preserve">Notes: </w:t>
      </w:r>
      <w:r>
        <w:t>abstract_source=pubmed</w:t>
      </w:r>
    </w:p>
    <w:p>
      <w:pPr>
        <w:spacing w:before="0" w:after="80" w:lineRule="auto" w:line="276"/>
      </w:pPr>
      <w:r>
        <w:rPr>
          <w:b/>
        </w:rPr>
        <w:t xml:space="preserve">摘要（ZH）: </w:t>
      </w:r>
      <w:r>
        <w:t>烟气脱硫需要能够选择性和可逆捕获SO2的吸附剂。然而，性能优异的材料通常通过强结合位点或使用狭窄孔隙来操作，导致解吸和材料再生困难。在此，我们报告了一种高效捕获微量SO2的坚固且可扩展的铝基金属有机框架MIL-120，其在2500 ppm和298 K下显示出2.1 mmol g-1的卓越SO2吸附量，并具有最佳的吸附热（19-42 kJ mol-1）和在室温下完全可逆的解吸。直接可视化吸附的SO2分子揭示了主客体和客客体相互作用，共同提供了1.92 g cm-3的SO2堆积密度，正式超过固体SO2（1.62 g cm-3）。突破性实验表明，MIL-120在干燥或湿润的NO2（烟气中存在的另一种腐蚀性气体）存在下表现出显著的微量SO2捕获，具有124的动态选择性记录，确认了MIL-120分离SO2/NO2混合物的潜力。这项工作为可逆微量SO2捕获和分离的吸附剂材料设定了新的基准。</w:t>
      </w:r>
    </w:p>
    <w:p>
      <w:pPr>
        <w:spacing w:before="0" w:after="200" w:lineRule="auto" w:line="276"/>
      </w:pPr>
      <w:r>
        <w:rPr>
          <w:b/>
        </w:rPr>
        <w:t xml:space="preserve">Abstract (EN): </w:t>
      </w:r>
      <w:r>
        <w:t>The desulfurization of flue gas requires sorbents capable of selective and reversible SO2 capture. However, top-performing materials operate through either strong binding sites or the use of narrow pores, leading to difficulties in desorption and materials regeneration. Here, we report the efficient capture of trace SO2 using a robust and scalable aluminum-based metal-organic framework, MIL-120, which shows an exceptional SO2 uptake of 2.1 mmol g-1 at 2500 ppm and 298 K, coupled with optimal heats of adsorption (19-42 kJ mol-1) and fully reversible desorption at room temperature. Direct visualization of adsorbed SO2 molecules reveals host-guest and guest-guest interactions, collectively affording an SO2 packing density of 1.92 g cm-3, formally surpassing that of solid SO2 (1.62 g cm-3). Breakthrough experiments demonstrate that MIL-120 exhibits remarkable trace SO2 capture in the presence of dry or wet NO2 (another corrosive gas present in flue gas) with a record dynamic selectivity of 124, confirming the potential for MIL-120 to separate SO2/NO2 mixtures. This work sets a new benchmark for sorbent materials for reversible trace SO2 capture and separation.</w:t>
      </w:r>
    </w:p>
    <w:p>
      <w:pPr>
        <w:spacing w:before="120" w:after="120"/>
      </w:pPr>
      <w:r>
        <w:rPr>
          <w:sz w:val="18"/>
        </w:rPr>
        <w:t>——————————————————————————————————————————————————————————————————————</w:t>
      </w:r>
    </w:p>
    <w:p>
      <w:pPr>
        <w:spacing w:before="160" w:after="40" w:line="240" w:lineRule="auto"/>
      </w:pPr>
      <w:r>
        <w:rPr>
          <w:b/>
        </w:rPr>
        <w:t xml:space="preserve">[187] </w:t>
      </w:r>
      <w:hyperlink r:id="rId480">
        <w:r>
          <w:rPr>
            <w:color w:val="1155CC"/>
            <w:u w:val="single"/>
          </w:rPr>
          <w:t>[ASAP] 从醛、酮和甲酰胺原料直接获得铁卡宾</w:t>
        </w:r>
      </w:hyperlink>
    </w:p>
    <w:p>
      <w:pPr>
        <w:spacing w:before="0" w:after="80"/>
      </w:pPr>
      <w:r>
        <w:rPr>
          <w:i/>
          <w:sz w:val="20"/>
        </w:rPr>
        <w:t>EN: [ASAP] Direct Access to Iron Carbenes from Aldehyde, Ketone, and Formamide Feedstocks</w:t>
      </w:r>
    </w:p>
    <w:p>
      <w:pPr>
        <w:spacing w:before="0" w:after="120"/>
      </w:pPr>
      <w:r>
        <w:rPr>
          <w:b/>
        </w:rPr>
        <w:t xml:space="preserve">Source: </w:t>
      </w:r>
      <w:r>
        <w:t>Journal of the American Chemical Society: Latest Articles (ACS Publications)</w:t>
      </w:r>
      <w:r>
        <w:t xml:space="preserve">    </w:t>
      </w:r>
      <w:r>
        <w:rPr>
          <w:b/>
        </w:rPr>
        <w:t xml:space="preserve">Pub date: </w:t>
      </w:r>
      <w:r>
        <w:t>2026-04-28 14:30:48+00:00</w:t>
      </w:r>
      <w:r>
        <w:t xml:space="preserve">    </w:t>
      </w:r>
      <w:r>
        <w:rPr>
          <w:b/>
        </w:rPr>
        <w:t xml:space="preserve">DOI: </w:t>
      </w:r>
      <w:hyperlink r:id="rId481">
        <w:r>
          <w:rPr>
            <w:color w:val="1155CC"/>
            <w:u w:val="single"/>
          </w:rPr>
          <w:t>10.1021/jacs.5c21614</w:t>
        </w:r>
      </w:hyperlink>
    </w:p>
    <w:p>
      <w:pPr>
        <w:spacing w:before="0" w:after="120"/>
      </w:pPr>
      <w:r>
        <w:rPr>
          <w:b/>
        </w:rPr>
        <w:t xml:space="preserve">Notes: </w:t>
      </w:r>
      <w:r>
        <w:t>abstract_source=pubmed</w:t>
      </w:r>
    </w:p>
    <w:p>
      <w:pPr>
        <w:spacing w:before="0" w:after="80" w:lineRule="auto" w:line="276"/>
      </w:pPr>
      <w:r>
        <w:rPr>
          <w:b/>
        </w:rPr>
        <w:t xml:space="preserve">摘要（ZH）: </w:t>
      </w:r>
      <w:r>
        <w:t>金属卡宾是构建复杂分子结构的强大中间体，但其生成通常依赖于危险的重氮或叶立德前体。我们报告了一种使用低价铁系统从未修饰的羰基化合物直接生成卡宾的光催化和电化学策略。该反应通过Fe(I)对羰基键的净氧化加成进行，随后是α-质子化和α-消除生成活性Fe-卡宾中间体。该平台在温和条件下实现了多种烯烃的环丙烷化，包括复杂的、类药物的和氨基酸衍生的底物，提供了高度功能化的、富含sp3的产物。机制研究揭示了直接羰基活化而非自由基中间体，具有协同-异步的烯烃加成路径。这些发现确立了一种从羰基到卡宾转化的一般策略，扩展了基础金属催化的范围，并为重新定义合成化学中的羰基活化提供了蓝图。</w:t>
      </w:r>
    </w:p>
    <w:p>
      <w:pPr>
        <w:spacing w:before="0" w:after="200" w:lineRule="auto" w:line="276"/>
      </w:pPr>
      <w:r>
        <w:rPr>
          <w:b/>
        </w:rPr>
        <w:t xml:space="preserve">Abstract (EN): </w:t>
      </w:r>
      <w:r>
        <w:t>Metallocarbenes are powerful intermediates for constructing complex molecular architectures, yet their generation typically relies on hazardous diazo or ylide precursors. We report photocatalytic and electrochemical strategies for direct carbene formation from unmodified carbonyl compounds using a low-valent iron system. The reaction proceeds through net oxidative addition of Fe(I) into the carbonyl bond, followed by α-protonation and α-elimination to generate a reactive Fe-carbene intermediate. This platform enables cyclopropanation of diverse alkenes─including complex, drug-like, and amino-acid-derived substrates─under mild conditions, delivering highly functionalized, sp3-rich products. Mechanistic studies reveal direct carbonyl activation rather than free radical intermediacy, with a concerted-asynchronous olefin addition pathway. These findings establish a general strategy for carbonyl-to-carbene conversion, expanding the scope of base-metal catalysis and providing a blueprint for redefining carbonyl activation in synthetic chemistry.</w:t>
      </w:r>
    </w:p>
    <w:p>
      <w:pPr>
        <w:spacing w:before="120" w:after="120"/>
      </w:pPr>
      <w:r>
        <w:rPr>
          <w:sz w:val="18"/>
        </w:rPr>
        <w:t>——————————————————————————————————————————————————————————————————————</w:t>
      </w:r>
    </w:p>
    <w:p>
      <w:pPr>
        <w:spacing w:before="160" w:after="40" w:line="240" w:lineRule="auto"/>
      </w:pPr>
      <w:r>
        <w:rPr>
          <w:b/>
        </w:rPr>
        <w:t xml:space="preserve">[188] </w:t>
      </w:r>
      <w:hyperlink r:id="rId482">
        <w:r>
          <w:rPr>
            <w:color w:val="1155CC"/>
            <w:u w:val="single"/>
          </w:rPr>
          <w:t>[ASAP] 层间电子耦合打破单原子氧还原催化剂中的*OH解吸限制</w:t>
        </w:r>
      </w:hyperlink>
    </w:p>
    <w:p>
      <w:pPr>
        <w:spacing w:before="0" w:after="80"/>
      </w:pPr>
      <w:r>
        <w:rPr>
          <w:i/>
          <w:sz w:val="20"/>
        </w:rPr>
        <w:t>EN: [ASAP] Interlayer Electronic Coupling Breaks the *OH Desorption Limitation in Single-Atom Oxygen Reduction Catalysts</w:t>
      </w:r>
    </w:p>
    <w:p>
      <w:pPr>
        <w:spacing w:before="0" w:after="120"/>
      </w:pPr>
      <w:r>
        <w:rPr>
          <w:b/>
        </w:rPr>
        <w:t xml:space="preserve">Source: </w:t>
      </w:r>
      <w:r>
        <w:t>Journal of the American Chemical Society: Latest Articles (ACS Publications)</w:t>
      </w:r>
      <w:r>
        <w:t xml:space="preserve">    </w:t>
      </w:r>
      <w:r>
        <w:rPr>
          <w:b/>
        </w:rPr>
        <w:t xml:space="preserve">Pub date: </w:t>
      </w:r>
      <w:r>
        <w:t>2026-04-28 14:31:58+00:00</w:t>
      </w:r>
      <w:r>
        <w:t xml:space="preserve">    </w:t>
      </w:r>
      <w:r>
        <w:rPr>
          <w:b/>
        </w:rPr>
        <w:t xml:space="preserve">DOI: </w:t>
      </w:r>
      <w:hyperlink r:id="rId483">
        <w:r>
          <w:rPr>
            <w:color w:val="1155CC"/>
            <w:u w:val="single"/>
          </w:rPr>
          <w:t>10.1021/jacs.6c02011</w:t>
        </w:r>
      </w:hyperlink>
    </w:p>
    <w:p>
      <w:pPr>
        <w:spacing w:before="0" w:after="120"/>
      </w:pPr>
      <w:r>
        <w:rPr>
          <w:b/>
        </w:rPr>
        <w:t xml:space="preserve">Notes: </w:t>
      </w:r>
      <w:r>
        <w:t>abstract_source=pubmed</w:t>
      </w:r>
    </w:p>
    <w:p>
      <w:pPr>
        <w:spacing w:before="0" w:after="80" w:lineRule="auto" w:line="276"/>
      </w:pPr>
      <w:r>
        <w:rPr>
          <w:b/>
        </w:rPr>
        <w:t xml:space="preserve">摘要（ZH）: </w:t>
      </w:r>
      <w:r>
        <w:t>在碱性氧还原中，*OH中间体的解吸被广泛认为是固有的动力学瓶颈。尽管对基于铁的单原子催化剂进行了广泛的配位工程，缓慢的*OH解吸仍然存在，表明由平面或准平面的电子限制而非局部配位单独施加的基本限制。在此，我们证明引入层间电子耦合提供了一条有效途径来克服这一限制。我们构建了一种层间键合的准3D FeN3P单原子催化剂（FeN3P-BL@NC），其中相邻层通过Fe-P键直接连接以建立连续的层间电子通路。这种层间耦合重新分配了Fe d电子密度，稳定了更高自旋的Fe状态，打破了传统的d带标度关系，并削弱了Fe-O(H)共价性，从而有效地打破了固有的*OH解吸限制，实现了几乎无障碍的*OH解吸（ΔG = 0.026 eV）。因此，FeN3P-BL@NC在碱性ORR中表现出卓越的活性，具有0.956 V vs RHE的半波电位，0.85 V时的动力学电流密度为82.8 mA cm-2，主要的四电子路径和优异的耐久性。当集成到一次性和可充电锌空气电池中时，该催化剂实现了223 mW cm-2的功率密度，652 mAh g-1 Zn的比容量和长期循环稳定性，超过了商业20 wt % Pt/C。这项工作将层间电子耦合确定为传统配位工程的正交设计维度，提供了访问</w:t>
      </w:r>
    </w:p>
    <w:p>
      <w:pPr>
        <w:spacing w:before="0" w:after="200" w:lineRule="auto" w:line="276"/>
      </w:pPr>
      <w:r>
        <w:rPr>
          <w:b/>
        </w:rPr>
        <w:t xml:space="preserve">Abstract (EN): </w:t>
      </w:r>
      <w:r>
        <w:t>In alkaline oxygen reduction, the desorption of *OH intermediate is widely regarded as an intrinsic kinetic bottleneck. Despite extensive coordination engineering of Fe-based single-atom catalysts, sluggish *OH desorption persists, suggesting a fundamental limitation imposed by planar or quasi-planar electronic confinement rather than local coordination alone. Here we demonstrate that introducing interlayer electronic coupling provides an effective route to overcome this constraint. We construct an interlayer-bonded quasi-3D FeN3P single-atom catalyst (FeN3P-BL@NC), in which adjacent layers are directly connected via Fe-P bonds to establish continuous interlayer electronic pathways. This interlayer coupling redistributes Fe d-electron density, stabilizes a higher-spin Fe state, breaks conventional d-band scaling relationships, and weakens Fe-O(H) covalency, thereby effectively breaking the intrinsic *OH desorption limitation and enabling nearly barrierless *OH desorption (ΔG = 0.026 eV). As a result, FeN3P-BL@NC delivers outstanding alkaline ORR activity with a half-wave potential of 0.956 V vs RHE, a kinetic current density of 82.8 mA cm-2 at 0.85 V, a dominant four-electron pathway, and excellent durability. When integrated into primary and rechargeable Zn-air batteries, the catalyst achieves a power density of 223 mW cm-2, a specific capacity of 652 mAh g-1 Zn, and long-term cycling stability, surpassing commercial 20 wt % Pt/C. This work identifies interlayer electronic coupling as an orthogonal design dimension to conventional coordination engineering, enabling access to reaction energetics that are intrinsically inaccessible in planar single-atom catalysts.</w:t>
      </w:r>
    </w:p>
    <w:p>
      <w:pPr>
        <w:spacing w:before="120" w:after="120"/>
      </w:pPr>
      <w:r>
        <w:rPr>
          <w:sz w:val="18"/>
        </w:rPr>
        <w:t>——————————————————————————————————————————————————————————————————————</w:t>
      </w:r>
    </w:p>
    <w:p>
      <w:pPr>
        <w:spacing w:before="160" w:after="40" w:line="240" w:lineRule="auto"/>
      </w:pPr>
      <w:r>
        <w:rPr>
          <w:b/>
        </w:rPr>
        <w:t xml:space="preserve">[189] </w:t>
      </w:r>
      <w:hyperlink r:id="rId484">
        <w:r>
          <w:rPr>
            <w:color w:val="1155CC"/>
            <w:u w:val="single"/>
          </w:rPr>
          <w:t>[ASAP] 探测水溶液中弱卤键</w:t>
        </w:r>
      </w:hyperlink>
    </w:p>
    <w:p>
      <w:pPr>
        <w:spacing w:before="0" w:after="80"/>
      </w:pPr>
      <w:r>
        <w:rPr>
          <w:i/>
          <w:sz w:val="20"/>
        </w:rPr>
        <w:t>EN: [ASAP] Probing Weak Halogen Bonding in Aqueous Solution</w:t>
      </w:r>
    </w:p>
    <w:p>
      <w:pPr>
        <w:spacing w:before="0" w:after="120"/>
      </w:pPr>
      <w:r>
        <w:rPr>
          <w:b/>
        </w:rPr>
        <w:t xml:space="preserve">Source: </w:t>
      </w:r>
      <w:r>
        <w:t>Journal of the American Chemical Society: Latest Articles (ACS Publications)</w:t>
      </w:r>
      <w:r>
        <w:t xml:space="preserve">    </w:t>
      </w:r>
      <w:r>
        <w:rPr>
          <w:b/>
        </w:rPr>
        <w:t xml:space="preserve">Pub date: </w:t>
      </w:r>
      <w:r>
        <w:t>2026-04-28 14:59:04+00:00</w:t>
      </w:r>
      <w:r>
        <w:t xml:space="preserve">    </w:t>
      </w:r>
      <w:r>
        <w:rPr>
          <w:b/>
        </w:rPr>
        <w:t xml:space="preserve">DOI: </w:t>
      </w:r>
      <w:hyperlink r:id="rId485">
        <w:r>
          <w:rPr>
            <w:color w:val="1155CC"/>
            <w:u w:val="single"/>
          </w:rPr>
          <w:t>10.1021/jacs.6c04848</w:t>
        </w:r>
      </w:hyperlink>
    </w:p>
    <w:p>
      <w:pPr>
        <w:spacing w:before="0" w:after="120"/>
      </w:pPr>
      <w:r>
        <w:rPr>
          <w:b/>
        </w:rPr>
        <w:t xml:space="preserve">Notes: </w:t>
      </w:r>
      <w:r>
        <w:t>abstract_source=pubmed</w:t>
      </w:r>
    </w:p>
    <w:p>
      <w:pPr>
        <w:spacing w:before="0" w:after="80" w:lineRule="auto" w:line="276"/>
      </w:pPr>
      <w:r>
        <w:rPr>
          <w:b/>
        </w:rPr>
        <w:t xml:space="preserve">摘要（ZH）: </w:t>
      </w:r>
      <w:r>
        <w:t>非共价相互作用对于化学和生物学的重要性与其难以表征的程度一样高。它们决定了生物聚合物的三维结构、药物候选物的结合模式和亲和力，以及酶促反应和分子识别事件的机制和动力学，这些过程发生在水溶液中。单一的非共价力，由于其固有的弱点，产生瞬态的低亲和力复合物，尤其难以在稀溶液中检测，特别是在提供竞争性相互作用的极性和质子溶剂中，如水。以弱卤键（&lt;20 kJ mol-1）为例，我们展示了一种利用NMR光谱学表征稀水溶液中非常弱相互作用的策略。我们通过描述一组弱碘和溴中心卤键稳定β-发夹结构的能力来表征其相对强度，该结构的人口数量通过基于NOE和J耦合的集合分析进行量化，并基于1H-13C残余偶极耦合的键取向描述卤键的几何形状。密度泛函理论计算证实了实验观察到的趋势。我们的工作展示了水溶液中卤键的最早详细实验表征之一，以及一种允许在药物发现最相关溶剂中系统评估这种相互作用的方法。由于所提出模型系统的模块化，该策略易于转移到其他单一的，我们</w:t>
      </w:r>
    </w:p>
    <w:p>
      <w:pPr>
        <w:spacing w:before="0" w:after="200" w:lineRule="auto" w:line="276"/>
      </w:pPr>
      <w:r>
        <w:rPr>
          <w:b/>
        </w:rPr>
        <w:t xml:space="preserve">Abstract (EN): </w:t>
      </w:r>
      <w:r>
        <w:t>Noncovalent interactions are as important for chemistry and biology as they are difficult to characterize. They determine the 3D structure of biopolymers, the binding mode and affinity of drug candidates, and the mechanisms and kinetics of enzymatic reactions and molecular recognition events, to name a few examples of processes that take place in aqueous solution. A single noncovalent force, with its inherent weakness, yields transient low-affinity complexes that are especially challenging to detect in dilute solutions, especially in polar and protic solvents that offer competing interactions, such as water. Using weak halogen bonding (&lt;20 kJ mol-1) as an example, we showcase a strategy to characterize very weak interactions in dilute aqueous solution using NMR spectroscopy. We characterize the relative strength of a set of weak iodine and bromine-centered halogen bonds by describing their ability of stabilizing a β-hairpin motif, whose population was quantified using NOE- and J-coupling-based ensemble analysis, and describe the geometry of the halogen bond based on bond orientations with 1H-13C residual dipolar couplings. Density functional theory calculations corroborate the experimentally observed trends. Our work presents one of the very first detailed experimental characterizations of halogen bonding in aqueous solution and a methodology that allows systematic assessment of this interaction in the solvent most relevant for drug discovery. Due to the modularity of the presented model system, the strategy is easily transferable to the characterization of other single, weak noncovalent interactions, such as hydrogen, chalcogen, pnictogen, and tetrel bonds, Coulomb forces, or π interactions in dilute aqueous solution.</w:t>
      </w:r>
    </w:p>
    <w:p>
      <w:pPr>
        <w:spacing w:before="120" w:after="120"/>
      </w:pPr>
      <w:r>
        <w:rPr>
          <w:sz w:val="18"/>
        </w:rPr>
        <w:t>——————————————————————————————————————————————————————————————————————</w:t>
      </w:r>
    </w:p>
    <w:p>
      <w:pPr>
        <w:spacing w:before="160" w:after="40" w:line="240" w:lineRule="auto"/>
      </w:pPr>
      <w:r>
        <w:rPr>
          <w:b/>
        </w:rPr>
        <w:t xml:space="preserve">[190] </w:t>
      </w:r>
      <w:hyperlink r:id="rId486">
        <w:r>
          <w:rPr>
            <w:color w:val="1155CC"/>
            <w:u w:val="single"/>
          </w:rPr>
          <w:t>[ASAP] 通过钴催化的去对称环化反应实现具有多个手性元素的硼立体化合物的不对称合成</w:t>
        </w:r>
      </w:hyperlink>
    </w:p>
    <w:p>
      <w:pPr>
        <w:spacing w:before="0" w:after="80"/>
      </w:pPr>
      <w:r>
        <w:rPr>
          <w:i/>
          <w:sz w:val="20"/>
        </w:rPr>
        <w:t>EN: [ASAP] Enantioselective Synthesis of Boron-Stereogenic Compounds with Multiple Chiral Elements via Cobalt-Catalyzed Desymmetric Annulation</w:t>
      </w:r>
    </w:p>
    <w:p>
      <w:pPr>
        <w:spacing w:before="0" w:after="120"/>
      </w:pPr>
      <w:r>
        <w:rPr>
          <w:b/>
        </w:rPr>
        <w:t xml:space="preserve">Source: </w:t>
      </w:r>
      <w:r>
        <w:t>Journal of the American Chemical Society: Latest Articles (ACS Publications)</w:t>
      </w:r>
      <w:r>
        <w:t xml:space="preserve">    </w:t>
      </w:r>
      <w:r>
        <w:rPr>
          <w:b/>
        </w:rPr>
        <w:t xml:space="preserve">Pub date: </w:t>
      </w:r>
      <w:r>
        <w:t>2026-04-28 15:39:13+00:00</w:t>
      </w:r>
      <w:r>
        <w:t xml:space="preserve">    </w:t>
      </w:r>
      <w:r>
        <w:rPr>
          <w:b/>
        </w:rPr>
        <w:t xml:space="preserve">DOI: </w:t>
      </w:r>
      <w:hyperlink r:id="rId487">
        <w:r>
          <w:rPr>
            <w:color w:val="1155CC"/>
            <w:u w:val="single"/>
          </w:rPr>
          <w:t>10.1021/jacs.6c00543</w:t>
        </w:r>
      </w:hyperlink>
    </w:p>
    <w:p>
      <w:pPr>
        <w:spacing w:before="0" w:after="120"/>
      </w:pPr>
      <w:r>
        <w:rPr>
          <w:b/>
        </w:rPr>
        <w:t xml:space="preserve">Notes: </w:t>
      </w:r>
      <w:r>
        <w:t>abstract_source=pubmed</w:t>
      </w:r>
    </w:p>
    <w:p>
      <w:pPr>
        <w:spacing w:before="0" w:after="80" w:lineRule="auto" w:line="276"/>
      </w:pPr>
      <w:r>
        <w:rPr>
          <w:b/>
        </w:rPr>
        <w:t xml:space="preserve">摘要（ZH）: </w:t>
      </w:r>
      <w:r>
        <w:t>催化不对称合成硼立体化合物近年来引起了越来越多的关注。然而，与碳立体中心形成的成熟方法相比，构建具有结构多样性的硼立体中心的策略仍然不够完善。在此，我们报告了一种以地球丰富的钴催化的对映选择性C-H活化/去对称化环化反应，涉及芳基酰胺与前手性硼二炔化合物，直接获得一系列硼立体异环化合物。通过钴(II)/手性水杨氧唑啉（Salox）催化系统实现，该方法有效解决了精确区分两个对映异构炔基单元的挑战。该转化同时在一步中建立了稳定的硼立体中心以及多个手性轴（N-N或C-N），具有广泛的底物范围、良好的官能团耐受性和高效性。克级合成、导向基团去除和多样化衍生化进一步突出了该策略的合成实用性。详细的实验和计算研究提供了对催化机制的深入见解。值得注意的是，获得的光学纯化合物表现出有前景的光致发光和圆偏振发光（CPL）特性，强调了其在先进光学应用中的潜力。</w:t>
      </w:r>
    </w:p>
    <w:p>
      <w:pPr>
        <w:spacing w:before="0" w:after="200" w:lineRule="auto" w:line="276"/>
      </w:pPr>
      <w:r>
        <w:rPr>
          <w:b/>
        </w:rPr>
        <w:t xml:space="preserve">Abstract (EN): </w:t>
      </w:r>
      <w:r>
        <w:t>Catalytic asymmetric synthesis of boron-stereogenic compounds has garnered growing interest in recent years. However, strategies for constructing boron-stereogenic centers with structural diversity remain underdeveloped, especially compared with the well-established methods for carbon stereocenters formation. Herein, we report an earth-abundant cobalt-catalyzed enantioselective C-H activation/desymmetric annulation of arylamides with prochiral boron-diyne compounds, providing direct access to a wide range of boron-stereogenic heterocycles. Enabled by a cobalt(II)/chiral salicyloxazoline (Salox) catalytic system, this approach effectively addresses the challenge of precise differentiation between two enantiotopic alkyne units. The transformation concurrently establishes a stable boron-stereogenic center together with multiple chiral axes (N-N or C-N) in a single step, featuring a broad substrate scope, good functional group tolerance, and high efficiency. Gram-scale synthesis, directing-group removal, and versatile derivatizations further highlighted the synthetic utility of this strategy. Detailed experimental and computational studies provide in-depth insight into the catalytic mechanism. Notably, the obtained optically pure compounds exhibit promising photoluminescence and circularly polarized luminescence (CPL) properties, underscoring their potential for advanced optical applications.</w:t>
      </w:r>
    </w:p>
    <w:p>
      <w:pPr>
        <w:spacing w:before="120" w:after="120"/>
      </w:pPr>
      <w:r>
        <w:rPr>
          <w:sz w:val="18"/>
        </w:rPr>
        <w:t>——————————————————————————————————————————————————————————————————————</w:t>
      </w:r>
    </w:p>
    <w:p>
      <w:pPr>
        <w:spacing w:before="160" w:after="40" w:line="240" w:lineRule="auto"/>
      </w:pPr>
      <w:r>
        <w:rPr>
          <w:b/>
        </w:rPr>
        <w:t xml:space="preserve">[191] </w:t>
      </w:r>
      <w:hyperlink r:id="rId488">
        <w:r>
          <w:rPr>
            <w:color w:val="1155CC"/>
            <w:u w:val="single"/>
          </w:rPr>
          <w:t>[ASAP] 在Au表面进行电化学溢出氧物种用于甲烷氧化偶联</w:t>
        </w:r>
      </w:hyperlink>
    </w:p>
    <w:p>
      <w:pPr>
        <w:spacing w:before="0" w:after="80"/>
      </w:pPr>
      <w:r>
        <w:rPr>
          <w:i/>
          <w:sz w:val="20"/>
        </w:rPr>
        <w:t>EN: [ASAP] Electrochemical Spillover Oxygen Species on Au Surface for Methane Oxidative Coupling</w:t>
      </w:r>
    </w:p>
    <w:p>
      <w:pPr>
        <w:spacing w:before="0" w:after="120"/>
      </w:pPr>
      <w:r>
        <w:rPr>
          <w:b/>
        </w:rPr>
        <w:t xml:space="preserve">Source: </w:t>
      </w:r>
      <w:r>
        <w:t>Journal of the American Chemical Society: Latest Articles (ACS Publications)</w:t>
      </w:r>
      <w:r>
        <w:t xml:space="preserve">    </w:t>
      </w:r>
      <w:r>
        <w:rPr>
          <w:b/>
        </w:rPr>
        <w:t xml:space="preserve">Pub date: </w:t>
      </w:r>
      <w:r>
        <w:t>2026-04-28 16:33:31+00:00</w:t>
      </w:r>
      <w:r>
        <w:t xml:space="preserve">    </w:t>
      </w:r>
      <w:r>
        <w:rPr>
          <w:b/>
        </w:rPr>
        <w:t xml:space="preserve">DOI: </w:t>
      </w:r>
      <w:hyperlink r:id="rId489">
        <w:r>
          <w:rPr>
            <w:color w:val="1155CC"/>
            <w:u w:val="single"/>
          </w:rPr>
          <w:t>10.1021/jacs.6c05220</w:t>
        </w:r>
      </w:hyperlink>
    </w:p>
    <w:p>
      <w:pPr>
        <w:spacing w:before="0" w:after="120"/>
      </w:pPr>
      <w:r>
        <w:rPr>
          <w:b/>
        </w:rPr>
        <w:t xml:space="preserve">Notes: </w:t>
      </w:r>
      <w:r>
        <w:t>abstract_source=pubmed</w:t>
      </w:r>
    </w:p>
    <w:p>
      <w:pPr>
        <w:spacing w:before="0" w:after="80" w:lineRule="auto" w:line="276"/>
      </w:pPr>
      <w:r>
        <w:rPr>
          <w:b/>
        </w:rPr>
        <w:t xml:space="preserve">摘要（ZH）: </w:t>
      </w:r>
      <w:r>
        <w:t>甲烷的选择性氧化偶联在根本上受到缺乏可控氧物种用于C-H键活化的限制。在此，我们展示了在固体氧化物电解池中，Au阳极表面的电化学溢流氧物种可以有效地决定CH4活化路径。原位光谱结合理论分析揭示，阳极极化产生了两种具有不同反应性的氧物种。在阳极极化下，CH4活化主要通过甲基自由基介导的路径进行，这通过同步辐射光电离质谱直接证实，从而实现选择性气态C-C偶联。这项研究加深了对电化学溢流氧性质的理解，同时建立了电化学调控氧状态以引导选择性CH4氧化的机制框架。</w:t>
      </w:r>
    </w:p>
    <w:p>
      <w:pPr>
        <w:spacing w:before="0" w:after="200" w:lineRule="auto" w:line="276"/>
      </w:pPr>
      <w:r>
        <w:rPr>
          <w:b/>
        </w:rPr>
        <w:t xml:space="preserve">Abstract (EN): </w:t>
      </w:r>
      <w:r>
        <w:t>Selective oxidative coupling of methane is fundamentally constrained by the lack of controllable oxygen species for C-H bond activation. Here, we show that electrochemical spillover oxygen species on the Au anode surface in solid oxide electrolysis cells could effectively dictate the CH4 activation pathways. In situ spectroscopy combined with theoretical analysis reveals that anodic polarization produces two oxygen species with distinct reactivity. Under anodic polarization, CH4 activation proceeds predominantly via a methyl radical-mediated pathway, as directly evidenced by synchrotronic photoionization mass spectrometry, thereby enabling selective gaseous C-C coupling. This study deepens the understanding of the nature of electrochemical spillover oxygen while establishing a mechanistic framework for electrochemical modulation of oxygen states to steer selective CH4 oxidation.</w:t>
      </w:r>
    </w:p>
    <w:p>
      <w:pPr>
        <w:spacing w:before="120" w:after="120"/>
      </w:pPr>
      <w:r>
        <w:rPr>
          <w:sz w:val="18"/>
        </w:rPr>
        <w:t>——————————————————————————————————————————————————————————————————————</w:t>
      </w:r>
    </w:p>
    <w:p>
      <w:pPr>
        <w:spacing w:before="160" w:after="40" w:line="240" w:lineRule="auto"/>
      </w:pPr>
      <w:r>
        <w:rPr>
          <w:b/>
        </w:rPr>
        <w:t xml:space="preserve">[192] </w:t>
      </w:r>
      <w:hyperlink r:id="rId490">
        <w:r>
          <w:rPr>
            <w:color w:val="1155CC"/>
            <w:u w:val="single"/>
          </w:rPr>
          <w:t>[ASAP] 由亚砜阳离子自由基促进的环醇脱氧烯烃插入</w:t>
        </w:r>
      </w:hyperlink>
    </w:p>
    <w:p>
      <w:pPr>
        <w:spacing w:before="0" w:after="80"/>
      </w:pPr>
      <w:r>
        <w:rPr>
          <w:i/>
          <w:sz w:val="20"/>
        </w:rPr>
        <w:t>EN: [ASAP] Deoxygenative Olefin Insertion of Cyclic Alcohols Promoted by Sulfoxide Cation Radicals</w:t>
      </w:r>
    </w:p>
    <w:p>
      <w:pPr>
        <w:spacing w:before="0" w:after="120"/>
      </w:pPr>
      <w:r>
        <w:rPr>
          <w:b/>
        </w:rPr>
        <w:t xml:space="preserve">Source: </w:t>
      </w:r>
      <w:r>
        <w:t>Journal of the American Chemical Society: Latest Articles (ACS Publications)</w:t>
      </w:r>
      <w:r>
        <w:t xml:space="preserve">    </w:t>
      </w:r>
      <w:r>
        <w:rPr>
          <w:b/>
        </w:rPr>
        <w:t xml:space="preserve">Pub date: </w:t>
      </w:r>
      <w:r>
        <w:t>2026-04-28 17:51:10+00:00</w:t>
      </w:r>
      <w:r>
        <w:t xml:space="preserve">    </w:t>
      </w:r>
      <w:r>
        <w:rPr>
          <w:b/>
        </w:rPr>
        <w:t xml:space="preserve">DOI: </w:t>
      </w:r>
      <w:hyperlink r:id="rId491">
        <w:r>
          <w:rPr>
            <w:color w:val="1155CC"/>
            <w:u w:val="single"/>
          </w:rPr>
          <w:t>10.1021/jacs.5c23176</w:t>
        </w:r>
      </w:hyperlink>
    </w:p>
    <w:p>
      <w:pPr>
        <w:spacing w:before="0" w:after="120"/>
      </w:pPr>
      <w:r>
        <w:rPr>
          <w:b/>
        </w:rPr>
        <w:t xml:space="preserve">Notes: </w:t>
      </w:r>
      <w:r>
        <w:t>abstract_source=pubmed</w:t>
      </w:r>
    </w:p>
    <w:p>
      <w:pPr>
        <w:spacing w:before="0" w:after="80" w:lineRule="auto" w:line="276"/>
      </w:pPr>
      <w:r>
        <w:rPr>
          <w:b/>
        </w:rPr>
        <w:t xml:space="preserve">摘要（ZH）: </w:t>
      </w:r>
      <w:r>
        <w:t>在此，我们报告了一种新策略，通过脱氧烯烃插入扩展脂肪族环醇。吖啶催化的亚砜自由基形成选择性地将未功能化的醇转化为烷氧自由基，这些自由基经历最弱相邻C-C键的选择性β-裂解。生成的烷基自由基与乙烯基膦酸酯受体进行Giese加成。随后用温和的碱处理该酮膦酸酯，允许高效的Horner-Wadsworth-Emmons (HWE)反应进行，生成扩展两碳的产物。产物显著地具有内双键，这在环扩展方法中是独特的。此外，该方法不依赖于预活化的起始醇，适用于形成5-7元环烯烃，并在中等到优异的产率下具有广泛的官能团耐受性。</w:t>
      </w:r>
    </w:p>
    <w:p>
      <w:pPr>
        <w:spacing w:before="0" w:after="200" w:lineRule="auto" w:line="276"/>
      </w:pPr>
      <w:r>
        <w:rPr>
          <w:b/>
        </w:rPr>
        <w:t xml:space="preserve">Abstract (EN): </w:t>
      </w:r>
      <w:r>
        <w:t>Herein we report a novel strategy to expand aliphatic cyclic alcohols via deoxygenative olefin insertion. Acridinium-catalyzed formation of sulfoxide radicals selectively converts unfunctionalized alcohols to alkoxy radicals, which undergo selective β-scission of the weakest adjacent C-C bond. The resulting alkyl radical undergoes a Giese addition with a vinyl phosphonate acceptor. Subsequent treatment of this ketophosphonate with mild base allows for a highly efficient Horner-Wadsworth-Emmons (HWE) reaction to proceed, generating the two-carbon-expanded product. The products notably possess an internal double bond, which is unique with respect to ring expansion methodologies. Further, this approach does not rely on preactivated starting alcohols, is applicable to the formation of 5-7-membered cycloalkenes, and proceeds with a broad array of functional group tolerance in moderate to excellent yields.</w:t>
      </w:r>
    </w:p>
    <w:p>
      <w:pPr>
        <w:spacing w:before="120" w:after="120"/>
      </w:pPr>
      <w:r>
        <w:rPr>
          <w:sz w:val="18"/>
        </w:rPr>
        <w:t>——————————————————————————————————————————————————————————————————————</w:t>
      </w:r>
    </w:p>
    <w:p>
      <w:pPr>
        <w:spacing w:before="160" w:after="40" w:line="240" w:lineRule="auto"/>
      </w:pPr>
      <w:r>
        <w:rPr>
          <w:b/>
        </w:rPr>
        <w:t xml:space="preserve">[193] </w:t>
      </w:r>
      <w:hyperlink r:id="rId492">
        <w:r>
          <w:rPr>
            <w:color w:val="1155CC"/>
            <w:u w:val="single"/>
          </w:rPr>
          <w:t>[ASAP] 含有玻璃态关键结构单元的中性硼氧簇的光谱特征</w:t>
        </w:r>
      </w:hyperlink>
    </w:p>
    <w:p>
      <w:pPr>
        <w:spacing w:before="0" w:after="80"/>
      </w:pPr>
      <w:r>
        <w:rPr>
          <w:i/>
          <w:sz w:val="20"/>
        </w:rPr>
        <w:t>EN: [ASAP] Spectral Signatures of Neutral Boron Oxide Clusters Containing Key Structural Units of the Vitreous State</w:t>
      </w:r>
    </w:p>
    <w:p>
      <w:pPr>
        <w:spacing w:before="0" w:after="120"/>
      </w:pPr>
      <w:r>
        <w:rPr>
          <w:b/>
        </w:rPr>
        <w:t xml:space="preserve">Source: </w:t>
      </w:r>
      <w:r>
        <w:t>Journal of the American Chemical Society: Latest Articles (ACS Publications)</w:t>
      </w:r>
      <w:r>
        <w:t xml:space="preserve">    </w:t>
      </w:r>
      <w:r>
        <w:rPr>
          <w:b/>
        </w:rPr>
        <w:t xml:space="preserve">Pub date: </w:t>
      </w:r>
      <w:r>
        <w:t>2026-04-28 19:25:41+00:00</w:t>
      </w:r>
      <w:r>
        <w:t xml:space="preserve">    </w:t>
      </w:r>
      <w:r>
        <w:rPr>
          <w:b/>
        </w:rPr>
        <w:t xml:space="preserve">DOI: </w:t>
      </w:r>
      <w:hyperlink r:id="rId493">
        <w:r>
          <w:rPr>
            <w:color w:val="1155CC"/>
            <w:u w:val="single"/>
          </w:rPr>
          <w:t>10.1021/jacs.6c04122</w:t>
        </w:r>
      </w:hyperlink>
    </w:p>
    <w:p>
      <w:pPr>
        <w:spacing w:before="0" w:after="120"/>
      </w:pPr>
      <w:r>
        <w:rPr>
          <w:b/>
        </w:rPr>
        <w:t xml:space="preserve">Notes: </w:t>
      </w:r>
      <w:r>
        <w:t>abstract_source=pubmed</w:t>
      </w:r>
    </w:p>
    <w:p>
      <w:pPr>
        <w:spacing w:before="0" w:after="80" w:lineRule="auto" w:line="276"/>
      </w:pPr>
      <w:r>
        <w:rPr>
          <w:b/>
        </w:rPr>
        <w:t xml:space="preserve">摘要（ZH）: </w:t>
      </w:r>
      <w:r>
        <w:t>中性硼氧化物簇的光谱表征对于理解块体的结构和性质具有启发性，但由于尺寸选择的困难，已被证明极具挑战性。在此，我们报告了一项使用可调真空紫外自由电子激光进行近阈值光电离的中性硼氧化物簇的尺寸特定红外光谱研究。进行了量子化学计算以理解簇的结构和键合，并帮助分配实验光谱特征。本研究中关注的BO3、B2O4和B3O6簇被发现具有平面结构，包含BO、BO3和B2O5基团，这些是玻璃态二维网络中的关键结构单元。化学键合分析揭示了终端B≡O基团和B-O σ键之间协同作用带来的结构稳定性。这项工作为块体关键结构单元提供了光谱特征，并为硼氧化物材料逐步形成和生长机制的系统研究铺平了道路。</w:t>
      </w:r>
    </w:p>
    <w:p>
      <w:pPr>
        <w:spacing w:before="0" w:after="200" w:lineRule="auto" w:line="276"/>
      </w:pPr>
      <w:r>
        <w:rPr>
          <w:b/>
        </w:rPr>
        <w:t xml:space="preserve">Abstract (EN): </w:t>
      </w:r>
      <w:r>
        <w:t>Spectroscopic characterization of neutral boron oxide clusters is insightful for understanding the structures and properties of the bulk but has proven to be extremely challenging due to the difficulty in size selection. Here, we report a size-specific infrared spectroscopy study of a series of neutral boron oxide clusters using near-threshold photoionization with a tunable vacuum ultraviolet free electron laser. Quantum chemical calculations were carried out to understand the structures and bonding of the clusters and to help assign the experimental spectral features. The BO3, B2O4, and B3O6 clusters focused in this study are found to have planar structures with BO, BO3, and B2O5 groups, which are key structural units in the two-dimensional network of the vitreous state. Chemical bonding analyses revealed structural stability arising from the synergy among the terminal B≡O groups and B-O σ bonds. This work provides spectral signatures for the key structural units of the bulk and paves the way for systematic studies on the stepwise formation and growth mechanisms of boron oxide materials.</w:t>
      </w:r>
    </w:p>
    <w:p>
      <w:pPr>
        <w:spacing w:before="120" w:after="120"/>
      </w:pPr>
      <w:r>
        <w:rPr>
          <w:sz w:val="18"/>
        </w:rPr>
        <w:t>——————————————————————————————————————————————————————————————————————</w:t>
      </w:r>
    </w:p>
    <w:p>
      <w:pPr>
        <w:spacing w:before="160" w:after="40" w:line="240" w:lineRule="auto"/>
      </w:pPr>
      <w:r>
        <w:rPr>
          <w:b/>
        </w:rPr>
        <w:t xml:space="preserve">[194] </w:t>
      </w:r>
      <w:hyperlink r:id="rId494">
        <w:r>
          <w:rPr>
            <w:color w:val="1155CC"/>
            <w:u w:val="single"/>
          </w:rPr>
          <w:t>[ASAP] 笼中笼演变为刚性金属有机巨型结构以增强荧光</w:t>
        </w:r>
      </w:hyperlink>
    </w:p>
    <w:p>
      <w:pPr>
        <w:spacing w:before="0" w:after="80"/>
      </w:pPr>
      <w:r>
        <w:rPr>
          <w:i/>
          <w:sz w:val="20"/>
        </w:rPr>
        <w:t>EN: [ASAP] Cage-on-Cage Evolution toward Rigid Metallo-Organic Giant for Enhanced Fluorescence</w:t>
      </w:r>
    </w:p>
    <w:p>
      <w:pPr>
        <w:spacing w:before="0" w:after="120"/>
      </w:pPr>
      <w:r>
        <w:rPr>
          <w:b/>
        </w:rPr>
        <w:t xml:space="preserve">Source: </w:t>
      </w:r>
      <w:r>
        <w:t>Journal of the American Chemical Society: Latest Articles (ACS Publications)</w:t>
      </w:r>
      <w:r>
        <w:t xml:space="preserve">    </w:t>
      </w:r>
      <w:r>
        <w:rPr>
          <w:b/>
        </w:rPr>
        <w:t xml:space="preserve">Pub date: </w:t>
      </w:r>
      <w:r>
        <w:t>2026-04-28 19:35:04+00:00</w:t>
      </w:r>
      <w:r>
        <w:t xml:space="preserve">    </w:t>
      </w:r>
      <w:r>
        <w:rPr>
          <w:b/>
        </w:rPr>
        <w:t xml:space="preserve">DOI: </w:t>
      </w:r>
      <w:hyperlink r:id="rId495">
        <w:r>
          <w:rPr>
            <w:color w:val="1155CC"/>
            <w:u w:val="single"/>
          </w:rPr>
          <w:t>10.1021/jacs.6c00821</w:t>
        </w:r>
      </w:hyperlink>
    </w:p>
    <w:p>
      <w:pPr>
        <w:spacing w:before="0" w:after="120"/>
      </w:pPr>
      <w:r>
        <w:rPr>
          <w:b/>
        </w:rPr>
        <w:t xml:space="preserve">Notes: </w:t>
      </w:r>
      <w:r>
        <w:t>abstract_source=pubmed</w:t>
      </w:r>
    </w:p>
    <w:p>
      <w:pPr>
        <w:spacing w:before="0" w:after="80" w:lineRule="auto" w:line="276"/>
      </w:pPr>
      <w:r>
        <w:rPr>
          <w:b/>
        </w:rPr>
        <w:t xml:space="preserve">摘要（ZH）: </w:t>
      </w:r>
      <w:r>
        <w:t>具有独特空腔和复杂分子框架的金属笼在多个领域中得到了广泛应用。然而，通过简便的方法和简单的配体构建具有高刚性和复杂性的更大框架仍然具有挑战性，这对于这些迷人结构的进一步应用至关重要。在此，我们提出了一种基于精心设计的树状配体发展的笼中笼组装方法，该方法能够自下而上地生长一系列C2v对称的多位点配体（LA、LB和LC）。通过系统增加配体上的分支，组装得到了精确控制，产生了一系列超分子结构，其复杂性从C2h对称的椅状[Zn2LA2]，到C3v对称的碗状[Zn6LB3]，最终到Td对称的巨型四面体笼[Zn36LC12]。值得注意的是，[Zn36LC12]金属笼实现了51 kDa的前所未有的分子量和6.7 nm的外球直径，代表了迄今为止在分子量和物理尺寸方面最大的单组分配体基分子四面体。由于单组分框架的高刚性，[Zn36LC12]表现出优异的荧光量子产率60.3%。这项研究引入了一种创新的单组分金属有机笼架构的分层策略，为先进光电子学中发光材料的发展提供了一个有前途的候选者。</w:t>
      </w:r>
    </w:p>
    <w:p>
      <w:pPr>
        <w:spacing w:before="0" w:after="200" w:lineRule="auto" w:line="276"/>
      </w:pPr>
      <w:r>
        <w:rPr>
          <w:b/>
        </w:rPr>
        <w:t xml:space="preserve">Abstract (EN): </w:t>
      </w:r>
      <w:r>
        <w:t>Metallo-cages with distinctive cavities and intricate molecular frameworks have found extensive applications in diverse fields. However, it is still challenging to construct larger frameworks with high rigidity and complexity via facile methods and simple ligands, which is crucial for further applications of these alluring architectures. Herein, we propose a cage-on-cage assembly based on the development of a judiciously designed dendritic ligand that enables the bottom-up growth of a series of C2v-symmetric multitopic ligands (LA, LB, and LC). Through systematic increase of branches on the ligand, the assemblies were precisely controlled, yielding a series of supramolecular architectures with hierarchically increased complexity from a C2h-symmetric chairlike [Zn2LA2], to a C3v-symmetric bowl-shaped [Zn6LB3], and ultimately into a Td-symmetric giant tetrahedral cage [Zn36LC12]. Remarkably, the [Zn36LC12] metallo-cage achieved an unprecedented molecular weight of 51 kDa and an outer ball diameter of 6.7 nm, representing the largest single-component ligand-based molecular tetrahedron reported to date in terms of both molecular weight and physical dimensions. Owing to the high rigidity of the single-component framework, the [Zn36LC12] exhibited a superior fluorescence quantum yield of 60.3%. This research introduces an innovative hierarchical strategy for the architecture of single-component metallo-organic cages, which provides a promising candidate for the development of luminescent materials in advanced optoelectronics.</w:t>
      </w:r>
    </w:p>
    <w:p>
      <w:pPr>
        <w:spacing w:before="120" w:after="120"/>
      </w:pPr>
      <w:r>
        <w:rPr>
          <w:sz w:val="18"/>
        </w:rPr>
        <w:t>——————————————————————————————————————————————————————————————————————</w:t>
      </w:r>
    </w:p>
    <w:p>
      <w:pPr>
        <w:spacing w:before="160" w:after="40" w:line="240" w:lineRule="auto"/>
      </w:pPr>
      <w:r>
        <w:rPr>
          <w:b/>
        </w:rPr>
        <w:t xml:space="preserve">[195] </w:t>
      </w:r>
      <w:hyperlink r:id="rId496">
        <w:r>
          <w:rPr>
            <w:color w:val="1155CC"/>
            <w:u w:val="single"/>
          </w:rPr>
          <w:t>[ASAP] 基于分子识别驱动的反应用于脂质纳米反应器中儿茶酚胺的传感</w:t>
        </w:r>
      </w:hyperlink>
    </w:p>
    <w:p>
      <w:pPr>
        <w:spacing w:before="0" w:after="80"/>
      </w:pPr>
      <w:r>
        <w:rPr>
          <w:i/>
          <w:sz w:val="20"/>
        </w:rPr>
        <w:t>EN: [ASAP] Molecular Recognition-Driven Reaction-Based Sensing of Catecholamines in a Lipid Nanoreactor</w:t>
      </w:r>
    </w:p>
    <w:p>
      <w:pPr>
        <w:spacing w:before="0" w:after="120"/>
      </w:pPr>
      <w:r>
        <w:rPr>
          <w:b/>
        </w:rPr>
        <w:t xml:space="preserve">Source: </w:t>
      </w:r>
      <w:r>
        <w:t>Journal of the American Chemical Society: Latest Articles (ACS Publications)</w:t>
      </w:r>
      <w:r>
        <w:t xml:space="preserve">    </w:t>
      </w:r>
      <w:r>
        <w:rPr>
          <w:b/>
        </w:rPr>
        <w:t xml:space="preserve">Pub date: </w:t>
      </w:r>
      <w:r>
        <w:t>2026-04-28 19:49:09+00:00</w:t>
      </w:r>
      <w:r>
        <w:t xml:space="preserve">    </w:t>
      </w:r>
      <w:r>
        <w:rPr>
          <w:b/>
        </w:rPr>
        <w:t xml:space="preserve">DOI: </w:t>
      </w:r>
      <w:hyperlink r:id="rId497">
        <w:r>
          <w:rPr>
            <w:color w:val="1155CC"/>
            <w:u w:val="single"/>
          </w:rPr>
          <w:t>10.1021/jacs.5c23266</w:t>
        </w:r>
      </w:hyperlink>
    </w:p>
    <w:p>
      <w:pPr>
        <w:spacing w:before="0" w:after="120"/>
      </w:pPr>
      <w:r>
        <w:rPr>
          <w:b/>
        </w:rPr>
        <w:t xml:space="preserve">Notes: </w:t>
      </w:r>
      <w:r>
        <w:t>abstract_source=pubmed</w:t>
      </w:r>
    </w:p>
    <w:p>
      <w:pPr>
        <w:spacing w:before="0" w:after="80" w:lineRule="auto" w:line="276"/>
      </w:pPr>
      <w:r>
        <w:rPr>
          <w:b/>
        </w:rPr>
        <w:t xml:space="preserve">摘要（ZH）: </w:t>
      </w:r>
      <w:r>
        <w:t>基于反应的传感是荧光探针设计中快速扩展的原理。虽然对检测高反应性物质有效，但对于更复杂的小分子（包括神经递质（NTs））则不太适用。后者对于神经系统的功能至关重要，并作为多种神经疾病的生物标志物。在此，为了为基于反应的传感提供对儿茶酚胺的分子特异性，我们将分子识别与脂质纳米反应器中的不可逆反应结合。在获得的纳米传感器中，包裹在脂质纳米反应器中的亲脂性硼酸充当分子识别配体，专门捕获儿茶酚胺，而基于吡喃的染料与捕获的分析物的氨基反应，将其转化为相应的吡啶鎓衍生物。这种不可逆反应确保了纳米传感器的强荧光开启响应，并对分析物进行共价标记。合理设计的荧光染料具有与胺的最佳反应性和在纳米反应器内的化学稳定性，对于纳米传感器的良好性能至关重要。对于多巴胺，检测限为11 nM，并具有较大的动态范围。其脂质纳米反应器通过排除未被识别配体捕获的亲水性生物胺，确保了对儿茶酚胺的高选择性和在复杂介质（包括猪尿液）中的操作。由于系统的高模块化，开发新的</w:t>
      </w:r>
    </w:p>
    <w:p>
      <w:pPr>
        <w:spacing w:before="0" w:after="200" w:lineRule="auto" w:line="276"/>
      </w:pPr>
      <w:r>
        <w:rPr>
          <w:b/>
        </w:rPr>
        <w:t xml:space="preserve">Abstract (EN): </w:t>
      </w:r>
      <w:r>
        <w:t>Reaction-based sensing is a rapidly expanding principle in the design of fluorescent probes. Although effective for sensing highly reactive species, it is less suitable for more complex small molecules, including neurotransmitters (NTs). The latter are essential for the functioning of the nervous system and serve as biomarkers for numerous neurological disorders. Here, to provide reaction-based sensing with molecular specificity to catecholamines, we coupled molecular recognition with an irreversible reaction in a lipid nanoreactor. In the obtained nanosensors, lipophilic boronic acids encapsulated in the lipid nanoreactors play the role of the molecular recognition ligands, specifically capturing catecholamines, while the pyrylium-based dyes react with the amino groups of the captured analytes, transforming them to the corresponding pyridinium derivatives. This irreversible reaction ensures a strong fluorescence turn-on response of the nanosensors, together with covalent labeling of the analyte. Rational design of the fluorogenic dyes featuring optimal reactivity with amines and chemical stability inside the nanoreactor is essential for the good performance of the nanosensors. A limit of detection of 11 nM for dopamine, with a large dynamic range, is achieved for one of them. Its lipid nanoreactor ensures high selectivity to catecholamines and operation in complex media (including porcine urine) by excluding other hydrophilic biogenic amines not captured by the recognition ligand in the hydrophobic oil core. Owing to the high modularity of the system, the development of new recognition ligands and reactive fluorogenic modules will lead to the expansion of the concept toward new nanosensors and labeling reagents for a broad variety of small molecules.</w:t>
      </w:r>
    </w:p>
    <w:p>
      <w:pPr>
        <w:spacing w:before="120" w:after="120"/>
      </w:pPr>
      <w:r>
        <w:rPr>
          <w:sz w:val="18"/>
        </w:rPr>
        <w:t>——————————————————————————————————————————————————————————————————————</w:t>
      </w:r>
    </w:p>
    <w:p>
      <w:pPr>
        <w:spacing w:before="160" w:after="40" w:line="240" w:lineRule="auto"/>
      </w:pPr>
      <w:r>
        <w:rPr>
          <w:b/>
        </w:rPr>
        <w:t xml:space="preserve">[196] </w:t>
      </w:r>
      <w:hyperlink r:id="rId498">
        <w:r>
          <w:rPr>
            <w:color w:val="1155CC"/>
            <w:u w:val="single"/>
          </w:rPr>
          <w:t>[ASAP] 通过具有大麻素受体识别基序的可编程合成平台解锁硒化学空间</w:t>
        </w:r>
      </w:hyperlink>
    </w:p>
    <w:p>
      <w:pPr>
        <w:spacing w:before="0" w:after="80"/>
      </w:pPr>
      <w:r>
        <w:rPr>
          <w:i/>
          <w:sz w:val="20"/>
        </w:rPr>
        <w:t>EN: [ASAP] Unlocking Selenium Chemical Space via a Programmable Synthesis Platform Bearing Cannabinoid Receptor Recognition Motifs</w:t>
      </w:r>
    </w:p>
    <w:p>
      <w:pPr>
        <w:spacing w:before="0" w:after="120"/>
      </w:pPr>
      <w:r>
        <w:rPr>
          <w:b/>
        </w:rPr>
        <w:t xml:space="preserve">Source: </w:t>
      </w:r>
      <w:r>
        <w:t>Journal of the American Chemical Society: Latest Articles (ACS Publications)</w:t>
      </w:r>
      <w:r>
        <w:t xml:space="preserve">    </w:t>
      </w:r>
      <w:r>
        <w:rPr>
          <w:b/>
        </w:rPr>
        <w:t xml:space="preserve">Pub date: </w:t>
      </w:r>
      <w:r>
        <w:t>2026-04-28 19:52:53+00:00</w:t>
      </w:r>
      <w:r>
        <w:t xml:space="preserve">    </w:t>
      </w:r>
      <w:r>
        <w:rPr>
          <w:b/>
        </w:rPr>
        <w:t xml:space="preserve">DOI: </w:t>
      </w:r>
      <w:hyperlink r:id="rId499">
        <w:r>
          <w:rPr>
            <w:color w:val="1155CC"/>
            <w:u w:val="single"/>
          </w:rPr>
          <w:t>10.1021/jacs.5c16359</w:t>
        </w:r>
      </w:hyperlink>
    </w:p>
    <w:p>
      <w:pPr>
        <w:spacing w:before="0" w:after="120"/>
      </w:pPr>
      <w:r>
        <w:rPr>
          <w:b/>
        </w:rPr>
        <w:t xml:space="preserve">Notes: </w:t>
      </w:r>
      <w:r>
        <w:t>abstract_source=pubmed</w:t>
      </w:r>
    </w:p>
    <w:p>
      <w:pPr>
        <w:spacing w:before="0" w:after="80" w:lineRule="auto" w:line="276"/>
      </w:pPr>
      <w:r>
        <w:rPr>
          <w:b/>
        </w:rPr>
        <w:t xml:space="preserve">摘要（ZH）: </w:t>
      </w:r>
      <w:r>
        <w:t>开发合成方法以实现可控的同系化快速进入新的化学空间对于研究生物途径至关重要，但仍然具有挑战性。利用未充分探索的元素作为生物探针提供了揭示G蛋白偶联受体（GPCR）药理学未知方面的有前途的平台。在此，我们报告了一种快速、可持续的平台的开发，用于大规模转化氯代亚胺基磺酰脲，以一锅法获得合成多功能的手性、前手性和非手性硒磺酰同系化合物，这些化合物具有大麻素受体-1（CB1R）识别基序。合成路线是使用Na2SeSO3设计的，这是一种在水相条件下的良性硒源，以实现标靶导向合成新型硒大麻素剂，称为SelenoCanns。这种受Bunte反应启发的硒同系化为按需合成生物活性有机硒类药物分子、共价药物结合物、点击手柄和硒荧光探针打开了大门，从而为CB1R的结构功能研究扩展了一个广阔的空间。在发现和合成的新化学类型中，许多化合物显示出对CB1受体的纳摩尔至亚纳摩尔结合亲和力。</w:t>
      </w:r>
    </w:p>
    <w:p>
      <w:pPr>
        <w:spacing w:before="0" w:after="200" w:lineRule="auto" w:line="276"/>
      </w:pPr>
      <w:r>
        <w:rPr>
          <w:b/>
        </w:rPr>
        <w:t xml:space="preserve">Abstract (EN): </w:t>
      </w:r>
      <w:r>
        <w:t>Developing synthetic methods that allow controllable homologation to quickly access new chemical space is vital yet remains challenging for studying biological pathways. Utilizing underexplored elements as biological probes offers promising platforms to reveal uncharted aspects of G-protein-coupled receptor (GPCR) pharmacology. Here we report the development of an expeditious, sustainable platform for the scalable conversion of chloro-imidoylsulfonylureas, to provide one-pot access to synthetically versatile chiral, pro-chiral and achiral selenosulfonyl homologated compounds bearing the cannabinoid receptor-1 (CB1R) recognition motifs. The synthetic route was designed using Na2SeSO3, a benign selenium source under aqueous conditions to enable the target-oriented synthesis of novel seleno-cannabinoid agents labeled as SelenoCanns. This Bunte-reaction-inspired seleno-homologation opens the door for on-demand synthesis of bioactive organoselenium drug-like molecules, covalent-drug conjugates, click handles, and seleno-fluorescent probes, thus opening a vast space of previously inaccessible molecules for expanded structure-function studies on the CB1R. Of the new chemotypes discovered and synthesized, many compounds showed nanomolar to sub-nanomolar binding affinity for the CB1 receptor.</w:t>
      </w:r>
    </w:p>
    <w:p>
      <w:pPr>
        <w:spacing w:before="120" w:after="120"/>
      </w:pPr>
      <w:r>
        <w:rPr>
          <w:sz w:val="18"/>
        </w:rPr>
        <w:t>——————————————————————————————————————————————————————————————————————</w:t>
      </w:r>
    </w:p>
    <w:p>
      <w:pPr>
        <w:spacing w:before="160" w:after="40" w:line="240" w:lineRule="auto"/>
      </w:pPr>
      <w:r>
        <w:rPr>
          <w:b/>
        </w:rPr>
        <w:t xml:space="preserve">[197] </w:t>
      </w:r>
      <w:hyperlink r:id="rId500">
        <w:r>
          <w:rPr>
            <w:color w:val="1155CC"/>
            <w:u w:val="single"/>
          </w:rPr>
          <w:t>有机余辉探针：机制、化学设计、性能优化和生物医学应用</w:t>
        </w:r>
      </w:hyperlink>
    </w:p>
    <w:p>
      <w:pPr>
        <w:spacing w:before="0" w:after="80"/>
      </w:pPr>
      <w:r>
        <w:rPr>
          <w:i/>
          <w:sz w:val="20"/>
        </w:rPr>
        <w:t>EN: Organic afterglow probes: mechanisms, chemical design, performance optimization, and biomedical applications</w:t>
      </w:r>
    </w:p>
    <w:p>
      <w:pPr>
        <w:spacing w:before="0" w:after="120"/>
      </w:pPr>
      <w:r>
        <w:rPr>
          <w:b/>
        </w:rPr>
        <w:t xml:space="preserve">Source: </w:t>
      </w:r>
      <w:r>
        <w:t>RSC - Chem. Soc. Rev. latest articles</w:t>
      </w:r>
      <w:r>
        <w:t xml:space="preserve">    </w:t>
      </w:r>
      <w:r>
        <w:rPr>
          <w:b/>
        </w:rPr>
        <w:t xml:space="preserve">Pub date: </w:t>
      </w:r>
      <w:r>
        <w:t>2026-04-28 23:00:00+00:00</w:t>
      </w:r>
    </w:p>
    <w:p>
      <w:pPr>
        <w:spacing w:before="0" w:after="120"/>
      </w:pPr>
      <w:r>
        <w:rPr>
          <w:b/>
        </w:rPr>
        <w:t xml:space="preserve">Notes: </w:t>
      </w:r>
      <w:r>
        <w:t>abstract_source=rsc_html</w:t>
      </w:r>
    </w:p>
    <w:p>
      <w:pPr>
        <w:spacing w:before="0" w:after="80" w:lineRule="auto" w:line="276"/>
      </w:pPr>
      <w:r>
        <w:rPr>
          <w:b/>
        </w:rPr>
        <w:t xml:space="preserve">摘要（ZH）: </w:t>
      </w:r>
      <w:r>
        <w:t>余辉成像在生物成像中显示出明显的优势，例如显著降低背景信号、增强信噪比和无激发原位检测。为了实现实时分子可视化并提高诊断特异性，已开发出各种可激活的余辉探针，这些探针选择性地响应生物靶标或微环境刺激。本综述系统总结了有机可激活余辉探针。我们介绍了它们的主要材料类别和发光机制，并分析了构建响应性余辉探针的化学设计策略，包括靶向可裂解连接子、构象切换和能量转移调控。我们还讨论了优化成像性能的策略，例如延长发射寿命、将发射红移到组织透明窗口、提高发光亮度以及使用替代激发模式（例如X射线或超声波）以克服光学穿透限制。重点介绍了可激活余辉纳米探针的代表性应用，涵盖分析物传感、淋巴结映射、免疫细胞成像、肿瘤检测、炎症成像和图像引导治疗。最后，我们解决了当前的挑战，包括氧依赖性、生物相容性、统一的评估标准和可扩展性，并提出了促进余辉探针在精准生物医学中转化的未来方向。本综述预计将为此类探针的合理设计和比较评估提供实用参考。</w:t>
      </w:r>
    </w:p>
    <w:p>
      <w:pPr>
        <w:spacing w:before="0" w:after="200" w:lineRule="auto" w:line="276"/>
      </w:pPr>
      <w:r>
        <w:rPr>
          <w:b/>
        </w:rPr>
        <w:t xml:space="preserve">Abstract (EN): </w:t>
      </w:r>
      <w:r>
        <w:t>Afterglow imaging shows distinct advantages for bioimaging, such as significantly reduced background signals, an enhanced signal-to-background ratio, and excitation-free in situ detection. To achieve real-time molecular visualization and improve diagnostic specificity, various activatable afterglow probes have been developed that selectively respond to biological targets or microenvironmental stimuli. This Review systematically summarizes organic activatable afterglow probes. We introduce their main material categories and luminescence mechanisms, and analyze chemical design strategies for constructing responsive afterglow probes, including target-cleavable linkers, conformational switching, and energy transfer regulation. We also discuss strategies to optimize imaging performance, such as extending emission lifetime, red-shifting emission to tissue-transparent windows, improving luminescence brightness, and using alternative excitation modes (e.g., X-ray or ultrasound) to overcome optical penetration limitations. Representative applications of activatable afterglow nanoprobes are highlighted, covering analyte sensing, lymph node mapping, immune cell imaging, tumor detection, inflammation imaging, and image-guided therapy. Finally, we address current challenges including oxygen dependence, biocompatibility, unified evaluation standards, and scalability, and propose future directions to promote the translation of afterglow probes in precision biomedicine. This review is expected to provide practical references for the rational design and comparative evaluation of such probes.</w:t>
      </w:r>
    </w:p>
    <w:p>
      <w:pPr>
        <w:spacing w:before="120" w:after="120"/>
      </w:pPr>
      <w:r>
        <w:rPr>
          <w:sz w:val="18"/>
        </w:rPr>
        <w:t>——————————————————————————————————————————————————————————————————————</w:t>
      </w:r>
    </w:p>
    <w:p>
      <w:pPr>
        <w:spacing w:before="160" w:after="40" w:line="240" w:lineRule="auto"/>
      </w:pPr>
      <w:r>
        <w:rPr>
          <w:b/>
        </w:rPr>
        <w:t xml:space="preserve">[198] </w:t>
      </w:r>
      <w:hyperlink r:id="rId501">
        <w:r>
          <w:rPr>
            <w:color w:val="1155CC"/>
            <w:u w:val="single"/>
          </w:rPr>
          <w:t>纳米-生物界面设计在基于纳米颗粒的亲和生物传感器的传感性能中的重要性</w:t>
        </w:r>
      </w:hyperlink>
    </w:p>
    <w:p>
      <w:pPr>
        <w:spacing w:before="0" w:after="80"/>
      </w:pPr>
      <w:r>
        <w:rPr>
          <w:i/>
          <w:sz w:val="20"/>
        </w:rPr>
        <w:t>EN: The importance of nano–bio interfacial design in the sensing performance of nanoparticle-based affinity biosensors</w:t>
      </w:r>
    </w:p>
    <w:p>
      <w:pPr>
        <w:spacing w:before="0" w:after="120"/>
      </w:pPr>
      <w:r>
        <w:rPr>
          <w:b/>
        </w:rPr>
        <w:t xml:space="preserve">Source: </w:t>
      </w:r>
      <w:r>
        <w:t>RSC - Chem. Soc. Rev. latest articles</w:t>
      </w:r>
      <w:r>
        <w:t xml:space="preserve">    </w:t>
      </w:r>
      <w:r>
        <w:rPr>
          <w:b/>
        </w:rPr>
        <w:t xml:space="preserve">Pub date: </w:t>
      </w:r>
      <w:r>
        <w:t>2026-04-28 23:00:00+00:00</w:t>
      </w:r>
    </w:p>
    <w:p>
      <w:pPr>
        <w:spacing w:before="0" w:after="120"/>
      </w:pPr>
      <w:r>
        <w:rPr>
          <w:b/>
        </w:rPr>
        <w:t xml:space="preserve">Notes: </w:t>
      </w:r>
      <w:r>
        <w:t>abstract_source=rsc_html</w:t>
      </w:r>
    </w:p>
    <w:p>
      <w:pPr>
        <w:spacing w:before="0" w:after="80" w:lineRule="auto" w:line="276"/>
      </w:pPr>
      <w:r>
        <w:rPr>
          <w:b/>
        </w:rPr>
        <w:t xml:space="preserve">摘要（ZH）: </w:t>
      </w:r>
      <w:r>
        <w:t>具有高灵敏度、特异性、较短响应时间、可多重化、优良稳定性和重现性的生物传感器始终需求旺盛。现代生物传感器通常使用固定在纳米颗粒上的生物受体进行制造，以实现高效的信号传导或更容易的操作，纳米颗粒–生物受体（nano–bio）界面对最终的传感指标有显著影响。然而，nano–bio界面在传感性能中的作用可以更好地理解，以促进高性能nano–bio基设备的合理设计。在此，我们旨在提供一些基本规则和考虑因素，以优化nano–bio界面，从而在制造生物传感器时实现更好的检测性能。从生物受体–分析物相互作用的角度讨论了nano–bio界面对传感特性的影响。本综述包括四个界面参数：（1）生物受体的构象，（2）生物受体的覆盖率，（3）混合配体的组成，如生物受体和其他功能分子，以及（4）生物受体在纳米颗粒表面的空间分布。系统地研究了定制这四个界面因素的方法。同时，强调了这些定制的nano–bio因素如何通过相应的生物传感器实例提高传感性能。总结了nano–bio界面的表征分析方法，特别是在单颗粒水平。此外，整合</w:t>
      </w:r>
    </w:p>
    <w:p>
      <w:pPr>
        <w:spacing w:before="0" w:after="200" w:lineRule="auto" w:line="276"/>
      </w:pPr>
      <w:r>
        <w:rPr>
          <w:b/>
        </w:rPr>
        <w:t xml:space="preserve">Abstract (EN): </w:t>
      </w:r>
      <w:r>
        <w:t>Biosensors with good sensing performances with regards to high sensitivity, specificity, shorter response time, the ability to be multiplexed, excellent stability and reproducibility, are always in high demand. As modern biosensors are often fabricated using bioreceptors immobilized on nanoparticles to achieve efficient signal transduction or easier handling, the nanoparticle–bioreceptor (nano–bio) interface has a significant impact on the final sensing metrics. However, the role of nano–bio interfaces in sensing performance could be better understood, to facilitate the rational design of high performing nano–bio based devices. Herein, we aim to provide some basic rules and considerations to optimize nano–bio interfaces to achieve better detection performance when fabricating biosensors. The impact of the nano–bio interfaces on sensing characteristics is discussed from the perspective of bioreceptor–analyte interaction. Four interfacial parameters are included in this review: (1) the conformation of bioreceptors, (2) the coverage of the bioreceptors, (3) composition of mixed ligands, such as bioreceptors and other functional molecules and (4) spatial distribution of bioreceptors on nanoparticle surfaces. Methods to tailor these four interfacial factors are systematically investigated. In parallel, how these tailored nano–bio factors improve the sensing performances is emphasized with corresponding biosensor examples. The analytical methods for characterization of nano–bio interfaces are summarized, particularly at the single particle level. Additionally, the integration of artificial intelligence (AI) with nano–bio interfaces is discussed, highlighting how AI can improve nano–bio interfacial design. Finally, future perspectives on the role of nano–bio interfacial design in enhancing sensing capabilities are presented. This review aims to elucidate the relationship between nano–bio interfacial factors and sensing performances, as well as strategies for achieving precisely controlled nano–bio interfaces, which facilitates the rational design of high-performance biosensors.</w:t>
      </w:r>
    </w:p>
    <w:p>
      <w:pPr>
        <w:spacing w:before="120" w:after="120"/>
      </w:pPr>
      <w:r>
        <w:rPr>
          <w:sz w:val="18"/>
        </w:rPr>
        <w:t>——————————————————————————————————————————————————————————————————————</w:t>
      </w:r>
    </w:p>
    <w:p>
      <w:pPr>
        <w:spacing w:before="160" w:after="40" w:line="240" w:lineRule="auto"/>
      </w:pPr>
      <w:r>
        <w:rPr>
          <w:b/>
        </w:rPr>
        <w:t xml:space="preserve">[199] </w:t>
      </w:r>
      <w:hyperlink r:id="rId502">
        <w:r>
          <w:rPr>
            <w:color w:val="1155CC"/>
            <w:u w:val="single"/>
          </w:rPr>
          <w:t>Morita–Baylis–Hillman反应的可持续性</w:t>
        </w:r>
      </w:hyperlink>
    </w:p>
    <w:p>
      <w:pPr>
        <w:spacing w:before="0" w:after="80"/>
      </w:pPr>
      <w:r>
        <w:rPr>
          <w:i/>
          <w:sz w:val="20"/>
        </w:rPr>
        <w:t>EN: The sustainability of the Morita–Baylis–Hillman reaction</w:t>
      </w:r>
    </w:p>
    <w:p>
      <w:pPr>
        <w:spacing w:before="0" w:after="120"/>
      </w:pPr>
      <w:r>
        <w:rPr>
          <w:b/>
        </w:rPr>
        <w:t xml:space="preserve">Source: </w:t>
      </w:r>
      <w:r>
        <w:t>RSC - Chem. Soc. Rev. latest articles</w:t>
      </w:r>
      <w:r>
        <w:t xml:space="preserve">    </w:t>
      </w:r>
      <w:r>
        <w:rPr>
          <w:b/>
        </w:rPr>
        <w:t xml:space="preserve">Pub date: </w:t>
      </w:r>
      <w:r>
        <w:t>2026-04-28 23:00:00+00:00</w:t>
      </w:r>
    </w:p>
    <w:p>
      <w:pPr>
        <w:spacing w:before="0" w:after="120"/>
      </w:pPr>
      <w:r>
        <w:rPr>
          <w:b/>
        </w:rPr>
        <w:t xml:space="preserve">Notes: </w:t>
      </w:r>
      <w:r>
        <w:t>abstract_source=rsc_html</w:t>
      </w:r>
    </w:p>
    <w:p>
      <w:pPr>
        <w:spacing w:before="0" w:after="80" w:lineRule="auto" w:line="276"/>
      </w:pPr>
      <w:r>
        <w:rPr>
          <w:b/>
        </w:rPr>
        <w:t xml:space="preserve">摘要（ZH）: </w:t>
      </w:r>
      <w:r>
        <w:t>Morita–Baylis–Hillman反应是一种化学转化，能够产生高度多功能化的产物。这些产物作为开发新合成方法、合成各种天然产物以及创造具有多样生物活性分子的宝贵底物。该反应满足将转化分类为“绿色”的几个标准。在本综述中，我们对该反应的所有可持续性方面及其在广泛合成制备中的应用进行了批判性评估。我们考察了反应条件，包括溶剂和催化剂，以及将Morita–Baylis–Hillman反应定位为可持续转化的创新策略。</w:t>
      </w:r>
    </w:p>
    <w:p>
      <w:pPr>
        <w:spacing w:before="0" w:after="200" w:lineRule="auto" w:line="276"/>
      </w:pPr>
      <w:r>
        <w:rPr>
          <w:b/>
        </w:rPr>
        <w:t xml:space="preserve">Abstract (EN): </w:t>
      </w:r>
      <w:r>
        <w:t>The Morita–Baylis–Hillman reaction is a chemical transformation that yields highly versatile polyfunctionalized products. These products serve as valuable substrates for developing new synthetic methodologies, synthesizing various natural products, and creating molecules with diverse biological activities. This reaction fulfils several criteria for classifying a transformation as “green”. In this review, we provide a critical assessment of all the sustainability aspects of this reaction and their application in a wide range of synthetic preparations. We examine the reaction conditions—including solvents and catalysts—as well as innovative strategies that position the Morita–Baylis–Hillman reaction as a sustainable transformation.</w:t>
      </w:r>
    </w:p>
    <w:p>
      <w:pPr>
        <w:spacing w:before="120" w:after="120"/>
      </w:pPr>
      <w:r>
        <w:rPr>
          <w:sz w:val="18"/>
        </w:rPr>
        <w:t>——————————————————————————————————————————————————————————————————————</w:t>
      </w:r>
    </w:p>
    <w:p>
      <w:pPr>
        <w:spacing w:before="160" w:after="40" w:line="240" w:lineRule="auto"/>
      </w:pPr>
      <w:r>
        <w:rPr>
          <w:b/>
        </w:rPr>
        <w:t xml:space="preserve">[200] </w:t>
      </w:r>
      <w:hyperlink r:id="rId503">
        <w:r>
          <w:rPr>
            <w:color w:val="1155CC"/>
            <w:u w:val="single"/>
          </w:rPr>
          <w:t>脉动生理信号合成中的形状和幅度解耦及其评估</w:t>
        </w:r>
      </w:hyperlink>
    </w:p>
    <w:p>
      <w:pPr>
        <w:spacing w:before="0" w:after="80"/>
      </w:pPr>
      <w:r>
        <w:rPr>
          <w:i/>
          <w:sz w:val="20"/>
        </w:rPr>
        <w:t>EN: Shape and amplitude decoupling in pulsatile physiological signal synthesis and its evaluation</w:t>
      </w:r>
    </w:p>
    <w:p>
      <w:pPr>
        <w:spacing w:before="0" w:after="120"/>
      </w:pPr>
      <w:r>
        <w:rPr>
          <w:b/>
        </w:rPr>
        <w:t xml:space="preserve">Source: </w:t>
      </w:r>
      <w:r>
        <w:t>Nature Communications</w:t>
      </w:r>
      <w:r>
        <w:t xml:space="preserve">    </w:t>
      </w:r>
      <w:r>
        <w:rPr>
          <w:b/>
        </w:rPr>
        <w:t xml:space="preserve">Pub date: </w:t>
      </w:r>
      <w:r>
        <w:t>2026-04-29 00:00:00+00:00</w:t>
      </w:r>
      <w:r>
        <w:t xml:space="preserve">    </w:t>
      </w:r>
      <w:r>
        <w:rPr>
          <w:b/>
        </w:rPr>
        <w:t xml:space="preserve">DOI: </w:t>
      </w:r>
      <w:hyperlink r:id="rId504">
        <w:r>
          <w:rPr>
            <w:color w:val="1155CC"/>
            <w:u w:val="single"/>
          </w:rPr>
          <w:t>10.1038/s41467-026-72299-7</w:t>
        </w:r>
      </w:hyperlink>
    </w:p>
    <w:p>
      <w:pPr>
        <w:spacing w:before="0" w:after="120"/>
      </w:pPr>
      <w:r>
        <w:rPr>
          <w:b/>
        </w:rPr>
        <w:t xml:space="preserve">Notes: </w:t>
      </w:r>
      <w:r>
        <w:t>abstract_source=nature_html</w:t>
      </w:r>
    </w:p>
    <w:p>
      <w:pPr>
        <w:spacing w:before="0" w:after="80" w:lineRule="auto" w:line="276"/>
      </w:pPr>
      <w:r>
        <w:rPr>
          <w:b/>
        </w:rPr>
        <w:t xml:space="preserve">摘要（ZH）: </w:t>
      </w:r>
      <w:r>
        <w:t>脉动生理信号，如动脉血压和心电图，通过波形形状和幅度的节律变化编码心血管动力学。对这些信号的受控合成对于推进生理学理解和临床应用至关重要。然而，大多数现有的生成方法将波形形状和幅度表示为单一的混合形式。这种耦合限制了在不影响另一方的情况下调整一方的能力，从而限制了信号生成的可控性和可解释性。我们提出了VABAM，这是一种生成框架，作用于单一生理信号，通过级联滤波解耦波形形状和幅度。这种解耦使得在保留波形形状的同时实现有针对性的幅度调制。为了评估合成质量，我们引入了四个指标，量化波形形状分解、形状保留、幅度调制可控性和频谱相似性，以及传统的重建准确性。在多个基准数据集上，VABAM优于现有方法，证明了波形形状-幅度解耦对于受控生理信号生成的重要性。这可能实现幅度目标的增强、不确定性量化预测和增强的实时异常监测，从而推进生理信号分析中的临床决策。</w:t>
      </w:r>
    </w:p>
    <w:p>
      <w:pPr>
        <w:spacing w:before="0" w:after="200" w:lineRule="auto" w:line="276"/>
      </w:pPr>
      <w:r>
        <w:rPr>
          <w:b/>
        </w:rPr>
        <w:t xml:space="preserve">Abstract (EN): </w:t>
      </w:r>
      <w:r>
        <w:t>Pulsatile physiological signals, such as arterial blood pressure and electrocardiograms, encode cardiovascular dynamics through rhythmic variations in waveform shape and amplitude. Controlled synthesis of such signals is critical for advancing physiological understanding and clinical applications. However, most existing generative methods represent waveform shape and amplitude in a single, mixed form. This coupling constrains the ability to adjust one without affecting the other, thereby limiting controllability and interpretability in signal generation. We present VABAM, a generative framework that operates on a single physiological signal to decouple waveform shape and amplitude through cascaded filtering. This decoupling enables targeted amplitude modulation while preserving waveform shape. To assess the synthesis quality, we introduce four metrics that quantify waveform shape factorization, shape preservation, amplitude modulation controllability, and spectral similarity, alongside conventional reconstruction accuracy. Across multiple benchmark datasets, VABAM outperforms existing methods, demonstrating the significance of waveform shape-amplitude decoupling for controlled physiological signal generation. This may enable amplitude-targeted augmentation, uncertainty-quantified prediction, and enhanced real-time anomaly monitoring, thereby advancing clinical decision-making in physiological signal analysis.</w:t>
      </w:r>
    </w:p>
    <w:p>
      <w:pPr>
        <w:spacing w:before="120" w:after="120"/>
      </w:pPr>
      <w:r>
        <w:rPr>
          <w:sz w:val="18"/>
        </w:rPr>
        <w:t>——————————————————————————————————————————————————————————————————————</w:t>
      </w:r>
    </w:p>
    <w:p>
      <w:pPr>
        <w:spacing w:before="160" w:after="40" w:line="240" w:lineRule="auto"/>
      </w:pPr>
      <w:r>
        <w:rPr>
          <w:b/>
        </w:rPr>
        <w:t xml:space="preserve">[201] </w:t>
      </w:r>
      <w:hyperlink r:id="rId505">
        <w:r>
          <w:rPr>
            <w:color w:val="1155CC"/>
            <w:u w:val="single"/>
          </w:rPr>
          <w:t>肺癌转移的进化特征</w:t>
        </w:r>
      </w:hyperlink>
    </w:p>
    <w:p>
      <w:pPr>
        <w:spacing w:before="0" w:after="80"/>
      </w:pPr>
      <w:r>
        <w:rPr>
          <w:i/>
          <w:sz w:val="20"/>
        </w:rPr>
        <w:t>EN: Evolutionary characterization of lung cancer metastasis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06">
        <w:r>
          <w:rPr>
            <w:color w:val="1155CC"/>
            <w:u w:val="single"/>
          </w:rPr>
          <w:t>10.1038/s41586-026-10428-4</w:t>
        </w:r>
      </w:hyperlink>
    </w:p>
    <w:p>
      <w:pPr>
        <w:spacing w:before="0" w:after="120"/>
      </w:pPr>
      <w:r>
        <w:rPr>
          <w:b/>
        </w:rPr>
        <w:t xml:space="preserve">Notes: </w:t>
      </w:r>
      <w:r>
        <w:t>abstract_source=nature_html</w:t>
      </w:r>
    </w:p>
    <w:p>
      <w:pPr>
        <w:spacing w:before="0" w:after="80" w:lineRule="auto" w:line="276"/>
      </w:pPr>
      <w:r>
        <w:rPr>
          <w:b/>
        </w:rPr>
        <w:t xml:space="preserve">摘要（ZH）: </w:t>
      </w:r>
      <w:r>
        <w:t>对控制转移性扩散的生物过程的有限理解阻碍了其预防和治疗1。在此，使用来自TRACERx肺研究和PEACE尸检计划中24名非小细胞肺癌（NSCLC）患者的501个纵向收集的原发和转移性肿瘤样本，我们推断出从诊断到死亡的肿瘤演变。通过涵盖70%在死亡前放射学检测到的转移的DNA测序数据和配对的多区域采样的原发肿瘤，我们显示转移的基因组与其祖先原发肿瘤的基因组显著不同，转移性扩散后发生了额外的驱动改变和基因组加倍事件。在62.5%的患者中，多个原发肿瘤亚克隆扩散，每个亚克隆形成一个独特的转移。这些转移作为进一步扩散的来源：超过一半的采样转移是由其他转移播种的。转移在原位存在的时间影响了其进一步播种转移的可能性。大多数转移性迁移在同一解剖腔内开始和结束。少数离开胸腔播种转移的亚克隆广泛扩散，并富集了体细胞拷贝数改变，表明染色体不稳定可能促进胸外扩散。这种空间和时间的进化分析揭示了晚期NSCLC中转移多样性和播种的程度——这在单一转移活检中往往被低估——并识别出基因组和临床介质。</w:t>
      </w:r>
    </w:p>
    <w:p>
      <w:pPr>
        <w:spacing w:before="0" w:after="200" w:lineRule="auto" w:line="276"/>
      </w:pPr>
      <w:r>
        <w:rPr>
          <w:b/>
        </w:rPr>
        <w:t xml:space="preserve">Abstract (EN): </w:t>
      </w:r>
      <w:r>
        <w:t>Limited understanding of the biological processes that govern metastatic dissemination hinders its prevention and treatment1. Here, using 501 longitudinally collected primary and metastatic tumour samples from 24 patients with non-small cell lung cancer (NSCLC) enrolled in the TRACERx lung study and PEACE autopsy programme, we infer tumour evolution from diagnosis to death. With DNA-sequencing data encompassing 70% of the metastases that were radiologically detected before death and paired multi-region sampled primary tumours, we show that the genomes of metastases diverge markedly from those of their ancestral primary tumour, with additional driver alterations and genome doubling events occurring after metastatic dissemination. In 62.5% of patients, multiple primary tumour subclones disseminated, each founding a distinct metastasis. These metastases served as sources of onward spread: more than half of the metastases sampled were seeded by other metastases. The duration that metastases existed in situ influenced their likelihood of seeding further metastases. Most metastatic migrations started and ended in the same anatomical cavity. The few subclones that exited the thorax to seed metastases disseminated widely and were enriched for somatic copy-number alterations, suggesting that chromosomal instability may facilitate extrathoracic spread. This spatial and temporal evolutionary analysis sheds light on the extent of metastatic diversity and seeding in advanced NSCLC—which tends to be underestimated in single metastasis biopsies—and identifies genomic and clinical mediators of metastatic progression.</w:t>
      </w:r>
    </w:p>
    <w:p>
      <w:pPr>
        <w:spacing w:before="120" w:after="120"/>
      </w:pPr>
      <w:r>
        <w:rPr>
          <w:sz w:val="18"/>
        </w:rPr>
        <w:t>——————————————————————————————————————————————————————————————————————</w:t>
      </w:r>
    </w:p>
    <w:p>
      <w:pPr>
        <w:spacing w:before="160" w:after="40" w:line="240" w:lineRule="auto"/>
      </w:pPr>
      <w:r>
        <w:rPr>
          <w:b/>
        </w:rPr>
        <w:t xml:space="preserve">[202] </w:t>
      </w:r>
      <w:hyperlink r:id="rId507">
        <w:r>
          <w:rPr>
            <w:color w:val="1155CC"/>
            <w:u w:val="single"/>
          </w:rPr>
          <w:t>费米弧的三维光子量子霍尔效应</w:t>
        </w:r>
      </w:hyperlink>
    </w:p>
    <w:p>
      <w:pPr>
        <w:spacing w:before="0" w:after="80"/>
      </w:pPr>
      <w:r>
        <w:rPr>
          <w:i/>
          <w:sz w:val="20"/>
        </w:rPr>
        <w:t>EN: Three-dimensional photonic quantum Hall effect of Fermi arcs</w:t>
      </w:r>
    </w:p>
    <w:p>
      <w:pPr>
        <w:spacing w:before="0" w:after="120"/>
      </w:pPr>
      <w:r>
        <w:rPr>
          <w:b/>
        </w:rPr>
        <w:t xml:space="preserve">Source: </w:t>
      </w:r>
      <w:r>
        <w:t>National Science Review Advance Access</w:t>
      </w:r>
      <w:r>
        <w:t xml:space="preserve">    </w:t>
      </w:r>
      <w:r>
        <w:rPr>
          <w:b/>
        </w:rPr>
        <w:t xml:space="preserve">Pub date: </w:t>
      </w:r>
      <w:r>
        <w:t>2026-04-29 00:00:00+00:00</w:t>
      </w:r>
      <w:r>
        <w:t xml:space="preserve">    </w:t>
      </w:r>
      <w:r>
        <w:rPr>
          <w:b/>
        </w:rPr>
        <w:t xml:space="preserve">DOI: </w:t>
      </w:r>
      <w:hyperlink r:id="rId508">
        <w:r>
          <w:rPr>
            <w:color w:val="1155CC"/>
            <w:u w:val="single"/>
          </w:rPr>
          <w:t>10.1093/nsr/nwag251</w:t>
        </w:r>
      </w:hyperlink>
    </w:p>
    <w:p>
      <w:pPr>
        <w:spacing w:before="0" w:after="120"/>
      </w:pPr>
      <w:r>
        <w:rPr>
          <w:b/>
        </w:rPr>
        <w:t xml:space="preserve">Notes: </w:t>
      </w:r>
      <w:r>
        <w:t>abstract_source=rss_oup</w:t>
      </w:r>
    </w:p>
    <w:p>
      <w:pPr>
        <w:spacing w:before="0" w:after="80" w:lineRule="auto" w:line="276"/>
      </w:pPr>
      <w:r>
        <w:rPr>
          <w:b/>
        </w:rPr>
        <w:t xml:space="preserve">摘要（ZH）: </w:t>
      </w:r>
      <w:r>
        <w:t>在拓扑半金属中发现的三维（3D）费米弧的量子霍尔效应（QHE）最近革新了我们对3D系统中霍尔物理的理解。然而，其最显著的标志，即费米弧的单侧手性铰链态，迄今为止从未在任何物理系统中被实验观察到。在此，我们报告了费米弧的3D QHE的首次光子实现，并在具有时间反转对称性破缺的非均匀磁性外尔光子晶体中直接观察到费米弧的单侧手性铰链态。我们实验上证明了PMF将体态和费米弧表面态量化为朗道平台，产生手性朗道能级和稳健的单侧手性铰链态，这些态仅局限于前表面的一个边缘和后表面的相对边缘，这两者都是费米弧的3D QHE的标志。此外，我们展示了通过反转PMF可以在两对对角铰链之间切换费米弧的单侧手性铰链态。我们的工作不仅为探索3D量子霍尔物理提供了一个理想的平台，还为设计稳健的光子器件开辟了新途径。</w:t>
      </w:r>
    </w:p>
    <w:p>
      <w:pPr>
        <w:spacing w:before="0" w:after="200" w:lineRule="auto" w:line="276"/>
      </w:pPr>
      <w:r>
        <w:rPr>
          <w:b/>
        </w:rPr>
        <w:t xml:space="preserve">Abstract (EN): </w:t>
      </w:r>
      <w:r>
        <w:t>The recent discovery of three-dimensional (3D) quantum Hall effect (QHE) of Fermi arcs in topological semimetals has revolutionized our understanding of Hall physics in 3D systems. However, its most prominent hallmark, the one-sided chiral hinge states of Fermi arcs, has thus far never been experimentally observed in any physical system. Here, we report the first photonic realization of 3D QHE of Fermi arcs and directly observe the one-sided chiral hinge states of Fermi arcs in an inhomogeneous magnetic Weyl photonic crystal under a pseudo-magnetic field (PMF) with time-reversal symmetry breaking. We experimentally demonstrate that the PMF quantizes both the bulk and Fermi arc surface states into Landau plateaus, giving rise to chiral Landau levels and robust one-sided chiral hinge states localized at only one edge on the front surface and at the opposite edge on the back surface, both of which are the signatures of 3D QHE of Fermi arcs. Moreover, we show that the one-sided chiral hinge states of Fermi arcs can be switched between the two pairs of diagonal hinges by reversing the PMF. Our work not only provides an ideal platform for exploring 3D quantum Hall physics but also opens new avenues for the design of robust photonic devices.</w:t>
      </w:r>
    </w:p>
    <w:p>
      <w:pPr>
        <w:spacing w:before="120" w:after="120"/>
      </w:pPr>
      <w:r>
        <w:rPr>
          <w:sz w:val="18"/>
        </w:rPr>
        <w:t>——————————————————————————————————————————————————————————————————————</w:t>
      </w:r>
    </w:p>
    <w:p>
      <w:pPr>
        <w:spacing w:before="160" w:after="40" w:line="240" w:lineRule="auto"/>
      </w:pPr>
      <w:r>
        <w:rPr>
          <w:b/>
        </w:rPr>
        <w:t xml:space="preserve">[203] </w:t>
      </w:r>
      <w:hyperlink r:id="rId509">
        <w:r>
          <w:rPr>
            <w:color w:val="1155CC"/>
            <w:u w:val="single"/>
          </w:rPr>
          <w:t>A位层有序钙钛矿中的内在极性涡旋晶体</w:t>
        </w:r>
      </w:hyperlink>
    </w:p>
    <w:p>
      <w:pPr>
        <w:spacing w:before="0" w:after="80"/>
      </w:pPr>
      <w:r>
        <w:rPr>
          <w:i/>
          <w:sz w:val="20"/>
        </w:rPr>
        <w:t>EN: Intrinsic polar vortex crystals in A-site layer-ordered perovskites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10">
        <w:r>
          <w:rPr>
            <w:color w:val="1155CC"/>
            <w:u w:val="single"/>
          </w:rPr>
          <w:t>10.1038/s41586-026-10470-2</w:t>
        </w:r>
      </w:hyperlink>
    </w:p>
    <w:p>
      <w:pPr>
        <w:spacing w:before="0" w:after="120"/>
      </w:pPr>
      <w:r>
        <w:rPr>
          <w:b/>
        </w:rPr>
        <w:t xml:space="preserve">Notes: </w:t>
      </w:r>
      <w:r>
        <w:t>abstract_source=nature_html</w:t>
      </w:r>
    </w:p>
    <w:p>
      <w:pPr>
        <w:spacing w:before="0" w:after="80" w:lineRule="auto" w:line="276"/>
      </w:pPr>
      <w:r>
        <w:rPr>
          <w:b/>
        </w:rPr>
        <w:t xml:space="preserve">摘要（ZH）: </w:t>
      </w:r>
      <w:r>
        <w:t>拓扑相位，以其拓扑不变量为特征，被认为是与原始相位不同的状态，并在人工智能时代作为微小但稳健的信息载体具有巨大潜力1,2。然而，这些非平凡状态通常在非平衡条件下发现，或由外在的电或机械边界约束稳定3,4,5,6，这限制了它们的应用。特别是在铁电体中，通常需要由界面束缚电荷产生的最大去极化场来平衡由于原子尺度偶极旋转产生的大弹性和梯度能量7,8,9,10。尽管进行了大量尝试，在块状铁电体中实现高度有序的拓扑极性晶体仍然是一个挑战11,12,13,14。在此，我们展示了一种周期低至4 nm的二维极性刺猬晶格可以在一类A位层有序钙钛矿中自发结晶，无需任何外部边界约束。利用先进的扫描透射电子显微镜，我们在实空间中观察到极性刺猬涡旋，并揭示其物理本质为调制的同相和异相八面体旋转的协同组装，进一步由混合不当铁电性支撑。理论计算表明，描述八面体旋转的声子交换相互作用是这种引人注目的偶极拓扑的主要驱动力。我们的发现不仅澄清了层有序钙钛矿中广泛存在的超结构的结构和起源的模糊性。</w:t>
      </w:r>
    </w:p>
    <w:p>
      <w:pPr>
        <w:spacing w:before="0" w:after="200" w:lineRule="auto" w:line="276"/>
      </w:pPr>
      <w:r>
        <w:rPr>
          <w:b/>
        </w:rPr>
        <w:t xml:space="preserve">Abstract (EN): </w:t>
      </w:r>
      <w:r>
        <w:t>Topological phases, as characterized by their topological invariants, have been considered as distinct states from the raw phases and hold great promise as tiny yet robust information carriers for the era of artificial intelligence1,2. However, these nontrivial states are typically found under non-equilibrium conditions, or stabilized by extrinsic electrical or mechanical boundary constraints3,4,5,6, which limit their applications. Particularly in ferroelectrics, it usually entails a maximized depolarization field produced by interfacial bound charges to balance the large elastic and gradient energies as dipole whirling at the atomic scale7,8,9,10. Despite substantial attempts, achieving highly ordered topological polar crystals in bulk ferroelectrics still remains a challenge11,12,13,14. Here we show that a two-dimensional polar hedgehog lattice with a period down to 4 nm can crystallize spontaneously free from any external boundary constraints in a family of A-site layer-ordered perovskites. Using advanced scanning transmission electron microscopy, we observe the polar hedgehog vortices in real space and disclose the physical nature as the cooperative assembly of modulated in-phase and out-of-phase octahedral rotations, further underpinned by hybrid improper ferroelectricity. Theoretical calculations show that the exchange interaction of phonons describing the octahedral rotations is the primary driving force of this intriguing dipole topology. Our findings not only clarify the ambiguity in the structure and origin of the widespread superstructure in layer-ordered perovskites but also demonstrate a viable framework for designing nontrivial structures and functionalities beyond perovskites.</w:t>
      </w:r>
    </w:p>
    <w:p>
      <w:pPr>
        <w:spacing w:before="120" w:after="120"/>
      </w:pPr>
      <w:r>
        <w:rPr>
          <w:sz w:val="18"/>
        </w:rPr>
        <w:t>——————————————————————————————————————————————————————————————————————</w:t>
      </w:r>
    </w:p>
    <w:p>
      <w:pPr>
        <w:spacing w:before="160" w:after="40" w:line="240" w:lineRule="auto"/>
      </w:pPr>
      <w:r>
        <w:rPr>
          <w:b/>
        </w:rPr>
        <w:t xml:space="preserve">[204] </w:t>
      </w:r>
      <w:hyperlink r:id="rId511">
        <w:r>
          <w:rPr>
            <w:color w:val="1155CC"/>
            <w:u w:val="single"/>
          </w:rPr>
          <w:t>高等教育中的种族多样性与更高的学生薪资相关</w:t>
        </w:r>
      </w:hyperlink>
    </w:p>
    <w:p>
      <w:pPr>
        <w:spacing w:before="0" w:after="80"/>
      </w:pPr>
      <w:r>
        <w:rPr>
          <w:i/>
          <w:sz w:val="20"/>
        </w:rPr>
        <w:t>EN: Racial diversity in higher education is associated with higher student salaries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12">
        <w:r>
          <w:rPr>
            <w:color w:val="1155CC"/>
            <w:u w:val="single"/>
          </w:rPr>
          <w:t>10.1038/s41586-026-10425-7</w:t>
        </w:r>
      </w:hyperlink>
    </w:p>
    <w:p>
      <w:pPr>
        <w:spacing w:before="0" w:after="120"/>
      </w:pPr>
      <w:r>
        <w:rPr>
          <w:b/>
        </w:rPr>
        <w:t xml:space="preserve">Notes: </w:t>
      </w:r>
      <w:r>
        <w:t>abstract_source=pubmed</w:t>
      </w:r>
    </w:p>
    <w:p>
      <w:pPr>
        <w:spacing w:before="0" w:after="80" w:lineRule="auto" w:line="276"/>
      </w:pPr>
      <w:r>
        <w:rPr>
          <w:b/>
        </w:rPr>
        <w:t xml:space="preserve">摘要（ZH）: </w:t>
      </w:r>
      <w:r>
        <w:t>美国最高法院在2023年推翻了平权行动1；然而，高等教育机构继续做出影响其学生群体种族多样性的录取决定2-4。因此，了解教育群体中的种族多样性是否与毕业时学生群体的薪资高低相关是很重要的。学习理论认为，种族多样性促进学生学习，这应当提高薪资5-9。然而，有充分记录的种族工资歧视表明，较高的种族多样性应当降低薪资10-14。正如最近最高法院的决定所强调的，目前没有关于种族多样性与学生群体薪资关联的实证证据。在此，为了填补这一空白，我们编制了两个独特且全面的数据集：29年间141所商学院的2,964个工商管理硕士群体和21年间200所法学院的3,386个法学博士群体。在这两个数据集中，我们发现较高的群体种族多样性与毕业时较高的群体中位薪资相关，这在众多模型规格中成立，并在控制学生质量、大学和年份后依然成立。关键的启示是，增加或利用种族多样性的政策（例如，平权行动和多样性、公平和包容计划）增强了人力资本并有益于社会。</w:t>
      </w:r>
    </w:p>
    <w:p>
      <w:pPr>
        <w:spacing w:before="0" w:after="200" w:lineRule="auto" w:line="276"/>
      </w:pPr>
      <w:r>
        <w:rPr>
          <w:b/>
        </w:rPr>
        <w:t xml:space="preserve">Abstract (EN): </w:t>
      </w:r>
      <w:r>
        <w:t>The US Supreme Court overturned affirmative action in 20231; however, higher-education institutions continue to make admissions decisions that affect the racial diversity of their student cohorts2-4. Therefore, it is important to know whether racial diversity in an educational cohort is associated with higher or lower student cohort salaries at graduation. Learning theory argues that racial diversity promotes student learning, which should increase salaries5-9. However, well-documented racial wage discrimination indicates that higher racial diversity should decrease salaries10-14. As highlighted in the recent Supreme Court decision, there is no empirical evidence on racial diversity's association with student cohort salaries. Here, to address this gap, we compile two unique and comprehensive datasets: 2,964 Master of Business Administration cohorts across 141 business schools over 29 years and 3,386 Juris Doctor cohorts across 200 law schools over 21 years. In both datasets, we find that higher cohort racial diversity is associated with higher cohort median salaries at graduation across numerous model specifications and after controlling for student quality, universities and years. The key implication is that policies to increase or leverage racial diversity (for example, affirmative action and diversity, equity and inclusion programmes) enhance human capital and benefit society.</w:t>
      </w:r>
    </w:p>
    <w:p>
      <w:pPr>
        <w:spacing w:before="120" w:after="120"/>
      </w:pPr>
      <w:r>
        <w:rPr>
          <w:sz w:val="18"/>
        </w:rPr>
        <w:t>——————————————————————————————————————————————————————————————————————</w:t>
      </w:r>
    </w:p>
    <w:p>
      <w:pPr>
        <w:spacing w:before="160" w:after="40" w:line="240" w:lineRule="auto"/>
      </w:pPr>
      <w:r>
        <w:rPr>
          <w:b/>
        </w:rPr>
        <w:t xml:space="preserve">[205] </w:t>
      </w:r>
      <w:hyperlink r:id="rId513">
        <w:r>
          <w:rPr>
            <w:color w:val="1155CC"/>
            <w:u w:val="single"/>
          </w:rPr>
          <w:t>公元400–700年德国罗马边境的人口统计和生活史</w:t>
        </w:r>
      </w:hyperlink>
    </w:p>
    <w:p>
      <w:pPr>
        <w:spacing w:before="0" w:after="80"/>
      </w:pPr>
      <w:r>
        <w:rPr>
          <w:i/>
          <w:sz w:val="20"/>
        </w:rPr>
        <w:t>EN: Demography and life histories across the Roman frontier in Germany 400–700 ce</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14">
        <w:r>
          <w:rPr>
            <w:color w:val="1155CC"/>
            <w:u w:val="single"/>
          </w:rPr>
          <w:t>10.1038/s41586-026-10437-3</w:t>
        </w:r>
      </w:hyperlink>
    </w:p>
    <w:p>
      <w:pPr>
        <w:spacing w:before="0" w:after="120"/>
      </w:pPr>
      <w:r>
        <w:rPr>
          <w:b/>
        </w:rPr>
        <w:t xml:space="preserve">Notes: </w:t>
      </w:r>
      <w:r>
        <w:t>abstract_source=nature_html</w:t>
      </w:r>
    </w:p>
    <w:p>
      <w:pPr>
        <w:spacing w:before="0" w:after="80" w:lineRule="auto" w:line="276"/>
      </w:pPr>
      <w:r>
        <w:rPr>
          <w:b/>
        </w:rPr>
        <w:t xml:space="preserve">摘要（ZH）: </w:t>
      </w:r>
      <w:r>
        <w:t>在从古代向中世纪过渡期间，西欧和中欧新政治和社会结构的出现长期以来被归因于大规模迁徙。然而，新兴证据越来越强调小群体流动在重塑罗马世界中的作用1,2,3。我们在此展示了来自德国南部前罗马边境的258个古代基因组，并与2,500个古代和379个现代基因组一起分析。人口遗传学分析揭示了与罗马国家结构在五世纪末崩溃相吻合的重大人口变化，当时具有北欧血统的创始人口与基因多样化的罗马省级群体混合。谱系重建和filia（一种推断未采样亲属血统的方法）表明广泛的通婚和最小的文化差异。遗传结构在六世纪持续存在，通过混合形成了一个到七世纪初类似现代中欧人的人口。使用Chronograph细化系谱关联个体的年代学，我们估计一代时间为28年，女性预期寿命为39.8年，男性为43.3年，高婴儿死亡率，以及一个几乎四分之一的儿童在10岁前失去至少一位父母的社会，但大多数仍与祖父母一起长大。谱系进一步揭示了一个以核心家庭为中心的社会，实行终身一夫一妻制，严格避免乱伦，灵活的家族延续和无勒维拉特婚姻，表明与晚期罗马社会的连续性。</w:t>
      </w:r>
    </w:p>
    <w:p>
      <w:pPr>
        <w:spacing w:before="0" w:after="200" w:lineRule="auto" w:line="276"/>
      </w:pPr>
      <w:r>
        <w:rPr>
          <w:b/>
        </w:rPr>
        <w:t xml:space="preserve">Abstract (EN): </w:t>
      </w:r>
      <w:r>
        <w:t>The emergence of new political and social structures in Western and Central Europe during the transition from Antiquity to the Middle Ages has long been attributed to large-scale migrations. Yet emerging evidence increasingly emphasizes the role of small-group mobility in reshaping the Roman world1,2,3. Here we present 258 ancient genomes from the former Roman frontier of southern Germany, which we analyse alongside 2,500 ancient and 379 modern genomes. Population genetic analyses reveal a major demographic shift coinciding with the late fifth century collapse of Roman state structures, when a founding population of northern European ancestry mixed with genetically diverse Roman provincial groups. Pedigree reconstruction and filia, a method for inferring the ancestry of unsampled relatives, indicate widespread intermarriage and minimal cultural differentiation. Genetic structure persisted through the sixth century, with admixture forming a population resembling modern Central Europeans by the early seventh century. Using Chronograph to refine the chronology of genealogically linked individuals, we estimate a generation time of 28 years, life expectancies of 39.8 years for women and 43.3 years for men, high infant mortality, and a society in which nearly one quarter of children lost at least one parent by age 10, yet most still grew up with grandparents. Pedigrees further reveal a society centred on nuclear families that practiced lifelong monogamy, strict incest avoidance, flexible lineage continuation and no levirate unions, indicating continuity with Late Roman social practices that later shaped the European family.</w:t>
      </w:r>
    </w:p>
    <w:p>
      <w:pPr>
        <w:spacing w:before="120" w:after="120"/>
      </w:pPr>
      <w:r>
        <w:rPr>
          <w:sz w:val="18"/>
        </w:rPr>
        <w:t>——————————————————————————————————————————————————————————————————————</w:t>
      </w:r>
    </w:p>
    <w:p>
      <w:pPr>
        <w:spacing w:before="160" w:after="40" w:line="240" w:lineRule="auto"/>
      </w:pPr>
      <w:r>
        <w:rPr>
          <w:b/>
        </w:rPr>
        <w:t xml:space="preserve">[206] </w:t>
      </w:r>
      <w:hyperlink r:id="rId515">
        <w:r>
          <w:rPr>
            <w:color w:val="1155CC"/>
            <w:u w:val="single"/>
          </w:rPr>
          <w:t>单条染色质纤维上的普遍和程序化核小体扭曲</w:t>
        </w:r>
      </w:hyperlink>
    </w:p>
    <w:p>
      <w:pPr>
        <w:spacing w:before="0" w:after="80"/>
      </w:pPr>
      <w:r>
        <w:rPr>
          <w:i/>
          <w:sz w:val="20"/>
        </w:rPr>
        <w:t>EN: Pervasive and programmed nucleosome distortion on single chromatin fibres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16">
        <w:r>
          <w:rPr>
            <w:color w:val="1155CC"/>
            <w:u w:val="single"/>
          </w:rPr>
          <w:t>10.1038/s41586-026-10418-6</w:t>
        </w:r>
      </w:hyperlink>
    </w:p>
    <w:p>
      <w:pPr>
        <w:spacing w:before="0" w:after="120"/>
      </w:pPr>
      <w:r>
        <w:rPr>
          <w:b/>
        </w:rPr>
        <w:t xml:space="preserve">Notes: </w:t>
      </w:r>
      <w:r>
        <w:t>abstract_source=nature_html</w:t>
      </w:r>
    </w:p>
    <w:p>
      <w:pPr>
        <w:spacing w:before="0" w:after="80" w:lineRule="auto" w:line="276"/>
      </w:pPr>
      <w:r>
        <w:rPr>
          <w:b/>
        </w:rPr>
        <w:t xml:space="preserve">摘要（ZH）: </w:t>
      </w:r>
      <w:r>
        <w:t>尽管对核小体的生化和结构研究已有数十年之久1，研究人员仍缺乏基因组规模的方法来确定单个染色质纤维上核小体结构的变异性。为了解决这个问题，我们在此提出了迭代定义的不可接近长度（IDLI），这是一种计算方法，通过长读长单分子足迹绘制结构上不同的核小体、亚核小体和其他蛋白-DNA相互作用的单分子共占图谱2,3。IDLI将单个染色质纤维上的甲基化酶不可接近足迹分类为（i）连接组蛋白相关核小体；（ii）沿核小体包裹具有焦点DNA可接近性的核小体；（iii）未包裹的核小体；以及（iv）亚核小体物种如六体体、四体体和其他短DNA保护。将IDLI应用于小鼠胚胎干细胞的染色质，我们发现超过85%的核小体表现出核内可接近的DNA（核小体‘变形’）。我们观察到变形的表观基因组域和表达水平特异性模式，包括在启动子和小鼠卫星重复序列处。转录因子（TF）基序的出现与不同类型的变形显著相关，降解实验提供了TF直接调控的证据。我们将IDLI应用于人类诱导多能干细胞和小鼠原代肝细胞的体外内胚层分化。在这两种情况下，我们观察到先锋TF FOXA2结合位点的变形，表明变形是发育编码的并存在于体内。最后，遗传实验</w:t>
      </w:r>
    </w:p>
    <w:p>
      <w:pPr>
        <w:spacing w:before="0" w:after="200" w:lineRule="auto" w:line="276"/>
      </w:pPr>
      <w:r>
        <w:rPr>
          <w:b/>
        </w:rPr>
        <w:t xml:space="preserve">Abstract (EN): </w:t>
      </w:r>
      <w:r>
        <w:t>Despite decades of biochemical and structural studies of the nucleosome1, researchers lack genome-scale methods to determine variability in nucleosome structure along individual chromatin fibres. To address this, here we present Iteratively Defined Lengths of Inaccessibility (IDLI), a computational method that maps the single-molecule co-occupancy of structurally distinct nucleosomes, subnucleosomes and other protein–DNA interactions through long-read single-molecule footprinting2,3. IDLI classifies methylase-inaccessible footprints on individual chromatin fibres into (i) linker-histone-associated nucleosomes; (ii) nucleosomes with focal DNA accessibility along the nucleosome wrap; (iii) unwrapped nucleosomes; and (iv) subnucleosomal species such as hexasomes, tetrasomes and other short DNA protections. Applying IDLI to chromatin from mouse embryonic stem cells, we discover that more than 85% of nucleosomes exhibit intranucleosomally accessible DNA (nucleosome ‘distortion’). We observe epigenomic-domain- and expression-level-specific patterns of distortion, including at promoters and mouse satellite repeat sequences. Transcription factor (TF) motif occurrence correlates significantly with distinct types of distortion, and degron experiments provide evidence of direct regulation by TFs. We apply IDLI to in vitro endoderm differentiation in human induced pluripotent stem cells and primary mouse hepatocytes. In both cases, we observe distortion at pioneer TF FOXA2 binding sites, demonstrating that distortion is developmentally encoded and present in vivo. Finally, genetic experiments in mice show that a nucleosome-binding domain of FOXA2 directly affects nucleosome structure in vivo, implicating these protein–nucleosome interactions as direct mediators of distortion. Our work suggests extreme but regulated nucleosome structural variability at the single-molecule level. Furthermore, our approach offers opportunities to model TF binding, nucleosome remodelling and cell-type-specific chromatin regulation across biological contexts.</w:t>
      </w:r>
    </w:p>
    <w:p>
      <w:pPr>
        <w:spacing w:before="120" w:after="120"/>
      </w:pPr>
      <w:r>
        <w:rPr>
          <w:sz w:val="18"/>
        </w:rPr>
        <w:t>——————————————————————————————————————————————————————————————————————</w:t>
      </w:r>
    </w:p>
    <w:p>
      <w:pPr>
        <w:spacing w:before="160" w:after="40" w:line="240" w:lineRule="auto"/>
      </w:pPr>
      <w:r>
        <w:rPr>
          <w:b/>
        </w:rPr>
        <w:t xml:space="preserve">[207] </w:t>
      </w:r>
      <w:hyperlink r:id="rId517">
        <w:r>
          <w:rPr>
            <w:color w:val="1155CC"/>
            <w:u w:val="single"/>
          </w:rPr>
          <w:t>线性DNA供体的初级组装实现大规模基因组插入</w:t>
        </w:r>
      </w:hyperlink>
    </w:p>
    <w:p>
      <w:pPr>
        <w:spacing w:before="0" w:after="80"/>
      </w:pPr>
      <w:r>
        <w:rPr>
          <w:i/>
          <w:sz w:val="20"/>
        </w:rPr>
        <w:t>EN: Prime assembly with linear DNA donors enables large genomic insertions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18">
        <w:r>
          <w:rPr>
            <w:color w:val="1155CC"/>
            <w:u w:val="single"/>
          </w:rPr>
          <w:t>10.1038/s41586-026-10460-4</w:t>
        </w:r>
      </w:hyperlink>
    </w:p>
    <w:p>
      <w:pPr>
        <w:spacing w:before="0" w:after="120"/>
      </w:pPr>
      <w:r>
        <w:rPr>
          <w:b/>
        </w:rPr>
        <w:t xml:space="preserve">Notes: </w:t>
      </w:r>
      <w:r>
        <w:t>abstract_source=nature_html</w:t>
      </w:r>
    </w:p>
    <w:p>
      <w:pPr>
        <w:spacing w:before="0" w:after="80" w:lineRule="auto" w:line="276"/>
      </w:pPr>
      <w:r>
        <w:rPr>
          <w:b/>
        </w:rPr>
        <w:t xml:space="preserve">摘要（ZH）: </w:t>
      </w:r>
      <w:r>
        <w:t>大DNA片段的靶向插入在基因组工程和基因治疗中具有广阔的应用前景1,2。双引导编辑RNA已经实现了相对较大的插入，但对于大于400个碱基对的插入，效率仍然较低3,4,5,6。我们在此描述了一种用于插入大DNA供体片段的引导组装（PA）方法，其末端设计为与双引导编辑（twinPE）产生的襟翼重叠。我们使用PA插入一个或多个重叠的DNA片段，总插入大小从0.1 kb到11 kb不等。一种非同源末端连接抑制剂提高了插入的效率和精确性。PA依赖于易于生产的DNA模板，不需要共同递送外源DNA依赖性DNA聚合酶，并在非循环细胞中进行，表明其独立于经典的同源重组修复途径。我们的研究表明，PA可以在细胞中启动类似Gibson的组装，以生成基因插入，而无需双链DNA断裂、重组酶或同源重组修复。</w:t>
      </w:r>
    </w:p>
    <w:p>
      <w:pPr>
        <w:spacing w:before="0" w:after="200" w:lineRule="auto" w:line="276"/>
      </w:pPr>
      <w:r>
        <w:rPr>
          <w:b/>
        </w:rPr>
        <w:t xml:space="preserve">Abstract (EN): </w:t>
      </w:r>
      <w:r>
        <w:t>Targeted insertion of large DNA fragments has promising applications for genome engineering and gene therapy1,2. Twin prime-editing guide RNAs have enabled relatively large insertions, but the efficiency remains low for insertions greater than 400 base pairs3,4,5,6. Here we describe a prime assembly (PA) approach for the insertion of large DNA donor fragments, of which the ends are designed to overlap with the flaps generated by twin prime editing (twinPE). We used PA to insert one or multiple overlapping DNA fragments, with total insertion sizes ranging from 0.1 kb to 11 kb. An inhibitor of non-homologous end joining enhanced both the efficiency and precision of insertions. PA relies on DNA templates that are easily produced, does not require co-delivery of exogenous DNA-dependent DNA polymerases and proceeds in non-cycling cells, suggesting independence from canonical homology-directed repair pathways. Our study demonstrates that PA can initiate Gibson-like assembly in cells to generate gene insertions without double-stranded DNA breaks, recombinases or homology-directed repair.</w:t>
      </w:r>
    </w:p>
    <w:p>
      <w:pPr>
        <w:spacing w:before="120" w:after="120"/>
      </w:pPr>
      <w:r>
        <w:rPr>
          <w:sz w:val="18"/>
        </w:rPr>
        <w:t>——————————————————————————————————————————————————————————————————————</w:t>
      </w:r>
    </w:p>
    <w:p>
      <w:pPr>
        <w:spacing w:before="160" w:after="40" w:line="240" w:lineRule="auto"/>
      </w:pPr>
      <w:r>
        <w:rPr>
          <w:b/>
        </w:rPr>
        <w:t xml:space="preserve">[208] </w:t>
      </w:r>
      <w:hyperlink r:id="rId519">
        <w:r>
          <w:rPr>
            <w:color w:val="1155CC"/>
            <w:u w:val="single"/>
          </w:rPr>
          <w:t>膝区以下初级宇宙射线的电荷依赖性光谱软化</w:t>
        </w:r>
      </w:hyperlink>
    </w:p>
    <w:p>
      <w:pPr>
        <w:spacing w:before="0" w:after="80"/>
      </w:pPr>
      <w:r>
        <w:rPr>
          <w:i/>
          <w:sz w:val="20"/>
        </w:rPr>
        <w:t>EN: Charge-dependent spectral softenings of primary cosmic rays below the knee</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20">
        <w:r>
          <w:rPr>
            <w:color w:val="1155CC"/>
            <w:u w:val="single"/>
          </w:rPr>
          <w:t>10.1038/s41586-026-10472-0</w:t>
        </w:r>
      </w:hyperlink>
    </w:p>
    <w:p>
      <w:pPr>
        <w:spacing w:before="0" w:after="120"/>
      </w:pPr>
      <w:r>
        <w:rPr>
          <w:b/>
        </w:rPr>
        <w:t xml:space="preserve">Notes: </w:t>
      </w:r>
      <w:r>
        <w:t>abstract_source=nature_html</w:t>
      </w:r>
    </w:p>
    <w:p>
      <w:pPr>
        <w:spacing w:before="0" w:after="80" w:lineRule="auto" w:line="276"/>
      </w:pPr>
      <w:r>
        <w:rPr>
          <w:b/>
        </w:rPr>
        <w:t xml:space="preserve">摘要（ZH）: </w:t>
      </w:r>
      <w:r>
        <w:t>在大多数粒子加速或传播理论中，由于加速限制或传播阶段变化导致的宇宙射线谱的特征是电荷依赖的1,2,3,4。或者，交互情景通常会预期质量依赖的谱特征。由于难以测量单个粒子在非常高能量下的谱，因此尚未观察到哪种关系在自然界中生效。在此，我们报告了通过暗物质粒子探测器在轨道上收集的9年数据，直接测量了从约20千兆伏到约100太伏（铁为60太伏）的碳、氧和铁谱。据我们所知，这些谱中的明显谱软化首次被直接检测到。结合更新的质子和氦谱，谱软化普遍出现在约15太伏的刚度下。以&gt;99.999%的置信水平排除了核质量依赖的软化。这些结果的可能解释，包括附近的宇宙射线源5,6,7和其他模型如传播效应8，进行了讨论。</w:t>
      </w:r>
    </w:p>
    <w:p>
      <w:pPr>
        <w:spacing w:before="0" w:after="200" w:lineRule="auto" w:line="276"/>
      </w:pPr>
      <w:r>
        <w:rPr>
          <w:b/>
        </w:rPr>
        <w:t xml:space="preserve">Abstract (EN): </w:t>
      </w:r>
      <w:r>
        <w:t>In most particle acceleration or propagation theories, the characteristic features of the cosmic ray spectra due to acceleration limits or propagation phase changes are charge-dependent1,2,3,4. Alternatively, the interaction scenario would expect mass-dependent spectral features in general. The observational verification of which relation takes effect in nature is still lacking because of the difficulty in measuring the spectra of individual particles up to very high energies. Here we report direct measurements of the carbon, oxygen and iron spectra from about 20 gigavolts to around 100 teravolts (60 teravolts for iron) with 9 years of on-orbit data collected by the Dark Matter Particle Explorer. Distinct spectral softenings have been directly detected in these spectra for the first time, to our knowledge. Combined with the updated proton and helium spectra, the spectral softening appears universally at a rigidity of about 15 teravolts. A nuclei-mass-dependent softening is rejected at a confidence level of &gt;99.999%. Possible interpretations of these results, including a nearby cosmic ray source5,6,7 and other models such as the propagation effect8, are discussed.</w:t>
      </w:r>
    </w:p>
    <w:p>
      <w:pPr>
        <w:spacing w:before="120" w:after="120"/>
      </w:pPr>
      <w:r>
        <w:rPr>
          <w:sz w:val="18"/>
        </w:rPr>
        <w:t>——————————————————————————————————————————————————————————————————————</w:t>
      </w:r>
    </w:p>
    <w:p>
      <w:pPr>
        <w:spacing w:before="160" w:after="40" w:line="240" w:lineRule="auto"/>
      </w:pPr>
      <w:r>
        <w:rPr>
          <w:b/>
        </w:rPr>
        <w:t xml:space="preserve">[209] </w:t>
      </w:r>
      <w:hyperlink r:id="rId521">
        <w:r>
          <w:rPr>
            <w:color w:val="1155CC"/>
            <w:u w:val="single"/>
          </w:rPr>
          <w:t>高阶相互作用增强了纬度树木多样性梯度</w:t>
        </w:r>
      </w:hyperlink>
    </w:p>
    <w:p>
      <w:pPr>
        <w:spacing w:before="0" w:after="80"/>
      </w:pPr>
      <w:r>
        <w:rPr>
          <w:i/>
          <w:sz w:val="20"/>
        </w:rPr>
        <w:t>EN: Higher-order interactions enhance the latitudinal tree diversity gradient</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22">
        <w:r>
          <w:rPr>
            <w:color w:val="1155CC"/>
            <w:u w:val="single"/>
          </w:rPr>
          <w:t>10.1038/s41586-026-10434-6</w:t>
        </w:r>
      </w:hyperlink>
    </w:p>
    <w:p>
      <w:pPr>
        <w:spacing w:before="0" w:after="120"/>
      </w:pPr>
      <w:r>
        <w:rPr>
          <w:b/>
        </w:rPr>
        <w:t xml:space="preserve">Notes: </w:t>
      </w:r>
      <w:r>
        <w:t>abstract_source=nature_html</w:t>
      </w:r>
    </w:p>
    <w:p>
      <w:pPr>
        <w:spacing w:before="0" w:after="80" w:lineRule="auto" w:line="276"/>
      </w:pPr>
      <w:r>
        <w:rPr>
          <w:b/>
        </w:rPr>
        <w:t xml:space="preserve">摘要（ZH）: </w:t>
      </w:r>
      <w:r>
        <w:t>从低纬度到高纬度的物种多样性全球下降是最稳健的生物地理模式之一1,2。关于同种负密度依赖（CNDD）对树木纬度多样性梯度的贡献仍存在争论3,4。理论表明，仅基于成对交互的CNDD不足以解释多样化群落的复杂性，因为高阶交互（HOIs）可能极大地改变这些交互5,6。然而，缺乏实证研究调查HOIs如何与成对交互交织在一起以及它们如何可能促进纬度树木多样性梯度。在此，我们在32个大型永久性森林地块中检查了成对交互和HOIs，大多数位于北半球。我们在40%的1,543个物种-地块组合中检测到了树木生长的HOIs证据，在23%的1,340个此类组合中检测到了树木存活的HOIs证据，这些交互的强度随纬度下降。发现HOIs有利于稀有物种但不利于常见物种，表明一种促进物种多样性的潜在机制。这种稳定效应在高纬度地区减弱，与纬度树木多样性梯度一致。我们的研究揭示了成对交互和HOIs在促进纬度树木多样性梯度中的重要相互作用，并有助于澄清CNDD对这一生物地理模式的贡献。</w:t>
      </w:r>
    </w:p>
    <w:p>
      <w:pPr>
        <w:spacing w:before="0" w:after="200" w:lineRule="auto" w:line="276"/>
      </w:pPr>
      <w:r>
        <w:rPr>
          <w:b/>
        </w:rPr>
        <w:t xml:space="preserve">Abstract (EN): </w:t>
      </w:r>
      <w:r>
        <w:t>The global decrease in species diversity from low to high latitudes is among the most robust biogeographic patterns1,2. There is continuing debate on the contribution of conspecific negative density dependence (CNDD) to the latitudinal diversity gradient evident for trees3,4. Theory suggests that CNDD based on pairwise interactions alone is not sufficient to explain the intricacies of diverse communities, because higher-order interactions (HOIs) may greatly modify these interactions5,6. However, there has been a lack of empirical studies investigating how HOIs intertwine with pairwise interactions and how they may contribute to the latitudinal tree diversity gradient. Here we examined both pairwise interactions and HOIs across 32 large permanent forest plots, most in the northern hemisphere. We detected evidence of HOIs in 40% of the 1,543 species–plot combinations for tree growth, and 23% of the 1,340 such combinations for tree survival, with the strength of these interactions declining with latitude. HOIs were found to benefit rare species but disadvantage common species, suggesting a potential mechanism promoting species diversity. This stabilizing effect weakened towards higher latitudes, consistent with the latitudinal tree diversity gradient. Our findings reveal an important interplay between pairwise interactions and HOIs in promoting the latitudinal tree diversity gradient and help to clarify the contribution of CNDD to this biogeographic pattern.</w:t>
      </w:r>
    </w:p>
    <w:p>
      <w:pPr>
        <w:spacing w:before="120" w:after="120"/>
      </w:pPr>
      <w:r>
        <w:rPr>
          <w:sz w:val="18"/>
        </w:rPr>
        <w:t>——————————————————————————————————————————————————————————————————————</w:t>
      </w:r>
    </w:p>
    <w:p>
      <w:pPr>
        <w:spacing w:before="160" w:after="40" w:line="240" w:lineRule="auto"/>
      </w:pPr>
      <w:r>
        <w:rPr>
          <w:b/>
        </w:rPr>
        <w:t xml:space="preserve">[210] </w:t>
      </w:r>
      <w:hyperlink r:id="rId523">
        <w:r>
          <w:rPr>
            <w:color w:val="1155CC"/>
            <w:u w:val="single"/>
          </w:rPr>
          <w:t>美国商学院和法学院的种族多样性较高与毕业生薪资较高相关</w:t>
        </w:r>
      </w:hyperlink>
    </w:p>
    <w:p>
      <w:pPr>
        <w:spacing w:before="0" w:after="80"/>
      </w:pPr>
      <w:r>
        <w:rPr>
          <w:i/>
          <w:sz w:val="20"/>
        </w:rPr>
        <w:t>EN: Higher racial diversity in US business and law schools is linked to higher graduate salaries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24">
        <w:r>
          <w:rPr>
            <w:color w:val="1155CC"/>
            <w:u w:val="single"/>
          </w:rPr>
          <w:t>10.1038/d41586-026-01273-6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[211] </w:t>
      </w:r>
      <w:hyperlink r:id="rId525">
        <w:r>
          <w:rPr>
            <w:color w:val="1155CC"/>
            <w:u w:val="single"/>
          </w:rPr>
          <w:t>SEED-AGING GENE 9的优良等位基因增强了水稻种子的储存性和休眠性</w:t>
        </w:r>
      </w:hyperlink>
    </w:p>
    <w:p>
      <w:pPr>
        <w:spacing w:before="0" w:after="80"/>
      </w:pPr>
      <w:r>
        <w:rPr>
          <w:i/>
          <w:sz w:val="20"/>
        </w:rPr>
        <w:t>EN: Superior alleles of SEED-AGING GENE 9 enhance seed storability and dormancy in rice</w:t>
      </w:r>
    </w:p>
    <w:p>
      <w:pPr>
        <w:spacing w:before="0" w:after="120"/>
      </w:pPr>
      <w:r>
        <w:rPr>
          <w:b/>
        </w:rPr>
        <w:t xml:space="preserve">Source: </w:t>
      </w:r>
      <w:r>
        <w:t>National Science Review Advance Access</w:t>
      </w:r>
      <w:r>
        <w:t xml:space="preserve">    </w:t>
      </w:r>
      <w:r>
        <w:rPr>
          <w:b/>
        </w:rPr>
        <w:t xml:space="preserve">Pub date: </w:t>
      </w:r>
      <w:r>
        <w:t>2026-04-29 00:00:00+00:00</w:t>
      </w:r>
      <w:r>
        <w:t xml:space="preserve">    </w:t>
      </w:r>
      <w:r>
        <w:rPr>
          <w:b/>
        </w:rPr>
        <w:t xml:space="preserve">DOI: </w:t>
      </w:r>
      <w:hyperlink r:id="rId526">
        <w:r>
          <w:rPr>
            <w:color w:val="1155CC"/>
            <w:u w:val="single"/>
          </w:rPr>
          <w:t>10.1093/nsr/nwag248</w:t>
        </w:r>
      </w:hyperlink>
    </w:p>
    <w:p>
      <w:pPr>
        <w:spacing w:before="0" w:after="120"/>
      </w:pPr>
      <w:r>
        <w:rPr>
          <w:b/>
        </w:rPr>
        <w:t xml:space="preserve">Notes: </w:t>
      </w:r>
      <w:r>
        <w:t>abstract_source=rss_oup</w:t>
      </w:r>
    </w:p>
    <w:p>
      <w:pPr>
        <w:spacing w:before="0" w:after="80" w:lineRule="auto" w:line="276"/>
      </w:pPr>
      <w:r>
        <w:rPr>
          <w:b/>
        </w:rPr>
        <w:t xml:space="preserve">摘要（ZH）: </w:t>
      </w:r>
      <w:r>
        <w:t>高质量种子需要适当的休眠以防止收获前发芽（PHS）和强大的储存能力以保持发芽活力，这为作物的成功生产和安全储存提供了基本保障。作为复杂的定量性状，种子质量的改进因对其调控基因的有限理解而受到阻碍。在此，我们在水稻中鉴定了SEED-AGING GENE 9（SAG9），编码一种核蛋白，作为主要种子储存性状定量性状位点qSS-9的负调控因子，该位点对休眠也有中等影响。实际上，SAG9与在种子中表达的选择性bZIP转录因子物理相互作用，抑制它们对晚期胚胎丰富（LEA）基因的转录激活——揭示了协调休眠和储存的共享遗传途径。这推动了SAG9不同单倍型的差异化局部适应，从而在水稻驯化过程中促进了平衡选择。值得注意的是，精英SAG9单倍型Hap-在驯化过程中大部分丢失，这是现代品种种子休眠和储存性降低的原因之一。此外，强休眠等位基因（SD1, SDR3.1, Sdr4, SD6, Rc）增强了储存性，并与SAG9 Hap-显示出加性效应。跨地区的这些基因的多样化聚合组合反映了对环境或育种需求的协同适应。总体而言，我们的研究阐明了种子质量性状的分子和驯化基础，为现代水稻的精准育种提供了目标。</w:t>
      </w:r>
    </w:p>
    <w:p>
      <w:pPr>
        <w:spacing w:before="0" w:after="200" w:lineRule="auto" w:line="276"/>
      </w:pPr>
      <w:r>
        <w:rPr>
          <w:b/>
        </w:rPr>
        <w:t xml:space="preserve">Abstract (EN): </w:t>
      </w:r>
      <w:r>
        <w:t>High-quality seeds necessitate both appropriate dormancy to prevent preharvest sprouting (PHS) and robust storability to preserve germination vigor, which serve as the fundamental guarantee for the successful production and safe storage of crops. As complex and quantitative traits, the improvement of seed quality has been impeded by limited understanding of their regulatory genes. Here, in rice, we identify SEED-AGING GENE 9 (SAG9), encoding a nuclear protein, as a negative regulator underlying the major seed-storability quantitative trait locus qSS-9, which also exerts a moderate effect on dormancy. Indeed, SAG9 physically interacts with select bZIP transcription factors expressed in seeds, inhibiting their transcriptional activation of Late Embryogenesis Abundant (LEA) genes—revealing a shared genetic pathway coordinating dormancy and storability. This has driven the differential local adaptation of SAG9 distinct haplotypes, thereby promoting balancing selection during rice domestication. Notably, the elite SAG9 haplotype Hap- has been largely lost during domestication, which is one of the causes for the reduction in seed dormancy and storability of modern varieties. Furthermore, strong-dormancy alleles (SD1, SDR3.1, Sdr4, SD6, Rc) enhance storability and show additive effects with SAG9 Hap-. Diverse pyramiding combinations of these genes across regions reflect synergistic adaptation to environmental or breeding demands. Collectively, our study elucidates the molecular and domestication basis of seed quality traits, providing targets for precision breeding in modern rice varieties.</w:t>
      </w:r>
    </w:p>
    <w:p>
      <w:pPr>
        <w:spacing w:before="120" w:after="120"/>
      </w:pPr>
      <w:r>
        <w:rPr>
          <w:sz w:val="18"/>
        </w:rPr>
        <w:t>——————————————————————————————————————————————————————————————————————</w:t>
      </w:r>
    </w:p>
    <w:p>
      <w:pPr>
        <w:spacing w:before="160" w:after="40" w:line="240" w:lineRule="auto"/>
      </w:pPr>
      <w:r>
        <w:rPr>
          <w:b/>
        </w:rPr>
        <w:t xml:space="preserve">[212] </w:t>
      </w:r>
      <w:hyperlink r:id="rId527">
        <w:r>
          <w:rPr>
            <w:color w:val="1155CC"/>
            <w:u w:val="single"/>
          </w:rPr>
          <w:t>疫苗接种产生对HIV Env顶点的广泛交叉中和抗体</w:t>
        </w:r>
      </w:hyperlink>
    </w:p>
    <w:p>
      <w:pPr>
        <w:spacing w:before="0" w:after="80"/>
      </w:pPr>
      <w:r>
        <w:rPr>
          <w:i/>
          <w:sz w:val="20"/>
        </w:rPr>
        <w:t>EN: Vaccination generates broadly cross-neutralizing antibodies to the HIV Env apex</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28">
        <w:r>
          <w:rPr>
            <w:color w:val="1155CC"/>
            <w:u w:val="single"/>
          </w:rPr>
          <w:t>10.1038/s41586-026-10429-3</w:t>
        </w:r>
      </w:hyperlink>
    </w:p>
    <w:p>
      <w:pPr>
        <w:spacing w:before="0" w:after="120"/>
      </w:pPr>
      <w:r>
        <w:rPr>
          <w:b/>
        </w:rPr>
        <w:t xml:space="preserve">Notes: </w:t>
      </w:r>
      <w:r>
        <w:t>abstract_source=nature_html</w:t>
      </w:r>
    </w:p>
    <w:p>
      <w:pPr>
        <w:spacing w:before="0" w:after="80" w:lineRule="auto" w:line="276"/>
      </w:pPr>
      <w:r>
        <w:rPr>
          <w:b/>
        </w:rPr>
        <w:t xml:space="preserve">摘要（ZH）: </w:t>
      </w:r>
      <w:r>
        <w:t>作为一种慢性复制的病毒，HIV已经进化出极端的序列变异性，并通过宿主来源的糖基有效地屏蔽了功能受限的刺突蛋白决定因素。尽管罕见，但可以从HIV感染者中分离出广泛中和抗体，揭示出保守的包膜糖蛋白（Env）位点是疫苗开发的关键目标。这样的一个目标是Env刺突的顶点。在此，我们确定了一种疫苗接种策略，使用异源HIV Env三聚体共价结合到脂质体上进行多价展示，结果在所有三聚体-脂质体免疫的非人灵长类动物中引发了交叉中和HIV血清抗体反应。关键的是，我们从多只猕猴中分离出单克隆抗体，这些抗体可以交叉中和不同的HIV临床分离株。来自四只不同猕猴的单克隆抗体的高分辨率冷冻电子显微镜结构分析表明，它们以与人类感染引发的、顶点导向的广泛中和抗体PG9高度相似的方式靶向Env三聚体顶点，代表了HIV疫苗开发的重大进展。</w:t>
      </w:r>
    </w:p>
    <w:p>
      <w:pPr>
        <w:spacing w:before="0" w:after="200" w:lineRule="auto" w:line="276"/>
      </w:pPr>
      <w:r>
        <w:rPr>
          <w:b/>
        </w:rPr>
        <w:t xml:space="preserve">Abstract (EN): </w:t>
      </w:r>
      <w:r>
        <w:t>As a chronically replicating virus, HIV has evolved extreme sequence variability and effective shielding of functionally constrained spike protein determinants by host-derived glycans1. Broadly neutralizing antibodies, although rare, can be isolated from people living with HIV, revealing conserved envelope glycoprotein (Env) sites as key targets for vaccine development2,3,4. One such target is the apex of the Env spike. Here we identify a vaccination strategy using heterologous HIV Env trimers covalently coupled to liposomes for multivalent display that resulted in the elicitation of cross-neutralizing HIV serum antibody responses in all trimer-liposome-immunized non-human primates. Critically, we isolated monoclonal antibodies from multiple macaques that cross-neutralize divergent HIV clinical isolates. High-resolution cryogenic electron microscopy structural analyses of monoclonal antibodies from four different macaques demonstrate that they target the Env trimer apex in a manner highly similar to that of the human-infection-elicited, apex-directed broadly neutralizing antibody PG9, representing a substantial advance in HIV vaccine development.</w:t>
      </w:r>
    </w:p>
    <w:p>
      <w:pPr>
        <w:spacing w:before="120" w:after="120"/>
      </w:pPr>
      <w:r>
        <w:rPr>
          <w:sz w:val="18"/>
        </w:rPr>
        <w:t>——————————————————————————————————————————————————————————————————————</w:t>
      </w:r>
    </w:p>
    <w:p>
      <w:pPr>
        <w:spacing w:before="160" w:after="40" w:line="240" w:lineRule="auto"/>
      </w:pPr>
      <w:r>
        <w:rPr>
          <w:b/>
        </w:rPr>
        <w:t xml:space="preserve">[213] </w:t>
      </w:r>
      <w:hyperlink r:id="rId529">
        <w:r>
          <w:rPr>
            <w:color w:val="1155CC"/>
            <w:u w:val="single"/>
          </w:rPr>
          <w:t>四十年来南大洋沿美洲太平洋海岸的海浪不断增强</w:t>
        </w:r>
      </w:hyperlink>
    </w:p>
    <w:p>
      <w:pPr>
        <w:spacing w:before="0" w:after="80"/>
      </w:pPr>
      <w:r>
        <w:rPr>
          <w:i/>
          <w:sz w:val="20"/>
        </w:rPr>
        <w:t>EN: Four decades of intensifying Southern Ocean swells along the Pacific coast of the Americas</w:t>
      </w:r>
    </w:p>
    <w:p>
      <w:pPr>
        <w:spacing w:before="0" w:after="120"/>
      </w:pPr>
      <w:r>
        <w:rPr>
          <w:b/>
        </w:rPr>
        <w:t xml:space="preserve">Source: </w:t>
      </w:r>
      <w:r>
        <w:t>Nature Communications</w:t>
      </w:r>
      <w:r>
        <w:t xml:space="preserve">    </w:t>
      </w:r>
      <w:r>
        <w:rPr>
          <w:b/>
        </w:rPr>
        <w:t xml:space="preserve">Pub date: </w:t>
      </w:r>
      <w:r>
        <w:t>2026-04-29 00:00:00+00:00</w:t>
      </w:r>
      <w:r>
        <w:t xml:space="preserve">    </w:t>
      </w:r>
      <w:r>
        <w:rPr>
          <w:b/>
        </w:rPr>
        <w:t xml:space="preserve">DOI: </w:t>
      </w:r>
      <w:hyperlink r:id="rId530">
        <w:r>
          <w:rPr>
            <w:color w:val="1155CC"/>
            <w:u w:val="single"/>
          </w:rPr>
          <w:t>10.1038/s41467-026-71813-1</w:t>
        </w:r>
      </w:hyperlink>
    </w:p>
    <w:p>
      <w:pPr>
        <w:spacing w:before="0" w:after="120"/>
      </w:pPr>
      <w:r>
        <w:rPr>
          <w:b/>
        </w:rPr>
        <w:t xml:space="preserve">Notes: </w:t>
      </w:r>
      <w:r>
        <w:t>abstract_source=nature_html</w:t>
      </w:r>
    </w:p>
    <w:p>
      <w:pPr>
        <w:spacing w:before="0" w:after="80" w:lineRule="auto" w:line="276"/>
      </w:pPr>
      <w:r>
        <w:rPr>
          <w:b/>
        </w:rPr>
        <w:t xml:space="preserve">摘要（ZH）: </w:t>
      </w:r>
      <w:r>
        <w:t>南大洋产生的涌浪经常影响美洲的太平洋海岸，最具能量的事件会导致严重的基础设施损坏、沿海洪水和生命损失。本研究对沿这条海岸线的这些高能涌浪进行了详细、全面的分析，描述了它们的主要特征，并检查了它们在多个时间尺度上的变异性。这些涌浪最常发生在南半球冬季，也有相当一部分发生在南半球春季和秋季。南半球环状模态对其施加了强烈影响，其正相（SAM +）与更具能量的涌浪相关。最近几十年沿大部分研究海岸线的波高、能量和发生率的显著正趋势突显了这些涌浪事件带来的日益增加的风险。我们的研究结果为增强沿海韧性和制定有效的风险管理策略以应对这一沿海灾害提供了宝贵的见解。</w:t>
      </w:r>
    </w:p>
    <w:p>
      <w:pPr>
        <w:spacing w:before="0" w:after="200" w:lineRule="auto" w:line="276"/>
      </w:pPr>
      <w:r>
        <w:rPr>
          <w:b/>
        </w:rPr>
        <w:t xml:space="preserve">Abstract (EN): </w:t>
      </w:r>
      <w:r>
        <w:t>Swells generated in the Southern Ocean regularly impact the Pacific coasts of the Americas, with the most energetic events causing severe infrastructure damage, coastal flooding, and loss of life. This study presents a detailed, comprehensive analysis of these high-energy swells along this coastline, characterizing their primary characteristics and examining their variability across multiple timescales. These swells occur most frequently during austral winter, with a considerable proportion also occurring in austral spring and autumn. The Southern Annular Mode exerts a strong influence, with its positive phase (SAM + ) being associated with more energetic swells. Significant positive trends in wave height, power, and occurrence rate along much of the studied coastline in recent decades highlight the increasing risk posed by these swell events. Our findings offer valuable insights for enhancing coastal resilience and informing effective risk management strategies in response to this coastal hazard.</w:t>
      </w:r>
    </w:p>
    <w:p>
      <w:pPr>
        <w:spacing w:before="120" w:after="120"/>
      </w:pPr>
      <w:r>
        <w:rPr>
          <w:sz w:val="18"/>
        </w:rPr>
        <w:t>——————————————————————————————————————————————————————————————————————</w:t>
      </w:r>
    </w:p>
    <w:p>
      <w:pPr>
        <w:spacing w:before="160" w:after="40" w:line="240" w:lineRule="auto"/>
      </w:pPr>
      <w:r>
        <w:rPr>
          <w:b/>
        </w:rPr>
        <w:t xml:space="preserve">[214] </w:t>
      </w:r>
      <w:hyperlink r:id="rId531">
        <w:r>
          <w:rPr>
            <w:color w:val="1155CC"/>
            <w:u w:val="single"/>
          </w:rPr>
          <w:t>免疫力从一个意想不到的地方得到提升——早餐</w:t>
        </w:r>
      </w:hyperlink>
    </w:p>
    <w:p>
      <w:pPr>
        <w:spacing w:before="0" w:after="80"/>
      </w:pPr>
      <w:r>
        <w:rPr>
          <w:i/>
          <w:sz w:val="20"/>
        </w:rPr>
        <w:t>EN: Immunity gets a boost from a surprising place — breakfast</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32">
        <w:r>
          <w:rPr>
            <w:color w:val="1155CC"/>
            <w:u w:val="single"/>
          </w:rPr>
          <w:t>10.1038/d41586-026-01406-x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[215] </w:t>
      </w:r>
      <w:hyperlink r:id="rId533">
        <w:r>
          <w:rPr>
            <w:color w:val="1155CC"/>
            <w:u w:val="single"/>
          </w:rPr>
          <w:t>使用悬浮在有机凝胶中的簇的太阳光谱电致变色玻璃</w:t>
        </w:r>
      </w:hyperlink>
    </w:p>
    <w:p>
      <w:pPr>
        <w:spacing w:before="0" w:after="80"/>
      </w:pPr>
      <w:r>
        <w:rPr>
          <w:i/>
          <w:sz w:val="20"/>
        </w:rPr>
        <w:t>EN: Solar-spectral electrochromic glazing using suspended clusters in an organogel</w:t>
      </w:r>
    </w:p>
    <w:p>
      <w:pPr>
        <w:spacing w:before="0" w:after="120"/>
      </w:pPr>
      <w:r>
        <w:rPr>
          <w:b/>
        </w:rPr>
        <w:t xml:space="preserve">Source: </w:t>
      </w:r>
      <w:r>
        <w:t>Nature Sustainability</w:t>
      </w:r>
      <w:r>
        <w:t xml:space="preserve">    </w:t>
      </w:r>
      <w:r>
        <w:rPr>
          <w:b/>
        </w:rPr>
        <w:t xml:space="preserve">Pub date: </w:t>
      </w:r>
      <w:r>
        <w:t>2026-04-29 00:00:00+00:00</w:t>
      </w:r>
      <w:r>
        <w:t xml:space="preserve">    </w:t>
      </w:r>
      <w:r>
        <w:rPr>
          <w:b/>
        </w:rPr>
        <w:t xml:space="preserve">DOI: </w:t>
      </w:r>
      <w:hyperlink r:id="rId534">
        <w:r>
          <w:rPr>
            <w:color w:val="1155CC"/>
            <w:u w:val="single"/>
          </w:rPr>
          <w:t>10.1038/s41893-026-01831-w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[216] </w:t>
      </w:r>
      <w:hyperlink r:id="rId535">
        <w:r>
          <w:rPr>
            <w:color w:val="1155CC"/>
            <w:u w:val="single"/>
          </w:rPr>
          <w:t>巨噬细胞对活细胞的亚微米采样</w:t>
        </w:r>
      </w:hyperlink>
    </w:p>
    <w:p>
      <w:pPr>
        <w:spacing w:before="0" w:after="80"/>
      </w:pPr>
      <w:r>
        <w:rPr>
          <w:i/>
          <w:sz w:val="20"/>
        </w:rPr>
        <w:t>EN: Submicrometre sampling of living cells by macrophages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36">
        <w:r>
          <w:rPr>
            <w:color w:val="1155CC"/>
            <w:u w:val="single"/>
          </w:rPr>
          <w:t>10.1038/s41586-026-10435-5</w:t>
        </w:r>
      </w:hyperlink>
    </w:p>
    <w:p>
      <w:pPr>
        <w:spacing w:before="0" w:after="120"/>
      </w:pPr>
      <w:r>
        <w:rPr>
          <w:b/>
        </w:rPr>
        <w:t xml:space="preserve">Notes: </w:t>
      </w:r>
      <w:r>
        <w:t>abstract_source=nature_html</w:t>
      </w:r>
    </w:p>
    <w:p>
      <w:pPr>
        <w:spacing w:before="0" w:after="80" w:lineRule="auto" w:line="276"/>
      </w:pPr>
      <w:r>
        <w:rPr>
          <w:b/>
        </w:rPr>
        <w:t xml:space="preserve">摘要（ZH）: </w:t>
      </w:r>
      <w:r>
        <w:t>一个有效的免疫系统必须采样并发展健康的自我身份以防止自身免疫并识别病原体攻击。自我蛋白在免疫细胞发育期间在胸腺中呈递给T细胞，并且必须在全身呈递以维持调节性T细胞群体并提供基调信号以维持常规T细胞。对某些器官中持续凋亡的观察以及髓样细胞群体对这些物质的摄取导致了对持续细胞死亡作为自我抗原主要来源的传统理解。在此，我们使用一系列伴随成像和囊泡标记技术揭示了一种由巨噬细胞进行的替代过程，结果是对活细胞的非破坏性直接采样。这个过程需要细胞-细胞接触，不需要胱天蛋白酶激活，并通过类似吞噬作用的方式将目标细胞拉伸到巨噬细胞中，导致产生含有细胞质的亚微米大小的囊泡。使用基于流的高维方法标记囊泡，我们证明了活体采样的物质被独特地处理，并且很少与溶酶体融合。与CD8 T细胞相比，这些物质对CD4 T细胞抗原呈递产生不同的影响。通过将抗原重定向到溶酶体来破坏这种运输显著减少了相关的巨噬细胞介导的CD8 T细胞启动。这些结果展示了对活细胞的重要且实质性的采样。</w:t>
      </w:r>
    </w:p>
    <w:p>
      <w:pPr>
        <w:spacing w:before="0" w:after="200" w:lineRule="auto" w:line="276"/>
      </w:pPr>
      <w:r>
        <w:rPr>
          <w:b/>
        </w:rPr>
        <w:t xml:space="preserve">Abstract (EN): </w:t>
      </w:r>
      <w:r>
        <w:t>An effective immune system must sample and develop healthy self-identity to prevent autoimmunity and to discern pathogenic insults1,2,3. Self-proteins are presented to T cells in the thymus during immune cell development2,3 and must be presented throughout the body to maintain regulatory T cell populations4,5,6 and to provide tonic signals to sustain conventional T cells over time7,8,9. Observations of continuous apoptosis in some organs together with the ingestion of that material by myeloid populations has led to a conventional understanding of ongoing cell death as a major source of self-antigens10. Here we used a series of companion imaging and vesicular labelling technologies to reveal an alternative process undertaken by macrophages that results in non-destructive, direct sampling of living cells. This process requires cell–cell contact, does not require caspase activation and occurs via trogocytosis-like stretching of the target cell into the macrophage, which leads to the generation of submicrometre-sized vesicles that contain cytoplasm. Using a high-dimensional flow-based method for labelling vesicles, we demonstrate that live-sampled material is distinctly processed and is poorly subjected to fusion with lysosomes. The material also produces differential effects on the presentation of antigen to CD4 T cells compared with CD8 T cells. Disruption of this trafficking by redirecting antigen to the lysosome significantly reduced the associated macrophage-mediated priming of CD8 T cells. These results demonstrate an important and substantial sampling of living cells by the immune system, with clear consequences for maintaining the border of immunity.</w:t>
      </w:r>
    </w:p>
    <w:p>
      <w:pPr>
        <w:spacing w:before="120" w:after="120"/>
      </w:pPr>
      <w:r>
        <w:rPr>
          <w:sz w:val="18"/>
        </w:rPr>
        <w:t>——————————————————————————————————————————————————————————————————————</w:t>
      </w:r>
    </w:p>
    <w:p>
      <w:pPr>
        <w:spacing w:before="160" w:after="40" w:line="240" w:lineRule="auto"/>
      </w:pPr>
      <w:r>
        <w:rPr>
          <w:b/>
        </w:rPr>
        <w:t xml:space="preserve">[217] </w:t>
      </w:r>
      <w:hyperlink r:id="rId537">
        <w:r>
          <w:rPr>
            <w:color w:val="1155CC"/>
            <w:u w:val="single"/>
          </w:rPr>
          <w:t>在囚禁离子量子计算机上实现数字量子磁性</w:t>
        </w:r>
      </w:hyperlink>
    </w:p>
    <w:p>
      <w:pPr>
        <w:spacing w:before="0" w:after="80"/>
      </w:pPr>
      <w:r>
        <w:rPr>
          <w:i/>
          <w:sz w:val="20"/>
        </w:rPr>
        <w:t>EN: Digital quantum magnetism on a trapped-ion quantum computer</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38">
        <w:r>
          <w:rPr>
            <w:color w:val="1155CC"/>
            <w:u w:val="single"/>
          </w:rPr>
          <w:t>10.1038/s41586-026-10445-3</w:t>
        </w:r>
      </w:hyperlink>
    </w:p>
    <w:p>
      <w:pPr>
        <w:spacing w:before="0" w:after="120"/>
      </w:pPr>
      <w:r>
        <w:rPr>
          <w:b/>
        </w:rPr>
        <w:t xml:space="preserve">Notes: </w:t>
      </w:r>
      <w:r>
        <w:t>abstract_source=nature_html</w:t>
      </w:r>
    </w:p>
    <w:p>
      <w:pPr>
        <w:spacing w:before="0" w:after="80" w:lineRule="auto" w:line="276"/>
      </w:pPr>
      <w:r>
        <w:rPr>
          <w:b/>
        </w:rPr>
        <w:t xml:space="preserve">摘要（ZH）: </w:t>
      </w:r>
      <w:r>
        <w:t>数字量子物质——当离散量子门近似连续时间演化时实现——容易加热到混沌、无结构的状态1。如果数字化误差得到充分抑制，可以在基于门的量子计算机上观察到大约能量守恒动力学的长寿命瞬态状态2,3,4,5,6,7。能量守恒反过来又使得能够探索平衡系统中观察到的各种复杂行为，从热化本身的非平凡微观起源8到具有奇异涌现属性的有效模型的稳定化。在此，我们使用Quantinuum的H2量子计算机9,10模拟量子Ising模型的数字化动力学，充分抑制数字化误差，以观察到在严重挑战经典模拟方法的时间尺度上的热化。非均匀状态的弛豫揭示了由于近似能量守恒而产生的涌现流体动力学，并且我们计算了相关的扩散常数。通过将我们的模拟重新编程到具有周期性边界条件的三角晶格上，我们观察到与晶格挫折11,12,13导致的涌现规范和拓扑约束一致的热化。我们的结果得益于两量子比特门质量的持续进步（本地部分纠缠器保真度为99.94(1)%），并确立了数字量子计算机作为研究（有效）连续时间动力学的强大工具。</w:t>
      </w:r>
    </w:p>
    <w:p>
      <w:pPr>
        <w:spacing w:before="0" w:after="200" w:lineRule="auto" w:line="276"/>
      </w:pPr>
      <w:r>
        <w:rPr>
          <w:b/>
        </w:rPr>
        <w:t xml:space="preserve">Abstract (EN): </w:t>
      </w:r>
      <w:r>
        <w:t>Digital quantum matter—realized when discrete quantum gates approximate continuous time evolution—is susceptible to heating into chaotic, structureless states1. If digitization errors are adequately suppressed, a long-lived transient regime of approximately energy-conserving dynamics2,3,4,5,6,7 can be observed on gate-based quantum computers. Conservation of energy, in turn, enables the exploration of a wide variety of complex behaviours observed in equilibrium systems, ranging from the non-trivial microscopic origins of thermalization itself8 to the stabilization of effective models hosting exotic emergent properties. Here we use Quantinuum’s H2 quantum computer9,10 to simulate digitized dynamics of the quantum Ising model, suppressing digitization errors well enough to observe thermalization on timescales that severely challenge classical simulation methods. Relaxation of an inhomogeneous state reveals an emergent hydrodynamics owing to approximate energy conservation and we compute the associated diffusion constant. By reprogramming our simulations to take place on a triangular lattice with periodic boundary conditions, we observe thermalization consistent with emergent gauge and topological constraints resulting from lattice frustration11,12,13. Our results were enabled by continued advances in two-qubit gate quality (native partial entangler fidelities of 99.94(1)%) and establish digital quantum computers as powerful tools for studying (effectively) continuous-time dynamics.</w:t>
      </w:r>
    </w:p>
    <w:p>
      <w:pPr>
        <w:spacing w:before="120" w:after="120"/>
      </w:pPr>
      <w:r>
        <w:rPr>
          <w:sz w:val="18"/>
        </w:rPr>
        <w:t>——————————————————————————————————————————————————————————————————————</w:t>
      </w:r>
    </w:p>
    <w:p>
      <w:pPr>
        <w:spacing w:before="160" w:after="40" w:line="240" w:lineRule="auto"/>
      </w:pPr>
      <w:r>
        <w:rPr>
          <w:b/>
        </w:rPr>
        <w:t xml:space="preserve">[218] </w:t>
      </w:r>
      <w:hyperlink r:id="rId539">
        <w:r>
          <w:rPr>
            <w:color w:val="1155CC"/>
            <w:u w:val="single"/>
          </w:rPr>
          <w:t>通过决策感知的机器学习改善基本药物的获取</w:t>
        </w:r>
      </w:hyperlink>
    </w:p>
    <w:p>
      <w:pPr>
        <w:spacing w:before="0" w:after="80"/>
      </w:pPr>
      <w:r>
        <w:rPr>
          <w:i/>
          <w:sz w:val="20"/>
        </w:rPr>
        <w:t>EN: Improving access to essential medicines via decision-aware machine learning</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40">
        <w:r>
          <w:rPr>
            <w:color w:val="1155CC"/>
            <w:u w:val="single"/>
          </w:rPr>
          <w:t>10.1038/s41586-026-10433-7</w:t>
        </w:r>
      </w:hyperlink>
    </w:p>
    <w:p>
      <w:pPr>
        <w:spacing w:before="0" w:after="120"/>
      </w:pPr>
      <w:r>
        <w:rPr>
          <w:b/>
        </w:rPr>
        <w:t xml:space="preserve">Notes: </w:t>
      </w:r>
      <w:r>
        <w:t>abstract_source=nature_html</w:t>
      </w:r>
    </w:p>
    <w:p>
      <w:pPr>
        <w:spacing w:before="0" w:after="80" w:lineRule="auto" w:line="276"/>
      </w:pPr>
      <w:r>
        <w:rPr>
          <w:b/>
        </w:rPr>
        <w:t xml:space="preserve">摘要（ZH）: </w:t>
      </w:r>
      <w:r>
        <w:t>低收入和中等收入国家的医疗系统面临的一个关键挑战是稀缺资源的高效和公平分配，特别是基本药物1。这个问题因高质量数据的有限性而变得复杂，这限制了传统数据驱动技术的适用性2,3,4,5。在此，我们提出了一种新颖的决策感知机器学习框架用于基本药物的分配，该框架还利用多任务学习以确保样本效率，并利用催化先验以确保公平分配。我们与塞拉利昂国家政府合作，作为决策支持工具进行了分阶段的全国部署。我们的计量经济学评估发现，在处理过的地区，分配产品的消费量估计增加了19%，证明了其在改善基本药物获取方面的有效性。我们的工具随后在全国范围内扩展，覆盖了估计两百万名妇女和五岁以下儿童。我们的工作展示了机器学习方法如何在资源受限的全球健康环境中以极低的成本提高效率。</w:t>
      </w:r>
    </w:p>
    <w:p>
      <w:pPr>
        <w:spacing w:before="0" w:after="200" w:lineRule="auto" w:line="276"/>
      </w:pPr>
      <w:r>
        <w:rPr>
          <w:b/>
        </w:rPr>
        <w:t xml:space="preserve">Abstract (EN): </w:t>
      </w:r>
      <w:r>
        <w:t>A critical challenge in healthcare systems in low- and middle-income countries is the efficient and equitable allocation of scarce resources, particularly essential medicines1. This problem is complicated by limited high-quality data, which restricts the applicability of traditional data-driven techniques2,3,4,5. Here we propose a novel decision-aware machine learning framework for the allocation of essential medicines, which additionally leverages multi-task learning to ensure sample efficiency and catalytic priors to ensure equitable allocation. In collaboration with the national government of Sierra Leone, we performed a staggered, nationwide deployment of our system as a decision support tool. Our econometric evaluation finds an estimated 19% increase in consumption of allocated products in treated districts, demonstrating its efficacy at improving access to essential medicines. Our tool was subsequently scaled nationwide, covering an estimated two million women and children under 5 years of age. Our work demonstrates how machine learning methods can improve efficiency at very low cost in resource-constrained global health settings.</w:t>
      </w:r>
    </w:p>
    <w:p>
      <w:pPr>
        <w:spacing w:before="120" w:after="120"/>
      </w:pPr>
      <w:r>
        <w:rPr>
          <w:sz w:val="18"/>
        </w:rPr>
        <w:t>——————————————————————————————————————————————————————————————————————</w:t>
      </w:r>
    </w:p>
    <w:p>
      <w:pPr>
        <w:spacing w:before="160" w:after="40" w:line="240" w:lineRule="auto"/>
      </w:pPr>
      <w:r>
        <w:rPr>
          <w:b/>
        </w:rPr>
        <w:t xml:space="preserve">[219] </w:t>
      </w:r>
      <w:hyperlink r:id="rId541">
        <w:r>
          <w:rPr>
            <w:color w:val="1155CC"/>
            <w:u w:val="single"/>
          </w:rPr>
          <w:t>菱形薄石墨中的跨维异常霍尔效应</w:t>
        </w:r>
      </w:hyperlink>
    </w:p>
    <w:p>
      <w:pPr>
        <w:spacing w:before="0" w:after="80"/>
      </w:pPr>
      <w:r>
        <w:rPr>
          <w:i/>
          <w:sz w:val="20"/>
        </w:rPr>
        <w:t>EN: Transdimensional anomalous Hall effect in rhombohedral thin graphite</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42">
        <w:r>
          <w:rPr>
            <w:color w:val="1155CC"/>
            <w:u w:val="single"/>
          </w:rPr>
          <w:t>10.1038/s41586-026-10471-1</w:t>
        </w:r>
      </w:hyperlink>
    </w:p>
    <w:p>
      <w:pPr>
        <w:spacing w:before="0" w:after="120"/>
      </w:pPr>
      <w:r>
        <w:rPr>
          <w:b/>
        </w:rPr>
        <w:t xml:space="preserve">Notes: </w:t>
      </w:r>
      <w:r>
        <w:t>abstract_source=nature_html</w:t>
      </w:r>
    </w:p>
    <w:p>
      <w:pPr>
        <w:spacing w:before="0" w:after="80" w:lineRule="auto" w:line="276"/>
      </w:pPr>
      <w:r>
        <w:rPr>
          <w:b/>
        </w:rPr>
        <w:t xml:space="preserve">摘要（ZH）: </w:t>
      </w:r>
      <w:r>
        <w:t>异常霍尔效应（AHE）发生在时间反演对称性被破坏的材料中，体现了磁序和电子轨道运动之间的相互作用1,2,3,4。在二维（2D）系统中，AHE与平面内手性轨道运动相关的面外轨道磁化耦合。在三维（3D）系统中，其中样品厚度远超过垂直相干传输长度lz，AHE实际上是厚度平均的2D对应物4——仍然由平面内轨道运动引起的面外轨道磁化控制。在此，我们报告了一种根本上新型的AHE的实验观察，该效应在多层菱形石墨烯中耦合了平面内和面外轨道磁化，表现为在平面内和面外磁场下显著的霍尔电阻滞后。这种状态源于一种特殊的金属相，该相自发地破坏了时间反演、镜像和旋转对称性，由电子-电子相互作用驱动。通过测量跨越3-15层的多个器件，我们发现这种现象仅在2-5 nm的中间厚度内出现。理论计算表明，这个窗口内的载流子可以在2D平面内和跨越2D平面之间维持相干轨道运动。总之，这些识别出一种未探索的‘跨维’状态，介于2D和3D之间，其中样品厚度远大于原子间距但仍与lz相当，以便这种新物质状态——跨维AHE的出现。我们的发现指出了一种独特的AHE类别，开启</w:t>
      </w:r>
    </w:p>
    <w:p>
      <w:pPr>
        <w:spacing w:before="0" w:after="200" w:lineRule="auto" w:line="276"/>
      </w:pPr>
      <w:r>
        <w:rPr>
          <w:b/>
        </w:rPr>
        <w:t xml:space="preserve">Abstract (EN): </w:t>
      </w:r>
      <w:r>
        <w:t>Anomalous Hall effect (AHE), occurring in materials with broken time-reversal symmetry, epitomizes the interplay between magnetic order and electron orbital motions1,2,3,4. In two-dimensional (2D) systems, AHE is coupled with out-of-plane orbital magnetization associated with in-plane chiral orbital motions. In three-dimensional (3D) systems, in which sample thickness far exceeds a vertical coherence-transport length lz, the AHE is effectively a thickness-averaged 2D counterpart4—still governed by out-of-plane orbital magnetization arising from in-plane orbital motions. Here we report the experimental observation of a fundamentally new type of AHE that couples both in-plane and out-of-plane orbital magnetizations in multilayer rhombohedral graphene, shown by pronounced Hall resistance hysteresis under both in-plane and out-of-plane magnetic fields. This state emerges from a peculiar metallic phase that spontaneously breaks time-reversal, mirror and rotational symmetries driven by electron–electron interactions. By measuring multiple devices spanning 3–15 layers, we find that this phenomenon emerges only within an intermediate thickness of 2–5 nm. Theoretical calculations show that carriers within this window can sustain coherent orbital motions both within and across the 2D plane. Together, these identify an uncharted ‘transdimensional’ regime between 2D and 3D, in which the sample thickness is much larger than atomic spacing yet remains comparable to lz, for the emergence of this new state of matter—transdimensional AHE. Our findings point to a distinct class of AHE, opening an unexplored model for correlated and topological physics in transdimensional landscapes.</w:t>
      </w:r>
    </w:p>
    <w:p>
      <w:pPr>
        <w:spacing w:before="120" w:after="120"/>
      </w:pPr>
      <w:r>
        <w:rPr>
          <w:sz w:val="18"/>
        </w:rPr>
        <w:t>——————————————————————————————————————————————————————————————————————</w:t>
      </w:r>
    </w:p>
    <w:p>
      <w:pPr>
        <w:spacing w:before="160" w:after="40" w:line="240" w:lineRule="auto"/>
      </w:pPr>
      <w:r>
        <w:rPr>
          <w:b/>
        </w:rPr>
        <w:t xml:space="preserve">[220] </w:t>
      </w:r>
      <w:hyperlink r:id="rId543">
        <w:r>
          <w:rPr>
            <w:color w:val="1155CC"/>
            <w:u w:val="single"/>
          </w:rPr>
          <w:t>将免疫疗法直接送入肿瘤而非静脉注射可减少不良反应</w:t>
        </w:r>
      </w:hyperlink>
    </w:p>
    <w:p>
      <w:pPr>
        <w:spacing w:before="0" w:after="80"/>
      </w:pPr>
      <w:r>
        <w:rPr>
          <w:i/>
          <w:sz w:val="20"/>
        </w:rPr>
        <w:t>EN: Delivering an immune therapy into tumours instead of intravenously reduces adverse effects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44">
        <w:r>
          <w:rPr>
            <w:color w:val="1155CC"/>
            <w:u w:val="single"/>
          </w:rPr>
          <w:t>10.1038/d41586-026-01193-5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[221] </w:t>
      </w:r>
      <w:hyperlink r:id="rId545">
        <w:r>
          <w:rPr>
            <w:color w:val="1155CC"/>
            <w:u w:val="single"/>
          </w:rPr>
          <w:t>在诱发地震序列中大规模事件不太可能发生</w:t>
        </w:r>
      </w:hyperlink>
    </w:p>
    <w:p>
      <w:pPr>
        <w:spacing w:before="0" w:after="80"/>
      </w:pPr>
      <w:r>
        <w:rPr>
          <w:i/>
          <w:sz w:val="20"/>
        </w:rPr>
        <w:t>EN: Large-magnitude events unlikely in induced earthquake sequences</w:t>
      </w:r>
    </w:p>
    <w:p>
      <w:pPr>
        <w:spacing w:before="0" w:after="120"/>
      </w:pPr>
      <w:r>
        <w:rPr>
          <w:b/>
        </w:rPr>
        <w:t xml:space="preserve">Source: </w:t>
      </w:r>
      <w:r>
        <w:t>Nature Communications</w:t>
      </w:r>
      <w:r>
        <w:t xml:space="preserve">    </w:t>
      </w:r>
      <w:r>
        <w:rPr>
          <w:b/>
        </w:rPr>
        <w:t xml:space="preserve">Pub date: </w:t>
      </w:r>
      <w:r>
        <w:t>2026-04-29 00:00:00+00:00</w:t>
      </w:r>
      <w:r>
        <w:t xml:space="preserve">    </w:t>
      </w:r>
      <w:r>
        <w:rPr>
          <w:b/>
        </w:rPr>
        <w:t xml:space="preserve">DOI: </w:t>
      </w:r>
      <w:hyperlink r:id="rId546">
        <w:r>
          <w:rPr>
            <w:color w:val="1155CC"/>
            <w:u w:val="single"/>
          </w:rPr>
          <w:t>10.1038/s41467-026-72219-9</w:t>
        </w:r>
      </w:hyperlink>
    </w:p>
    <w:p>
      <w:pPr>
        <w:spacing w:before="0" w:after="120"/>
      </w:pPr>
      <w:r>
        <w:rPr>
          <w:b/>
        </w:rPr>
        <w:t xml:space="preserve">Notes: </w:t>
      </w:r>
      <w:r>
        <w:t>abstract_source=nature_html</w:t>
      </w:r>
    </w:p>
    <w:p>
      <w:pPr>
        <w:spacing w:before="0" w:after="80" w:lineRule="auto" w:line="276"/>
      </w:pPr>
      <w:r>
        <w:rPr>
          <w:b/>
        </w:rPr>
        <w:t xml:space="preserve">摘要（ZH）: </w:t>
      </w:r>
      <w:r>
        <w:t>向地下注入流体经常会引发地震，但这些事件的最大规模仍然难以预测。地震频率通常被假设为随震级呈指数衰减，这一模型很好地适用于自然地震活动。在此，我们使用全球注入诱发序列的汇编来展示这一模型在大约一半的情况下失效，这些情况下较大事件的发生率反而下降。数值模拟和诱发地震的观察空间模式表明，注入点附近的异质加载和无序的断层网络可能限制大破裂的增长。这些结果为为什么诱发地震通常保持在震级2-3以下提供了可能的解释，并为在注入操作之前和期间评估地震危险提供了基础。</w:t>
      </w:r>
    </w:p>
    <w:p>
      <w:pPr>
        <w:spacing w:before="0" w:after="200" w:lineRule="auto" w:line="276"/>
      </w:pPr>
      <w:r>
        <w:rPr>
          <w:b/>
        </w:rPr>
        <w:t xml:space="preserve">Abstract (EN): </w:t>
      </w:r>
      <w:r>
        <w:t>Injecting fluids into the subsurface frequently triggers earthquakes, yet the maximum size of these events remains difficult to forecast. Earthquake frequencies are typically assumed to decay exponentially with magnitude, a model that fits natural seismicity well. Here, we use a global compilation of injection-induced sequences to show that this model breaks down for about half of the cases, which instead show a downturn in the occurrence of larger events. Numerical simulations and observed spatial patterns of induced seismicity suggest that heterogeneous loading near injection sites and disorganized fault networks may limit the growth of large ruptures. These results provide a possible explanation for why induced earthquakes often remain below magnitude 2–3 and provide a basis for evaluating seismic hazard before and during injection operations.</w:t>
      </w:r>
    </w:p>
    <w:p>
      <w:pPr>
        <w:spacing w:before="120" w:after="120"/>
      </w:pPr>
      <w:r>
        <w:rPr>
          <w:sz w:val="18"/>
        </w:rPr>
        <w:t>——————————————————————————————————————————————————————————————————————</w:t>
      </w:r>
    </w:p>
    <w:p>
      <w:pPr>
        <w:spacing w:before="160" w:after="40" w:line="240" w:lineRule="auto"/>
      </w:pPr>
      <w:r>
        <w:rPr>
          <w:b/>
        </w:rPr>
        <w:t xml:space="preserve">[222] </w:t>
      </w:r>
      <w:hyperlink r:id="rId547">
        <w:r>
          <w:rPr>
            <w:color w:val="1155CC"/>
            <w:u w:val="single"/>
          </w:rPr>
          <w:t>有机硅簇变为铁电体</w:t>
        </w:r>
      </w:hyperlink>
    </w:p>
    <w:p>
      <w:pPr>
        <w:spacing w:before="0" w:after="80"/>
      </w:pPr>
      <w:r>
        <w:rPr>
          <w:i/>
          <w:sz w:val="20"/>
        </w:rPr>
        <w:t>EN: Organosilicon cluster goes ferroelectric</w:t>
      </w:r>
    </w:p>
    <w:p>
      <w:pPr>
        <w:spacing w:before="0" w:after="120"/>
      </w:pPr>
      <w:r>
        <w:rPr>
          <w:b/>
        </w:rPr>
        <w:t xml:space="preserve">Source: </w:t>
      </w:r>
      <w:r>
        <w:t>National Science Review Advance Access</w:t>
      </w:r>
      <w:r>
        <w:t xml:space="preserve">    </w:t>
      </w:r>
      <w:r>
        <w:rPr>
          <w:b/>
        </w:rPr>
        <w:t xml:space="preserve">Pub date: </w:t>
      </w:r>
      <w:r>
        <w:t>2026-04-29 00:00:00+00:00</w:t>
      </w:r>
      <w:r>
        <w:t xml:space="preserve">    </w:t>
      </w:r>
      <w:r>
        <w:rPr>
          <w:b/>
        </w:rPr>
        <w:t xml:space="preserve">DOI: </w:t>
      </w:r>
      <w:hyperlink r:id="rId548">
        <w:r>
          <w:rPr>
            <w:color w:val="1155CC"/>
            <w:u w:val="single"/>
          </w:rPr>
          <w:t>10.1093/nsr/nwag243</w:t>
        </w:r>
      </w:hyperlink>
    </w:p>
    <w:p>
      <w:pPr>
        <w:spacing w:before="0" w:after="120"/>
      </w:pPr>
      <w:r>
        <w:rPr>
          <w:b/>
        </w:rPr>
        <w:t xml:space="preserve">Notes: </w:t>
      </w:r>
      <w:r>
        <w:t>abstract_source=rss_oup</w:t>
      </w:r>
    </w:p>
    <w:p>
      <w:pPr>
        <w:spacing w:before="0" w:after="80" w:lineRule="auto" w:line="276"/>
      </w:pPr>
      <w:r>
        <w:rPr>
          <w:b/>
        </w:rPr>
        <w:t xml:space="preserve">摘要（ZH）: </w:t>
      </w:r>
      <w:r>
        <w:t>铁电体和簇团作为两类重要的功能材料独立地吸引了大量关注。通过将铁电性引入簇团来连接这两个领域提供了一种克服传统小分子材料固有局限性的引人注目的策略。然而，基于簇团的铁电体仍然极为罕见且难以实现。在这项研究中，我们报告了一个有机硅分子簇铁电体，氨丙基异丁基Si8O12簇（1），通过引入带有极性–NH2基团的扭曲四面体单元实现。晶体1在328 K经历3F1型铁电-铁弹性相变，伴随着光学双折射的明显开/关切换行为。综合结构和物理表征证实了铁电性和铁弹性的共存。值得注意的是，这种多铁性晶体表现出优异的热稳定性，高化学稳健性，大量的极性轴，显著的熵变，以及与先前报道的有机硅铁电晶体相比较低的弹性模量。据我们所知，晶体1是第一个有机硅簇铁电体，为有机硅和分子铁电体建立了新的设计范式。</w:t>
      </w:r>
    </w:p>
    <w:p>
      <w:pPr>
        <w:spacing w:before="0" w:after="200" w:lineRule="auto" w:line="276"/>
      </w:pPr>
      <w:r>
        <w:rPr>
          <w:b/>
        </w:rPr>
        <w:t xml:space="preserve">Abstract (EN): </w:t>
      </w:r>
      <w:r>
        <w:t>Ferroelectrics and clusters have independently attracted significant attention as two important classes of functional materials. Bridging these two fields by introducing ferroelectricity into clusters offers a compelling strategy to overcome the intrinsic limitations of conventional small-molecule materials. However, cluster-based ferroelectrics remain exceedingly rare and challenging to realize. In this study, we report the construction of an organosilicon molecular cluster ferroelectric, aminopropyl isobutyl Si8O12 cluster (1), achieved by introducing distorted tetrahedral units with a polar –NH2 group. Crystal 1 undergoes a 3F1-type ferroelectric-ferroelastic phase transition at 328 K, accompanied by a distinct on/off switching behavior of optical birefringence. Comprehensive structural and physical characterizations confirm the coexistence of ferroelectricity and ferroelasticity. Remarkably, this multiferroic crystal demonstrates excellent thermal stability, high chemical robustness, a large number of polar axes, pronounced entropy change, and a low elastic modulus compared with previously reported organosilicon ferroelectric crystals. To the best of our knowledge, Crystal 1 is the first organosilicon cluster ferroelectric, establishing a new design paradigm for organosilicon and molecular ferroelectrics.</w:t>
      </w:r>
    </w:p>
    <w:p>
      <w:pPr>
        <w:spacing w:before="120" w:after="120"/>
      </w:pPr>
      <w:r>
        <w:rPr>
          <w:sz w:val="18"/>
        </w:rPr>
        <w:t>——————————————————————————————————————————————————————————————————————</w:t>
      </w:r>
    </w:p>
    <w:p>
      <w:pPr>
        <w:spacing w:before="160" w:after="40" w:line="240" w:lineRule="auto"/>
      </w:pPr>
      <w:r>
        <w:rPr>
          <w:b/>
        </w:rPr>
        <w:t xml:space="preserve">[223] </w:t>
      </w:r>
      <w:hyperlink r:id="rId549">
        <w:r>
          <w:rPr>
            <w:color w:val="1155CC"/>
            <w:u w:val="single"/>
          </w:rPr>
          <w:t>肿瘤内抗CTLA4与静脉注射抗PD1的安全性和有效性</w:t>
        </w:r>
      </w:hyperlink>
    </w:p>
    <w:p>
      <w:pPr>
        <w:spacing w:before="0" w:after="80"/>
      </w:pPr>
      <w:r>
        <w:rPr>
          <w:i/>
          <w:sz w:val="20"/>
        </w:rPr>
        <w:t>EN: Safety and efficacy of intratumoural anti-CTLA4 with intravenous anti-PD1</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50">
        <w:r>
          <w:rPr>
            <w:color w:val="1155CC"/>
            <w:u w:val="single"/>
          </w:rPr>
          <w:t>10.1038/s41586-026-10341-w</w:t>
        </w:r>
      </w:hyperlink>
    </w:p>
    <w:p>
      <w:pPr>
        <w:spacing w:before="0" w:after="120"/>
      </w:pPr>
      <w:r>
        <w:rPr>
          <w:b/>
        </w:rPr>
        <w:t xml:space="preserve">Notes: </w:t>
      </w:r>
      <w:r>
        <w:t>abstract_source=nature_html</w:t>
      </w:r>
    </w:p>
    <w:p>
      <w:pPr>
        <w:spacing w:before="0" w:after="80" w:lineRule="auto" w:line="276"/>
      </w:pPr>
      <w:r>
        <w:rPr>
          <w:b/>
        </w:rPr>
        <w:t xml:space="preserve">摘要（ZH）: </w:t>
      </w:r>
      <w:r>
        <w:t>抗CTLA4与抗PD1的静脉给药可提供持久的肿瘤反应，但会导致癌症患者出现严重的治疗相关不良事件。低剂量但高局部浓度的肿瘤内给药可以增强抗肿瘤疗效，同时减少全身暴露和毒性。我们在此报告随机多中心1b期NIVIPIT试验（ClinicalTrials.gov: NCT02857569），该试验招募了61名未经治疗的转移性黑色素瘤患者，按2:1随机分配接受静脉注射nivolumab（抗PD1；1 mg kg−1）联合肿瘤内注射ipilimumab（抗CTLA4；0.3 mg kg−1）或静脉注射ipilimumab（3 mg kg−1）。主要终点在肿瘤内与静脉组中6个月时显著降低的3级或4级治疗相关不良事件发生率（22.6%对57.1%），相当于抗PD1单药治疗。RECIST（实体瘤反应评估标准）最佳客观反应率为抗CTLA4注射病灶达到65.7%，未注射病灶为50%，证实了肿瘤内暴露于抗CTLA4与疗效之间的关系。基线肿瘤免疫分析显示，促肿瘤活化的调节性T（Treg）细胞和M2巨噬细胞可预测持久的临床获益，无论抗CTLA4的给药途径如何。仅在显示持久临床获益的患者中观察到活化的肿瘤内Treg细胞减少，这些患者还表现出高肿瘤内Fcγ受体（FcγR）表达。我们的结果为肿瘤内抗CTLA4策略提供了理论依据。</w:t>
      </w:r>
    </w:p>
    <w:p>
      <w:pPr>
        <w:spacing w:before="0" w:after="200" w:lineRule="auto" w:line="276"/>
      </w:pPr>
      <w:r>
        <w:rPr>
          <w:b/>
        </w:rPr>
        <w:t xml:space="preserve">Abstract (EN): </w:t>
      </w:r>
      <w:r>
        <w:t>Intravenous administration of anti-CTLA4 with anti-PD1 provides durable tumour responses but causes severe treatment-related adverse events in patients with cancer1. Intratumoural administration at lower doses but high local concentrations could enhance antitumour efficacy while minimizing systemic exposure and toxicity. Here we report the randomized multicentre phase 1b NIVIPIT trial (ClinicalTrials.gov: NCT02857569), which enrolled 61 patients with untreated metastatic melanoma, randomly assigned 2:1 to receive intravenous nivolumab (anti-PD1; 1 mg kg−1) combined with either intratumoural ipilimumab (anti-CTLA4; 0.3 mg kg−1) or intravenous ipilimumab (3 mg kg−1). The primary end-point was met with significantly lower incidence of grade 3 or 4 treatment-related adverse events at 6 months in the intratumoural versus intravenous arm (22.6% versus 57.1%), equivalent to anti-PD1 monotherapy. RECIST (response evaluation criteria in solid tumours) best objective response rate reached 65.7% for anti-CTLA4 injected lesions and 50% for uninjected lesions, confirming the relationship between intratumoural exposure to anti-CTLA4 and efficacy. Baseline tumour immune profiling revealed that protumoural activated regulatory T (Treg) cells and M2 macrophages predict durable clinical benefit, regardless of the anti-CTLA4 administration route. A decrease in activated intratumoural Treg cells occurred only in patients who showed durable clinical benefit, who also presented high intratumoural Fcγ receptor (FcγR) expression. Our results provide a rationale for intratumoural anti-CTLA4 strategies in oligometastatic and early-stage cancers and indicate that high intratumoural activated Treg cell and FcγR+ M2 macrophage numbers are prerequisites for efficacy of combined anti-CTLA4 and anti-PD1.</w:t>
      </w:r>
    </w:p>
    <w:p>
      <w:pPr>
        <w:spacing w:before="120" w:after="120"/>
      </w:pPr>
      <w:r>
        <w:rPr>
          <w:sz w:val="18"/>
        </w:rPr>
        <w:t>——————————————————————————————————————————————————————————————————————</w:t>
      </w:r>
    </w:p>
    <w:p>
      <w:pPr>
        <w:spacing w:before="160" w:after="40" w:line="240" w:lineRule="auto"/>
      </w:pPr>
      <w:r>
        <w:rPr>
          <w:b/>
        </w:rPr>
        <w:t xml:space="preserve">[224] </w:t>
      </w:r>
      <w:hyperlink r:id="rId551">
        <w:r>
          <w:rPr>
            <w:color w:val="1155CC"/>
            <w:u w:val="single"/>
          </w:rPr>
          <w:t>回复：高估外包生物多样性损失可能误导政策</w:t>
        </w:r>
      </w:hyperlink>
    </w:p>
    <w:p>
      <w:pPr>
        <w:spacing w:before="0" w:after="80"/>
      </w:pPr>
      <w:r>
        <w:rPr>
          <w:i/>
          <w:sz w:val="20"/>
        </w:rPr>
        <w:t>EN: Reply to: Overestimating outsourced biodiversity loss may misguide policy</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52">
        <w:r>
          <w:rPr>
            <w:color w:val="1155CC"/>
            <w:u w:val="single"/>
          </w:rPr>
          <w:t>10.1038/s41586-026-10371-4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[225] </w:t>
      </w:r>
      <w:hyperlink r:id="rId553">
        <w:r>
          <w:rPr>
            <w:color w:val="1155CC"/>
            <w:u w:val="single"/>
          </w:rPr>
          <w:t>高估外包生物多样性损失可能误导政策</w:t>
        </w:r>
      </w:hyperlink>
    </w:p>
    <w:p>
      <w:pPr>
        <w:spacing w:before="0" w:after="80"/>
      </w:pPr>
      <w:r>
        <w:rPr>
          <w:i/>
          <w:sz w:val="20"/>
        </w:rPr>
        <w:t>EN: Overestimating outsourced biodiversity loss may misguide policy</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54">
        <w:r>
          <w:rPr>
            <w:color w:val="1155CC"/>
            <w:u w:val="single"/>
          </w:rPr>
          <w:t>10.1038/s41586-026-10370-5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[226] </w:t>
      </w:r>
      <w:hyperlink r:id="rId555">
        <w:r>
          <w:rPr>
            <w:color w:val="1155CC"/>
            <w:u w:val="single"/>
          </w:rPr>
          <w:t>作者更正：过去300万年大气CO2和CH4水平大体稳定</w:t>
        </w:r>
      </w:hyperlink>
    </w:p>
    <w:p>
      <w:pPr>
        <w:spacing w:before="0" w:after="80"/>
      </w:pPr>
      <w:r>
        <w:rPr>
          <w:i/>
          <w:sz w:val="20"/>
        </w:rPr>
        <w:t>EN: Author Correction: Broadly stable atmospheric CO2 and CH4 levels over the past 3 million years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56">
        <w:r>
          <w:rPr>
            <w:color w:val="1155CC"/>
            <w:u w:val="single"/>
          </w:rPr>
          <w:t>10.1038/s41586-026-10600-w</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[227] </w:t>
      </w:r>
      <w:hyperlink r:id="rId557">
        <w:r>
          <w:rPr>
            <w:color w:val="1155CC"/>
            <w:u w:val="single"/>
          </w:rPr>
          <w:t>在催化水处理中引导能量流动以解决水-能源关系</w:t>
        </w:r>
      </w:hyperlink>
    </w:p>
    <w:p>
      <w:pPr>
        <w:spacing w:before="0" w:after="80"/>
      </w:pPr>
      <w:r>
        <w:rPr>
          <w:i/>
          <w:sz w:val="20"/>
        </w:rPr>
        <w:t>EN: Steering energy flow in catalytic water treatment to address the water-energy nexus</w:t>
      </w:r>
    </w:p>
    <w:p>
      <w:pPr>
        <w:spacing w:before="0" w:after="120"/>
      </w:pPr>
      <w:r>
        <w:rPr>
          <w:b/>
        </w:rPr>
        <w:t xml:space="preserve">Source: </w:t>
      </w:r>
      <w:r>
        <w:t>Chem</w:t>
      </w:r>
      <w:r>
        <w:t xml:space="preserve">    </w:t>
      </w:r>
      <w:r>
        <w:rPr>
          <w:b/>
        </w:rPr>
        <w:t xml:space="preserve">Pub date: </w:t>
      </w:r>
      <w:r>
        <w:t>2026-04-29 00:00:00+00:00</w:t>
      </w:r>
      <w:r>
        <w:t xml:space="preserve">    </w:t>
      </w:r>
      <w:r>
        <w:rPr>
          <w:b/>
        </w:rPr>
        <w:t xml:space="preserve">DOI: </w:t>
      </w:r>
      <w:hyperlink r:id="rId558">
        <w:r>
          <w:rPr>
            <w:color w:val="1155CC"/>
            <w:u w:val="single"/>
          </w:rPr>
          <w:t>10.1016/j.chempr.2026.103042</w:t>
        </w:r>
      </w:hyperlink>
    </w:p>
    <w:p>
      <w:pPr>
        <w:spacing w:before="0" w:after="120"/>
      </w:pPr>
      <w:r>
        <w:rPr>
          <w:b/>
        </w:rPr>
        <w:t xml:space="preserve">Notes: </w:t>
      </w:r>
      <w:r>
        <w:t>abstract_source=rss_cell</w:t>
      </w:r>
    </w:p>
    <w:p>
      <w:pPr>
        <w:spacing w:before="0" w:after="80" w:lineRule="auto" w:line="276"/>
      </w:pPr>
      <w:r>
        <w:rPr>
          <w:b/>
        </w:rPr>
        <w:t xml:space="preserve">摘要（ZH）: </w:t>
      </w:r>
      <w:r>
        <w:t>这篇综述解释了热能、光能和电能如何驱动水处理和资源回收，超越简单的污染物去除。它强调了结合这些能源如何有助于构建更可持续、节能的未来水系统。</w:t>
      </w:r>
    </w:p>
    <w:p>
      <w:pPr>
        <w:spacing w:before="0" w:after="200" w:lineRule="auto" w:line="276"/>
      </w:pPr>
      <w:r>
        <w:rPr>
          <w:b/>
        </w:rPr>
        <w:t xml:space="preserve">Abstract (EN): </w:t>
      </w:r>
      <w:r>
        <w:t>This review explains how thermal, light, and electric energy can drive water treatment and resource recovery, moving beyond simple pollutant removal. It highlights how combining these energy sources can help build more sustainable, energy-efficient water systems for the future.</w:t>
      </w:r>
    </w:p>
    <w:p>
      <w:pPr>
        <w:spacing w:before="120" w:after="120"/>
      </w:pPr>
      <w:r>
        <w:rPr>
          <w:sz w:val="18"/>
        </w:rPr>
        <w:t>——————————————————————————————————————————————————————————————————————</w:t>
      </w:r>
    </w:p>
    <w:p>
      <w:pPr>
        <w:spacing w:before="160" w:after="40" w:line="240" w:lineRule="auto"/>
      </w:pPr>
      <w:r>
        <w:rPr>
          <w:b/>
        </w:rPr>
        <w:t xml:space="preserve">[228] </w:t>
      </w:r>
      <w:hyperlink r:id="rId559">
        <w:r>
          <w:rPr>
            <w:color w:val="1155CC"/>
            <w:u w:val="single"/>
          </w:rPr>
          <w:t>纤维粘附动力学通过波形蛋白细胞骨架控制核机械响应的时间尺度</w:t>
        </w:r>
      </w:hyperlink>
    </w:p>
    <w:p>
      <w:pPr>
        <w:spacing w:before="0" w:after="80"/>
      </w:pPr>
      <w:r>
        <w:rPr>
          <w:i/>
          <w:sz w:val="20"/>
        </w:rPr>
        <w:t>EN: Fibrillar adhesion dynamics govern the timescales of nuclear mechano-response via the vimentin cytoskeleton</w:t>
      </w:r>
    </w:p>
    <w:p>
      <w:pPr>
        <w:spacing w:before="0" w:after="120"/>
      </w:pPr>
      <w:r>
        <w:rPr>
          <w:b/>
        </w:rPr>
        <w:t xml:space="preserve">Source: </w:t>
      </w:r>
      <w:r>
        <w:t>Nature Materials</w:t>
      </w:r>
      <w:r>
        <w:t xml:space="preserve">    </w:t>
      </w:r>
      <w:r>
        <w:rPr>
          <w:b/>
        </w:rPr>
        <w:t xml:space="preserve">Pub date: </w:t>
      </w:r>
      <w:r>
        <w:t>2026-04-29 00:00:00+00:00</w:t>
      </w:r>
      <w:r>
        <w:t xml:space="preserve">    </w:t>
      </w:r>
      <w:r>
        <w:rPr>
          <w:b/>
        </w:rPr>
        <w:t xml:space="preserve">DOI: </w:t>
      </w:r>
      <w:hyperlink r:id="rId560">
        <w:r>
          <w:rPr>
            <w:color w:val="1155CC"/>
            <w:u w:val="single"/>
          </w:rPr>
          <w:t>10.1038/s41563-026-02590-x</w:t>
        </w:r>
      </w:hyperlink>
    </w:p>
    <w:p>
      <w:pPr>
        <w:spacing w:before="0" w:after="120"/>
      </w:pPr>
      <w:r>
        <w:rPr>
          <w:b/>
        </w:rPr>
        <w:t xml:space="preserve">Notes: </w:t>
      </w:r>
      <w:r>
        <w:t>abstract_source=nature_html</w:t>
      </w:r>
    </w:p>
    <w:p>
      <w:pPr>
        <w:spacing w:before="0" w:after="80" w:lineRule="auto" w:line="276"/>
      </w:pPr>
      <w:r>
        <w:rPr>
          <w:b/>
        </w:rPr>
        <w:t xml:space="preserve">摘要（ZH）: </w:t>
      </w:r>
      <w:r>
        <w:t>细胞核不断暴露于化学和机械性质的外部信号。为了确保适当的细胞反应，细胞需要调节这些信号的传递、时间和持续时间。虽然这种时间尺度调节对于化学信号已被很好地描述，但是否以及如何适用于到达细胞核的机械信号仍未完全理解。我们在此展示了纤维粘附的形成将细胞核锁定在机械变形的构象中，将机械响应时间尺度设定为纤维粘附重塑的时间（约1小时）。这一过程包括机械变形和相关的机械转导（如通过YAP），响应于机械刺激的增加和减少。其潜在机制是通过plectin 1f将波形蛋白细胞骨架锚定到纤维粘附和细胞外基质上，从而维持核变形。我们的结果揭示了一种调节机械适应时间尺度的机制，有效地为机械转导设置了低通滤波器。</w:t>
      </w:r>
    </w:p>
    <w:p>
      <w:pPr>
        <w:spacing w:before="0" w:after="200" w:lineRule="auto" w:line="276"/>
      </w:pPr>
      <w:r>
        <w:rPr>
          <w:b/>
        </w:rPr>
        <w:t xml:space="preserve">Abstract (EN): </w:t>
      </w:r>
      <w:r>
        <w:t>The cell nucleus is continuously exposed to external signals, of both chemical and mechanical nature. To ensure proper cellular response, cells need to regulate the transmission, timing and duration of these signals. Although such timescale regulation is well described for chemical signals, whether and how it applies to mechanical signals reaching the nucleus is still not fully understood. Here we demonstrate that the formation of fibrillar adhesions locks the nucleus in a mechanically deformed conformation, setting the mechano-response timescale to that of fibrillar adhesion remodelling (~1 h). This process encompasses both mechanical deformation and associated mechanotransduction (such as via YAP), in response to both increased and decreased mechanical stimulation. The underlying mechanism is the anchoring of the vimentin cytoskeleton to fibrillar adhesions and the extracellular matrix through plectin 1f, which maintains nuclear deformation. Our results reveal a mechanism to regulate the timescale of mechanical adaptation, effectively setting a low-pass filter to mechanotransduction.</w:t>
      </w:r>
    </w:p>
    <w:p>
      <w:pPr>
        <w:spacing w:before="120" w:after="120"/>
      </w:pPr>
      <w:r>
        <w:rPr>
          <w:sz w:val="18"/>
        </w:rPr>
        <w:t>——————————————————————————————————————————————————————————————————————</w:t>
      </w:r>
    </w:p>
    <w:p>
      <w:pPr>
        <w:spacing w:before="160" w:after="40" w:line="240" w:lineRule="auto"/>
      </w:pPr>
      <w:r>
        <w:rPr>
          <w:b/>
        </w:rPr>
        <w:t xml:space="preserve">[229] </w:t>
      </w:r>
      <w:hyperlink r:id="rId561">
        <w:r>
          <w:rPr>
            <w:color w:val="1155CC"/>
            <w:u w:val="single"/>
          </w:rPr>
          <w:t>烯烃的脱羧烷基化</w:t>
        </w:r>
      </w:hyperlink>
    </w:p>
    <w:p>
      <w:pPr>
        <w:spacing w:before="0" w:after="80"/>
      </w:pPr>
      <w:r>
        <w:rPr>
          <w:i/>
          <w:sz w:val="20"/>
        </w:rPr>
        <w:t>EN: Decarboxylative alkylation of alkenes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62">
        <w:r>
          <w:rPr>
            <w:color w:val="1155CC"/>
            <w:u w:val="single"/>
          </w:rPr>
          <w:t>10.1038/s41586-026-10463-1</w:t>
        </w:r>
      </w:hyperlink>
    </w:p>
    <w:p>
      <w:pPr>
        <w:spacing w:before="0" w:after="120"/>
      </w:pPr>
      <w:r>
        <w:rPr>
          <w:b/>
        </w:rPr>
        <w:t xml:space="preserve">Notes: </w:t>
      </w:r>
      <w:r>
        <w:t>abstract_source=nature_html</w:t>
      </w:r>
    </w:p>
    <w:p>
      <w:pPr>
        <w:spacing w:before="0" w:after="80" w:lineRule="auto" w:line="276"/>
      </w:pPr>
      <w:r>
        <w:rPr>
          <w:b/>
        </w:rPr>
        <w:t xml:space="preserve">摘要（ZH）: </w:t>
      </w:r>
      <w:r>
        <w:t>烯烃是合成化学中广泛使用的官能团，对于生产聚合物、洗涤剂、农用化学品和药物非常重要。当与亲电试剂处理时，烯烃通常发生加成反应，而不是取代反应。因此，从母体烯烃形成取代烯烃的直观逆合成断裂在化学家的工具箱中并不存在。例如，将三取代烯烃转化为四取代烯烃，或复杂烯烃的后期烷基化，将提供目前难以构建的分子。烯烃交叉复分解可以形式上烷基化适当取代的烯烃，但对映选择性和烯烃-烷基组合仅限于特定情况，并且几类烯烃，如内烯烃或环烯烃，不能通过已知方法轻易烷基化。在此，我们报告了一种形式上的区域和对映选择性C−H烷基化，使用羧酸作为烷基源，易于获得多样性。开发的关键是一种偏离当前羧酸衍生物自由基介导的C−C键形成模型的极性脱羧烷基化，通过先前未被重视的从氧化还原活性酯获得持久烷基锌中间体的途径实现。通过Pd催化的烷基锌物种与从烯烃获得的烯基噻吩盐的交叉偶联反应，以高对映选择性获得取代烯烃。该转化提供了环状、非环状、末端、内烯烃、单取代、双取代烯烃的烷基化。</w:t>
      </w:r>
    </w:p>
    <w:p>
      <w:pPr>
        <w:spacing w:before="0" w:after="200" w:lineRule="auto" w:line="276"/>
      </w:pPr>
      <w:r>
        <w:rPr>
          <w:b/>
        </w:rPr>
        <w:t xml:space="preserve">Abstract (EN): </w:t>
      </w:r>
      <w:r>
        <w:t>Alkenes are widely used functional groups in synthetic chemistry, important for producing polymers, detergents, agrochemicals and pharmaceuticals. When treated with electrophiles, alkenes typically undergo addition, not substitution, reactions1. As a consequence, the intuitive retrosynthetic disconnection to form a substituted alkene from the parent alkene does not exist in the toolbox of the chemist. For example, conversion of tri-substituted into tetra-substituted alkenes, or late-stage alkylation of complex alkenes, would provide access to molecules that are currently difficult to construct. Alkene cross-metathesis can formally alkylate appropriately substituted alkenes, but diastereoselectivity and alkene–alkyl combinations are restricted to specific cases2, and several classes of alkenes, such as internal or cyclic alkenes, cannot be readily alkylated with known methods3. Here we report a formal regio- and diastereoselective C−H alkylation of alkenes with carboxylic acids as alkyl source, readily available in large diversity. Key to the development is a polar decarboxylative alkylation that deviates from the current model of radical-mediated C−C bond formation from carboxylic acid derivatives, enabled by a previously unappreciated access to persistent alkylzinc intermediates from redox-active esters. A Pd-catalysed cross-coupling of the alkylzinc species with alkenyl thianthrenium salts accessed from alkenes affords the substituted alkenes in high diastereoselectivity. The transformation offers alkylation of cyclic, acyclic, terminal, internal, mono-substituted, di-substituted and tri-substituted alkenes with diverse alkyl groups.</w:t>
      </w:r>
    </w:p>
    <w:p>
      <w:pPr>
        <w:spacing w:before="120" w:after="120"/>
      </w:pPr>
      <w:r>
        <w:rPr>
          <w:sz w:val="18"/>
        </w:rPr>
        <w:t>——————————————————————————————————————————————————————————————————————</w:t>
      </w:r>
    </w:p>
    <w:p>
      <w:pPr>
        <w:spacing w:before="160" w:after="40" w:line="240" w:lineRule="auto"/>
      </w:pPr>
      <w:r>
        <w:rPr>
          <w:b/>
        </w:rPr>
        <w:t xml:space="preserve">[230] </w:t>
      </w:r>
      <w:hyperlink r:id="rId563">
        <w:r>
          <w:rPr>
            <w:color w:val="1155CC"/>
            <w:u w:val="single"/>
          </w:rPr>
          <w:t>工程化血凝块在几秒钟内止血</w:t>
        </w:r>
      </w:hyperlink>
    </w:p>
    <w:p>
      <w:pPr>
        <w:spacing w:before="0" w:after="80"/>
      </w:pPr>
      <w:r>
        <w:rPr>
          <w:i/>
          <w:sz w:val="20"/>
        </w:rPr>
        <w:t>EN: Engineered blood clots stop bleeding in seconds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64">
        <w:r>
          <w:rPr>
            <w:color w:val="1155CC"/>
            <w:u w:val="single"/>
          </w:rPr>
          <w:t>10.1038/d41586-026-01150-2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[231] </w:t>
      </w:r>
      <w:hyperlink r:id="rId565">
        <w:r>
          <w:rPr>
            <w:color w:val="1155CC"/>
            <w:u w:val="single"/>
          </w:rPr>
          <w:t>餐后脂质代谢持久增强T细胞免疫</w:t>
        </w:r>
      </w:hyperlink>
    </w:p>
    <w:p>
      <w:pPr>
        <w:spacing w:before="0" w:after="80"/>
      </w:pPr>
      <w:r>
        <w:rPr>
          <w:i/>
          <w:sz w:val="20"/>
        </w:rPr>
        <w:t>EN: Postprandial lipid metabolism durably enhances T cell immunity</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66">
        <w:r>
          <w:rPr>
            <w:color w:val="1155CC"/>
            <w:u w:val="single"/>
          </w:rPr>
          <w:t>10.1038/s41586-026-10432-8</w:t>
        </w:r>
      </w:hyperlink>
    </w:p>
    <w:p>
      <w:pPr>
        <w:spacing w:before="0" w:after="120"/>
      </w:pPr>
      <w:r>
        <w:rPr>
          <w:b/>
        </w:rPr>
        <w:t xml:space="preserve">Notes: </w:t>
      </w:r>
      <w:r>
        <w:t>abstract_source=nature_html</w:t>
      </w:r>
    </w:p>
    <w:p>
      <w:pPr>
        <w:spacing w:before="0" w:after="80" w:lineRule="auto" w:line="276"/>
      </w:pPr>
      <w:r>
        <w:rPr>
          <w:b/>
        </w:rPr>
        <w:t xml:space="preserve">摘要（ZH）: </w:t>
      </w:r>
      <w:r>
        <w:t>尽管内在代谢途径在T细胞功能中具有关键作用，但全身营养供应处于不断变化中。然而，餐后代谢如何影响T细胞命运的研究较少。在此，我们展示了个体的短期营养状态对T细胞免疫具有显著影响。来自进食宿主的人类或鼠类T细胞比来自禁食宿主的T细胞具有更高的代谢能力，并且这种能力的增加在体外或体内激活和扩增后仍然存在。血清中的富含甘油三酯的乳糜微粒是餐后免疫代谢重编程的驱动因素，乳糜微粒在体外和激活后启动mTORC1依赖的翻译，这显著增强了启动后的效应功能。从同一供体制造的人类餐后CAR-T细胞显示出比在个体禁食时收集的T细胞更具治疗优势。因此，餐后代谢赋予T细胞持久的代谢和功能优势，强调了在免疫学分析、疫苗接种和细胞治疗生成中考虑营养状态的重要性。</w:t>
      </w:r>
    </w:p>
    <w:p>
      <w:pPr>
        <w:spacing w:before="0" w:after="200" w:lineRule="auto" w:line="276"/>
      </w:pPr>
      <w:r>
        <w:rPr>
          <w:b/>
        </w:rPr>
        <w:t xml:space="preserve">Abstract (EN): </w:t>
      </w:r>
      <w:r>
        <w:t>Although intrinsic metabolic pathways have critical roles in T cell function1,2, systemic nutrient availability is in constant flux. Yet, how postprandial metabolism affects T cell fate has been less studied. Here we show that the short-term nutritional state of an individual has marked effects on T cell immunity. Human or murine T cells from fed hosts had higher metabolic capacity than those from fasted hosts, and this increase in capacity persisted after activation and expansion in vitro or in vivo. Triglyceride-rich chylomicrons in serum were drivers of postprandial immunometabolic reprogramming, and chylomicrons primed mTORC1-dependent translation ex vivo and after activation, which markedly enhanced effector function after priming. Human postprandial CAR-T cells manufactured from the same donor showed a therapeutic advantage over T cells collected while individuals were fasted. Thus, postprandial metabolism imparts durable metabolic and functional advantages to T cells, highlighting the importance of considering nutritional status in immunological analysis, vaccination and generation of cellular therapies.</w:t>
      </w:r>
    </w:p>
    <w:p>
      <w:pPr>
        <w:spacing w:before="120" w:after="120"/>
      </w:pPr>
      <w:r>
        <w:rPr>
          <w:sz w:val="18"/>
        </w:rPr>
        <w:t>——————————————————————————————————————————————————————————————————————</w:t>
      </w:r>
    </w:p>
    <w:p>
      <w:pPr>
        <w:spacing w:before="160" w:after="40" w:line="240" w:lineRule="auto"/>
      </w:pPr>
      <w:r>
        <w:rPr>
          <w:b/>
        </w:rPr>
        <w:t xml:space="preserve">[232] </w:t>
      </w:r>
      <w:hyperlink r:id="rId567">
        <w:r>
          <w:rPr>
            <w:color w:val="1155CC"/>
            <w:u w:val="single"/>
          </w:rPr>
          <w:t>受精卵中分离的父本基因组之间的竞争有助于发育</w:t>
        </w:r>
      </w:hyperlink>
    </w:p>
    <w:p>
      <w:pPr>
        <w:spacing w:before="0" w:after="80"/>
      </w:pPr>
      <w:r>
        <w:rPr>
          <w:i/>
          <w:sz w:val="20"/>
        </w:rPr>
        <w:t>EN: Competition between separated parental genomes in fertilized eggs aids development</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68">
        <w:r>
          <w:rPr>
            <w:color w:val="1155CC"/>
            <w:u w:val="single"/>
          </w:rPr>
          <w:t>10.1038/d41586-026-01270-9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[233] </w:t>
      </w:r>
      <w:hyperlink r:id="rId569">
        <w:r>
          <w:rPr>
            <w:color w:val="1155CC"/>
            <w:u w:val="single"/>
          </w:rPr>
          <w:t>为什么你应该‘喂养感冒’：进食为免疫细胞行动做好准备</w:t>
        </w:r>
      </w:hyperlink>
    </w:p>
    <w:p>
      <w:pPr>
        <w:spacing w:before="0" w:after="80"/>
      </w:pPr>
      <w:r>
        <w:rPr>
          <w:i/>
          <w:sz w:val="20"/>
        </w:rPr>
        <w:t>EN: Why you should ‘feed a cold’: eating primes immune cells for action</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70">
        <w:r>
          <w:rPr>
            <w:color w:val="1155CC"/>
            <w:u w:val="single"/>
          </w:rPr>
          <w:t>10.1038/d41586-026-01362-6</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[234] </w:t>
      </w:r>
      <w:hyperlink r:id="rId571">
        <w:r>
          <w:rPr>
            <w:color w:val="1155CC"/>
            <w:u w:val="single"/>
          </w:rPr>
          <w:t>陶瓷材料中的纳米尺度变形机制和宏观性能调控</w:t>
        </w:r>
      </w:hyperlink>
    </w:p>
    <w:p>
      <w:pPr>
        <w:spacing w:before="0" w:after="80"/>
      </w:pPr>
      <w:r>
        <w:rPr>
          <w:i/>
          <w:sz w:val="20"/>
        </w:rPr>
        <w:t>EN: Nanoscale deformation mechanisms and macro-performance modulation in ceramic materials</w:t>
      </w:r>
    </w:p>
    <w:p>
      <w:pPr>
        <w:spacing w:before="0" w:after="120"/>
      </w:pPr>
      <w:r>
        <w:rPr>
          <w:b/>
        </w:rPr>
        <w:t xml:space="preserve">Source: </w:t>
      </w:r>
      <w:r>
        <w:t>Matter</w:t>
      </w:r>
      <w:r>
        <w:t xml:space="preserve">    </w:t>
      </w:r>
      <w:r>
        <w:rPr>
          <w:b/>
        </w:rPr>
        <w:t xml:space="preserve">Pub date: </w:t>
      </w:r>
      <w:r>
        <w:t>2026-04-29 00:00:00+00:00</w:t>
      </w:r>
      <w:r>
        <w:t xml:space="preserve">    </w:t>
      </w:r>
      <w:r>
        <w:rPr>
          <w:b/>
        </w:rPr>
        <w:t xml:space="preserve">DOI: </w:t>
      </w:r>
      <w:hyperlink r:id="rId572">
        <w:r>
          <w:rPr>
            <w:color w:val="1155CC"/>
            <w:u w:val="single"/>
          </w:rPr>
          <w:t>10.1016/j.matt.2026.102768</w:t>
        </w:r>
      </w:hyperlink>
    </w:p>
    <w:p>
      <w:pPr>
        <w:spacing w:before="0" w:after="120"/>
      </w:pPr>
      <w:r>
        <w:rPr>
          <w:b/>
        </w:rPr>
        <w:t xml:space="preserve">Notes: </w:t>
      </w:r>
      <w:r>
        <w:t>abstract_source=rss_cell</w:t>
      </w:r>
    </w:p>
    <w:p>
      <w:pPr>
        <w:spacing w:before="0" w:after="80" w:lineRule="auto" w:line="276"/>
      </w:pPr>
      <w:r>
        <w:rPr>
          <w:b/>
        </w:rPr>
        <w:t xml:space="preserve">摘要（ZH）: </w:t>
      </w:r>
      <w:r>
        <w:t>通过先进的原位电子显微镜技术，本综述总结了研究人员如何实时观察陶瓷材料在应力下的变形和断裂过程，揭示了原子尺度的细节。这些高分辨率实验表明，陶瓷的硬度和脆性源于其独特的原子尺度应力响应机制。理解这些微观机制为设计下一代结合高强度和韧性并适应极端环境的陶瓷提供了关键的科学见解。</w:t>
      </w:r>
    </w:p>
    <w:p>
      <w:pPr>
        <w:spacing w:before="0" w:after="200" w:lineRule="auto" w:line="276"/>
      </w:pPr>
      <w:r>
        <w:rPr>
          <w:b/>
        </w:rPr>
        <w:t xml:space="preserve">Abstract (EN): </w:t>
      </w:r>
      <w:r>
        <w:t>Through advanced in situ electron microscopy techniques, this review summarizes how researchers observe, in real time, the deformation and fracture processes of ceramic materials under stress, revealing atomic-scale details. These high-resolution experiments show that the hardness and brittleness of ceramics stem from their unique atomic-scale stress response mechanisms. Understanding these microscopic mechanisms provides critical scientific insights for designing the next generation of ceramics that combine high strength and toughness and are adaptable to extreme environments.</w:t>
      </w:r>
    </w:p>
    <w:p>
      <w:pPr>
        <w:spacing w:before="120" w:after="120"/>
      </w:pPr>
      <w:r>
        <w:rPr>
          <w:sz w:val="18"/>
        </w:rPr>
        <w:t>——————————————————————————————————————————————————————————————————————</w:t>
      </w:r>
    </w:p>
    <w:p>
      <w:pPr>
        <w:spacing w:before="160" w:after="40" w:line="240" w:lineRule="auto"/>
      </w:pPr>
      <w:r>
        <w:rPr>
          <w:b/>
        </w:rPr>
        <w:t xml:space="preserve">[235] </w:t>
      </w:r>
      <w:hyperlink r:id="rId573">
        <w:r>
          <w:rPr>
            <w:color w:val="1155CC"/>
            <w:u w:val="single"/>
          </w:rPr>
          <w:t>基于一维共价有机框架的异质结构用于宽带和自适应神经形态视觉</w:t>
        </w:r>
      </w:hyperlink>
    </w:p>
    <w:p>
      <w:pPr>
        <w:spacing w:before="0" w:after="80"/>
      </w:pPr>
      <w:r>
        <w:rPr>
          <w:i/>
          <w:sz w:val="20"/>
        </w:rPr>
        <w:t>EN: One-dimensional covalent organic framework-based heterostructure for broadband and adaptive neuromorphic vision</w:t>
      </w:r>
    </w:p>
    <w:p>
      <w:pPr>
        <w:spacing w:before="0" w:after="120"/>
      </w:pPr>
      <w:r>
        <w:rPr>
          <w:b/>
        </w:rPr>
        <w:t xml:space="preserve">Source: </w:t>
      </w:r>
      <w:r>
        <w:t>Matter</w:t>
      </w:r>
      <w:r>
        <w:t xml:space="preserve">    </w:t>
      </w:r>
      <w:r>
        <w:rPr>
          <w:b/>
        </w:rPr>
        <w:t xml:space="preserve">Pub date: </w:t>
      </w:r>
      <w:r>
        <w:t>2026-04-29 00:00:00+00:00</w:t>
      </w:r>
      <w:r>
        <w:t xml:space="preserve">    </w:t>
      </w:r>
      <w:r>
        <w:rPr>
          <w:b/>
        </w:rPr>
        <w:t xml:space="preserve">DOI: </w:t>
      </w:r>
      <w:hyperlink r:id="rId574">
        <w:r>
          <w:rPr>
            <w:color w:val="1155CC"/>
            <w:u w:val="single"/>
          </w:rPr>
          <w:t>10.1016/j.matt.2026.102808</w:t>
        </w:r>
      </w:hyperlink>
    </w:p>
    <w:p>
      <w:pPr>
        <w:spacing w:before="0" w:after="120"/>
      </w:pPr>
      <w:r>
        <w:rPr>
          <w:b/>
        </w:rPr>
        <w:t xml:space="preserve">Notes: </w:t>
      </w:r>
      <w:r>
        <w:t>abstract_source=rss_cell</w:t>
      </w:r>
    </w:p>
    <w:p>
      <w:pPr>
        <w:spacing w:before="0" w:after="80" w:lineRule="auto" w:line="276"/>
      </w:pPr>
      <w:r>
        <w:rPr>
          <w:b/>
        </w:rPr>
        <w:t xml:space="preserve">摘要（ZH）: </w:t>
      </w:r>
      <w:r>
        <w:t>咔唑-卟啉共价有机框架的维度调制能够有效控制光诱导载流子动力学。一维COF表现出增强的电荷分离和延长的载流子寿命，使得基于COF/石墨烯的光电突触具有高光响应性、强大的可塑性和宽带多色感知能力。</w:t>
      </w:r>
    </w:p>
    <w:p>
      <w:pPr>
        <w:spacing w:before="0" w:after="200" w:lineRule="auto" w:line="276"/>
      </w:pPr>
      <w:r>
        <w:rPr>
          <w:b/>
        </w:rPr>
        <w:t xml:space="preserve">Abstract (EN): </w:t>
      </w:r>
      <w:r>
        <w:t>Dimensionality modulation of carbazole-porphyrin covalent organic frameworks enables efficient control of photoinduced carrier dynamics. The one-dimensional COF exhibits enhanced charge separation and prolonged carrier lifetime, enabling COF/graphene-based optoelectronic synapses with high photoresponsivity, robust plasticity, and broadband multicolor perception.</w:t>
      </w:r>
    </w:p>
    <w:p>
      <w:pPr>
        <w:spacing w:before="120" w:after="120"/>
      </w:pPr>
      <w:r>
        <w:rPr>
          <w:sz w:val="18"/>
        </w:rPr>
        <w:t>——————————————————————————————————————————————————————————————————————</w:t>
      </w:r>
    </w:p>
    <w:p>
      <w:pPr>
        <w:spacing w:before="160" w:after="40" w:line="240" w:lineRule="auto"/>
      </w:pPr>
      <w:r>
        <w:rPr>
          <w:b/>
        </w:rPr>
        <w:t xml:space="preserve">[236] </w:t>
      </w:r>
      <w:hyperlink r:id="rId575">
        <w:r>
          <w:rPr>
            <w:color w:val="1155CC"/>
            <w:u w:val="single"/>
          </w:rPr>
          <w:t>能源系统科学必须超越净零</w:t>
        </w:r>
      </w:hyperlink>
    </w:p>
    <w:p>
      <w:pPr>
        <w:spacing w:before="0" w:after="80"/>
      </w:pPr>
      <w:r>
        <w:rPr>
          <w:i/>
          <w:sz w:val="20"/>
        </w:rPr>
        <w:t>EN: Energy system science must look beyond net zero</w:t>
      </w:r>
    </w:p>
    <w:p>
      <w:pPr>
        <w:spacing w:before="0" w:after="120"/>
      </w:pPr>
      <w:r>
        <w:rPr>
          <w:b/>
        </w:rPr>
        <w:t xml:space="preserve">Source: </w:t>
      </w:r>
      <w:r>
        <w:t>Nature Reviews Clean Technology</w:t>
      </w:r>
      <w:r>
        <w:t xml:space="preserve">    </w:t>
      </w:r>
      <w:r>
        <w:rPr>
          <w:b/>
        </w:rPr>
        <w:t xml:space="preserve">Pub date: </w:t>
      </w:r>
      <w:r>
        <w:t>2026-04-29 00:00:00+00:00</w:t>
      </w:r>
      <w:r>
        <w:t xml:space="preserve">    </w:t>
      </w:r>
      <w:r>
        <w:rPr>
          <w:b/>
        </w:rPr>
        <w:t xml:space="preserve">DOI: </w:t>
      </w:r>
      <w:hyperlink r:id="rId576">
        <w:r>
          <w:rPr>
            <w:color w:val="1155CC"/>
            <w:u w:val="single"/>
          </w:rPr>
          <w:t>10.1038/s44359-026-00170-5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[237] </w:t>
      </w:r>
      <w:hyperlink r:id="rId577">
        <w:r>
          <w:rPr>
            <w:color w:val="1155CC"/>
            <w:u w:val="single"/>
          </w:rPr>
          <w:t>用于通信和传感的可编程斯格明子</w:t>
        </w:r>
      </w:hyperlink>
    </w:p>
    <w:p>
      <w:pPr>
        <w:spacing w:before="0" w:after="80"/>
      </w:pPr>
      <w:r>
        <w:rPr>
          <w:i/>
          <w:sz w:val="20"/>
        </w:rPr>
        <w:t>EN: Programmable skyrmions for communication and sensing</w:t>
      </w:r>
    </w:p>
    <w:p>
      <w:pPr>
        <w:spacing w:before="0" w:after="120"/>
      </w:pPr>
      <w:r>
        <w:rPr>
          <w:b/>
        </w:rPr>
        <w:t xml:space="preserve">Source: </w:t>
      </w:r>
      <w:r>
        <w:t>Nature Electronics</w:t>
      </w:r>
      <w:r>
        <w:t xml:space="preserve">    </w:t>
      </w:r>
      <w:r>
        <w:rPr>
          <w:b/>
        </w:rPr>
        <w:t xml:space="preserve">Pub date: </w:t>
      </w:r>
      <w:r>
        <w:t>2026-04-29 00:00:00+00:00</w:t>
      </w:r>
      <w:r>
        <w:t xml:space="preserve">    </w:t>
      </w:r>
      <w:r>
        <w:rPr>
          <w:b/>
        </w:rPr>
        <w:t xml:space="preserve">DOI: </w:t>
      </w:r>
      <w:hyperlink r:id="rId578">
        <w:r>
          <w:rPr>
            <w:color w:val="1155CC"/>
            <w:u w:val="single"/>
          </w:rPr>
          <w:t>10.1038/s41928-026-01611-6</w:t>
        </w:r>
      </w:hyperlink>
    </w:p>
    <w:p>
      <w:pPr>
        <w:spacing w:before="0" w:after="120"/>
      </w:pPr>
      <w:r>
        <w:rPr>
          <w:b/>
        </w:rPr>
        <w:t xml:space="preserve">Notes: </w:t>
      </w:r>
      <w:r>
        <w:t>abstract_source=nature_html</w:t>
      </w:r>
    </w:p>
    <w:p>
      <w:pPr>
        <w:spacing w:before="0" w:after="80" w:lineRule="auto" w:line="276"/>
      </w:pPr>
      <w:r>
        <w:rPr>
          <w:b/>
        </w:rPr>
        <w:t xml:space="preserve">摘要（ZH）: </w:t>
      </w:r>
      <w:r>
        <w:t>等离子体斯格明子是拓扑稳定准粒子的电磁对应物，可能被用作稳健的信息载体。然而，实际应用需要可调设备来编码拓扑结构。在此，我们报告了一种可编程平台，可以编码具有多样拓扑的等离子体斯格明子，包括Néel型斯格明子和merons。我们使用超快编码在时间维度上合成谐波斯格明子，并将斯格明子应用于通信和传感应用。特别是，我们展示了可编程拓扑斯格明子可以用于稳健和多通道无线通信，表明该方法可以在湍流噪声通道和极端条件下提供通信。结合卷积神经网络，我们还展示了该平台可以用于20种动物雕像的智能传感，达到高识别准确率。</w:t>
      </w:r>
    </w:p>
    <w:p>
      <w:pPr>
        <w:spacing w:before="0" w:after="200" w:lineRule="auto" w:line="276"/>
      </w:pPr>
      <w:r>
        <w:rPr>
          <w:b/>
        </w:rPr>
        <w:t xml:space="preserve">Abstract (EN): </w:t>
      </w:r>
      <w:r>
        <w:t>Plasmonic skyrmions are electromagnetic counterparts of topologically stable quasiparticles and could potentially be used as robust information carriers. However, practical applications require tunable devices that can encode the topological structures. Here we report a programmable platform that can encode plasmonic skyrmions with diverse topologies, including Néel-type skyrmions and merons. We synthesize harmonic skyrmions in the temporal dimension using ultrafast coding and apply the skyrmions in communication and sensing applications. In particular, we show that the programmable topological skyrmions can be used in robust and multichannel wireless communications, suggesting that the approach could provide communications in turbulent noise channels and extreme conditions. Together with a convolutional neural network, we also show that the platform can be used in the intelligent sensing of 20 animal figurines, achieving high recognition accuracy.</w:t>
      </w:r>
    </w:p>
    <w:p>
      <w:pPr>
        <w:spacing w:before="120" w:after="120"/>
      </w:pPr>
      <w:r>
        <w:rPr>
          <w:sz w:val="18"/>
        </w:rPr>
        <w:t>——————————————————————————————————————————————————————————————————————</w:t>
      </w:r>
    </w:p>
    <w:p>
      <w:pPr>
        <w:spacing w:before="160" w:after="40" w:line="240" w:lineRule="auto"/>
      </w:pPr>
      <w:r>
        <w:rPr>
          <w:b/>
        </w:rPr>
        <w:t xml:space="preserve">[238] </w:t>
      </w:r>
      <w:hyperlink r:id="rId579">
        <w:r>
          <w:rPr>
            <w:color w:val="1155CC"/>
            <w:u w:val="single"/>
          </w:rPr>
          <w:t>固态氖作为100 mK以上电子量子比特的抗噪声宿主</w:t>
        </w:r>
      </w:hyperlink>
    </w:p>
    <w:p>
      <w:pPr>
        <w:spacing w:before="0" w:after="80"/>
      </w:pPr>
      <w:r>
        <w:rPr>
          <w:i/>
          <w:sz w:val="20"/>
        </w:rPr>
        <w:t>EN: Solid neon as a noise-resilient host for electron qubits above 100 mK</w:t>
      </w:r>
    </w:p>
    <w:p>
      <w:pPr>
        <w:spacing w:before="0" w:after="120"/>
      </w:pPr>
      <w:r>
        <w:rPr>
          <w:b/>
        </w:rPr>
        <w:t xml:space="preserve">Source: </w:t>
      </w:r>
      <w:r>
        <w:t>Nature Electronics</w:t>
      </w:r>
      <w:r>
        <w:t xml:space="preserve">    </w:t>
      </w:r>
      <w:r>
        <w:rPr>
          <w:b/>
        </w:rPr>
        <w:t xml:space="preserve">Pub date: </w:t>
      </w:r>
      <w:r>
        <w:t>2026-04-29 00:00:00+00:00</w:t>
      </w:r>
      <w:r>
        <w:t xml:space="preserve">    </w:t>
      </w:r>
      <w:r>
        <w:rPr>
          <w:b/>
        </w:rPr>
        <w:t xml:space="preserve">DOI: </w:t>
      </w:r>
      <w:hyperlink r:id="rId580">
        <w:r>
          <w:rPr>
            <w:color w:val="1155CC"/>
            <w:u w:val="single"/>
          </w:rPr>
          <w:t>10.1038/s41928-026-01613-4</w:t>
        </w:r>
      </w:hyperlink>
    </w:p>
    <w:p>
      <w:pPr>
        <w:spacing w:before="0" w:after="120"/>
      </w:pPr>
      <w:r>
        <w:rPr>
          <w:b/>
        </w:rPr>
        <w:t xml:space="preserve">Notes: </w:t>
      </w:r>
      <w:r>
        <w:t>abstract_source=nature_html</w:t>
      </w:r>
    </w:p>
    <w:p>
      <w:pPr>
        <w:spacing w:before="0" w:after="80" w:lineRule="auto" w:line="276"/>
      </w:pPr>
      <w:r>
        <w:rPr>
          <w:b/>
        </w:rPr>
        <w:t xml:space="preserve">摘要（ZH）: </w:t>
      </w:r>
      <w:r>
        <w:t>固态氖可以用作单电子量子比特的固态宿主。在大约10 mK的温度下，电子-固态氖电荷量子比特表现出长的相干时间和高的操作保真度。然而，为了开发可扩展的量子信息架构，需要对这种系统的噪声特征进行系统的表征。我们在此展示固态氖可以用作100 mK以上电子量子比特的抗噪声宿主。我们研究了固态氖在电子-固态氖电荷量子比特远离电荷不敏感甜点和在高温下操作时对电荷和热噪声的抗性。我们展示了电子-固态氖量子比特的高频电荷噪声密度，投影为附近电极上的电压波动，在0.01 MHz到1 MHz之间为10−4 μV2 Hz−1到10−6 μV2 Hz−1，这与常见的半导体宿主相当。我们还展示了在大约5 GHz频率下操作的电子-固态氖电荷量子比特在高达400 mK的温度下可以保持超过1 μs的回波相干时间。</w:t>
      </w:r>
    </w:p>
    <w:p>
      <w:pPr>
        <w:spacing w:before="0" w:after="200" w:lineRule="auto" w:line="276"/>
      </w:pPr>
      <w:r>
        <w:rPr>
          <w:b/>
        </w:rPr>
        <w:t xml:space="preserve">Abstract (EN): </w:t>
      </w:r>
      <w:r>
        <w:t>Solid neon can be used as a solid host for single-electron qubits. At temperatures of around 10 mK, electron-on-solid-neon charge qubits exhibit long coherence times and high operation fidelities. However, a systematic characterization of the noise features of such systems is needed for the development of scalable quantum information architectures. Here we show that solid neon can be used as a noise-resilient host for electron qubits above 100 mK. We examine the resilience of solid neon against charge and thermal noise when electron-on-solid-neon charge qubits are operated away from the charge-insensitive sweet spot and at elevated temperatures. We show that the extracted high-frequency charge noise density of electron-on-solid-neon qubits, projected as voltage fluctuations on nearby electrodes, is between 10−4 μV2 Hz−1 and 10−6 μV2 Hz−1 at 0.01 MHz to 1 MHz, which is comparable to common semiconductor hosts. We also show that the electron-on-solid-neon charge qubits operating at frequencies of around 5 GHz can maintain echo coherence times of over 1 μs at temperatures up to 400 mK.</w:t>
      </w:r>
    </w:p>
    <w:p>
      <w:pPr>
        <w:spacing w:before="120" w:after="120"/>
      </w:pPr>
      <w:r>
        <w:rPr>
          <w:sz w:val="18"/>
        </w:rPr>
        <w:t>——————————————————————————————————————————————————————————————————————</w:t>
      </w:r>
    </w:p>
    <w:p>
      <w:pPr>
        <w:spacing w:before="160" w:after="40" w:line="240" w:lineRule="auto"/>
      </w:pPr>
      <w:r>
        <w:rPr>
          <w:b/>
        </w:rPr>
        <w:t xml:space="preserve">[239] </w:t>
      </w:r>
      <w:hyperlink r:id="rId581">
        <w:r>
          <w:rPr>
            <w:color w:val="1155CC"/>
            <w:u w:val="single"/>
          </w:rPr>
          <w:t>移动中的超声波追踪</w:t>
        </w:r>
      </w:hyperlink>
    </w:p>
    <w:p>
      <w:pPr>
        <w:spacing w:before="0" w:after="80"/>
      </w:pPr>
      <w:r>
        <w:rPr>
          <w:i/>
          <w:sz w:val="20"/>
        </w:rPr>
        <w:t>EN: Ultrasound tracking on the move</w:t>
      </w:r>
    </w:p>
    <w:p>
      <w:pPr>
        <w:spacing w:before="0" w:after="120"/>
      </w:pPr>
      <w:r>
        <w:rPr>
          <w:b/>
        </w:rPr>
        <w:t xml:space="preserve">Source: </w:t>
      </w:r>
      <w:r>
        <w:t>Nature Electronics</w:t>
      </w:r>
      <w:r>
        <w:t xml:space="preserve">    </w:t>
      </w:r>
      <w:r>
        <w:rPr>
          <w:b/>
        </w:rPr>
        <w:t xml:space="preserve">Pub date: </w:t>
      </w:r>
      <w:r>
        <w:t>2026-04-29 00:00:00+00:00</w:t>
      </w:r>
      <w:r>
        <w:t xml:space="preserve">    </w:t>
      </w:r>
      <w:r>
        <w:rPr>
          <w:b/>
        </w:rPr>
        <w:t xml:space="preserve">DOI: </w:t>
      </w:r>
      <w:hyperlink r:id="rId582">
        <w:r>
          <w:rPr>
            <w:color w:val="1155CC"/>
            <w:u w:val="single"/>
          </w:rPr>
          <w:t>10.1038/s41928-026-01635-y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[240] </w:t>
      </w:r>
      <w:hyperlink r:id="rId583">
        <w:r>
          <w:rPr>
            <w:color w:val="1155CC"/>
            <w:u w:val="single"/>
          </w:rPr>
          <w:t>哺乳动物细胞中的可编程人工RNA凝聚体</w:t>
        </w:r>
      </w:hyperlink>
    </w:p>
    <w:p>
      <w:pPr>
        <w:spacing w:before="0" w:after="80"/>
      </w:pPr>
      <w:r>
        <w:rPr>
          <w:i/>
          <w:sz w:val="20"/>
        </w:rPr>
        <w:t>EN: Programmable artificial RNA condensates in mammalian cells</w:t>
      </w:r>
    </w:p>
    <w:p>
      <w:pPr>
        <w:spacing w:before="0" w:after="120"/>
      </w:pPr>
      <w:r>
        <w:rPr>
          <w:b/>
        </w:rPr>
        <w:t xml:space="preserve">Source: </w:t>
      </w:r>
      <w:r>
        <w:t>Nature Nanotechnology</w:t>
      </w:r>
      <w:r>
        <w:t xml:space="preserve">    </w:t>
      </w:r>
      <w:r>
        <w:rPr>
          <w:b/>
        </w:rPr>
        <w:t xml:space="preserve">Pub date: </w:t>
      </w:r>
      <w:r>
        <w:t>2026-04-29 00:00:00+00:00</w:t>
      </w:r>
      <w:r>
        <w:t xml:space="preserve">    </w:t>
      </w:r>
      <w:r>
        <w:rPr>
          <w:b/>
        </w:rPr>
        <w:t xml:space="preserve">DOI: </w:t>
      </w:r>
      <w:hyperlink r:id="rId584">
        <w:r>
          <w:rPr>
            <w:color w:val="1155CC"/>
            <w:u w:val="single"/>
          </w:rPr>
          <w:t>10.1038/s41565-026-02164-7</w:t>
        </w:r>
      </w:hyperlink>
    </w:p>
    <w:p>
      <w:pPr>
        <w:spacing w:before="0" w:after="120"/>
      </w:pPr>
      <w:r>
        <w:rPr>
          <w:b/>
        </w:rPr>
        <w:t xml:space="preserve">Notes: </w:t>
      </w:r>
      <w:r>
        <w:t>abstract_source=nature_html</w:t>
      </w:r>
    </w:p>
    <w:p>
      <w:pPr>
        <w:spacing w:before="0" w:after="80" w:lineRule="auto" w:line="276"/>
      </w:pPr>
      <w:r>
        <w:rPr>
          <w:b/>
        </w:rPr>
        <w:t xml:space="preserve">摘要（ZH）: </w:t>
      </w:r>
      <w:r>
        <w:t>人工生物分子凝聚体已成为控制细胞行为的强大工具。在此，我们介绍了一种通过设计由单一短RNA链组成的模块化RNA基序，在活体哺乳动物细胞内构建人工凝聚体的方法。这些凝聚体自发出现，形成富含RNA的隔间，与其周围环境保持分离。RNA序列包括在RNA转录时折叠的茎环结构域，然后通过环-环相互作用在细胞核和细胞质中凝聚。这些序列可以优化和多样化，从而生成不同的、不混合的凝聚体群体，并可编程地控制其亚细胞定位。RNA基序还可以被修改以序列特异性地招募小分子、蛋白质和RNA分子到富含RNA的相中。通过引入RNA连接子，我们可以构建具有多个子隔间的凝聚体，其组织可以通过调整连接子化学计量比来控制。这些人工凝聚体为研究和操控活细胞内的分子功能提供了一个多功能平台。</w:t>
      </w:r>
    </w:p>
    <w:p>
      <w:pPr>
        <w:spacing w:before="0" w:after="200" w:lineRule="auto" w:line="276"/>
      </w:pPr>
      <w:r>
        <w:rPr>
          <w:b/>
        </w:rPr>
        <w:t xml:space="preserve">Abstract (EN): </w:t>
      </w:r>
      <w:r>
        <w:t>Artificial biomolecular condensates have emerged as powerful tools for controlling cellular behaviour. Here we introduce a method to build artificial condensates within living mammalian cells by designing modular RNA motifs composed of a single short RNA strand. These condensates emerge spontaneously, creating RNA-rich compartments that remain separated from their surrounding environment. The RNA sequences include stem–loop domains that fold as the RNA is transcribed, and then condense in the nucleus and cytoplasm through loop–loop interactions. These sequences can be optimized and diversified, enabling the generation of distinct, non-mixing condensate populations and the programmable control of their subcellular localization. The RNA motifs can also be modified to recruit small molecules, proteins and RNA molecules in a sequence-specific manner to the RNA-rich phase. By introducing RNA linkers, we can build condensates with multiple subcompartments, whose organization can be controlled by tuning the linker stoichiometry. These artificial condensates provide a versatile platform for studying and manipulating molecular functions inside living cells.</w:t>
      </w:r>
    </w:p>
    <w:p>
      <w:pPr>
        <w:spacing w:before="120" w:after="120"/>
      </w:pPr>
      <w:r>
        <w:rPr>
          <w:sz w:val="18"/>
        </w:rPr>
        <w:t>——————————————————————————————————————————————————————————————————————</w:t>
      </w:r>
    </w:p>
    <w:p>
      <w:pPr>
        <w:spacing w:before="160" w:after="40" w:line="240" w:lineRule="auto"/>
      </w:pPr>
      <w:r>
        <w:rPr>
          <w:b/>
        </w:rPr>
        <w:t xml:space="preserve">[241] </w:t>
      </w:r>
      <w:hyperlink r:id="rId585">
        <w:r>
          <w:rPr>
            <w:color w:val="1155CC"/>
            <w:u w:val="single"/>
          </w:rPr>
          <w:t>土壤生物丰度在碳农业下支持生态系统多功能性</w:t>
        </w:r>
      </w:hyperlink>
    </w:p>
    <w:p>
      <w:pPr>
        <w:spacing w:before="0" w:after="80"/>
      </w:pPr>
      <w:r>
        <w:rPr>
          <w:i/>
          <w:sz w:val="20"/>
        </w:rPr>
        <w:t>EN: Soil biota abundance supports ecosystem multifunctionality under carbon farming</w:t>
      </w:r>
    </w:p>
    <w:p>
      <w:pPr>
        <w:spacing w:before="0" w:after="120"/>
      </w:pPr>
      <w:r>
        <w:rPr>
          <w:b/>
        </w:rPr>
        <w:t xml:space="preserve">Source: </w:t>
      </w:r>
      <w:r>
        <w:t>National Science Review Advance Access</w:t>
      </w:r>
      <w:r>
        <w:t xml:space="preserve">    </w:t>
      </w:r>
      <w:r>
        <w:rPr>
          <w:b/>
        </w:rPr>
        <w:t xml:space="preserve">Pub date: </w:t>
      </w:r>
      <w:r>
        <w:t>2026-04-29 00:00:00+00:00</w:t>
      </w:r>
      <w:r>
        <w:t xml:space="preserve">    </w:t>
      </w:r>
      <w:r>
        <w:rPr>
          <w:b/>
        </w:rPr>
        <w:t xml:space="preserve">DOI: </w:t>
      </w:r>
      <w:hyperlink r:id="rId586">
        <w:r>
          <w:rPr>
            <w:color w:val="1155CC"/>
            <w:u w:val="single"/>
          </w:rPr>
          <w:t>10.1093/nsr/nwag247</w:t>
        </w:r>
      </w:hyperlink>
    </w:p>
    <w:p>
      <w:pPr>
        <w:spacing w:before="0" w:after="120"/>
      </w:pPr>
      <w:r>
        <w:rPr>
          <w:b/>
        </w:rPr>
        <w:t xml:space="preserve">Notes: </w:t>
      </w:r>
      <w:r>
        <w:t>abstract_source=rss_oup</w:t>
      </w:r>
    </w:p>
    <w:p>
      <w:pPr>
        <w:spacing w:before="0" w:after="80" w:lineRule="auto" w:line="276"/>
      </w:pPr>
      <w:r>
        <w:rPr>
          <w:b/>
        </w:rPr>
        <w:t xml:space="preserve">摘要（ZH）: </w:t>
      </w:r>
      <w:r>
        <w:t>来自植物和动物的有机基质对可持续农业至关重要，但其对农业生态系统多功能性的影响在全球范围内仍未得到充分探索。通过对8509个田间观测的荟萃分析，我们研究了植物基碳输入（豆科覆盖作物）和动物基碳输入（蚯蚓堆肥）如何影响九种生态功能。两种碳输入显著提高了农业生态系统的多功能性，其中豆科覆盖作物提高了17%，蚯蚓堆肥提高了31%。这些改善集中在支持和供给服务上。土壤生物丰度与多功能性密切相关，并且与其他功能相比，表现出更频繁的双赢关系。在各个农业生态系统中，土壤生物丰度主要与当地土壤特性相关，其次是气候因素。我们的研究结果强调了土壤生物丰度作为一种社区属性，补充了物种丰富度，对农业生态系统多功能性做出了贡献。我们进一步提出了与全球农田当地环境条件相一致的植物和动物基碳输入的场地特定管理策略，以增强多功能性。</w:t>
      </w:r>
    </w:p>
    <w:p>
      <w:pPr>
        <w:spacing w:before="0" w:after="200" w:lineRule="auto" w:line="276"/>
      </w:pPr>
      <w:r>
        <w:rPr>
          <w:b/>
        </w:rPr>
        <w:t xml:space="preserve">Abstract (EN): </w:t>
      </w:r>
      <w:r>
        <w:t>Organic substrates from plants and animals are crucial for sustainable agriculture, yet their effects on agroecosystem multifunctionality remain underexplored at the global scale. Using a meta-analysis of 8509 field observations, we examined how plant-based carbon inputs (legume cover crops) and animal-based carbon inputs (vermicompost) influence nine ecological functions. Both carbon inputs significantly improved agroecosystem multifunctionality, with legume cover crops increasing it by 17% and vermicompost by 31%. These improvements were concentrated in supporting and provisioning services. Soil biota abundance was strongly linked to multifunctionality and showed more frequent win-win relationships with other functions than species richness. Across agroecosystems, soil biota abundance was primarily associated with local soil properties, followed by climate factors. Our findings highlight soil biota abundance as a community attribute complementary to species richness that contributes to agroecosystem multifunctionality. We further propose site-specific management strategies that align plant- and animal-based carbon inputs with local environmental conditions in global croplands to enhance multifunctionality.</w:t>
      </w:r>
    </w:p>
    <w:p>
      <w:pPr>
        <w:spacing w:before="120" w:after="120"/>
      </w:pPr>
      <w:r>
        <w:rPr>
          <w:sz w:val="18"/>
        </w:rPr>
        <w:t>——————————————————————————————————————————————————————————————————————</w:t>
      </w:r>
    </w:p>
    <w:p>
      <w:pPr>
        <w:spacing w:before="160" w:after="40" w:line="240" w:lineRule="auto"/>
      </w:pPr>
      <w:r>
        <w:rPr>
          <w:b/>
        </w:rPr>
        <w:t xml:space="preserve">[242] </w:t>
      </w:r>
      <w:hyperlink r:id="rId587">
        <w:r>
          <w:rPr>
            <w:color w:val="1155CC"/>
            <w:u w:val="single"/>
          </w:rPr>
          <w:t>罗马帝国的崩溃在欧洲创造了一个遗传大熔炉</w:t>
        </w:r>
      </w:hyperlink>
    </w:p>
    <w:p>
      <w:pPr>
        <w:spacing w:before="0" w:after="80"/>
      </w:pPr>
      <w:r>
        <w:rPr>
          <w:i/>
          <w:sz w:val="20"/>
        </w:rPr>
        <w:t>EN: Roman Empire’s collapse created a genetic melting pot in Europe</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88">
        <w:r>
          <w:rPr>
            <w:color w:val="1155CC"/>
            <w:u w:val="single"/>
          </w:rPr>
          <w:t>10.1038/d41586-026-01395-x</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[243] </w:t>
      </w:r>
      <w:hyperlink r:id="rId589">
        <w:r>
          <w:rPr>
            <w:color w:val="1155CC"/>
            <w:u w:val="single"/>
          </w:rPr>
          <w:t>合成血凝块快速将细胞结合在一起以止血</w:t>
        </w:r>
      </w:hyperlink>
    </w:p>
    <w:p>
      <w:pPr>
        <w:spacing w:before="0" w:after="80"/>
      </w:pPr>
      <w:r>
        <w:rPr>
          <w:i/>
          <w:sz w:val="20"/>
        </w:rPr>
        <w:t>EN: Synthetic blood clots snap cells together to staunch bleeding — fast</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90">
        <w:r>
          <w:rPr>
            <w:color w:val="1155CC"/>
            <w:u w:val="single"/>
          </w:rPr>
          <w:t>10.1038/d41586-026-01397-9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[244] </w:t>
      </w:r>
      <w:hyperlink r:id="rId591">
        <w:r>
          <w:rPr>
            <w:color w:val="1155CC"/>
            <w:u w:val="single"/>
          </w:rPr>
          <w:t>训练语言模型变得温暖可以降低准确性并增加谄媚性</w:t>
        </w:r>
      </w:hyperlink>
    </w:p>
    <w:p>
      <w:pPr>
        <w:spacing w:before="0" w:after="80"/>
      </w:pPr>
      <w:r>
        <w:rPr>
          <w:i/>
          <w:sz w:val="20"/>
        </w:rPr>
        <w:t>EN: Training language models to be warm can reduce accuracy and increase sycophancy</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92">
        <w:r>
          <w:rPr>
            <w:color w:val="1155CC"/>
            <w:u w:val="single"/>
          </w:rPr>
          <w:t>10.1038/s41586-026-10410-0</w:t>
        </w:r>
      </w:hyperlink>
    </w:p>
    <w:p>
      <w:pPr>
        <w:spacing w:before="0" w:after="120"/>
      </w:pPr>
      <w:r>
        <w:rPr>
          <w:b/>
        </w:rPr>
        <w:t xml:space="preserve">Notes: </w:t>
      </w:r>
      <w:r>
        <w:t>abstract_source=nature_html</w:t>
      </w:r>
    </w:p>
    <w:p>
      <w:pPr>
        <w:spacing w:before="0" w:after="80" w:lineRule="auto" w:line="276"/>
      </w:pPr>
      <w:r>
        <w:rPr>
          <w:b/>
        </w:rPr>
        <w:t xml:space="preserve">摘要（ZH）: </w:t>
      </w:r>
      <w:r>
        <w:t>人工智能开发者越来越多地构建具有温暖和友好人格的语言模型，数百万人现在使用这些模型进行建议、治疗和陪伴。在此，我们展示了这如何产生显著的权衡：优化语言模型的温暖可能会削弱其性能，尤其是在用户表达脆弱性时。我们对五种不同的语言模型进行了控制实验，训练它们产生更温暖的响应，然后在重要任务上对其进行评估。温暖模型的错误率明显高于其原始模型（+10到+30个百分点），促进阴谋论，提供不准确的事实信息，并提供错误的医疗建议。它们也更有可能验证用户的错误信念，特别是在用户消息表达悲伤情绪时。重要的是，这些效果在不同的模型架构中是一致的，并且尽管在标准测试中性能保持不变，但揭示了标准测试实践可能未能检测到的系统性风险。我们的研究结果表明，训练人工智能系统以温暖为目标可能会以准确性为代价，并且温暖和准确性可能并非默认独立。由于这些系统以空前的规模部署并在人的生活中扮演亲密角色，这种权衡需要开发者、政策制定者和用户的关注。</w:t>
      </w:r>
    </w:p>
    <w:p>
      <w:pPr>
        <w:spacing w:before="0" w:after="200" w:lineRule="auto" w:line="276"/>
      </w:pPr>
      <w:r>
        <w:rPr>
          <w:b/>
        </w:rPr>
        <w:t xml:space="preserve">Abstract (EN): </w:t>
      </w:r>
      <w:r>
        <w:t>Artificial intelligence developers are increasingly building language models with warm and friendly personas that millions of people now use for advice, therapy and companionship1. Here we show how this can create a significant trade-off: optimizing language models for warmth can undermine their performance, especially when users express vulnerability. We conducted controlled experiments on five different language models, training them to produce warmer responses, then evaluating them on consequential tasks. Warm models showed substantially higher error rates (+10 to +30 percentage points) than their original counterparts, promoting conspiracy theories, providing inaccurate factual information and offering incorrect medical advice. They were also significantly more likely to validate incorrect user beliefs, particularly when user messages expressed feelings of sadness. Importantly, these effects were consistent across different model architectures, and occurred despite preserved performance on standard tests, revealing systematic risks that standard testing practices may fail to detect. Our findings suggest that training artificial intelligence systems to be warm may come at a cost to accuracy, and that warmth and accuracy may not be independent by default. As these systems are deployed at an unprecedented scale and take on intimate roles in people’s lives, this trade-off warrants attention from developers, policymakers and users alike.</w:t>
      </w:r>
    </w:p>
    <w:p>
      <w:pPr>
        <w:spacing w:before="120" w:after="120"/>
      </w:pPr>
      <w:r>
        <w:rPr>
          <w:sz w:val="18"/>
        </w:rPr>
        <w:t>——————————————————————————————————————————————————————————————————————</w:t>
      </w:r>
    </w:p>
    <w:p>
      <w:pPr>
        <w:spacing w:before="160" w:after="40" w:line="240" w:lineRule="auto"/>
      </w:pPr>
      <w:r>
        <w:rPr>
          <w:b/>
        </w:rPr>
        <w:t xml:space="preserve">[245] </w:t>
      </w:r>
      <w:hyperlink r:id="rId593">
        <w:r>
          <w:rPr>
            <w:color w:val="1155CC"/>
            <w:u w:val="single"/>
          </w:rPr>
          <w:t>中纬度冬季降水的不确定动态响应</w:t>
        </w:r>
      </w:hyperlink>
    </w:p>
    <w:p>
      <w:pPr>
        <w:spacing w:before="0" w:after="80"/>
      </w:pPr>
      <w:r>
        <w:rPr>
          <w:i/>
          <w:sz w:val="20"/>
        </w:rPr>
        <w:t>EN: Uncertain dynamic response of mid-latitude winter precipitation</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94">
        <w:r>
          <w:rPr>
            <w:color w:val="1155CC"/>
            <w:u w:val="single"/>
          </w:rPr>
          <w:t>10.1038/s41586-026-10474-y</w:t>
        </w:r>
      </w:hyperlink>
    </w:p>
    <w:p>
      <w:pPr>
        <w:spacing w:before="0" w:after="120"/>
      </w:pPr>
      <w:r>
        <w:rPr>
          <w:b/>
        </w:rPr>
        <w:t xml:space="preserve">Notes: </w:t>
      </w:r>
      <w:r>
        <w:t>abstract_source=nature_html</w:t>
      </w:r>
    </w:p>
    <w:p>
      <w:pPr>
        <w:spacing w:before="0" w:after="80" w:lineRule="auto" w:line="276"/>
      </w:pPr>
      <w:r>
        <w:rPr>
          <w:b/>
        </w:rPr>
        <w:t xml:space="preserve">摘要（ZH）: </w:t>
      </w:r>
      <w:r>
        <w:t>理解降水变化对社会和生态系统至关重要1,2。研究已经记录了人为强迫和内部变率对降水趋势的各自贡献3,4，但观测和模拟模式之间仍存在差异。在北半球冬季，这些不匹配通常归因于主导观测趋势的无强迫内部变率5。然而，越来越多的证据也表明气候模型低估了降水对人为强迫的总体响应6,7,8。我们在此展示，气候模型大体上再现了热力学贡献，而动力学贡献可能会有更大的差异。我们的方法将人为强迫的热力学和动力学成分与冬季降水趋势（1950-2022年）中的内部变率分离，以研究它们对趋势差异的贡献。在地中海地区，模型模拟的强迫动力信号仅能解释约10%的观测动力趋势，使得检测具有挑战性。在持续的人为排放下，预计的环流响应会加强，并更接近观测趋势模式。尽管观测记录中的内部变率可能对这种相似性有所贡献，但结果表明动力响应在塑造区域冬季降水趋势中可能具有不确定但潜在的新兴作用。气候模型中强迫大尺度环流响应的可靠表示仍然是提高区域降水预测信心的关键。</w:t>
      </w:r>
    </w:p>
    <w:p>
      <w:pPr>
        <w:spacing w:before="0" w:after="200" w:lineRule="auto" w:line="276"/>
      </w:pPr>
      <w:r>
        <w:rPr>
          <w:b/>
        </w:rPr>
        <w:t xml:space="preserve">Abstract (EN): </w:t>
      </w:r>
      <w:r>
        <w:t>Understanding changes in precipitation is crucial for society and ecosystems1,2. Studies have documented the respective contributions of anthropogenic forcing and internal variability to precipitation trends3,4, yet discrepancies persist between observed and simulated patterns. In Northern Hemisphere winter, these mismatches are often attributed to unforced internal variability that dominates observed trends5. However, growing evidence also indicates that climate models underestimate the total response of precipitation to human forcings6,7,8. Here we show that the thermodynamic contribution is broadly reproduced by climate models, whereas the dynamic contribution can diverge more substantially. Our approach disentangles the anthropogenic forced thermodynamic and dynamic components from internal variability in winter precipitation trends (1950–2022) to investigate their contribution to the trend discrepancies. In the Mediterranean, the forced dynamic signal from model simulations explains only about 10% of the observed dynamic trend, making detection challenging. Under continued anthropogenic emissions, the projected circulation response intensifies and more closely resembles observed trend patterns. Although internal variability in the observed record may contribute to this similarity, the results indicate an uncertain yet potentially emerging role of dynamic response in shaping regional winter precipitation trends. A reliable representation of the forced large-scale circulation response in climate models remains key for increasing confidence in regional precipitation projections.</w:t>
      </w:r>
    </w:p>
    <w:p>
      <w:pPr>
        <w:spacing w:before="120" w:after="120"/>
      </w:pPr>
      <w:r>
        <w:rPr>
          <w:sz w:val="18"/>
        </w:rPr>
        <w:t>——————————————————————————————————————————————————————————————————————</w:t>
      </w:r>
    </w:p>
    <w:p>
      <w:pPr>
        <w:spacing w:before="160" w:after="40" w:line="240" w:lineRule="auto"/>
      </w:pPr>
      <w:r>
        <w:rPr>
          <w:b/>
        </w:rPr>
        <w:t xml:space="preserve">[246] </w:t>
      </w:r>
      <w:hyperlink r:id="rId595">
        <w:r>
          <w:rPr>
            <w:color w:val="1155CC"/>
            <w:u w:val="single"/>
          </w:rPr>
          <w:t>从头蛋白质设计的过去、现在和未来</w:t>
        </w:r>
      </w:hyperlink>
    </w:p>
    <w:p>
      <w:pPr>
        <w:spacing w:before="0" w:after="80"/>
      </w:pPr>
      <w:r>
        <w:rPr>
          <w:i/>
          <w:sz w:val="20"/>
        </w:rPr>
        <w:t>EN: The past, present and future of de novo protein design</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96">
        <w:r>
          <w:rPr>
            <w:color w:val="1155CC"/>
            <w:u w:val="single"/>
          </w:rPr>
          <w:t>10.1038/s41586-026-10328-7</w:t>
        </w:r>
      </w:hyperlink>
    </w:p>
    <w:p>
      <w:pPr>
        <w:spacing w:before="0" w:after="120"/>
      </w:pPr>
      <w:r>
        <w:rPr>
          <w:b/>
        </w:rPr>
        <w:t xml:space="preserve">Notes: </w:t>
      </w:r>
      <w:r>
        <w:t>abstract_source=nature_html</w:t>
      </w:r>
    </w:p>
    <w:p>
      <w:pPr>
        <w:spacing w:before="0" w:after="80" w:lineRule="auto" w:line="276"/>
      </w:pPr>
      <w:r>
        <w:rPr>
          <w:b/>
        </w:rPr>
        <w:t xml:space="preserve">摘要（ZH）: </w:t>
      </w:r>
      <w:r>
        <w:t>随着深度学习驱动的蛋白质设计方法的进步，蛋白质工程正在从随机选择向有意的计算设计方法转变。我们在此描述了de novo蛋白质设计的现状。尽管在成功率和活性方面仍有改进空间，但设计新蛋白质结构、组装体和蛋白质结合体的长期挑战已接近解决。这些领域的关键当前问题不是如何设计，而是设计什么，开源设计方法如RFdiffusion和ProteinMPNN以及蛋白质结构预测工具使生物化学家和分子生物学家能够广泛探索可能的应用。在小分子靶标结合体、酶和多态蛋白质系统的de novo设计方面也取得了相当大的进展。方法开发的当前挑战包括设计具有高能量障碍反应的催化剂，以及更普遍地，设计结合、构象变化和催化整合的开关和纳米机器。在未来五到十年内，我们预计将设计出复杂的蛋白质纳米机器和材料，其功能远远超出自然进化过程中产生的功能，适用于医学、技术和可持续性等广泛应用。</w:t>
      </w:r>
    </w:p>
    <w:p>
      <w:pPr>
        <w:spacing w:before="0" w:after="200" w:lineRule="auto" w:line="276"/>
      </w:pPr>
      <w:r>
        <w:rPr>
          <w:b/>
        </w:rPr>
        <w:t xml:space="preserve">Abstract (EN): </w:t>
      </w:r>
      <w:r>
        <w:t>With deep-learning-powered advances in protein design methods, there is an ongoing paradigm shift in protein engineering from random selection to intentional computational design methods. Here we describe the current state of de novo protein design. While there is still room for improvement in success rates and activities, the long-standing challenges of designing new protein structures, assemblies and protein binders are close to being solved. The key current questions in these areas are not how to design, but what to design, and open-source design methodology such as RFdiffusion and ProteinMPNN together with protein structure prediction tools enable biochemists and molecular biologists to broadly explore possible applications. There has also been considerable progress in the de novo design of small-molecule target binders, enzymes and multistate protein systems. Current challenges for methods development include design of catalysts for reactions with high energy barriers and, more generally, design of switches and nanomachines that integrate binding, conformational change and catalysis. Over the next five to ten years, we anticipate the design of sophisticated protein nanomachines and materials with functionality ranging far beyond that generated during natural evolution for a wide range of applications in medicine, technology and sustainability.</w:t>
      </w:r>
    </w:p>
    <w:p>
      <w:pPr>
        <w:spacing w:before="120" w:after="120"/>
      </w:pPr>
      <w:r>
        <w:rPr>
          <w:sz w:val="18"/>
        </w:rPr>
        <w:t>——————————————————————————————————————————————————————————————————————</w:t>
      </w:r>
    </w:p>
    <w:p>
      <w:pPr>
        <w:spacing w:before="160" w:after="40" w:line="240" w:lineRule="auto"/>
      </w:pPr>
      <w:r>
        <w:rPr>
          <w:b/>
        </w:rPr>
        <w:t xml:space="preserve">[247] </w:t>
      </w:r>
      <w:hyperlink r:id="rId597">
        <w:r>
          <w:rPr>
            <w:color w:val="1155CC"/>
            <w:u w:val="single"/>
          </w:rPr>
          <w:t>GLP-1R–GIPR–PPARα/γ/δ五重激动剂纠正小鼠的肥胖和糖尿病</w:t>
        </w:r>
      </w:hyperlink>
    </w:p>
    <w:p>
      <w:pPr>
        <w:spacing w:before="0" w:after="80"/>
      </w:pPr>
      <w:r>
        <w:rPr>
          <w:i/>
          <w:sz w:val="20"/>
        </w:rPr>
        <w:t>EN: GLP-1R–GIPR–PPARα/γ/δ quintuple agonism corrects obesity and diabetes in mice</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598">
        <w:r>
          <w:rPr>
            <w:color w:val="1155CC"/>
            <w:u w:val="single"/>
          </w:rPr>
          <w:t>10.1038/s41586-026-10427-5</w:t>
        </w:r>
      </w:hyperlink>
    </w:p>
    <w:p>
      <w:pPr>
        <w:spacing w:before="0" w:after="120"/>
      </w:pPr>
      <w:r>
        <w:rPr>
          <w:b/>
        </w:rPr>
        <w:t xml:space="preserve">Notes: </w:t>
      </w:r>
      <w:r>
        <w:t>abstract_source=nature_html</w:t>
      </w:r>
    </w:p>
    <w:p>
      <w:pPr>
        <w:spacing w:before="0" w:after="80" w:lineRule="auto" w:line="276"/>
      </w:pPr>
      <w:r>
        <w:rPr>
          <w:b/>
        </w:rPr>
        <w:t xml:space="preserve">摘要（ZH）: </w:t>
      </w:r>
      <w:r>
        <w:t>用于改善肥胖相关代谢功能的有效药物数量正在增加；GLP-1R–GIPR共激动在肥胖和2型糖尿病的管理中是有效的1,2，而lanifibranor——一种作用于核的小分子PPARα、PPARγ和PPARδ的三重激动剂——正在进行治疗代谢功能障碍相关脂肪性肝炎的临床三期试验3。为了进一步提高GLP-1R–GIPR共激动的代谢效能，我们报告了一种单分子五重激动剂的开发，该激动剂结合了GLP-1R–GIPR共激动的减重和降血糖效果，以及lanifibranor通过其靶向递送至GLP-1R和GIPR表达细胞的胰岛素增敏和抗炎效果。在体外，GLP-1–GIP–lanifibranor在增效素受体信号传导方面与GLP-1–GIP无异，并在分离的鼠胰岛中显示出相同的胰岛素分泌刺激。在体内，然而，GLP-1–GIP–lanifibranor优于GLP-1R–GIPR共激动和semaglutide，通过协同的增效素和PPAR作用进一步减少肥胖和胰岛素抵抗小鼠的体重、食物摄入和高血糖。GLP-1–GIP–lanifibranor的代谢作用在具有GLP-1R、GIPR或PPARδ遗传或药理学抑制的小鼠中减弱，并在DIO双增效素受体敲除小鼠中消失，综合表明GLP-1–GIP–lanifibranor在肥胖和糖尿病治疗中具有显著的治疗价值。</w:t>
      </w:r>
    </w:p>
    <w:p>
      <w:pPr>
        <w:spacing w:before="0" w:after="200" w:lineRule="auto" w:line="276"/>
      </w:pPr>
      <w:r>
        <w:rPr>
          <w:b/>
        </w:rPr>
        <w:t xml:space="preserve">Abstract (EN): </w:t>
      </w:r>
      <w:r>
        <w:t>There are increasing numbers of effective drugs to improve obesity-linked metabolic dysfunction; GLP-1R–GIPR co-agonism is effective in the management of obesity and type 2 diabetes1,2, and lanifibranor—a nuclear-acting small-molecule triple agonist of PPARα, PPARγ and PPARδ—is in clinical phase 3 trials for the treatment of metabolic dysfunction-associated steatohepatitis3. Here, seeking to further improve the metabolic efficacy of GLP-1R–GIPR co-agonism, we report the development of a unimolecular quintuple agonist that combines the body weight-reducing and blood glucose-lowering effects of GLP-1R–GIPR co-agonism with the insulin-sensitizing and anti-inflammatory effects of lanifibranor via its targeted delivery into GLP-1R- and GIPR-expressing cells. In vitro, GLP-1–GIP–lanifibranor is indistinguishable from GLP-1–GIP in relation to incretin receptor signalling and shows equal stimulation of insulin secretion in isolated mouse islets. In vivo, however, GLP-1–GIP–lanifibranor outperforms GLP-1R–GIPR co-agonism and semaglutide, further decreasing body weight, food intake and hyperglycaemia in obese and insulin-resistant mice through synergistic incretin and PPAR action. The metabolic action of GLP-1–GIP–lanifibranor is blunted in mice with genetic or pharmacological inhibition of GLP-1R, GIPR or PPARδ and is absent in DIO double incretin receptor-knockout mice, collectively suggesting that GLP-1–GIP–lanifibranor has substantial therapeutic value in the treatment of obesity and diabetes.</w:t>
      </w:r>
    </w:p>
    <w:p>
      <w:pPr>
        <w:spacing w:before="120" w:after="120"/>
      </w:pPr>
      <w:r>
        <w:rPr>
          <w:sz w:val="18"/>
        </w:rPr>
        <w:t>——————————————————————————————————————————————————————————————————————</w:t>
      </w:r>
    </w:p>
    <w:p>
      <w:pPr>
        <w:spacing w:before="160" w:after="40" w:line="240" w:lineRule="auto"/>
      </w:pPr>
      <w:r>
        <w:rPr>
          <w:b/>
        </w:rPr>
        <w:t xml:space="preserve">[248] </w:t>
      </w:r>
      <w:hyperlink r:id="rId599">
        <w:r>
          <w:rPr>
            <w:color w:val="1155CC"/>
            <w:u w:val="single"/>
          </w:rPr>
          <w:t>中非地区野生动物消费的增加</w:t>
        </w:r>
      </w:hyperlink>
    </w:p>
    <w:p>
      <w:pPr>
        <w:spacing w:before="0" w:after="80"/>
      </w:pPr>
      <w:r>
        <w:rPr>
          <w:i/>
          <w:sz w:val="20"/>
        </w:rPr>
        <w:t>EN: Increase in wild animal consumption across Central Africa</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600">
        <w:r>
          <w:rPr>
            <w:color w:val="1155CC"/>
            <w:u w:val="single"/>
          </w:rPr>
          <w:t>10.1038/s41586-026-10422-w</w:t>
        </w:r>
      </w:hyperlink>
    </w:p>
    <w:p>
      <w:pPr>
        <w:spacing w:before="0" w:after="120"/>
      </w:pPr>
      <w:r>
        <w:rPr>
          <w:b/>
        </w:rPr>
        <w:t xml:space="preserve">Notes: </w:t>
      </w:r>
      <w:r>
        <w:t>abstract_source=nature_html</w:t>
      </w:r>
    </w:p>
    <w:p>
      <w:pPr>
        <w:spacing w:before="0" w:after="80" w:lineRule="auto" w:line="276"/>
      </w:pPr>
      <w:r>
        <w:rPr>
          <w:b/>
        </w:rPr>
        <w:t xml:space="preserve">摘要（ZH）: </w:t>
      </w:r>
      <w:r>
        <w:t>尽管人类活动正在导致野生动物种群的广泛下降1,2，但在中非，野生动物的肉类或称野味是数百万人的饮食中一个重要组成部分3。为了在确保野生动物可持续利用的同时阻止动物群退化，了解野味消费的规模和驱动因素至关重要。在此，我们利用来自中非252个地点超过12,000户家庭的数据，显示野味是农村人口饮食的基本组成部分，占推荐每日蛋白质摄入量的20%，而城镇和城市居民分别为13%和6%。我们估计，中非每年消费的野味总生物量从2000年的73万吨增加到2022年的110万吨，城镇和城市的需求不断增加。为了确保野味能够根据可持续发展目标4和昆明-蒙特利尔全球生物多样性框架5提供给农村社区，减少城市大都市的野味消费是关键。尽管我们的结果基于最全面的数据集，但地理覆盖范围不完整，数据集仅代表中非整个人口的极小部分。需要有针对性的研究来验证我们的模型并评估关键的干预领域。</w:t>
      </w:r>
    </w:p>
    <w:p>
      <w:pPr>
        <w:spacing w:before="0" w:after="200" w:lineRule="auto" w:line="276"/>
      </w:pPr>
      <w:r>
        <w:rPr>
          <w:b/>
        </w:rPr>
        <w:t xml:space="preserve">Abstract (EN): </w:t>
      </w:r>
      <w:r>
        <w:t>While human activities are driving widespread declines in wildlife populations1,2, in Central Africa, the meat of wild animals, or wild meat, represents a major component of the diets of millions of people3. To halt faunal degradation while ensuring sustainable use of wildlife, it is crucial to understand the scale and drivers of wild meat consumption. Here, using data from over 12,000 households from 252 locations in Central Africa, we show that wild meat is a fundamental component of the diets of rural populations, accounting for 20% of the recommended daily protein intake, compared with 13% and 6% for those living in towns and cities. We estimate that the total annual biomass of wild meat consumed in Central Africa increased from 0.73 million to 1.10 million tonnes between 2000 and 2022, with increasing demand from towns and cities. To ensure that wild meat is available to rural communities, in accordance with the Sustainable Development Goals4 and the Kunming–Montreal Global Biodiversity Framework5, reducing wild meat consumption in urban metropolises is key. While our results are based on the most comprehensive dataset available, the geographical coverage is incomplete and the dataset represents a minimal fraction of the entire population of Central Africa. Targeted studies are needed to validate our model and assess critical areas of intervention.</w:t>
      </w:r>
    </w:p>
    <w:p>
      <w:pPr>
        <w:spacing w:before="120" w:after="120"/>
      </w:pPr>
      <w:r>
        <w:rPr>
          <w:sz w:val="18"/>
        </w:rPr>
        <w:t>——————————————————————————————————————————————————————————————————————</w:t>
      </w:r>
    </w:p>
    <w:p>
      <w:pPr>
        <w:spacing w:before="160" w:after="40" w:line="240" w:lineRule="auto"/>
      </w:pPr>
      <w:r>
        <w:rPr>
          <w:b/>
        </w:rPr>
        <w:t xml:space="preserve">[249] </w:t>
      </w:r>
      <w:hyperlink r:id="rId601">
        <w:r>
          <w:rPr>
            <w:color w:val="1155CC"/>
            <w:u w:val="single"/>
          </w:rPr>
          <w:t>糖尿病肾病的空间图谱揭示了一个富含B细胞的亚群</w:t>
        </w:r>
      </w:hyperlink>
    </w:p>
    <w:p>
      <w:pPr>
        <w:spacing w:before="0" w:after="80"/>
      </w:pPr>
      <w:r>
        <w:rPr>
          <w:i/>
          <w:sz w:val="20"/>
        </w:rPr>
        <w:t>EN: Spatial atlas of diabetic kidney disease reveals a B cell-rich subgroup</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602">
        <w:r>
          <w:rPr>
            <w:color w:val="1155CC"/>
            <w:u w:val="single"/>
          </w:rPr>
          <w:t>10.1038/s41586-026-10363-4</w:t>
        </w:r>
      </w:hyperlink>
    </w:p>
    <w:p>
      <w:pPr>
        <w:spacing w:before="0" w:after="120"/>
      </w:pPr>
      <w:r>
        <w:rPr>
          <w:b/>
        </w:rPr>
        <w:t xml:space="preserve">Notes: </w:t>
      </w:r>
      <w:r>
        <w:t>abstract_source=nature_html</w:t>
      </w:r>
    </w:p>
    <w:p>
      <w:pPr>
        <w:spacing w:before="0" w:after="80" w:lineRule="auto" w:line="276"/>
      </w:pPr>
      <w:r>
        <w:rPr>
          <w:b/>
        </w:rPr>
        <w:t xml:space="preserve">摘要（ZH）: </w:t>
      </w:r>
      <w:r>
        <w:t>糖尿病肾病（DKD）是导致肾衰竭的主要原因，其临床和分子异质性使得治疗开发极为困难1。在此，我们使用Xenium和CosMx单细胞空间转录组学，结合单核RNA测序，构建了一个跨平台的肾脏图谱，使组织结构可计算用于预后、无创检测和患者选择。利用该图谱，我们定义了可重复的组织生态位和与损伤相关的微环境，并发现了一种随疾病扩展并与肾功能恶化相关的促纤维化背景。在这种结构中，我们识别出一种以B细胞为主的、类似三级淋巴结构的免疫微环境，定义了一个具有加速进展至肾终点的独特DKD亚群。我们开发了组织生物标志物和匹配的血浆蛋白面板，捕捉这种生物学，分层患者在一个人口生物库中，并在临床模型之外改善风险预测——支持其在未来B细胞靶向DKD试验中用于生物标志物指导选择的潜力。</w:t>
      </w:r>
    </w:p>
    <w:p>
      <w:pPr>
        <w:spacing w:before="0" w:after="200" w:lineRule="auto" w:line="276"/>
      </w:pPr>
      <w:r>
        <w:rPr>
          <w:b/>
        </w:rPr>
        <w:t xml:space="preserve">Abstract (EN): </w:t>
      </w:r>
      <w:r>
        <w:t>Diabetic kidney disease (DKD), the leading cause of kidney failure, is marked by clinical and molecular heterogeneity, making therapeutic development exceedingly difficult1. Here we used Xenium and CosMx single-cell spatial transcriptomics, integrated with single-nucleus RNA sequencing, to build a cross-platform kidney atlas that makes tissue architecture computable for prognosis, non-invasive detection and patient selection. Using this atlas, we defined reproducible tissue niches and injury-linked microenvironments and uncovered a profibrotic context that expands with disease and tracks with worse kidney function. Within this architecture, we identified a B cell-predominant, tertiary lymphoid structure-like immune microenvironment that defines a distinct DKD subset with accelerated progression to renal end-points. We developed tissue biomarkers and a matched plasma protein panel that capture this biology, stratify patients in a population biobank and improve risk prediction beyond clinical models—supporting their potential for biomarker-guided selection in future B cell-targeted DKD trials.</w:t>
      </w:r>
    </w:p>
    <w:p>
      <w:pPr>
        <w:spacing w:before="120" w:after="120"/>
      </w:pPr>
      <w:r>
        <w:rPr>
          <w:sz w:val="18"/>
        </w:rPr>
        <w:t>——————————————————————————————————————————————————————————————————————</w:t>
      </w:r>
    </w:p>
    <w:p>
      <w:pPr>
        <w:spacing w:before="160" w:after="40" w:line="240" w:lineRule="auto"/>
      </w:pPr>
      <w:r>
        <w:rPr>
          <w:b/>
        </w:rPr>
        <w:t xml:space="preserve">[250] </w:t>
      </w:r>
      <w:hyperlink r:id="rId603">
        <w:r>
          <w:rPr>
            <w:color w:val="1155CC"/>
            <w:u w:val="single"/>
          </w:rPr>
          <w:t>机器学习改善了塞拉利昂的医疗保健获取</w:t>
        </w:r>
      </w:hyperlink>
    </w:p>
    <w:p>
      <w:pPr>
        <w:spacing w:before="0" w:after="80"/>
      </w:pPr>
      <w:r>
        <w:rPr>
          <w:i/>
          <w:sz w:val="20"/>
        </w:rPr>
        <w:t>EN: Machine learning improves health-care access in Sierra Leone</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604">
        <w:r>
          <w:rPr>
            <w:color w:val="1155CC"/>
            <w:u w:val="single"/>
          </w:rPr>
          <w:t>10.1038/d41586-026-01152-0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[251] </w:t>
      </w:r>
      <w:hyperlink r:id="rId605">
        <w:r>
          <w:rPr>
            <w:color w:val="1155CC"/>
            <w:u w:val="single"/>
          </w:rPr>
          <w:t>头足类动物在研究中应享有更高的福利标准</w:t>
        </w:r>
      </w:hyperlink>
    </w:p>
    <w:p>
      <w:pPr>
        <w:spacing w:before="0" w:after="80"/>
      </w:pPr>
      <w:r>
        <w:rPr>
          <w:i/>
          <w:sz w:val="20"/>
        </w:rPr>
        <w:t>EN: Cephalopods deserve higher welfare standards in research</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606">
        <w:r>
          <w:rPr>
            <w:color w:val="1155CC"/>
            <w:u w:val="single"/>
          </w:rPr>
          <w:t>10.1038/d41586-026-01320-2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[252] </w:t>
      </w:r>
      <w:hyperlink r:id="rId607">
        <w:r>
          <w:rPr>
            <w:color w:val="1155CC"/>
            <w:u w:val="single"/>
          </w:rPr>
          <w:t>合子中独立的父母原核之间的细胞质竞争</w:t>
        </w:r>
      </w:hyperlink>
    </w:p>
    <w:p>
      <w:pPr>
        <w:spacing w:before="0" w:after="80"/>
      </w:pPr>
      <w:r>
        <w:rPr>
          <w:i/>
          <w:sz w:val="20"/>
        </w:rPr>
        <w:t>EN: Cytoplasmic competition between separate parental pronuclei in zygotes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608">
        <w:r>
          <w:rPr>
            <w:color w:val="1155CC"/>
            <w:u w:val="single"/>
          </w:rPr>
          <w:t>10.1038/s41586-026-10417-7</w:t>
        </w:r>
      </w:hyperlink>
    </w:p>
    <w:p>
      <w:pPr>
        <w:spacing w:before="0" w:after="120"/>
      </w:pPr>
      <w:r>
        <w:rPr>
          <w:b/>
        </w:rPr>
        <w:t xml:space="preserve">Notes: </w:t>
      </w:r>
      <w:r>
        <w:t>abstract_source=nature_html</w:t>
      </w:r>
    </w:p>
    <w:p>
      <w:pPr>
        <w:spacing w:before="0" w:after="80" w:lineRule="auto" w:line="276"/>
      </w:pPr>
      <w:r>
        <w:rPr>
          <w:b/>
        </w:rPr>
        <w:t xml:space="preserve">摘要（ZH）: </w:t>
      </w:r>
      <w:r>
        <w:t>胚胎发生始于合子——一个具有两个分别包裹母体和父体染色体的原核的单细胞。尽管临床上使用单原核双亲合子1,2,3，但父母染色体分离成不同原核的功能意义仍未被探索。在此，我们结合小鼠合子操作、定量成像和理论方法，展示了一种由细胞质介导的独立父母原核之间的竞争机制，确保了发育潜力。该机制限制了原核体积并防止表观遗传标记失调，包括三甲基化组蛋白的丢失。单原核双亲合子缺乏这种机制，导致发育到足月的速率降低。通过基于竞争或药物的表观遗传标记恢复，可以部分挽救这种低发育潜力。本研究提供了一种将受精与下一代完全发育潜力建立联系的空间机制，强调了临床使用单原核双亲合子的注意事项。</w:t>
      </w:r>
    </w:p>
    <w:p>
      <w:pPr>
        <w:spacing w:before="0" w:after="200" w:lineRule="auto" w:line="276"/>
      </w:pPr>
      <w:r>
        <w:rPr>
          <w:b/>
        </w:rPr>
        <w:t xml:space="preserve">Abstract (EN): </w:t>
      </w:r>
      <w:r>
        <w:t>Embryogenesis begins with a zygote—a single cell with two pronuclei that separately enclose maternal and paternal chromosomes. The functional significance of the separation of parental chromosomes into distinct pronuclei remains unexplored, despite the fact that one-pronuclear biparental zygotes are used clinically1,2,3. Here, using a combination of mouse zygote manipulation, quantitative imaging and theoretical approaches, we show a cytoplasm-mediated competition mechanism between separate parental pronuclei that ensures developmental potential. This mechanism limits pronuclear volume and prevents epigenetic mark dysregulation, including loss of trimethylated histones. One-pronuclear biparental zygotes lack this mechanism, resulting in a reduced rate of development to term. This low developmental potential can be partially rescued by competition-based or drug-based restoration of epigenetic marks. This study provides a spatial mechanism linking fertilization to the establishment of the full developmental potential for the next generation, highlighting caveats in clinical use of one-pronuclear biparental zygotes.</w:t>
      </w:r>
    </w:p>
    <w:p>
      <w:pPr>
        <w:spacing w:before="120" w:after="120"/>
      </w:pPr>
      <w:r>
        <w:rPr>
          <w:sz w:val="18"/>
        </w:rPr>
        <w:t>——————————————————————————————————————————————————————————————————————</w:t>
      </w:r>
    </w:p>
    <w:p>
      <w:pPr>
        <w:spacing w:before="160" w:after="40" w:line="240" w:lineRule="auto"/>
      </w:pPr>
      <w:r>
        <w:rPr>
          <w:b/>
        </w:rPr>
        <w:t xml:space="preserve">[253] </w:t>
      </w:r>
      <w:hyperlink r:id="rId609">
        <w:r>
          <w:rPr>
            <w:color w:val="1155CC"/>
            <w:u w:val="single"/>
          </w:rPr>
          <w:t>由抗CRISPR触发的cas12 mRNA的翻译依赖性降解</w:t>
        </w:r>
      </w:hyperlink>
    </w:p>
    <w:p>
      <w:pPr>
        <w:spacing w:before="0" w:after="80"/>
      </w:pPr>
      <w:r>
        <w:rPr>
          <w:i/>
          <w:sz w:val="20"/>
        </w:rPr>
        <w:t>EN: Translation-dependent degradation of cas12 mRNA triggered by an anti-CRISPR</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610">
        <w:r>
          <w:rPr>
            <w:color w:val="1155CC"/>
            <w:u w:val="single"/>
          </w:rPr>
          <w:t>10.1038/s41586-026-10440-8</w:t>
        </w:r>
      </w:hyperlink>
    </w:p>
    <w:p>
      <w:pPr>
        <w:spacing w:before="0" w:after="120"/>
      </w:pPr>
      <w:r>
        <w:rPr>
          <w:b/>
        </w:rPr>
        <w:t xml:space="preserve">Notes: </w:t>
      </w:r>
      <w:r>
        <w:t>abstract_source=nature_html</w:t>
      </w:r>
    </w:p>
    <w:p>
      <w:pPr>
        <w:spacing w:before="0" w:after="80" w:lineRule="auto" w:line="276"/>
      </w:pPr>
      <w:r>
        <w:rPr>
          <w:b/>
        </w:rPr>
        <w:t xml:space="preserve">摘要（ZH）: </w:t>
      </w:r>
      <w:r>
        <w:t>细菌编码多种防御系统，包括CRISPR-Cas，以识别和切割噬菌体（噬菌体）和其他可移动遗传元件的DNA。作为回应，噬菌体编码抗CRISPR（Acr）蛋白，通过阻止DNA结合或切割来抑制CRISPR-Cas活性。在此，我们报告了一种意想不到的机制，即抗CRISPR AcrVA2抑制Cas12a生物合成。AcrVA2结合在Cas12a N-末端附近的保守且功能重要的氨基酸残基，并在翻译过程中触发选择性降解cas12a mRNA。此外，AcrVA2 C-末端结构域中的保守残基能够与核糖体和多核糖体共同沉淀，这是实现靶向共翻译mRNA降解所必需的。AcrVA2 C-末端结构域在由多种可移动遗传元件编码的同源物中广泛保守，通常存在于缺乏cas12a的宿主中，这表明这些同源物可能在其他细菌中识别和下调替代底物。这些发现揭示了细菌中分子冲突和基因调控的新机制。</w:t>
      </w:r>
    </w:p>
    <w:p>
      <w:pPr>
        <w:spacing w:before="0" w:after="200" w:lineRule="auto" w:line="276"/>
      </w:pPr>
      <w:r>
        <w:rPr>
          <w:b/>
        </w:rPr>
        <w:t xml:space="preserve">Abstract (EN): </w:t>
      </w:r>
      <w:r>
        <w:t>Bacteria encode diverse defence systems, including CRISPR–Cas, to recognize and cleave the DNA of bacteriophages (phages) and other mobile genetic elements1. In response, phages encode anti-CRISPR (Acr) proteins that inhibit CRISPR–Cas activity by blocking DNA binding or cleavage2. Here we report an unexpected mechanism by which the anti-CRISPR AcrVA2 inhibits Cas12a biogenesis. AcrVA2 binds conserved and functionally important amino acid residues near the Cas12a N-terminus and triggers selective degradation of cas12a mRNA as it is translated. Additionally, conserved residues in the AcrVA2 C-terminal domain enable co-sedimentation with ribosomes and polysomes, which is required to achieve targeted co-translational mRNA degradation. The AcrVA2 C-terminal domain is broadly conserved in homologs encoded by diverse mobile genetic elements, typically in hosts that lack cas12a, suggesting that these homologues may recognize and downregulate alternative substrates in other bacteria. These findings reveal a novel mechanism for molecular conflict and gene regulation in bacteria.</w:t>
      </w:r>
    </w:p>
    <w:p>
      <w:pPr>
        <w:spacing w:before="120" w:after="120"/>
      </w:pPr>
      <w:r>
        <w:rPr>
          <w:sz w:val="18"/>
        </w:rPr>
        <w:t>——————————————————————————————————————————————————————————————————————</w:t>
      </w:r>
    </w:p>
    <w:p>
      <w:pPr>
        <w:spacing w:before="160" w:after="40" w:line="240" w:lineRule="auto"/>
      </w:pPr>
      <w:r>
        <w:rPr>
          <w:b/>
        </w:rPr>
        <w:t xml:space="preserve">[254] </w:t>
      </w:r>
      <w:hyperlink r:id="rId611">
        <w:r>
          <w:rPr>
            <w:color w:val="1155CC"/>
            <w:u w:val="single"/>
          </w:rPr>
          <w:t>更友好的LLM告诉用户他们想听的内容——即使是错误的</w:t>
        </w:r>
      </w:hyperlink>
    </w:p>
    <w:p>
      <w:pPr>
        <w:spacing w:before="0" w:after="80"/>
      </w:pPr>
      <w:r>
        <w:rPr>
          <w:i/>
          <w:sz w:val="20"/>
        </w:rPr>
        <w:t>EN: Friendlier LLMs tell users what they want to hear — even when it is wrong</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612">
        <w:r>
          <w:rPr>
            <w:color w:val="1155CC"/>
            <w:u w:val="single"/>
          </w:rPr>
          <w:t>10.1038/d41586-026-01153-z</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[255] </w:t>
      </w:r>
      <w:hyperlink r:id="rId613">
        <w:r>
          <w:rPr>
            <w:color w:val="1155CC"/>
            <w:u w:val="single"/>
          </w:rPr>
          <w:t>亲眼所见</w:t>
        </w:r>
      </w:hyperlink>
    </w:p>
    <w:p>
      <w:pPr>
        <w:spacing w:before="0" w:after="80"/>
      </w:pPr>
      <w:r>
        <w:rPr>
          <w:i/>
          <w:sz w:val="20"/>
        </w:rPr>
        <w:t>EN: In the flesh</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614">
        <w:r>
          <w:rPr>
            <w:color w:val="1155CC"/>
            <w:u w:val="single"/>
          </w:rPr>
          <w:t>10.1038/d41586-026-01073-y</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[256] </w:t>
      </w:r>
      <w:hyperlink r:id="rId615">
        <w:r>
          <w:rPr>
            <w:color w:val="1155CC"/>
            <w:u w:val="single"/>
          </w:rPr>
          <w:t>细胞图谱绘制了糖尿病肾病的免疫结构</w:t>
        </w:r>
      </w:hyperlink>
    </w:p>
    <w:p>
      <w:pPr>
        <w:spacing w:before="0" w:after="80"/>
      </w:pPr>
      <w:r>
        <w:rPr>
          <w:i/>
          <w:sz w:val="20"/>
        </w:rPr>
        <w:t>EN: A cell atlas charts the immune architecture of diabetic kidney disease</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616">
        <w:r>
          <w:rPr>
            <w:color w:val="1155CC"/>
            <w:u w:val="single"/>
          </w:rPr>
          <w:t>10.1038/d41586-026-01177-5</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[257] </w:t>
      </w:r>
      <w:hyperlink r:id="rId617">
        <w:r>
          <w:rPr>
            <w:color w:val="1155CC"/>
            <w:u w:val="single"/>
          </w:rPr>
          <w:t>能够有效引导AI模型响应的算法深入其“引擎盖”</w:t>
        </w:r>
      </w:hyperlink>
    </w:p>
    <w:p>
      <w:pPr>
        <w:spacing w:before="0" w:after="80"/>
      </w:pPr>
      <w:r>
        <w:rPr>
          <w:i/>
          <w:sz w:val="20"/>
        </w:rPr>
        <w:t>EN: Algorithm that gets ‘under the hood’ of AI models could effectively steer their responses</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618">
        <w:r>
          <w:rPr>
            <w:color w:val="1155CC"/>
            <w:u w:val="single"/>
          </w:rPr>
          <w:t>10.1038/d41586-026-01267-4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[258] </w:t>
      </w:r>
      <w:hyperlink r:id="rId619">
        <w:r>
          <w:rPr>
            <w:color w:val="1155CC"/>
            <w:u w:val="single"/>
          </w:rPr>
          <w:t>章鱼的大脑是否像人类一样工作——或者是否有另一种聪明的方式？</w:t>
        </w:r>
      </w:hyperlink>
    </w:p>
    <w:p>
      <w:pPr>
        <w:spacing w:before="0" w:after="80"/>
      </w:pPr>
      <w:r>
        <w:rPr>
          <w:i/>
          <w:sz w:val="20"/>
        </w:rPr>
        <w:t>EN: Do octopus brains work like humans’ — or is there another way to be smart?</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620">
        <w:r>
          <w:rPr>
            <w:color w:val="1155CC"/>
            <w:u w:val="single"/>
          </w:rPr>
          <w:t>10.1038/d41586-026-01302-4</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[259] </w:t>
      </w:r>
      <w:hyperlink r:id="rId621">
        <w:r>
          <w:rPr>
            <w:color w:val="1155CC"/>
            <w:u w:val="single"/>
          </w:rPr>
          <w:t>工程化坚韧的血凝块用于快速止血和增强再生</w:t>
        </w:r>
      </w:hyperlink>
    </w:p>
    <w:p>
      <w:pPr>
        <w:spacing w:before="0" w:after="80"/>
      </w:pPr>
      <w:r>
        <w:rPr>
          <w:i/>
          <w:sz w:val="20"/>
        </w:rPr>
        <w:t>EN: Engineering tough blood clots for rapid haemostasis and enhanced regeneration</w:t>
      </w:r>
    </w:p>
    <w:p>
      <w:pPr>
        <w:spacing w:before="0" w:after="120"/>
      </w:pPr>
      <w:r>
        <w:rPr>
          <w:b/>
        </w:rPr>
        <w:t xml:space="preserve">Source: </w:t>
      </w:r>
      <w:r>
        <w:t>Nature</w:t>
      </w:r>
      <w:r>
        <w:t xml:space="preserve">    </w:t>
      </w:r>
      <w:r>
        <w:rPr>
          <w:b/>
        </w:rPr>
        <w:t xml:space="preserve">Pub date: </w:t>
      </w:r>
      <w:r>
        <w:t>2026-04-29 00:00:00+00:00</w:t>
      </w:r>
      <w:r>
        <w:t xml:space="preserve">    </w:t>
      </w:r>
      <w:r>
        <w:rPr>
          <w:b/>
        </w:rPr>
        <w:t xml:space="preserve">DOI: </w:t>
      </w:r>
      <w:hyperlink r:id="rId622">
        <w:r>
          <w:rPr>
            <w:color w:val="1155CC"/>
            <w:u w:val="single"/>
          </w:rPr>
          <w:t>10.1038/s41586-026-10412-y</w:t>
        </w:r>
      </w:hyperlink>
    </w:p>
    <w:p>
      <w:pPr>
        <w:spacing w:before="0" w:after="120"/>
      </w:pPr>
      <w:r>
        <w:rPr>
          <w:b/>
        </w:rPr>
        <w:t xml:space="preserve">Notes: </w:t>
      </w:r>
      <w:r>
        <w:t>abstract_source=nature_html</w:t>
      </w:r>
    </w:p>
    <w:p>
      <w:pPr>
        <w:spacing w:before="0" w:after="80" w:lineRule="auto" w:line="276"/>
      </w:pPr>
      <w:r>
        <w:rPr>
          <w:b/>
        </w:rPr>
        <w:t xml:space="preserve">摘要（ZH）: </w:t>
      </w:r>
      <w:r>
        <w:t>血凝块对于止血和再生至关重要，但它们在机械上较弱且形成缓慢，带来危及生命的出血风险并限制更广泛的应用。这些限制归因于复杂的凝血级联反应、大量机械无效的细胞和很少的结构聚合物。加强聚合物网络的策略不适用于这些高度细胞化的材料。在此，我们报告了一种策略，快速将红细胞交联成坚韧的细胞凝胶，并将其整合到血凝块中。所得的工程血凝块（EBCs）在几秒钟内形成，并表现出13倍的断裂韧性增加和4倍的粘附能量改善，与天然凝块相比。实验和建模确定了机械整合细胞的破裂是关键的增强机制。体内研究表明，EBCs可以快速止血，促进组织再生，减轻炎症和异物反应，并防止术后粘连。自体和异体EBCs的安全性和有效性也得到了验证。我们的策略适用于多种细胞和聚合物。这项工作可能会激励高度细胞化材料在止血、伤口管理、组织修复和再生医学中的开发和转化。</w:t>
      </w:r>
    </w:p>
    <w:p>
      <w:pPr>
        <w:spacing w:before="0" w:after="200" w:lineRule="auto" w:line="276"/>
      </w:pPr>
      <w:r>
        <w:rPr>
          <w:b/>
        </w:rPr>
        <w:t xml:space="preserve">Abstract (EN): </w:t>
      </w:r>
      <w:r>
        <w:t>Blood clots are pivotal for haemostasis and regeneration1, but they are mechanically weak and form slowly2, posing risks for life-threatening haemorrhage and limiting broader applications3,4,5. These limitations are attributed to complex coagulation cascades, abundant mechanically ineffective cells and little structural polymers. Strategies that strengthen polymer networks are inapplicable to these highly cellularized materials. Here we report a strategy that rapidly crosslinks red blood cells into tough cytogels and integrates them within blood clots. The resulting engineered blood clots (EBCs) form within seconds and exhibit a 13-fold increase in fracture toughness, and a 4-fold improvement in adhesion energy compared with native clots. Experiments and modelling identify the rupture of mechanically integrated cells as a key toughening mechanism. In vivo studies demonstrate that EBCs can rapidly halt haemorrhage, promote tissue regeneration, mitigate inflammation and foreign body reactions, and prevent postoperative adhesion. The safety and efficacy of both autologous and allogeneic EBCs were also validated. Our strategy is applicable to a range of cells and polymers. This work may motivate the development and translation of highly cellularized materials for bleeding control, wound management, tissue repair and regenerative medicine.</w:t>
      </w:r>
    </w:p>
    <w:p>
      <w:pPr>
        <w:spacing w:before="120" w:after="120"/>
      </w:pPr>
      <w:r>
        <w:rPr>
          <w:sz w:val="18"/>
        </w:rPr>
        <w:t>——————————————————————————————————————————————————————————————————————</w:t>
      </w:r>
    </w:p>
    <w:p>
      <w:pPr>
        <w:spacing w:before="160" w:after="40" w:line="240" w:lineRule="auto"/>
      </w:pPr>
      <w:r>
        <w:rPr>
          <w:b/>
        </w:rPr>
        <w:t xml:space="preserve">[260] </w:t>
      </w:r>
      <w:hyperlink r:id="rId623">
        <w:r>
          <w:rPr>
            <w:color w:val="1155CC"/>
            <w:u w:val="single"/>
          </w:rPr>
          <w:t>由铁(II)亚胺配合物催化的吡啶中的氢同位素交换：反离子导向的区域选择性</w:t>
        </w:r>
      </w:hyperlink>
    </w:p>
    <w:p>
      <w:pPr>
        <w:spacing w:before="0" w:after="80"/>
      </w:pPr>
      <w:r>
        <w:rPr>
          <w:i/>
          <w:sz w:val="20"/>
        </w:rPr>
        <w:t>EN: Hydrogen Isotope Exchange in Pyridine Catalyzed by an Iron(II) Imido Complex: Counterion‐Directed Regioselectivity</w:t>
      </w:r>
    </w:p>
    <w:p>
      <w:pPr>
        <w:spacing w:before="0" w:after="120"/>
      </w:pPr>
      <w:r>
        <w:rPr>
          <w:b/>
        </w:rPr>
        <w:t xml:space="preserve">Source: </w:t>
      </w:r>
      <w:r>
        <w:t>Wiley: Angewandte Chemie International Edition: Table of Contents</w:t>
      </w:r>
      <w:r>
        <w:t xml:space="preserve">    </w:t>
      </w:r>
      <w:r>
        <w:rPr>
          <w:b/>
        </w:rPr>
        <w:t xml:space="preserve">Pub date: </w:t>
      </w:r>
      <w:r>
        <w:t>2026-04-29 06:20:36+00:00</w:t>
      </w:r>
      <w:r>
        <w:t xml:space="preserve">    </w:t>
      </w:r>
      <w:r>
        <w:rPr>
          <w:b/>
        </w:rPr>
        <w:t xml:space="preserve">DOI: </w:t>
      </w:r>
      <w:hyperlink r:id="rId624">
        <w:r>
          <w:rPr>
            <w:color w:val="1155CC"/>
            <w:u w:val="single"/>
          </w:rPr>
          <w:t>10.1002/anie.4646822</w:t>
        </w:r>
      </w:hyperlink>
    </w:p>
    <w:p>
      <w:pPr>
        <w:spacing w:before="0" w:after="120"/>
      </w:pPr>
      <w:r>
        <w:rPr>
          <w:b/>
        </w:rPr>
        <w:t xml:space="preserve">Notes: </w:t>
      </w:r>
      <w:r>
        <w:t>abstract_source=pubmed</w:t>
      </w:r>
    </w:p>
    <w:p>
      <w:pPr>
        <w:spacing w:before="0" w:after="80" w:lineRule="auto" w:line="276"/>
      </w:pPr>
      <w:r>
        <w:rPr>
          <w:b/>
        </w:rPr>
        <w:t xml:space="preserve">摘要（ZH）: </w:t>
      </w:r>
      <w:r>
        <w:t>高自旋（S = 2）铁（II）亚胺络合物[Ph2B(tBuIm)2Fe═NDipp]M（M = Li+, K+, K(18-c-6)+）是以吡啶为底物的氢同位素交换（HIE）反应的催化剂。根据反离子的不同，这些络合物催化吡啶的位点选择性α-、α,β,γ-和β,γ-氘化。实验和计算机制研究揭示了反离子在催化中的关键作用，它激活底物，促进氘化，并决定HIE的区域选择性。吡啶与[Ph2B(tBuIm)2Fe═NDipp]Li的化学计量反应生成催化活性的双（2-吡啶基）络合物[Ph2B(tBuIm)2Fe(2-Py)2Li(THF)2]。通过在催化循环中保持与底物的配位，Li+预组织吡啶以实现该催化剂的区域选择性α-氘化。另一方面，[Ph2B(tBuIm)2Fe═NDipp]K与吡啶反应生成2-吡啶基酰胺络合物[Ph2B(tBuIm)2Fe(2-Py)NHDipp]-，其结构已通过[K(18-c-6)(THF)2]+和[K(dibenzo-18-c-6)(THF)2]+反离子进行表征。根据反离子的大小，[Ph2B(tBuIm)2Fe═NDipp]-催化吡啶的区域选择性α,β,γ-和β,γ-氘化。在此，反离子稳定适当的吡啶基区域异构体，以进行选择性决定的氘化步骤。</w:t>
      </w:r>
    </w:p>
    <w:p>
      <w:pPr>
        <w:spacing w:before="0" w:after="200" w:lineRule="auto" w:line="276"/>
      </w:pPr>
      <w:r>
        <w:rPr>
          <w:b/>
        </w:rPr>
        <w:t xml:space="preserve">Abstract (EN): </w:t>
      </w:r>
      <w:r>
        <w:t>High-spin (S = 2) iron(II) imido complexes [Ph2B(tBuIm)2Fe═NDipp]M (M = Li+, K+, K(18-c-6)+) are catalysts for the hydrogen isotope exchange (HIE) reaction with pyridine as the substrate. As dictated by the counter-cation, these complexes catalyze site-selective α-, α,β,γ-, and β,γ-deuteration of pyridine. Experimental and computational mechanistic investigations reveal the critical role of the counter-cation in catalysis, which activates the substrate, facilitates deuteration, and dictates HIE regioselectivity. The stoichiometric reaction of pyridine with [Ph2B(tBuIm)2Fe═NDipp]Li affords the catalytically active bis(2-pyridyl) complex [Ph2B(tBuIm)2Fe(2-Py)2Li(THF)2]. By maintaining coordination to the substrate during the catalytic cycle, Li+ preorganizes pyridine for regioselective α-deuteration by this catalyst. On the other hand, [Ph2B(tBuIm)2Fe═NDipp]K reacts with pyridine to afford the 2-pyridyl amido complex [Ph2B(tBuIm)2Fe(2-Py)NHDipp]-, which has been structurally characterized with [K(18-c-6)(THF)2]+ and [K(dibenzo-18-c-6)(THF)2]+ counterions. As dictated by the size of the counter-cation, [Ph2B(tBuIm)2Fe═NDipp]- catalyzes regioselective α,β,γ- and β,γ-deuteration of pyridine. Here, the counter-cation stabilizes the appropriate pyridyl regioisomer for the selectivity-determining deuteration step.</w:t>
      </w:r>
    </w:p>
    <w:p>
      <w:pPr>
        <w:spacing w:before="120" w:after="120"/>
      </w:pPr>
      <w:r>
        <w:rPr>
          <w:sz w:val="18"/>
        </w:rPr>
        <w:t>——————————————————————————————————————————————————————————————————————</w:t>
      </w:r>
    </w:p>
    <w:p>
      <w:pPr>
        <w:spacing w:before="160" w:after="40" w:line="240" w:lineRule="auto"/>
      </w:pPr>
      <w:r>
        <w:rPr>
          <w:b/>
        </w:rPr>
        <w:t xml:space="preserve">[261] </w:t>
      </w:r>
      <w:hyperlink r:id="rId625">
        <w:r>
          <w:rPr>
            <w:color w:val="1155CC"/>
            <w:u w:val="single"/>
          </w:rPr>
          <w:t>IRE1门控DNA酶的仿生分子工程用于内质网应激的自适应双向调节</w:t>
        </w:r>
      </w:hyperlink>
    </w:p>
    <w:p>
      <w:pPr>
        <w:spacing w:before="0" w:after="80"/>
      </w:pPr>
      <w:r>
        <w:rPr>
          <w:i/>
          <w:sz w:val="20"/>
        </w:rPr>
        <w:t>EN: Bioinspired Molecular Engineering of IRE1‐Gated DNAzymes for Self‐Adaptive Bidirectional Modulation of ER Stress</w:t>
      </w:r>
    </w:p>
    <w:p>
      <w:pPr>
        <w:spacing w:before="0" w:after="120"/>
      </w:pPr>
      <w:r>
        <w:rPr>
          <w:b/>
        </w:rPr>
        <w:t xml:space="preserve">Source: </w:t>
      </w:r>
      <w:r>
        <w:t>Wiley: Angewandte Chemie International Edition: Table of Contents</w:t>
      </w:r>
      <w:r>
        <w:t xml:space="preserve">    </w:t>
      </w:r>
      <w:r>
        <w:rPr>
          <w:b/>
        </w:rPr>
        <w:t xml:space="preserve">Pub date: </w:t>
      </w:r>
      <w:r>
        <w:t>2026-04-29 06:23:10+00:00</w:t>
      </w:r>
      <w:r>
        <w:t xml:space="preserve">    </w:t>
      </w:r>
      <w:r>
        <w:rPr>
          <w:b/>
        </w:rPr>
        <w:t xml:space="preserve">DOI: </w:t>
      </w:r>
      <w:hyperlink r:id="rId626">
        <w:r>
          <w:rPr>
            <w:color w:val="1155CC"/>
            <w:u w:val="single"/>
          </w:rPr>
          <w:t>10.1002/anie.2970755</w:t>
        </w:r>
      </w:hyperlink>
    </w:p>
    <w:p>
      <w:pPr>
        <w:spacing w:before="0" w:after="120"/>
      </w:pPr>
      <w:r>
        <w:rPr>
          <w:b/>
        </w:rPr>
        <w:t xml:space="preserve">Notes: </w:t>
      </w:r>
      <w:r>
        <w:t>abstract_source=pubmed</w:t>
      </w:r>
    </w:p>
    <w:p>
      <w:pPr>
        <w:spacing w:before="0" w:after="80" w:lineRule="auto" w:line="276"/>
      </w:pPr>
      <w:r>
        <w:rPr>
          <w:b/>
        </w:rPr>
        <w:t xml:space="preserve">摘要（ZH）: </w:t>
      </w:r>
      <w:r>
        <w:t>在癌症中精确调节内质网（ER）应激信号仍然是核酸治疗的核心挑战，主要是由于其无法区分ER应激的恶性细胞和非应激的正常细胞。在此，我们报告了一种ER应激响应的调控平台，将肌醇需求酶1（IRE1）的疾病相关内切核酸酶活性与DNA效应器的条件激活相结合。通过合理嫁接X盒结合蛋白1（XBP1）模拟茎环“门”到经典DNA酶（IR-Dz）上，我们生成的构建体在基础IRE1活性下保持催化惰性，但在ER应激诱导的IRE1切割后被激活。结果IR-Dz在ER应激的癌细胞中介导细胞选择性c-MYC沉默，从而减轻ER应激，同时不影响正常细胞。将IR-Dz重定向到IRE1 mRNA上实现相反的结果——IRE1的自我沉默和肿瘤细胞中ER应激的放大。这种模块化架构可以适应其他核酸模式，如反义寡核苷酸。通过将IRE1确立为核酸效应器空间和情境精确激活的内源性分子触发器，我们的研究引入了一种可编程、条件依赖的基因调控和癌症中ER应激信号动态调节的一般策略。</w:t>
      </w:r>
    </w:p>
    <w:p>
      <w:pPr>
        <w:spacing w:before="0" w:after="200" w:lineRule="auto" w:line="276"/>
      </w:pPr>
      <w:r>
        <w:rPr>
          <w:b/>
        </w:rPr>
        <w:t xml:space="preserve">Abstract (EN): </w:t>
      </w:r>
      <w:r>
        <w:t>Precise regulation of endoplasmic reticulum (ER) stress signaling in cancer remains a central challenge for nucleic acid-based therapeutics, largely due to their inability to discriminate ER-stressed malignant cells and non-stressed normal cells. Here we report an ER stress-responsive regulatory platform that couples the disease-associated endoribonuclease activity of inositol-requiring enzyme 1 (IRE1) to the conditional activation of DNA-based effectors. By rationally grafting an X-box binding protein 1 (XBP1)-mimetic stem-loop "gate" onto canonical DNAzymes (IR-Dz), we generate constructs that remain catalytically inert under basal IRE1 activity but are activated upon ER stress-induced IRE1 cleavage. The resulting IR-Dz mediates cell-selective c-MYC silencing in ER-stressed cancer cells, thereby attenuating ER stress while sparing normal counterparts. Redirecting IR-Dz to IRE1 mRNA achieves the opposite outcome-self-silencing of IRE1 and amplification of ER stress in tumor cells. This modular architecture can be adapted to other nucleic-acid modalities, such as antisense oligonucleotides. By establishing IRE1 as an endogenous molecular trigger for spatially and contextually precise activation of nucleic acid effectors, our study introduces a general strategy for programmable, condition-dependent gene regulation and dynamic modulation of ER stress signaling in cancer.</w:t>
      </w:r>
    </w:p>
    <w:p>
      <w:pPr>
        <w:spacing w:before="120" w:after="120"/>
      </w:pPr>
      <w:r>
        <w:rPr>
          <w:sz w:val="18"/>
        </w:rPr>
        <w:t>——————————————————————————————————————————————————————————————————————</w:t>
      </w:r>
    </w:p>
    <w:p>
      <w:pPr>
        <w:spacing w:before="160" w:after="40" w:line="240" w:lineRule="auto"/>
      </w:pPr>
      <w:r>
        <w:rPr>
          <w:b/>
        </w:rPr>
        <w:t xml:space="preserve">[262] </w:t>
      </w:r>
      <w:hyperlink r:id="rId627">
        <w:r>
          <w:rPr>
            <w:color w:val="1155CC"/>
            <w:u w:val="single"/>
          </w:rPr>
          <w:t>用于晶格碳酸盐到甲烷催化的反应物传输金属-载体相互作用</w:t>
        </w:r>
      </w:hyperlink>
    </w:p>
    <w:p>
      <w:pPr>
        <w:spacing w:before="0" w:after="80"/>
      </w:pPr>
      <w:r>
        <w:rPr>
          <w:i/>
          <w:sz w:val="20"/>
        </w:rPr>
        <w:t>EN: Reactant‑Transporting Metal‐Support Interaction for Lattice Carbonate‑to‑Methane Catalysis</w:t>
      </w:r>
    </w:p>
    <w:p>
      <w:pPr>
        <w:spacing w:before="0" w:after="120"/>
      </w:pPr>
      <w:r>
        <w:rPr>
          <w:b/>
        </w:rPr>
        <w:t xml:space="preserve">Source: </w:t>
      </w:r>
      <w:r>
        <w:t>Wiley: Angewandte Chemie International Edition: Table of Contents</w:t>
      </w:r>
      <w:r>
        <w:t xml:space="preserve">    </w:t>
      </w:r>
      <w:r>
        <w:rPr>
          <w:b/>
        </w:rPr>
        <w:t xml:space="preserve">Pub date: </w:t>
      </w:r>
      <w:r>
        <w:t>2026-04-29 06:26:55+00:00</w:t>
      </w:r>
      <w:r>
        <w:t xml:space="preserve">    </w:t>
      </w:r>
      <w:r>
        <w:rPr>
          <w:b/>
        </w:rPr>
        <w:t xml:space="preserve">DOI: </w:t>
      </w:r>
      <w:hyperlink r:id="rId628">
        <w:r>
          <w:rPr>
            <w:color w:val="1155CC"/>
            <w:u w:val="single"/>
          </w:rPr>
          <w:t>10.1002/anie.7839925</w:t>
        </w:r>
      </w:hyperlink>
    </w:p>
    <w:p>
      <w:pPr>
        <w:spacing w:before="0" w:after="120"/>
      </w:pPr>
      <w:r>
        <w:rPr>
          <w:b/>
        </w:rPr>
        <w:t xml:space="preserve">Notes: </w:t>
      </w:r>
      <w:r>
        <w:t>abstract_source=pubmed</w:t>
      </w:r>
    </w:p>
    <w:p>
      <w:pPr>
        <w:spacing w:before="0" w:after="80" w:lineRule="auto" w:line="276"/>
      </w:pPr>
      <w:r>
        <w:rPr>
          <w:b/>
        </w:rPr>
        <w:t xml:space="preserve">摘要（ZH）: </w:t>
      </w:r>
      <w:r>
        <w:t>作为异质催化的核心概念，金属-载体相互作用通过电子和几何效应在控制活性、选择性和稳定性方面至关重要。在此，我们报告了一种反应物传输形式的金属-载体相互作用（MSI），称为强金属-反应性载体相互作用（SMRSI），其中Pt/H2直接将方解石中的晶格碳酸盐氢化为CH4，起始温度≤415°C，选择性约为98%（390-510°C）。由于碳酸盐矿物中的晶格碳构成了地球上最大的碳储库，实现低温晶格碳酸盐转化提供了一种催化杠杆，以加速慢碳循环（ACC），补充基于快速碳循环（FCC）的CO2管理。原位技术显示出一种可渗透的无定形界面，动态包裹Pt，将CO3 2-传输到活性位点，并结晶为Ca(OH)2，从而维持一个移动的三相边界，其中碳酸盐衍生的*CO中间体被氢化为CH4。已解决的是低温界面CO2释放是边界分解的诊断。动力学将低温下的CO3 2-扩散限制的固态路径与类似于气态CO2氢化的高温路径分开。氢化的固体通过CO2重新碳酸化，再生CaCO3并在循环中保持选择性。从概念上讲，SMRSI将MSI从电子/几何调谐扩展到反应物传输，说明了如何移动固体-固体@气体界面介导固体反应物的转化。</w:t>
      </w:r>
    </w:p>
    <w:p>
      <w:pPr>
        <w:spacing w:before="0" w:after="200" w:lineRule="auto" w:line="276"/>
      </w:pPr>
      <w:r>
        <w:rPr>
          <w:b/>
        </w:rPr>
        <w:t xml:space="preserve">Abstract (EN): </w:t>
      </w:r>
      <w:r>
        <w:t>As a core concept of heterogeneous catalysis, metal-support interactions are pivotal controlling activity, selectivity, and stability via electronic and geometric effects. Here, we report a reactant‑transporting form of metal support interaction (MSI), named as strong metal-reactive support interaction (SMRSI) where Pt/H2 directly hydrogenates lattice carbonate in calcite to CH4 with ≤ 415 °C onset and ∼98% selectivity (390-510°C). Because lattice carbon in carbonate minerals constitutes Earth's largest carbon reservoir, enabling low‑temperature lattice-carbonate conversion offers a catalytic lever to accelerate the slow carbon cycle (ACC) complementary to fast carbon cycle (FCC)‑based CO2 management. Operando techniques show a permeable amorphous interphase that dynamically encapsulates Pt, transports CO3 2- to active sites, and crystallizes into Ca(OH)2, thereby sustaining a mobile triple‑phase boundary, where carbonate‑derived *CO intermediate was hydrogenated to CH4. It is resolved that a low‑temperature interfacial CO2 release is diagnostic of boundary decomposition. Kinetics separate a CO3 2-‑diffusion‑limited solid‑state path at low temperatures from a high‑temperature route akin to gaseous‑CO2 hydrogenation. The hydrogenated solid is re-carbonated by CO2, regenerating CaCO3 and retaining selectivity over cycles. Conceptually, the SMRSI extends MSI from electronic/geometric tuning to reactant transport, illustrating how moving solid-solid@gas interfaces mediate transformations of solid reactants.</w:t>
      </w:r>
    </w:p>
    <w:p>
      <w:pPr>
        <w:spacing w:before="120" w:after="120"/>
      </w:pPr>
      <w:r>
        <w:rPr>
          <w:sz w:val="18"/>
        </w:rPr>
        <w:t>——————————————————————————————————————————————————————————————————————</w:t>
      </w:r>
    </w:p>
    <w:p>
      <w:pPr>
        <w:spacing w:before="160" w:after="40" w:line="240" w:lineRule="auto"/>
      </w:pPr>
      <w:r>
        <w:rPr>
          <w:b/>
        </w:rPr>
        <w:t xml:space="preserve">[263] </w:t>
      </w:r>
      <w:hyperlink r:id="rId629">
        <w:r>
          <w:rPr>
            <w:color w:val="1155CC"/>
            <w:u w:val="single"/>
          </w:rPr>
          <w:t>多重键合和可变性：阴离子钒铝化物的研究</w:t>
        </w:r>
      </w:hyperlink>
    </w:p>
    <w:p>
      <w:pPr>
        <w:spacing w:before="0" w:after="80"/>
      </w:pPr>
      <w:r>
        <w:rPr>
          <w:i/>
          <w:sz w:val="20"/>
        </w:rPr>
        <w:t>EN: Multiple‐Bonding and Lability: Study of an Anionic Vanadium Alumanyl</w:t>
      </w:r>
    </w:p>
    <w:p>
      <w:pPr>
        <w:spacing w:before="0" w:after="120"/>
      </w:pPr>
      <w:r>
        <w:rPr>
          <w:b/>
        </w:rPr>
        <w:t xml:space="preserve">Source: </w:t>
      </w:r>
      <w:r>
        <w:t>Wiley: Angewandte Chemie International Edition: Table of Contents</w:t>
      </w:r>
      <w:r>
        <w:t xml:space="preserve">    </w:t>
      </w:r>
      <w:r>
        <w:rPr>
          <w:b/>
        </w:rPr>
        <w:t xml:space="preserve">Pub date: </w:t>
      </w:r>
      <w:r>
        <w:t>2026-04-29 06:30:45+00:00</w:t>
      </w:r>
      <w:r>
        <w:t xml:space="preserve">    </w:t>
      </w:r>
      <w:r>
        <w:rPr>
          <w:b/>
        </w:rPr>
        <w:t xml:space="preserve">DOI: </w:t>
      </w:r>
      <w:hyperlink r:id="rId630">
        <w:r>
          <w:rPr>
            <w:color w:val="1155CC"/>
            <w:u w:val="single"/>
          </w:rPr>
          <w:t>10.1002/anie.3250436</w:t>
        </w:r>
      </w:hyperlink>
    </w:p>
    <w:p>
      <w:pPr>
        <w:spacing w:before="0" w:after="120"/>
      </w:pPr>
      <w:r>
        <w:rPr>
          <w:b/>
        </w:rPr>
        <w:t xml:space="preserve">Notes: </w:t>
      </w:r>
      <w:r>
        <w:t>abstract_source=pubmed</w:t>
      </w:r>
    </w:p>
    <w:p>
      <w:pPr>
        <w:spacing w:before="0" w:after="80" w:lineRule="auto" w:line="276"/>
      </w:pPr>
      <w:r>
        <w:rPr>
          <w:b/>
        </w:rPr>
        <w:t xml:space="preserve">摘要（ZH）: </w:t>
      </w:r>
      <w:r>
        <w:t>通过中性钒茂和铝烷基阴离子的反应制备了一种阴离子钒铝烷基配合物。单晶XRD显示，与中性同系物相比，V-Al键显著收缩。使用IBO和QTAIM分析的理论计算将这种收缩归因于基于从V到Al的d-p π-反向供电子的增强多重键特性。磁性数据确认了该阴离子的S = 1/2自旋态，EPR光谱显示V中心未配对电子与27Al核之间的耦合相对较强。此外，V K边XANES和XPS数据揭示了V和Al中心的氧化态，突出了两个金属中心的还原性质。反应性研究揭示了即使在存在多重V─Al键特性的情况下，阴离子铝烷基配体从V中心解离，这与中性类似物的反应性形成鲜明对比，DFT基础的机制研究支持了这一点。</w:t>
      </w:r>
    </w:p>
    <w:p>
      <w:pPr>
        <w:spacing w:before="0" w:after="200" w:lineRule="auto" w:line="276"/>
      </w:pPr>
      <w:r>
        <w:rPr>
          <w:b/>
        </w:rPr>
        <w:t xml:space="preserve">Abstract (EN): </w:t>
      </w:r>
      <w:r>
        <w:t>An anionic vanadium alumanyl complex is prepared by a reaction of neutral vanadocene and an alumanyl anion. Single-crystal XRD revealed a significantly contracted V-Al bond relative to that of the neutral congener. Theoretical calculations using IBO and QTAIM analysis attributed this contraction to enhanced multiple-bonding character based on the d-p π-backdonation from V to Al. Magnetic data confirms the S = 1/2 spin state of this anion, with EPR spectroscopy displaying relatively strong coupling between the V-centered unpaired electron and the 27Al nucleus. Furthermore, V K-edge XANES and XPS data revealed the oxidation states of the V and Al centers, highlighting the reduced nature of both metal centers. Reactivity studies revealed the dissociation of the anionic alumanyl ligand from the V center even in the presence of the multiple V─Al bond character, in stark contrast to the reactivity of the neutral analogue, as supported by a DFT-based mechanistic study.</w:t>
      </w:r>
    </w:p>
    <w:p>
      <w:pPr>
        <w:spacing w:before="120" w:after="120"/>
      </w:pPr>
      <w:r>
        <w:rPr>
          <w:sz w:val="18"/>
        </w:rPr>
        <w:t>——————————————————————————————————————————————————————————————————————</w:t>
      </w:r>
    </w:p>
    <w:p>
      <w:pPr>
        <w:spacing w:before="160" w:after="40" w:line="240" w:lineRule="auto"/>
      </w:pPr>
      <w:r>
        <w:rPr>
          <w:b/>
        </w:rPr>
        <w:t xml:space="preserve">[264] </w:t>
      </w:r>
      <w:hyperlink r:id="rId631">
        <w:r>
          <w:rPr>
            <w:color w:val="1155CC"/>
            <w:u w:val="single"/>
          </w:rPr>
          <w:t>通过修复氧缺陷诱导的表面陷阱提升光电化学性能，解锁BiVO4光阳极的高光电压</w:t>
        </w:r>
      </w:hyperlink>
    </w:p>
    <w:p>
      <w:pPr>
        <w:spacing w:before="0" w:after="80"/>
      </w:pPr>
      <w:r>
        <w:rPr>
          <w:i/>
          <w:sz w:val="20"/>
        </w:rPr>
        <w:t>EN: Unlocking a High Photovoltage in BiVO4 Photoanodes via Repairing Oxygen‐Defect‐Induced Surface Traps Boosting Photoelectrochemical Performance</w:t>
      </w:r>
    </w:p>
    <w:p>
      <w:pPr>
        <w:spacing w:before="0" w:after="120"/>
      </w:pPr>
      <w:r>
        <w:rPr>
          <w:b/>
        </w:rPr>
        <w:t xml:space="preserve">Source: </w:t>
      </w:r>
      <w:r>
        <w:t>Wiley: Advanced Energy Materials: Table of Contents</w:t>
      </w:r>
      <w:r>
        <w:t xml:space="preserve">    </w:t>
      </w:r>
      <w:r>
        <w:rPr>
          <w:b/>
        </w:rPr>
        <w:t xml:space="preserve">Pub date: </w:t>
      </w:r>
      <w:r>
        <w:t>2026-04-29 06:34:45+00:00</w:t>
      </w:r>
      <w:r>
        <w:t xml:space="preserve">    </w:t>
      </w:r>
      <w:r>
        <w:rPr>
          <w:b/>
        </w:rPr>
        <w:t xml:space="preserve">DOI: </w:t>
      </w:r>
      <w:hyperlink r:id="rId632">
        <w:r>
          <w:rPr>
            <w:color w:val="1155CC"/>
            <w:u w:val="single"/>
          </w:rPr>
          <w:t>10.1002/aenm.70990</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[265] </w:t>
      </w:r>
      <w:hyperlink r:id="rId633">
        <w:r>
          <w:rPr>
            <w:color w:val="1155CC"/>
            <w:u w:val="single"/>
          </w:rPr>
          <w:t>利用氢的溶剂同位素效应构建长循环寿命的可充电丹尼尔电池</w:t>
        </w:r>
      </w:hyperlink>
    </w:p>
    <w:p>
      <w:pPr>
        <w:spacing w:before="0" w:after="80"/>
      </w:pPr>
      <w:r>
        <w:rPr>
          <w:i/>
          <w:sz w:val="20"/>
        </w:rPr>
        <w:t>EN: Building a Long‐Cycle‐Life Rechargeable Daniel Cell from Solvent Isotope Effect of Hydrogen</w:t>
      </w:r>
    </w:p>
    <w:p>
      <w:pPr>
        <w:spacing w:before="0" w:after="120"/>
      </w:pPr>
      <w:r>
        <w:rPr>
          <w:b/>
        </w:rPr>
        <w:t xml:space="preserve">Source: </w:t>
      </w:r>
      <w:r>
        <w:t>Wiley: Advanced Energy Materials: Table of Contents</w:t>
      </w:r>
      <w:r>
        <w:t xml:space="preserve">    </w:t>
      </w:r>
      <w:r>
        <w:rPr>
          <w:b/>
        </w:rPr>
        <w:t xml:space="preserve">Pub date: </w:t>
      </w:r>
      <w:r>
        <w:t>2026-04-29 06:35:42+00:00</w:t>
      </w:r>
      <w:r>
        <w:t xml:space="preserve">    </w:t>
      </w:r>
      <w:r>
        <w:rPr>
          <w:b/>
        </w:rPr>
        <w:t xml:space="preserve">DOI: </w:t>
      </w:r>
      <w:hyperlink r:id="rId634">
        <w:r>
          <w:rPr>
            <w:color w:val="1155CC"/>
            <w:u w:val="single"/>
          </w:rPr>
          <w:t>10.1002/aenm.70982</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[266] </w:t>
      </w:r>
      <w:hyperlink r:id="rId635">
        <w:r>
          <w:rPr>
            <w:color w:val="1155CC"/>
            <w:u w:val="single"/>
          </w:rPr>
          <w:t>APE1触发的可吸入微球（ATIM）用于原位非小细胞肺癌诊疗</w:t>
        </w:r>
      </w:hyperlink>
    </w:p>
    <w:p>
      <w:pPr>
        <w:spacing w:before="0" w:after="80"/>
      </w:pPr>
      <w:r>
        <w:rPr>
          <w:i/>
          <w:sz w:val="20"/>
        </w:rPr>
        <w:t>EN: APE1‐Triggered Inhalable Microsphere (ATIM) for In Situ Non‐Small Cell Lung Cancer Theranostics</w:t>
      </w:r>
    </w:p>
    <w:p>
      <w:pPr>
        <w:spacing w:before="0" w:after="120"/>
      </w:pPr>
      <w:r>
        <w:rPr>
          <w:b/>
        </w:rPr>
        <w:t xml:space="preserve">Source: </w:t>
      </w:r>
      <w:r>
        <w:t>Wiley: Advanced Materials: Table of Contents</w:t>
      </w:r>
      <w:r>
        <w:t xml:space="preserve">    </w:t>
      </w:r>
      <w:r>
        <w:rPr>
          <w:b/>
        </w:rPr>
        <w:t xml:space="preserve">Pub date: </w:t>
      </w:r>
      <w:r>
        <w:t>2026-04-29 06:42:32+00:00</w:t>
      </w:r>
      <w:r>
        <w:t xml:space="preserve">    </w:t>
      </w:r>
      <w:r>
        <w:rPr>
          <w:b/>
        </w:rPr>
        <w:t xml:space="preserve">DOI: </w:t>
      </w:r>
      <w:hyperlink r:id="rId636">
        <w:r>
          <w:rPr>
            <w:color w:val="1155CC"/>
            <w:u w:val="single"/>
          </w:rPr>
          <w:t>10.1002/adma.202520216</w:t>
        </w:r>
      </w:hyperlink>
    </w:p>
    <w:p>
      <w:pPr>
        <w:spacing w:before="0" w:after="120"/>
      </w:pPr>
      <w:r>
        <w:rPr>
          <w:b/>
        </w:rPr>
        <w:t xml:space="preserve">Notes: </w:t>
      </w:r>
      <w:r>
        <w:t>abstract_source=pubmed</w:t>
      </w:r>
    </w:p>
    <w:p>
      <w:pPr>
        <w:spacing w:before="0" w:after="80" w:lineRule="auto" w:line="276"/>
      </w:pPr>
      <w:r>
        <w:rPr>
          <w:b/>
        </w:rPr>
        <w:t xml:space="preserve">摘要（ZH）: </w:t>
      </w:r>
      <w:r>
        <w:t>区分良性和恶性肺结节仍然是一个主要的临床挑战，误诊可能导致癌症治疗延误或不必要的侵入性程序。在此，我们报告了无嘌呤/无嘧啶内切酶1 (APE1) 触发的可吸入微球 (ATIM)，用于非小细胞肺癌 (NSCLC) 的治疗诊断，通过利用吸入递送和同源靶向加速DNA四面体 (TDNs) 在肺部肿瘤中的局部富集，从而实现原位NSCLC治疗诊断。在细胞内识别APE1后，熵驱动的催化回路被激活，触发纳米颗粒聚集以放大荧光进行实时肿瘤成像，并释放miR-126-3p通过抑制ADAM9诱导肿瘤细胞凋亡。在小鼠原位NSCLC模型中，肿瘤组的荧光强度比健康组高1.67倍，通过吸入的ATIM系统在肺部的积累比静脉注射高3.12倍，而ATIM治疗显著降低了肿瘤负担至相对面积的45.3 ± 1.6%。我们的结果表明，ATIM在准确区分良性和恶性肺结节的同时有效诱导肿瘤细胞凋亡。该治疗诊断系统为早期NSCLC的精准诊断和靶向治疗提供了一个有前景的双功能平台。</w:t>
      </w:r>
    </w:p>
    <w:p>
      <w:pPr>
        <w:spacing w:before="0" w:after="200" w:lineRule="auto" w:line="276"/>
      </w:pPr>
      <w:r>
        <w:rPr>
          <w:b/>
        </w:rPr>
        <w:t xml:space="preserve">Abstract (EN): </w:t>
      </w:r>
      <w:r>
        <w:t>Distinguishing benign from malignant pulmonary nodules remains a major clinical challenge, where misdiagnosis may lead to either delayed cancer treatment or unnecessary invasive procedures. Here, we report apurinic/apyrimidinic endonuclease 1 (APE1)-triggered inhalable microsphere (ATIM) for non-small cell lung cancer (NSCLC) theranostics by leveraging inhalation delivery and homotypic targeting to accelerate the local enrichment of DNA tetrahedrons (TDNs) in pulmonary tumors, which enables in situ NSCLC theranostics. Upon intracellular recognition of the APE1, entropy-driven catalytic circuits are activated, triggering nanoparticle aggregation to amplify fluorescence for real-time tumor imaging and releasing miR-126-3p to induce tumor cell apoptosis by suppressing ADAM9. In a mouse orthotopic NSCLC model, the tumor-bearing group showed a fluorescent intensity 1.67-fold higher than the healthy group, and the pulmonary accumulation of the ATIM system via inhalation was 3.12-fold higher than that via intravenous injection, while ATIM therapy significantly reduced the tumor burden to a relative area of 45.3 ± 1.6%. Our results demonstrate that ATIM achieves accurate discrimination between benign and malignant pulmonary nodules while effectively inducing apoptosis in tumor cells. This theranostic system offers a promising dual-functional platform for precision diagnosis and targeted therapy in early-stage NSCLC.</w:t>
      </w:r>
    </w:p>
    <w:p>
      <w:pPr>
        <w:spacing w:before="120" w:after="120"/>
      </w:pPr>
      <w:r>
        <w:rPr>
          <w:sz w:val="18"/>
        </w:rPr>
        <w:t>——————————————————————————————————————————————————————————————————————</w:t>
      </w:r>
    </w:p>
    <w:p>
      <w:pPr>
        <w:spacing w:before="160" w:after="40" w:line="240" w:lineRule="auto"/>
      </w:pPr>
      <w:r>
        <w:rPr>
          <w:b/>
        </w:rPr>
        <w:t xml:space="preserve">[267] </w:t>
      </w:r>
      <w:hyperlink r:id="rId637">
        <w:r>
          <w:rPr>
            <w:color w:val="1155CC"/>
            <w:u w:val="single"/>
          </w:rPr>
          <w:t>世界上最大的海洋生物多样性热点的兴衰</w:t>
        </w:r>
      </w:hyperlink>
    </w:p>
    <w:p>
      <w:pPr>
        <w:spacing w:before="0" w:after="80"/>
      </w:pPr>
      <w:r>
        <w:rPr>
          <w:i/>
          <w:sz w:val="20"/>
        </w:rPr>
        <w:t>EN: The rise and fall of the world’s greatest marine biodiversity hotspot</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38">
        <w:r>
          <w:rPr>
            <w:color w:val="1155CC"/>
            <w:u w:val="single"/>
          </w:rPr>
          <w:t>10.1126/sciadv.aec7264</w:t>
        </w:r>
      </w:hyperlink>
    </w:p>
    <w:p>
      <w:pPr>
        <w:spacing w:before="0" w:after="120"/>
      </w:pPr>
      <w:r>
        <w:rPr>
          <w:b/>
        </w:rPr>
        <w:t xml:space="preserve">Notes: </w:t>
      </w:r>
      <w:r>
        <w:t>abstract_source=pubmed</w:t>
      </w:r>
    </w:p>
    <w:p>
      <w:pPr>
        <w:spacing w:before="0" w:after="80" w:lineRule="auto" w:line="276"/>
      </w:pPr>
      <w:r>
        <w:rPr>
          <w:b/>
        </w:rPr>
        <w:t xml:space="preserve">摘要（ZH）: </w:t>
      </w:r>
      <w:r>
        <w:t>栖息地条件和面积形状全球物种分布，浅水礁石承载着不成比例的海洋生物多样性。尽管礁石面积是海洋物种丰富度的一个公认预测因子，但其历史背景却不太为人所知。在此，我们展示了热带海洋生物多样性的兴起与礁石在空间和时间上的扩展密切相关。在早/中中新世（2300万至1160万年前），印太地区的礁石达到了前所未有的规模和厚度，超过了过去6600万年的任何礁石系统。这些巨大的礁石可能是由独特的环境、生物和构造条件驱动的，促进了海洋鱼类和珊瑚群落的多样性扩展和功能演化。我们的研究结果强调了历史礁石背景的重要性以及当前礁石损失对热带海洋生物多样性的影响。</w:t>
      </w:r>
    </w:p>
    <w:p>
      <w:pPr>
        <w:spacing w:before="0" w:after="200" w:lineRule="auto" w:line="276"/>
      </w:pPr>
      <w:r>
        <w:rPr>
          <w:b/>
        </w:rPr>
        <w:t xml:space="preserve">Abstract (EN): </w:t>
      </w:r>
      <w:r>
        <w:t>Habitat condition and area shape global species distributions, with shallow-water reefs hosting a disproportional share of marine biodiversity. Although reef area is a well-established predictor of marine species richness, its historical context is less well understood. Here, we show that the rise of tropical marine biodiversity is closely tied to reef expansion in space and time. During the Early/Mid Miocene (23 to 11.6 million years ago), Indo-Pacific reefs reached unprecedented size and thickness, surpassing any reef systems in the past 66 million years. These massive reefs, likely driven by unique environmental, biotic, and tectonic conditions, fostered the expanding diversity and functional evolution of marine fish and coral assemblages. Our findings underscore the importance of historical reef contexts and the implications of ongoing reef losses for tropical marine biodiversity.</w:t>
      </w:r>
    </w:p>
    <w:p>
      <w:pPr>
        <w:spacing w:before="120" w:after="120"/>
      </w:pPr>
      <w:r>
        <w:rPr>
          <w:sz w:val="18"/>
        </w:rPr>
        <w:t>——————————————————————————————————————————————————————————————————————</w:t>
      </w:r>
    </w:p>
    <w:p>
      <w:pPr>
        <w:spacing w:before="160" w:after="40" w:line="240" w:lineRule="auto"/>
      </w:pPr>
      <w:r>
        <w:rPr>
          <w:b/>
        </w:rPr>
        <w:t xml:space="preserve">[268] </w:t>
      </w:r>
      <w:hyperlink r:id="rId639">
        <w:r>
          <w:rPr>
            <w:color w:val="1155CC"/>
            <w:u w:val="single"/>
          </w:rPr>
          <w:t>体内膜工程捕获Gd基MRI对比剂以检测微小肝细胞癌</w:t>
        </w:r>
      </w:hyperlink>
    </w:p>
    <w:p>
      <w:pPr>
        <w:spacing w:before="0" w:after="80"/>
      </w:pPr>
      <w:r>
        <w:rPr>
          <w:i/>
          <w:sz w:val="20"/>
        </w:rPr>
        <w:t>EN: In vivo membrane engineering traps Gd-based MRI contrast agents for detecting microhepatocellular carcinoma</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40">
        <w:r>
          <w:rPr>
            <w:color w:val="1155CC"/>
            <w:u w:val="single"/>
          </w:rPr>
          <w:t>10.1126/sciadv.aec9913</w:t>
        </w:r>
      </w:hyperlink>
    </w:p>
    <w:p>
      <w:pPr>
        <w:spacing w:before="0" w:after="120"/>
      </w:pPr>
      <w:r>
        <w:rPr>
          <w:b/>
        </w:rPr>
        <w:t xml:space="preserve">Notes: </w:t>
      </w:r>
      <w:r>
        <w:t>abstract_source=pubmed</w:t>
      </w:r>
    </w:p>
    <w:p>
      <w:pPr>
        <w:spacing w:before="0" w:after="80" w:lineRule="auto" w:line="276"/>
      </w:pPr>
      <w:r>
        <w:rPr>
          <w:b/>
        </w:rPr>
        <w:t xml:space="preserve">摘要（ZH）: </w:t>
      </w:r>
      <w:r>
        <w:t>微小肝细胞癌（HCC）的准确检测仍然是一个主要的临床挑战，因为当前成像方式的特异性和敏感性有限。在此，我们提出了一种基于体内膜工程的双注射磁共振成像（MRI）肽探针，实现原位信号放大和分子精确成像。首次注射可编程纳米颗粒，由两个肽单体共组装而成，包含GPC3靶向配体、β片段形成基序、二苯并环辛炔（DBCO）手柄和用于荧光追踪的卟啉IX（PpIX）。全身给药后，纳米颗粒高特异性结合于GPC3过表达的肿瘤膜，并转化为表面锚定的纳米纤维，暴露出受限的DBCO基团。第二次注射叠氮化修饰的Gd-DOTA可在纳米纤维支架上实现快速无铜点击偶联，纵向弛豫率几乎增加四倍。MRI显示在Hepa1-6肿瘤小鼠中强T1加权信号增强和高肿瘤-肝脏对比度。体内膜工程策略建立了一种可推广的平台，用于受体引导的分子成像和早期癌症检测。</w:t>
      </w:r>
    </w:p>
    <w:p>
      <w:pPr>
        <w:spacing w:before="0" w:after="200" w:lineRule="auto" w:line="276"/>
      </w:pPr>
      <w:r>
        <w:rPr>
          <w:b/>
        </w:rPr>
        <w:t xml:space="preserve">Abstract (EN): </w:t>
      </w:r>
      <w:r>
        <w:t>Accurate detection of microhepatocellular carcinoma (HCC) remains a major clinical challenge owing to the limited specificity and sensitivity of current imaging modalities. Herein, we present a dual-injection magnetic resonance imaging (MRI) peptidic probe based on in vivo membrane engineering, achieving in situ signal amplification and molecularly precise imaging. The first injection of programmable nanoparticles coassembled from two peptide monomers, incorporating a GPC3-targeting ligand, a β sheet-forming motif, a dibenzocyclooctyne (DBCO) handle, and porphyrin IX (PpIX) for fluorescence tracking. Following systemic administration, the nanoparticles high-specifically bind to GPC3-overexpressing tumor membranes and transform into surface-anchored nanofibrils, exposing confined DBCO groups. A second injection of azide-modified Gd-DOTA enables rapid copper-free click conjugation on the nanofibrillar scaffold, yielding a nearly fourfold increase in longitudinal relaxivity. MRI demonstrated strong T1-weighted signal enhancement and high tumor-to-liver contrast in Hepa1-6 tumor-bearing mice. In vivo membrane engineering strategy establishes a generalizable platform for receptor-guided molecular imaging and early cancer detection.</w:t>
      </w:r>
    </w:p>
    <w:p>
      <w:pPr>
        <w:spacing w:before="120" w:after="120"/>
      </w:pPr>
      <w:r>
        <w:rPr>
          <w:sz w:val="18"/>
        </w:rPr>
        <w:t>——————————————————————————————————————————————————————————————————————</w:t>
      </w:r>
    </w:p>
    <w:p>
      <w:pPr>
        <w:spacing w:before="160" w:after="40" w:line="240" w:lineRule="auto"/>
      </w:pPr>
      <w:r>
        <w:rPr>
          <w:b/>
        </w:rPr>
        <w:t xml:space="preserve">[269] </w:t>
      </w:r>
      <w:hyperlink r:id="rId641">
        <w:r>
          <w:rPr>
            <w:color w:val="1155CC"/>
            <w:u w:val="single"/>
          </w:rPr>
          <w:t>d-氨基酸通过气孔素D乙酰化抑制巨噬细胞IL-1β释放</w:t>
        </w:r>
      </w:hyperlink>
    </w:p>
    <w:p>
      <w:pPr>
        <w:spacing w:before="0" w:after="80"/>
      </w:pPr>
      <w:r>
        <w:rPr>
          <w:i/>
          <w:sz w:val="20"/>
        </w:rPr>
        <w:t>EN: d-amino acids restrain macrophage IL-1β release through gasdermin D acetylation</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42">
        <w:r>
          <w:rPr>
            <w:color w:val="1155CC"/>
            <w:u w:val="single"/>
          </w:rPr>
          <w:t>10.1126/sciadv.aed1676</w:t>
        </w:r>
      </w:hyperlink>
    </w:p>
    <w:p>
      <w:pPr>
        <w:spacing w:before="0" w:after="120"/>
      </w:pPr>
      <w:r>
        <w:rPr>
          <w:b/>
        </w:rPr>
        <w:t xml:space="preserve">Notes: </w:t>
      </w:r>
      <w:r>
        <w:t>abstract_source=pubmed</w:t>
      </w:r>
    </w:p>
    <w:p>
      <w:pPr>
        <w:spacing w:before="0" w:after="80" w:lineRule="auto" w:line="276"/>
      </w:pPr>
      <w:r>
        <w:rPr>
          <w:b/>
        </w:rPr>
        <w:t xml:space="preserve">摘要（ZH）: </w:t>
      </w:r>
      <w:r>
        <w:t>d-氨基酸已在多种组织中被检测到；然而，d-氨基酸是否影响免疫细胞（如巨噬细胞）功能仍未定义。在此，我们证明炎症性巨噬细胞通过核因子κB（NF-κB）信号通路降低d-氨基酸氧化酶（DAAO）和d-天冬氨酸氧化酶（DDO）的mRNA表达。值得注意的是，抑制DAAO或DDO会增加细胞内d-氨基酸的浓度，从而抑制IL-1β的释放。在机制上，d-氨基酸通过GSDMD-K146乙酰化抑制气体dermin D（GSDMD）寡聚体的形成。d-氨基酸直接结合并增加线粒体丙酮酸脱氢酶（PDH）的酶活性，导致乙酰辅酶A的产生用于乙酰化。与此一致，d-Ala/d-Glu补充或髓样细胞特异性删除DDO可减轻小鼠中脂多糖（LPS）诱导的败血症。总体而言，我们的研究揭示了一种由d-氨基酸介导的乙酰化机制在调节巨噬细胞功能中的作用，为治疗与巨噬细胞相关的炎症性疾病提供了一种潜在的治疗策略。</w:t>
      </w:r>
    </w:p>
    <w:p>
      <w:pPr>
        <w:spacing w:before="0" w:after="200" w:lineRule="auto" w:line="276"/>
      </w:pPr>
      <w:r>
        <w:rPr>
          <w:b/>
        </w:rPr>
        <w:t xml:space="preserve">Abstract (EN): </w:t>
      </w:r>
      <w:r>
        <w:t>d-amino acids have been detected in various tissues; however, whether d-amino acids shape immune cell (e.g., macrophages) function remains undefined. Here, we demonstrated that inflammatory macrophages decrease mRNA expression of d-amino acid oxidase (DAAO) and d-aspartate oxidase (DDO) through nuclear factor κB (NF-κB) signaling. Notably, inhibition of DAAO or DDO increases the concentration of intracellular d-amino acids, consequently suppressing IL-1β release. Mechanistically, d-amino acids inhibit the formation of gasdermin D (GSDMD) oligomer via GSDMD-K146 acetylation. d-amino acids directly bind and increase the enzyme activity of mitochondrial pyruvate dehydrogenase (PDH), resulting in acetyl-coenzyme A production for acetylation. Consistently, d-Ala/d-Glu supplementation or myeloid-specific deletion of DDO attenuates lipopolysaccharides (LPS)-induced sepsis in mice. Collectively, our study reveals a mechanism involving acetylation mediated by d-amino acids in regulation of macrophage function, providing a potential therapeutic strategy for treating macrophage-associated inflammatory diseases.</w:t>
      </w:r>
    </w:p>
    <w:p>
      <w:pPr>
        <w:spacing w:before="120" w:after="120"/>
      </w:pPr>
      <w:r>
        <w:rPr>
          <w:sz w:val="18"/>
        </w:rPr>
        <w:t>——————————————————————————————————————————————————————————————————————</w:t>
      </w:r>
    </w:p>
    <w:p>
      <w:pPr>
        <w:spacing w:before="160" w:after="40" w:line="240" w:lineRule="auto"/>
      </w:pPr>
      <w:r>
        <w:rPr>
          <w:b/>
        </w:rPr>
        <w:t xml:space="preserve">[270] </w:t>
      </w:r>
      <w:hyperlink r:id="rId643">
        <w:r>
          <w:rPr>
            <w:color w:val="1155CC"/>
            <w:u w:val="single"/>
          </w:rPr>
          <w:t>冷冻电镜揭示心肌病治疗药物如何调节心脏的肌球蛋白马达</w:t>
        </w:r>
      </w:hyperlink>
    </w:p>
    <w:p>
      <w:pPr>
        <w:spacing w:before="0" w:after="80"/>
      </w:pPr>
      <w:r>
        <w:rPr>
          <w:i/>
          <w:sz w:val="20"/>
        </w:rPr>
        <w:t>EN: Cryo-EM reveals how cardiomyopathy therapeutic drugs modulate the myosin motors of the heart</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44">
        <w:r>
          <w:rPr>
            <w:color w:val="1155CC"/>
            <w:u w:val="single"/>
          </w:rPr>
          <w:t>10.1126/sciadv.aed6472</w:t>
        </w:r>
      </w:hyperlink>
    </w:p>
    <w:p>
      <w:pPr>
        <w:spacing w:before="0" w:after="120"/>
      </w:pPr>
      <w:r>
        <w:rPr>
          <w:b/>
        </w:rPr>
        <w:t xml:space="preserve">Notes: </w:t>
      </w:r>
      <w:r>
        <w:t>abstract_source=pubmed</w:t>
      </w:r>
    </w:p>
    <w:p>
      <w:pPr>
        <w:spacing w:before="0" w:after="80" w:lineRule="auto" w:line="276"/>
      </w:pPr>
      <w:r>
        <w:rPr>
          <w:b/>
        </w:rPr>
        <w:t xml:space="preserve">摘要（ZH）: </w:t>
      </w:r>
      <w:r>
        <w:t>心肌蛋白，驱动心跳的马达蛋白的基因突变与遗传性肥厚性和扩张性心肌病有关。Mavacamten和omecamtiv mecarbil是针对这些肌病设计的治疗性、靶向心肌蛋白的药物，但其作用机制尚不清楚。使用单颗粒冷冻电镜，我们确定了野生型、mavacamten结合和omecamtiv mecarbil结合的心肌蛋白分子的近原子分辨率结构。在所有条件下，我们观察到心肌蛋白的两种不同的、交替的构象，这是以前未报道的。我们展示了mavacamten如何通过加强分子中的关键静电界面来稳定一种构象，而omecamtiv mecarbil则削弱这些界面，偏向第二种结构。这种重塑阐明了这些药物通过抑制或增强心肌蛋白活性来抵消疾病有害影响的以前不清楚的变构机制。这些发现揭示了药物如何调节心肌蛋白结构以控制心脏收缩力。</w:t>
      </w:r>
    </w:p>
    <w:p>
      <w:pPr>
        <w:spacing w:before="0" w:after="200" w:lineRule="auto" w:line="276"/>
      </w:pPr>
      <w:r>
        <w:rPr>
          <w:b/>
        </w:rPr>
        <w:t xml:space="preserve">Abstract (EN): </w:t>
      </w:r>
      <w:r>
        <w:t>Genetic mutations in myosin, the motor protein that powers the heartbeat, are linked to inherited hypertrophic and dilated cardiomyopathies. Mavacamten and omecamtiv mecarbil are therapeutic, myosin-targeted drugs designed to treat these myopathies, but their mechanism of action has remained unclear. Using single-particle cryo-EM, we determined near-atomic resolution structures of wild-type, mavacamten-bound, and omecamtiv mecarbil-bound myosin molecules. Across all conditions, we observe two distinct, alternate conformations of myosin, not previously reported. We show how mavacamten stabilizes one conformation by reinforcing key electrostatic interfaces in the molecule, whereas omecamtiv mecarbil weakens these interfaces, favoring the second structure. This remodeling elucidates previously unclear allosteric mechanisms through which these drugs either inhibit or enhance myosin activity, countering the deleterious impacts of disease. These findings reveal how drugs modulate myosin structure to control cardiac contractility.</w:t>
      </w:r>
    </w:p>
    <w:p>
      <w:pPr>
        <w:spacing w:before="120" w:after="120"/>
      </w:pPr>
      <w:r>
        <w:rPr>
          <w:sz w:val="18"/>
        </w:rPr>
        <w:t>——————————————————————————————————————————————————————————————————————</w:t>
      </w:r>
    </w:p>
    <w:p>
      <w:pPr>
        <w:spacing w:before="160" w:after="40" w:line="240" w:lineRule="auto"/>
      </w:pPr>
      <w:r>
        <w:rPr>
          <w:b/>
        </w:rPr>
        <w:t xml:space="preserve">[271] </w:t>
      </w:r>
      <w:hyperlink r:id="rId645">
        <w:r>
          <w:rPr>
            <w:color w:val="1155CC"/>
            <w:u w:val="single"/>
          </w:rPr>
          <w:t>时空声流体镊子用于动态和选择性操控微粒</w:t>
        </w:r>
      </w:hyperlink>
    </w:p>
    <w:p>
      <w:pPr>
        <w:spacing w:before="0" w:after="80"/>
      </w:pPr>
      <w:r>
        <w:rPr>
          <w:i/>
          <w:sz w:val="20"/>
        </w:rPr>
        <w:t>EN: Space-time acoustofluidic tweezers for dynamic and selective manipulation of microparticles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46">
        <w:r>
          <w:rPr>
            <w:color w:val="1155CC"/>
            <w:u w:val="single"/>
          </w:rPr>
          <w:t>10.1126/sciadv.aee2983</w:t>
        </w:r>
      </w:hyperlink>
    </w:p>
    <w:p>
      <w:pPr>
        <w:spacing w:before="0" w:after="120"/>
      </w:pPr>
      <w:r>
        <w:rPr>
          <w:b/>
        </w:rPr>
        <w:t xml:space="preserve">Notes: </w:t>
      </w:r>
      <w:r>
        <w:t>abstract_source=pubmed</w:t>
      </w:r>
    </w:p>
    <w:p>
      <w:pPr>
        <w:spacing w:before="0" w:after="80" w:lineRule="auto" w:line="276"/>
      </w:pPr>
      <w:r>
        <w:rPr>
          <w:b/>
        </w:rPr>
        <w:t xml:space="preserve">摘要（ZH）: </w:t>
      </w:r>
      <w:r>
        <w:t>动态声流体学能够精确、无接触地操控颗粒、胶体和细胞，并在物理学、材料科学和生命科学的应用中显示出巨大潜力。然而，现有策略难以实现基于对比度的选择性操控，主要是因为压力场是时间不变的。在此，我们引入了一种时空声流体镊子（STAT），利用频率失谐引起的驻立面声波的伪时空调制，实现对微粒和细胞的动态、对比度依赖的控制。实验和模拟表明，在STAT操控下，正声对比颗粒（PACP）和负声对比颗粒（NACP）分别可以进行低频、剪切和纵向类谐波运动。在某些驱动条件下，NACP可以沿编程路径选择性引导，而PACP则保持稳定的图案化。总体而言，STAT提供了一种温和的、生物相容的方式来选择性地驱动不同声对比颗粒和细胞的振荡、运输和分类，拓宽了声流体系统在生物医学应用中的能力。</w:t>
      </w:r>
    </w:p>
    <w:p>
      <w:pPr>
        <w:spacing w:before="0" w:after="200" w:lineRule="auto" w:line="276"/>
      </w:pPr>
      <w:r>
        <w:rPr>
          <w:b/>
        </w:rPr>
        <w:t xml:space="preserve">Abstract (EN): </w:t>
      </w:r>
      <w:r>
        <w:t>Dynamic acoustofluidics enables precise, contact-free manipulation of particles, colloids, and cells and shows great potential for applications in physics, materials science, and life sciences. However, existing strategies struggle to realize contrast-based selective manipulation primarily because the pressure fields are time invariant. Here, we introduce a space-time acoustofluidic tweezer (STAT) that uses frequency detuning-induced pseudo-space-time modulation of standing surface acoustic waves to enable dynamic, contrast-dependent control of microparticles and cells. Experiments and simulations show that, under STAT manipulation, positive (PACP) and negative (NACP) acoustic contrast particles can undergo low-frequency, shear- and longitudinal-like harmonic motions, respectively. Under certain driving conditions, NACPs can be selectively guided along programmed paths, whereas PACPs remain stably patterned. Overall, STAT offers a gentle, biocompatible way to selectively drive oscillation, transport, and sorting among particles and cells of different acoustic contrasts, broadening the capabilities of acoustofluidic systems for biomedical applications.</w:t>
      </w:r>
    </w:p>
    <w:p>
      <w:pPr>
        <w:spacing w:before="120" w:after="120"/>
      </w:pPr>
      <w:r>
        <w:rPr>
          <w:sz w:val="18"/>
        </w:rPr>
        <w:t>——————————————————————————————————————————————————————————————————————</w:t>
      </w:r>
    </w:p>
    <w:p>
      <w:pPr>
        <w:spacing w:before="160" w:after="40" w:line="240" w:lineRule="auto"/>
      </w:pPr>
      <w:r>
        <w:rPr>
          <w:b/>
        </w:rPr>
        <w:t xml:space="preserve">[272] </w:t>
      </w:r>
      <w:hyperlink r:id="rId647">
        <w:r>
          <w:rPr>
            <w:color w:val="1155CC"/>
            <w:u w:val="single"/>
          </w:rPr>
          <w:t>PARP4对PIDD1进行ADP-核糖化以完成磷酸化/SUMO化/PAR化级联反应，协调PIDDosome组装</w:t>
        </w:r>
      </w:hyperlink>
    </w:p>
    <w:p>
      <w:pPr>
        <w:spacing w:before="0" w:after="80"/>
      </w:pPr>
      <w:r>
        <w:rPr>
          <w:i/>
          <w:sz w:val="20"/>
        </w:rPr>
        <w:t>EN: PARP4 ADP-ribosylates PIDD1 to complete a phospho/SUMO/PAR-ylation cascade that orchestrates PIDDosome assembly</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48">
        <w:r>
          <w:rPr>
            <w:color w:val="1155CC"/>
            <w:u w:val="single"/>
          </w:rPr>
          <w:t>10.1126/sciadv.adz9284</w:t>
        </w:r>
      </w:hyperlink>
    </w:p>
    <w:p>
      <w:pPr>
        <w:spacing w:before="0" w:after="120"/>
      </w:pPr>
      <w:r>
        <w:rPr>
          <w:b/>
        </w:rPr>
        <w:t xml:space="preserve">Notes: </w:t>
      </w:r>
      <w:r>
        <w:t>abstract_source=pubmed</w:t>
      </w:r>
    </w:p>
    <w:p>
      <w:pPr>
        <w:spacing w:before="0" w:after="80" w:lineRule="auto" w:line="276"/>
      </w:pPr>
      <w:r>
        <w:rPr>
          <w:b/>
        </w:rPr>
        <w:t xml:space="preserve">摘要（ZH）: </w:t>
      </w:r>
      <w:r>
        <w:t>腺苷二磷酸（ADP）核糖化（ADPr）调节多种应激反应，但凋亡机制中的底物仍然难以捉摸。我们发现，单一的DNA损伤诱导的ADPr事件控制了未解决的链间DNA交联（ICL）响应中的促凋亡PIDDosome（PIDD1/RAIDD/caspase-2）形成。ADPr靶向PIDD1死亡域（DD）中的保守E783；由多（ADP-核糖）聚合酶4（PARP4）催化，PARP4是一个系统发育上孤立的、先前功能未知的PARP；由PARP14的核糖水解酶活性逆转；并由共济失调毛细血管扩张症和RAD3相关（ATR）磷酸化诱导的、PIAS1介导的PIDD1 DD SUMO化触发，使PARP4对接。PIDD1 ADPr对于RAIDD和caspase-2的招募是可有可无的，但对于caspase的二聚化是必需的。因此，拒绝E783 ADPr可以避免PIDDosome组装的开始，但阻止其完成，从而消除caspase-2的激活和随后的凋亡。相反，去除PARP14会强迫凋亡，即使在损伤可耐受的细胞中也是如此。数据确定了PARP4作为ICL响应效应器，并阐明了PIDD1 DD的三步修饰序列，从启动到完成指导PIDDosome组装。</w:t>
      </w:r>
    </w:p>
    <w:p>
      <w:pPr>
        <w:spacing w:before="0" w:after="200" w:lineRule="auto" w:line="276"/>
      </w:pPr>
      <w:r>
        <w:rPr>
          <w:b/>
        </w:rPr>
        <w:t xml:space="preserve">Abstract (EN): </w:t>
      </w:r>
      <w:r>
        <w:t>Adenosine diphosphate (ADP) ribosylation (ADPr) regulates multiple stress responses, yet substrates in the apoptotic machinery remain elusive. We show that a single, DNA damage-induced ADPr event controls proapoptotic PIDDosome (PIDD1/RAIDD/caspase-2) formation in response to unresolved interstrand DNA cross-links (ICL). ADPr targets conserved E783 in the PIDD1 death domain (DD); is catalyzed by poly(ADP-ribose) polymerase 4 (PARP4), a phylogenetically orphan PARP of previously unknown function; is reversed by the ribosylhydrolase activity of PARP14; and is triggered by Ataxia Telangiectasia and RAD3-related (ATR) phosphorylation-induced, PIAS1-mediated SUMOylation of the PIDD1 DD, which enables PARP4 docking. PIDD1 ADPr is dispensable for the recruitments of RAIDD and caspase-2 but essential for the dimerization of the caspase. Hence, denying E783 ADPr spares the onset of PIDDosome assembly but blocks its completion, thus eliminating caspase-2 activation and ensuing apoptosis. Conversely, removal of PARP14 forces apoptosis, even in cells with tolerable damage. The data identify PARP4 as an ICL response effector and illuminate a three-step modification sequence of the PIDD1 DD that conducts PIDDosome assembly from initiation to completion.</w:t>
      </w:r>
    </w:p>
    <w:p>
      <w:pPr>
        <w:spacing w:before="120" w:after="120"/>
      </w:pPr>
      <w:r>
        <w:rPr>
          <w:sz w:val="18"/>
        </w:rPr>
        <w:t>——————————————————————————————————————————————————————————————————————</w:t>
      </w:r>
    </w:p>
    <w:p>
      <w:pPr>
        <w:spacing w:before="160" w:after="40" w:line="240" w:lineRule="auto"/>
      </w:pPr>
      <w:r>
        <w:rPr>
          <w:b/>
        </w:rPr>
        <w:t xml:space="preserve">[273] </w:t>
      </w:r>
      <w:hyperlink r:id="rId649">
        <w:r>
          <w:rPr>
            <w:color w:val="1155CC"/>
            <w:u w:val="single"/>
          </w:rPr>
          <w:t>一种用于口腔感染治疗的强力粘附微针，通过协同抗菌和中性粒细胞-巨噬细胞轴免疫调节</w:t>
        </w:r>
      </w:hyperlink>
    </w:p>
    <w:p>
      <w:pPr>
        <w:spacing w:before="0" w:after="80"/>
      </w:pPr>
      <w:r>
        <w:rPr>
          <w:i/>
          <w:sz w:val="20"/>
        </w:rPr>
        <w:t>EN: A robust adhesive microneedle for oral infections therapy via synergistic antibacterial and neutrophil-macrophage axis immunomodulation</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50">
        <w:r>
          <w:rPr>
            <w:color w:val="1155CC"/>
            <w:u w:val="single"/>
          </w:rPr>
          <w:t>10.1126/sciadv.aee4401</w:t>
        </w:r>
      </w:hyperlink>
    </w:p>
    <w:p>
      <w:pPr>
        <w:spacing w:before="0" w:after="120"/>
      </w:pPr>
      <w:r>
        <w:rPr>
          <w:b/>
        </w:rPr>
        <w:t xml:space="preserve">Notes: </w:t>
      </w:r>
      <w:r>
        <w:t>abstract_source=pubmed</w:t>
      </w:r>
    </w:p>
    <w:p>
      <w:pPr>
        <w:spacing w:before="0" w:after="80" w:lineRule="auto" w:line="276"/>
      </w:pPr>
      <w:r>
        <w:rPr>
          <w:b/>
        </w:rPr>
        <w:t xml:space="preserve">摘要（ZH）: </w:t>
      </w:r>
      <w:r>
        <w:t>口腔感染性疾病治疗具有挑战性，因为传统疗法难以维持有效的药物水平，同时解决感染和免疫失调问题。为此，我们通过将Fe3(CO)12引入咖啡酸接枝的聚乙烯醇网络，开发了一种贻贝启发的微针贴片（PCA@FeCO MN）。这种设计通过双重粘附机制克服了现有障碍：一种儿茶酚-金属配位网络用于强化学键合，以及优化的锥形几何形状用于在湿润的口腔组织中进行机械互锁。在近红外辐照下，PCA@FeCO MN激活光热-铁死亡-气体治疗级联，协同消灭病原体。关键是，这一策略还通过引导中性粒细胞功能激活、及时凋亡和增强巨噬细胞清除作用来破坏炎症循环。在大鼠和比格犬口腔感染模型中，PCA@FeCO MN实现了强大的组织粘附、高效的协同抗菌活性和精确的免疫调节，展示了其未来临床转化的潜在治疗前景。</w:t>
      </w:r>
    </w:p>
    <w:p>
      <w:pPr>
        <w:spacing w:before="0" w:after="200" w:lineRule="auto" w:line="276"/>
      </w:pPr>
      <w:r>
        <w:rPr>
          <w:b/>
        </w:rPr>
        <w:t xml:space="preserve">Abstract (EN): </w:t>
      </w:r>
      <w:r>
        <w:t>Oral infectious diseases are challenging to treat, as conventional therapies struggle to maintain effective drug levels and simultaneously address both infection and immune dysregulation. To address this, we developed a mussel-inspired microneedle patch (PCA@FeCO MN) by incorporating Fe3(CO)12 into a caffeic acid-grafted polyvinyl alcohol network. This design overcomes existing barriers through a dual-adhesion mechanism: a catechol-metal coordination network for strong chemical bonding and an optimized taper geometry for mechanical interlocking in wet oral tissues. Upon near-infrared irradiation, PCA@FeCO MN activates a photothermal-ferroptosis-gas therapy cascade, synergistically eradicating pathogens. Crucially, this strategy also disrupts the inflammation cycle by steering neutrophils toward function activation, timely apoptosis and boosting macrophage efferocytosis. In both rat and beagle dog models of oral infections, PCA@FeCO MN achieved robust tissue adhesion, highly efficient synergistic antibacterial activity, and precise immunomodulation, demonstrating its promising therapeutic potential for future clinical translation.</w:t>
      </w:r>
    </w:p>
    <w:p>
      <w:pPr>
        <w:spacing w:before="120" w:after="120"/>
      </w:pPr>
      <w:r>
        <w:rPr>
          <w:sz w:val="18"/>
        </w:rPr>
        <w:t>——————————————————————————————————————————————————————————————————————</w:t>
      </w:r>
    </w:p>
    <w:p>
      <w:pPr>
        <w:spacing w:before="160" w:after="40" w:line="240" w:lineRule="auto"/>
      </w:pPr>
      <w:r>
        <w:rPr>
          <w:b/>
        </w:rPr>
        <w:t xml:space="preserve">[274] </w:t>
      </w:r>
      <w:hyperlink r:id="rId651">
        <w:r>
          <w:rPr>
            <w:color w:val="1155CC"/>
            <w:u w:val="single"/>
          </w:rPr>
          <w:t>核帽结合复合物保护抗压蛋白合成和干细胞增殖</w:t>
        </w:r>
      </w:hyperlink>
    </w:p>
    <w:p>
      <w:pPr>
        <w:spacing w:before="0" w:after="80"/>
      </w:pPr>
      <w:r>
        <w:rPr>
          <w:i/>
          <w:sz w:val="20"/>
        </w:rPr>
        <w:t>EN: The nuclear cap-binding complex safeguards stress-resistant protein synthesis and proliferation of stem cells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52">
        <w:r>
          <w:rPr>
            <w:color w:val="1155CC"/>
            <w:u w:val="single"/>
          </w:rPr>
          <w:t>10.1126/sciadv.aea6630</w:t>
        </w:r>
      </w:hyperlink>
    </w:p>
    <w:p>
      <w:pPr>
        <w:spacing w:before="0" w:after="120"/>
      </w:pPr>
      <w:r>
        <w:rPr>
          <w:b/>
        </w:rPr>
        <w:t xml:space="preserve">Notes: </w:t>
      </w:r>
      <w:r>
        <w:t>abstract_source=pubmed</w:t>
      </w:r>
    </w:p>
    <w:p>
      <w:pPr>
        <w:spacing w:before="0" w:after="80" w:lineRule="auto" w:line="276"/>
      </w:pPr>
      <w:r>
        <w:rPr>
          <w:b/>
        </w:rPr>
        <w:t xml:space="preserve">摘要（ZH）: </w:t>
      </w:r>
      <w:r>
        <w:t>综合应激反应（ISR）抑制全球翻译，同时允许选择性合成关键调节蛋白。然而，翻译在ISR期间如何持续仍不清楚。在真核生物中，mRNA的5'-帽由帽结合复合物（CBC）或eIF4E结合。我们发现，在应激条件下，CBC结合的mRNA招募eIF2A，一种替代起始因子，以在eIF4E依赖的翻译受抑时维持翻译。人类胚胎干细胞（hESCs）本身表现出ISR，由于eIF2A的补偿性增加而继续增殖。这种增加确保了必需细胞周期调节因子的CBC依赖翻译（CT）。值得注意的是，yes相关蛋白（YAP），一种关键的增殖因子，是驱动抗应激干细胞增殖的主要CT目标。我们的研究揭示了CT作为在应激下保持蛋白质合成和增殖的关键途径。</w:t>
      </w:r>
    </w:p>
    <w:p>
      <w:pPr>
        <w:spacing w:before="0" w:after="200" w:lineRule="auto" w:line="276"/>
      </w:pPr>
      <w:r>
        <w:rPr>
          <w:b/>
        </w:rPr>
        <w:t xml:space="preserve">Abstract (EN): </w:t>
      </w:r>
      <w:r>
        <w:t>The integrated stress response (ISR) suppresses global translation while allowing selective synthesis of key regulatory proteins. However, how translation persists during ISR remains unclear. In eukaryotes, the 5'-cap of mRNAs is bound by either the cap-binding complex (CBC) or eIF4E. We show that under stress, CBC-bound mRNAs recruit eIF2A, an alternative initiation factor, to sustain translation when eIF4E-dependent translation is inhibited. Human embryonic stem cells (hESCs), which inherently exhibit ISR, continue proliferating due to a compensatory increase in eIF2A. This increase ensures CBC-dependent translation (CT) of essential cell cycle regulators. Notably, yes-associated protein (YAP), a key proliferation factor, is a major CT target driving stress-resistant stem cell proliferation. Our findings reveal CT as a critical pathway that preserves protein synthesis and proliferation under stress.</w:t>
      </w:r>
    </w:p>
    <w:p>
      <w:pPr>
        <w:spacing w:before="120" w:after="120"/>
      </w:pPr>
      <w:r>
        <w:rPr>
          <w:sz w:val="18"/>
        </w:rPr>
        <w:t>——————————————————————————————————————————————————————————————————————</w:t>
      </w:r>
    </w:p>
    <w:p>
      <w:pPr>
        <w:spacing w:before="160" w:after="40" w:line="240" w:lineRule="auto"/>
      </w:pPr>
      <w:r>
        <w:rPr>
          <w:b/>
        </w:rPr>
        <w:t xml:space="preserve">[275] </w:t>
      </w:r>
      <w:hyperlink r:id="rId653">
        <w:r>
          <w:rPr>
            <w:color w:val="1155CC"/>
            <w:u w:val="single"/>
          </w:rPr>
          <w:t>沙尘暴：极端降雨和全球降水变化的隐藏驱动因素</w:t>
        </w:r>
      </w:hyperlink>
    </w:p>
    <w:p>
      <w:pPr>
        <w:spacing w:before="0" w:after="80"/>
      </w:pPr>
      <w:r>
        <w:rPr>
          <w:i/>
          <w:sz w:val="20"/>
        </w:rPr>
        <w:t>EN: Dust storms: Hidden drivers of extreme rainfall and global precipitation shifts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54">
        <w:r>
          <w:rPr>
            <w:color w:val="1155CC"/>
            <w:u w:val="single"/>
          </w:rPr>
          <w:t>10.1126/sciadv.adw6864</w:t>
        </w:r>
      </w:hyperlink>
    </w:p>
    <w:p>
      <w:pPr>
        <w:spacing w:before="0" w:after="120"/>
      </w:pPr>
      <w:r>
        <w:rPr>
          <w:b/>
        </w:rPr>
        <w:t xml:space="preserve">Notes: </w:t>
      </w:r>
      <w:r>
        <w:t>abstract_source=pubmed</w:t>
      </w:r>
    </w:p>
    <w:p>
      <w:pPr>
        <w:spacing w:before="0" w:after="80" w:lineRule="auto" w:line="276"/>
      </w:pPr>
      <w:r>
        <w:rPr>
          <w:b/>
        </w:rPr>
        <w:t xml:space="preserve">摘要（ZH）: </w:t>
      </w:r>
      <w:r>
        <w:t>沙尘暴虽然常被视为有害，但在增强降雨方面可以发挥意想不到的作用。全球观测显示，沙尘暴后7天的累计降水量比无尘条件下多出最多9.6毫米。数值模拟进一步证实，尘埃颗粒作为冰核，从而促进云的形成，并通过冰晶效应增加降雨。此外，在人为气溶胶增加的地区，尘埃决定了降水模式。虽然单独升高的人为气溶胶水平往往会增强弱降雨，但尘埃气溶胶的存在减少了轻降水并增强了较强降水。总体而言，这些发现揭示了沙尘暴在塑造全球降水模式中的双重作用，同时对人类生活环境产生不利影响。这项研究建立了一个机制框架，以理解沙尘如何在全球范围内影响极端降水，提升对强降水的预测能力。</w:t>
      </w:r>
    </w:p>
    <w:p>
      <w:pPr>
        <w:spacing w:before="0" w:after="200" w:lineRule="auto" w:line="276"/>
      </w:pPr>
      <w:r>
        <w:rPr>
          <w:b/>
        </w:rPr>
        <w:t xml:space="preserve">Abstract (EN): </w:t>
      </w:r>
      <w:r>
        <w:t>Dust storms, while often seen as harmful, can play an unexpected role in enhancing rainfall. Global observations show that 7-day accumulated precipitation after dust storms exceeds dust-free conditions by up to 9.6 millimeters. Numerical simulations further confirm that dust particles act as ice nuclei, thereby promoting cloud formation and increasing rainfall through the ice crystal effect. Moreover, in regions with rising anthropogenic aerosols, dusts determine precipitation patterns. While elevated levels of anthropogenic aerosols alone tend to boost weak rainfall, the presence of dust aerosols reduces light precipitation and enhances heavier precipitation. Collectively, these findings reveal a dual role of dust storms in shaping global precipitation patterns while adversely affecting the human living environment. This research establishes a mechanistic framework for understanding how dust affects extreme precipitation at the global scale, advancing predictive capabilities for heavy precipitation.</w:t>
      </w:r>
    </w:p>
    <w:p>
      <w:pPr>
        <w:spacing w:before="120" w:after="120"/>
      </w:pPr>
      <w:r>
        <w:rPr>
          <w:sz w:val="18"/>
        </w:rPr>
        <w:t>——————————————————————————————————————————————————————————————————————</w:t>
      </w:r>
    </w:p>
    <w:p>
      <w:pPr>
        <w:spacing w:before="160" w:after="40" w:line="240" w:lineRule="auto"/>
      </w:pPr>
      <w:r>
        <w:rPr>
          <w:b/>
        </w:rPr>
        <w:t xml:space="preserve">[276] </w:t>
      </w:r>
      <w:hyperlink r:id="rId655">
        <w:r>
          <w:rPr>
            <w:color w:val="1155CC"/>
            <w:u w:val="single"/>
          </w:rPr>
          <w:t>后部胼胝体在双手协调中的因果作用</w:t>
        </w:r>
      </w:hyperlink>
    </w:p>
    <w:p>
      <w:pPr>
        <w:spacing w:before="0" w:after="80"/>
      </w:pPr>
      <w:r>
        <w:rPr>
          <w:i/>
          <w:sz w:val="20"/>
        </w:rPr>
        <w:t>EN: A causal role for the posterior corpus callosum in bimanual coordination</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656">
        <w:r>
          <w:rPr>
            <w:color w:val="1155CC"/>
            <w:u w:val="single"/>
          </w:rPr>
          <w:t>10.1073/pnas.2516541123</w:t>
        </w:r>
      </w:hyperlink>
    </w:p>
    <w:p>
      <w:pPr>
        <w:spacing w:before="0" w:after="120"/>
      </w:pPr>
      <w:r>
        <w:rPr>
          <w:b/>
        </w:rPr>
        <w:t xml:space="preserve">Notes: </w:t>
      </w:r>
      <w:r>
        <w:t>abstract_source=pubmed</w:t>
      </w:r>
    </w:p>
    <w:p>
      <w:pPr>
        <w:spacing w:before="0" w:after="80" w:lineRule="auto" w:line="276"/>
      </w:pPr>
      <w:r>
        <w:rPr>
          <w:b/>
        </w:rPr>
        <w:t xml:space="preserve">摘要（ZH）: </w:t>
      </w:r>
      <w:r>
        <w:t>区域间通信对于协调的大脑功能至关重要。鉴于大脑主要是对侧组织，双手协调可能依赖于两个大脑半球之间的相互作用来进行运动计划和执行。顶叶到达区域（PRR）是感觉运动转换流中的一个早期节点。在此，我们研究了左右PRR之间直接胼胝体连接对双手协调的贡献。使用锰增强MRI，我们追踪了穿过中线的胼胝体通路，发现PRR-PRR连接仅限于压部。然后，我们用利多卡因暂时阻断这些纤维，同时测量行为表现和半球间相干性。阻断选择性地减少了双手运动到共同目标时的PRR-PRR相干性，但在运动到不同目标时没有减少。在行为上，阻断加快了跨任务的运动启动，与半球间通信的功能性抑制影响一致，减少了双手运动到共同目标的时间同步性，并减少了双手运动到不同目标的错误。这些发现提供了胼胝体后部通信支持空间协调的双手动作时间精度的因果证据，同时可能限制独立肢体控制。</w:t>
      </w:r>
    </w:p>
    <w:p>
      <w:pPr>
        <w:spacing w:before="0" w:after="200" w:lineRule="auto" w:line="276"/>
      </w:pPr>
      <w:r>
        <w:rPr>
          <w:b/>
        </w:rPr>
        <w:t xml:space="preserve">Abstract (EN): </w:t>
      </w:r>
      <w:r>
        <w:t>Interareal communication is crucial for coordinated brain function. Given the largely contralateral organization of the brain, bimanual coordination likely depends on interactions across the two cerebral hemispheres for motor planning and execution. The parietal reach region (PRR) is an early node in the sensorimotor transformation stream. Here, we examined the contributions of direct callosal connections between left and right PRR to bimanual coordination. Using manganese-enhanced MRI, we traced callosal pathways crossing the midline and found that PRR-PRR connections are restricted to the splenium. We then temporarily blocked these fibers with lidocaine while measuring behavioral performance and interhemispheric coherence. Blockade selectively reduced PRR-PRR coherence during bimanual movements to a common target, but not during movements to separate targets. Behaviorally, blockade sped movement initiation across tasks, consistent with a functionally inhibitory influence of interhemispheric communication, reduced the temporal synchrony of bimanual movements to a common target, and reduced errors for bimanual movements to separate targets. These findings provide causal evidence that posterior callosal communication supports the temporal precision of spatially coordinated bimanual actions, while potentially constraining independent limb control.</w:t>
      </w:r>
    </w:p>
    <w:p>
      <w:pPr>
        <w:spacing w:before="120" w:after="120"/>
      </w:pPr>
      <w:r>
        <w:rPr>
          <w:sz w:val="18"/>
        </w:rPr>
        <w:t>——————————————————————————————————————————————————————————————————————</w:t>
      </w:r>
    </w:p>
    <w:p>
      <w:pPr>
        <w:spacing w:before="160" w:after="40" w:line="240" w:lineRule="auto"/>
      </w:pPr>
      <w:r>
        <w:rPr>
          <w:b/>
        </w:rPr>
        <w:t xml:space="preserve">[277] </w:t>
      </w:r>
      <w:hyperlink r:id="rId657">
        <w:r>
          <w:rPr>
            <w:color w:val="1155CC"/>
            <w:u w:val="single"/>
          </w:rPr>
          <w:t>静电诱导的发光轨迹跟踪：黑暗环境中非接触人机交互的范式</w:t>
        </w:r>
      </w:hyperlink>
    </w:p>
    <w:p>
      <w:pPr>
        <w:spacing w:before="0" w:after="80"/>
      </w:pPr>
      <w:r>
        <w:rPr>
          <w:i/>
          <w:sz w:val="20"/>
        </w:rPr>
        <w:t>EN: Static-electricity-induced luminescence trajectory tracking: A paradigm for noncontact human-machine interaction in dark environments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58">
        <w:r>
          <w:rPr>
            <w:color w:val="1155CC"/>
            <w:u w:val="single"/>
          </w:rPr>
          <w:t>10.1126/sciadv.aee4377</w:t>
        </w:r>
      </w:hyperlink>
    </w:p>
    <w:p>
      <w:pPr>
        <w:spacing w:before="0" w:after="120"/>
      </w:pPr>
      <w:r>
        <w:rPr>
          <w:b/>
        </w:rPr>
        <w:t xml:space="preserve">Notes: </w:t>
      </w:r>
      <w:r>
        <w:t>abstract_source=pubmed</w:t>
      </w:r>
    </w:p>
    <w:p>
      <w:pPr>
        <w:spacing w:before="0" w:after="80" w:lineRule="auto" w:line="276"/>
      </w:pPr>
      <w:r>
        <w:rPr>
          <w:b/>
        </w:rPr>
        <w:t xml:space="preserve">摘要（ZH）: </w:t>
      </w:r>
      <w:r>
        <w:t>多场景适应性是新兴人机交互（HMI）技术的核心目标，但传统的视觉HMI依赖于环境光照明，无法适应低光/无光场景。在此，我们提出了一种静电诱导发光（SEL）轨迹跟踪模型，并开发了一种便携式SEL平台，集成了SrAl2O4:Eu2+/聚二甲基硅氧烷薄膜，具有5至50 kV的工作电压，13 mm的非接触距离，≥150天的稳定性，400 K的热耐受性，以及&lt;1 nA的体电流以确保高生物安全性。全面的机制研究提供了对SEL的深刻和科学的机制理解，重点关注空气电离、电子轰击和陷阱态动力学之间的相互作用。结合质心位移跟踪算法和卷积神经网络，它实现了高精度的数字识别和复杂的机器人手臂交互动作，其训练时间缩短了2.4倍，识别速度比主流手势识别快两个数量级（6.6 ms对比192.5 lux下的730 ms）。这项工作不仅打破了自适应HMI的照明限制，还提供了一种有前景的基于SEL的HMI范式。</w:t>
      </w:r>
    </w:p>
    <w:p>
      <w:pPr>
        <w:spacing w:before="0" w:after="200" w:lineRule="auto" w:line="276"/>
      </w:pPr>
      <w:r>
        <w:rPr>
          <w:b/>
        </w:rPr>
        <w:t xml:space="preserve">Abstract (EN): </w:t>
      </w:r>
      <w:r>
        <w:t>Multiscenario adaptability is a core target of emerging human-machine interaction (HMI) technologies, but conventional visual HMI relies on ambient light illumination, failing to adapt to low-/no-light scenarios. Here, we propose a static-electricity-induced luminescence (SEL) trajectory tracking model, and develop a portable SEL platform integrated with SrAl2O4:Eu2+/polydimethylsiloxane film, featuring 5 to 50 kV operating voltage, 13 mm noncontact distance, ≥150-day stability, 400 K thermal tolerance, and &lt;1 nA body current for high biosafety. Comprehensive mechanism investigations offer a deep and scientific mechanistic understanding of SEL, focusing on the interactions between air ionization, electron bombardment, and trap-state dynamics. Integration with a centroid displacement tracking algorithm and convolutional neural network, it achieves high-accuracy digit recognition and complex robot arm interactive motions, with 2.4× shorter training time and two orders of magnitude faster recognition speed (6.6 ms versus 730 ms in 192.5 lux) than mainstream gesture recognition. This work not only breaks illumination constraints for adaptive HMI but also provides a promising SEL-based HMI paradigm.</w:t>
      </w:r>
    </w:p>
    <w:p>
      <w:pPr>
        <w:spacing w:before="120" w:after="120"/>
      </w:pPr>
      <w:r>
        <w:rPr>
          <w:sz w:val="18"/>
        </w:rPr>
        <w:t>——————————————————————————————————————————————————————————————————————</w:t>
      </w:r>
    </w:p>
    <w:p>
      <w:pPr>
        <w:spacing w:before="160" w:after="40" w:line="240" w:lineRule="auto"/>
      </w:pPr>
      <w:r>
        <w:rPr>
          <w:b/>
        </w:rPr>
        <w:t xml:space="preserve">[278] </w:t>
      </w:r>
      <w:hyperlink r:id="rId659">
        <w:r>
          <w:rPr>
            <w:color w:val="1155CC"/>
            <w:u w:val="single"/>
          </w:rPr>
          <w:t>密集上皮组织中的动态异质性和隐藏流动性</w:t>
        </w:r>
      </w:hyperlink>
    </w:p>
    <w:p>
      <w:pPr>
        <w:spacing w:before="0" w:after="80"/>
      </w:pPr>
      <w:r>
        <w:rPr>
          <w:i/>
          <w:sz w:val="20"/>
        </w:rPr>
        <w:t>EN: Dynamic heterogeneity and hidden fluidity in dense epithelial tissues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60">
        <w:r>
          <w:rPr>
            <w:color w:val="1155CC"/>
            <w:u w:val="single"/>
          </w:rPr>
          <w:t>10.1126/sciadv.aec3773</w:t>
        </w:r>
      </w:hyperlink>
    </w:p>
    <w:p>
      <w:pPr>
        <w:spacing w:before="0" w:after="120"/>
      </w:pPr>
      <w:r>
        <w:rPr>
          <w:b/>
        </w:rPr>
        <w:t xml:space="preserve">Notes: </w:t>
      </w:r>
      <w:r>
        <w:t>abstract_source=pubmed</w:t>
      </w:r>
    </w:p>
    <w:p>
      <w:pPr>
        <w:spacing w:before="0" w:after="80" w:lineRule="auto" w:line="276"/>
      </w:pPr>
      <w:r>
        <w:rPr>
          <w:b/>
        </w:rPr>
        <w:t xml:space="preserve">摘要（ZH）: </w:t>
      </w:r>
      <w:r>
        <w:t>上皮组织在形态发生、修复和疾病过程中保持器官完整性，同时不断重塑。在高细胞密度下，这些组织通常表现为机械上被阻止的无序、固态状态，引发了它们如何保持重组能力的问题。在此，我们展示了，与热玻璃不同，密集的上皮组织不表现出笼状行为，而是表现为复杂流体。细胞表现出亚扩散蠕变，同时具有Fickian但非高斯动力学和压缩指数松弛，这是应力驱动流动性的标志。这种流动性源于组织的结构和机械组织，而不是细胞分裂或挤出，这仅暂时增强局部动力学。快速移动的细胞组织成集体的各向异性簇，其空间异质性与局部结构熵和软振动模式相关。这些发现揭示了密集包装的上皮中隐藏的流动性，支持机械稳定性，同时在发育、伤口愈合和早期肿瘤侵袭过程中保留重塑能力。</w:t>
      </w:r>
    </w:p>
    <w:p>
      <w:pPr>
        <w:spacing w:before="0" w:after="200" w:lineRule="auto" w:line="276"/>
      </w:pPr>
      <w:r>
        <w:rPr>
          <w:b/>
        </w:rPr>
        <w:t xml:space="preserve">Abstract (EN): </w:t>
      </w:r>
      <w:r>
        <w:t>Epithelial tissues maintain organ integrity while continuously remodeling during morphogenesis, repair, and disease. At high cell densities, these tissues often appear mechanically arrested in a disordered, solid-like state, raising the question of how they retain the ability to reorganize. Here, we show that, unlike thermal glasses, dense epithelial tissues do not exhibit caging behavior but instead behave as a complex fluid. Cells display subdiffusive creep together with Fickian yet non-Gaussian dynamics and compressed exponential relaxation, hallmarks of stress-driven fluidity. This fluidity arises from the tissue's structural and mechanical organization rather than from cell division or extrusion, which only transiently enhance local dynamics. Fast-moving cells organize into collective, anisotropic clusters whose spatial heterogeneity correlates with local structural entropy and soft vibrational modes. Together, these findings reveal a hidden fluidity in densely packed epithelia that supports mechanical stability while preserving the capacity for remodeling during development, wound healing, and early tumor invasion.</w:t>
      </w:r>
    </w:p>
    <w:p>
      <w:pPr>
        <w:spacing w:before="120" w:after="120"/>
      </w:pPr>
      <w:r>
        <w:rPr>
          <w:sz w:val="18"/>
        </w:rPr>
        <w:t>——————————————————————————————————————————————————————————————————————</w:t>
      </w:r>
    </w:p>
    <w:p>
      <w:pPr>
        <w:spacing w:before="160" w:after="40" w:line="240" w:lineRule="auto"/>
      </w:pPr>
      <w:r>
        <w:rPr>
          <w:b/>
        </w:rPr>
        <w:t xml:space="preserve">[279] </w:t>
      </w:r>
      <w:hyperlink r:id="rId661">
        <w:r>
          <w:rPr>
            <w:color w:val="1155CC"/>
            <w:u w:val="single"/>
          </w:rPr>
          <w:t>深入挖掘人类抗体库，识别出可通过疫苗接种靶向的频繁且遗传多样的CDRH3拓扑结构</w:t>
        </w:r>
      </w:hyperlink>
    </w:p>
    <w:p>
      <w:pPr>
        <w:spacing w:before="0" w:after="80"/>
      </w:pPr>
      <w:r>
        <w:rPr>
          <w:i/>
          <w:sz w:val="20"/>
        </w:rPr>
        <w:t>EN: Deep mining of the human antibody repertoire identifies frequent and genetically diverse CDRH3 topologies targetable by vaccination</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662">
        <w:r>
          <w:rPr>
            <w:color w:val="1155CC"/>
            <w:u w:val="single"/>
          </w:rPr>
          <w:t>10.1073/pnas.2532810123</w:t>
        </w:r>
      </w:hyperlink>
    </w:p>
    <w:p>
      <w:pPr>
        <w:spacing w:before="0" w:after="120"/>
      </w:pPr>
      <w:r>
        <w:rPr>
          <w:b/>
        </w:rPr>
        <w:t xml:space="preserve">Notes: </w:t>
      </w:r>
      <w:r>
        <w:t>abstract_source=pubmed</w:t>
      </w:r>
    </w:p>
    <w:p>
      <w:pPr>
        <w:spacing w:before="0" w:after="80" w:lineRule="auto" w:line="276"/>
      </w:pPr>
      <w:r>
        <w:rPr>
          <w:b/>
        </w:rPr>
        <w:t xml:space="preserve">摘要（ZH）: </w:t>
      </w:r>
      <w:r>
        <w:t>针对HIV等高度可变病原体的生殖系靶向疫苗策略旨在引发具有特定免疫遗传或结构特征的广泛中和抗体（bnAbs）。HIV Env蛋白的V2顶点是含有重链互补决定区3（CDRH3）中保守结构基序的一类bnAbs的有前景的靶点。在此，我们通过表征人类库中的V2顶点“斧状”CDRH3，展示了这些结构基序可通过疫苗接种进行靶向，并开发了能够与之结合的免疫原。我们使用一系列结构信息学方法确定了健康人供体中斧状CDRH3的频率和多样性，发现近90%的供体中存在这些前体。基于HIV Env Q23.17的斧靶向免疫原在冷冻电子显微镜结构中结合斧状前体，在人源化小鼠中诱导了V2顶点特异性抗体反应，并在感染了生殖系靶向猿猴HIV的猕猴中诱导了斧状异源中和抗体。这些结果展示了一种结构引导的免疫信息学疫苗设计范式，可用于引发免疫遗传多样但结构上保守的抗体类别。</w:t>
      </w:r>
    </w:p>
    <w:p>
      <w:pPr>
        <w:spacing w:before="0" w:after="200" w:lineRule="auto" w:line="276"/>
      </w:pPr>
      <w:r>
        <w:rPr>
          <w:b/>
        </w:rPr>
        <w:t xml:space="preserve">Abstract (EN): </w:t>
      </w:r>
      <w:r>
        <w:t>Germline targeting vaccination strategies against highly variable pathogens such as HIV aim to elicit broadly neutralizing antibodies (bnAbs) with particular immunogenetic or structural features. The V2 apex of the HIV Env protein is a promising target for a class of bnAbs that contain conserved structural motifs in the heavy chain complementarity determining region 3 (CDRH3). Here, we show that these structural motifs are targetable by vaccination by characterizing V2 apex "axe-like" CDRH3s in the human repertoire and developing immunogens capable of engaging them. We determined the frequency and diversity of axe-like CDRH3s in healthy human donors using a series of structural informatics approaches, finding these precursors in nearly 90% of donors. Axe-targeting immunogens based on the HIV Env Q23.17 bound axe-like precursors in cryo-electron microscopy structures, induced V2 apex-specific antibody responses in humanized mice, and induced axe-like heterologous neutralizing antibodies in rhesus macaques infected with a germline-targeted simian-HIV. These results illustrate a structure-guided immunoinformatic vaccine design paradigm that can be employed to elicit immunogenetically diverse yet structurally conserved classes of antibodies.</w:t>
      </w:r>
    </w:p>
    <w:p>
      <w:pPr>
        <w:spacing w:before="120" w:after="120"/>
      </w:pPr>
      <w:r>
        <w:rPr>
          <w:sz w:val="18"/>
        </w:rPr>
        <w:t>——————————————————————————————————————————————————————————————————————</w:t>
      </w:r>
    </w:p>
    <w:p>
      <w:pPr>
        <w:spacing w:before="160" w:after="40" w:line="240" w:lineRule="auto"/>
      </w:pPr>
      <w:r>
        <w:rPr>
          <w:b/>
        </w:rPr>
        <w:t xml:space="preserve">[280] </w:t>
      </w:r>
      <w:hyperlink r:id="rId663">
        <w:r>
          <w:rPr>
            <w:color w:val="1155CC"/>
            <w:u w:val="single"/>
          </w:rPr>
          <w:t>基于物理的模型在创纪录的极端天气预报中表现优于人工智能</w:t>
        </w:r>
      </w:hyperlink>
    </w:p>
    <w:p>
      <w:pPr>
        <w:spacing w:before="0" w:after="80"/>
      </w:pPr>
      <w:r>
        <w:rPr>
          <w:i/>
          <w:sz w:val="20"/>
        </w:rPr>
        <w:t>EN: Physics-based models outperform AI weather forecasts of record-breaking extremes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64">
        <w:r>
          <w:rPr>
            <w:color w:val="1155CC"/>
            <w:u w:val="single"/>
          </w:rPr>
          <w:t>10.1126/sciadv.aec1433</w:t>
        </w:r>
      </w:hyperlink>
    </w:p>
    <w:p>
      <w:pPr>
        <w:spacing w:before="0" w:after="120"/>
      </w:pPr>
      <w:r>
        <w:rPr>
          <w:b/>
        </w:rPr>
        <w:t xml:space="preserve">Notes: </w:t>
      </w:r>
      <w:r>
        <w:t>abstract_source=pubmed</w:t>
      </w:r>
    </w:p>
    <w:p>
      <w:pPr>
        <w:spacing w:before="0" w:after="80" w:lineRule="auto" w:line="276"/>
      </w:pPr>
      <w:r>
        <w:rPr>
          <w:b/>
        </w:rPr>
        <w:t xml:space="preserve">摘要（ZH）: </w:t>
      </w:r>
      <w:r>
        <w:t>基于人工智能（AI）的模型正在革新天气预报，并在各种基准任务上超越了领先的数值天气预报系统。然而，它们外推和可靠预测前所未有的极端事件的能力仍不明确。在此，我们展示了对于破纪录的天气极端事件，来自欧洲中期天气预报中心的基于物理的数值模型高分辨率预报（HRES）仍然始终优于最先进的AI模型GraphCast、GraphCast operational、Pangu-Weather、Pangu-Weather operational和Fuxi。我们证明，在几乎所有预报时长中，AI模型的预报误差在破纪录的高温、低温和风力方面始终大于HRES。我们进一步发现，所研究的AI模型往往低估了破纪录事件的频率和强度，并且在热纪录上预测不足，而在冷纪录上预测过高，随着纪录超越的增大，误差也在增加。我们的研究结果强调了AI天气模型在超出其训练领域进行外推以及预测在快速变暖的气候中特别频繁的潜在最具影响力的破纪录天气事件方面的当前局限性。在这些模型可以单独依赖于高风险应用（如预警系统和灾害管理）之前，还需要进一步的严格验证和模型开发。</w:t>
      </w:r>
    </w:p>
    <w:p>
      <w:pPr>
        <w:spacing w:before="0" w:after="200" w:lineRule="auto" w:line="276"/>
      </w:pPr>
      <w:r>
        <w:rPr>
          <w:b/>
        </w:rPr>
        <w:t xml:space="preserve">Abstract (EN): </w:t>
      </w:r>
      <w:r>
        <w:t>Artificial intelligence (AI)-based models are revolutionizing weather forecasting and have surpassed leading numerical weather prediction systems on various benchmark tasks. However, their ability to extrapolate and reliably forecast unprecedented extreme events remains unclear. Here, we show that for record-breaking weather extremes, the physics-based numerical model High RESolution forecast (HRES) from the European Centre for Medium-Range Weather Forecasts still consistently outperforms state-of-the-art AI models GraphCast, GraphCast operational, Pangu-Weather, Pangu-Weather operational, and Fuxi. We demonstrate that forecast errors in AI models are consistently larger for record-breaking heat, cold, and wind than in HRES across nearly all lead times. We further find that the examined AI models tend to underestimate both the frequency and intensity of record-breaking events, and they underpredict hot records and overestimate cold records with growing errors for larger record exceedance. Our findings underscore the current limitations of AI weather models in extrapolating beyond their training domain and in forecasting the potentially most impactful record-breaking weather events that are particularly frequent in a rapidly warming climate. Further rigorous verification and model development is needed before these models can be solely relied upon for high-stakes applications such as early warning systems and disaster management.</w:t>
      </w:r>
    </w:p>
    <w:p>
      <w:pPr>
        <w:spacing w:before="120" w:after="120"/>
      </w:pPr>
      <w:r>
        <w:rPr>
          <w:sz w:val="18"/>
        </w:rPr>
        <w:t>——————————————————————————————————————————————————————————————————————</w:t>
      </w:r>
    </w:p>
    <w:p>
      <w:pPr>
        <w:spacing w:before="160" w:after="40" w:line="240" w:lineRule="auto"/>
      </w:pPr>
      <w:r>
        <w:rPr>
          <w:b/>
        </w:rPr>
        <w:t xml:space="preserve">[281] </w:t>
      </w:r>
      <w:hyperlink r:id="rId665">
        <w:r>
          <w:rPr>
            <w:color w:val="1155CC"/>
            <w:u w:val="single"/>
          </w:rPr>
          <w:t>与植物相关的真菌利用古老的抗菌素进行宿主操控</w:t>
        </w:r>
      </w:hyperlink>
    </w:p>
    <w:p>
      <w:pPr>
        <w:spacing w:before="0" w:after="80"/>
      </w:pPr>
      <w:r>
        <w:rPr>
          <w:i/>
          <w:sz w:val="20"/>
        </w:rPr>
        <w:t>EN: Plant-associated fungi co-opt ancient antimicrobials for host manipulation</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66">
        <w:r>
          <w:rPr>
            <w:color w:val="1155CC"/>
            <w:u w:val="single"/>
          </w:rPr>
          <w:t>10.1126/sciadv.aec1406</w:t>
        </w:r>
      </w:hyperlink>
    </w:p>
    <w:p>
      <w:pPr>
        <w:spacing w:before="0" w:after="120"/>
      </w:pPr>
      <w:r>
        <w:rPr>
          <w:b/>
        </w:rPr>
        <w:t xml:space="preserve">Notes: </w:t>
      </w:r>
      <w:r>
        <w:t>abstract_source=pubmed</w:t>
      </w:r>
    </w:p>
    <w:p>
      <w:pPr>
        <w:spacing w:before="0" w:after="80" w:lineRule="auto" w:line="276"/>
      </w:pPr>
      <w:r>
        <w:rPr>
          <w:b/>
        </w:rPr>
        <w:t xml:space="preserve">摘要（ZH）: </w:t>
      </w:r>
      <w:r>
        <w:t>由真菌病原体分泌以介导植物定殖的效应蛋白的进化历史仍然很大程度上是模糊的。虽然大多数功能性表征的效应蛋白调节植物免疫，最近的发现揭示了以前未知的功能，即靶向宿主相关微生物群。我们现在开发了一种效应蛋白候选者的抗菌活性预测器（AMAPEC），并识别出大量抗菌效应蛋白，包括许多高度保守的效应蛋白，这表明其具有古老的进化起源。出乎意料的是，几种植物免疫调节效应蛋白表现出抗菌活性。我们提出，这些效应蛋白可能从祖先的抗菌物质进化而来，同时可能保留了其原始功能。除了在抑制宿主免疫中的作用外，它们还可能操纵植物微生物群以促进定殖。我们展示了黄萎病菌效应蛋白Vd424Y在感染期间影响宿主微生物群，并且最近进化为靶向植物细胞核以操纵宿主免疫。因此，我们认为微生物拮抗是一个基本的真菌效应蛋白功能，并建议真菌重新利用古老的抗菌物质以在宿主-病原体共同进化过程中发挥多样化的作用。</w:t>
      </w:r>
    </w:p>
    <w:p>
      <w:pPr>
        <w:spacing w:before="0" w:after="200" w:lineRule="auto" w:line="276"/>
      </w:pPr>
      <w:r>
        <w:rPr>
          <w:b/>
        </w:rPr>
        <w:t xml:space="preserve">Abstract (EN): </w:t>
      </w:r>
      <w:r>
        <w:t>Evolutionary histories of effector proteins secreted by fungal pathogens to mediate plant colonization remain largely elusive. While most functionally characterized effectors modulate plant immunity, recent discoveries have revealed previously unknown functions in targeting host-associated microbiota. We now developed an antimicrobial activity predictor for effector candidates (AMAPEC) and identified a wealth of antimicrobial effectors, including many highly conserved ones-suggesting ancient evolutionary origins. Unexpectedly, several plant immunomodulatory effectors display antimicrobial activity. We propose that these evolved from ancestral antimicrobials while perhaps retaining their original functions. In addition to roles in suppressing host immunity, they may manipulate plant microbiota to promote colonization. We show that the Verticillium dahliae effector Vd424Y affects host microbiota during infection and, more recently, evolved to target plant cell nuclei to manipulate host immunity. Thus, we argue that microbial antagonism is a fundamental fungal effector function and suggest that fungi repurposed ancient antimicrobials to serve diverse roles during host-pathogen coevolution.</w:t>
      </w:r>
    </w:p>
    <w:p>
      <w:pPr>
        <w:spacing w:before="120" w:after="120"/>
      </w:pPr>
      <w:r>
        <w:rPr>
          <w:sz w:val="18"/>
        </w:rPr>
        <w:t>——————————————————————————————————————————————————————————————————————</w:t>
      </w:r>
    </w:p>
    <w:p>
      <w:pPr>
        <w:spacing w:before="160" w:after="40" w:line="240" w:lineRule="auto"/>
      </w:pPr>
      <w:r>
        <w:rPr>
          <w:b/>
        </w:rPr>
        <w:t xml:space="preserve">[282] </w:t>
      </w:r>
      <w:hyperlink r:id="rId667">
        <w:r>
          <w:rPr>
            <w:color w:val="1155CC"/>
            <w:u w:val="single"/>
          </w:rPr>
          <w:t>火灾烟雾对臭氧污染和相关死亡负担在美国的日益影响</w:t>
        </w:r>
      </w:hyperlink>
    </w:p>
    <w:p>
      <w:pPr>
        <w:spacing w:before="0" w:after="80"/>
      </w:pPr>
      <w:r>
        <w:rPr>
          <w:i/>
          <w:sz w:val="20"/>
        </w:rPr>
        <w:t>EN: Growing impacts of fire smoke on ozone pollution and associated mortality burden in the United States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68">
        <w:r>
          <w:rPr>
            <w:color w:val="1155CC"/>
            <w:u w:val="single"/>
          </w:rPr>
          <w:t>10.1126/sciadv.aec2903</w:t>
        </w:r>
      </w:hyperlink>
    </w:p>
    <w:p>
      <w:pPr>
        <w:spacing w:before="0" w:after="120"/>
      </w:pPr>
      <w:r>
        <w:rPr>
          <w:b/>
        </w:rPr>
        <w:t xml:space="preserve">Notes: </w:t>
      </w:r>
      <w:r>
        <w:t>abstract_source=pubmed</w:t>
      </w:r>
    </w:p>
    <w:p>
      <w:pPr>
        <w:spacing w:before="0" w:after="80" w:lineRule="auto" w:line="276"/>
      </w:pPr>
      <w:r>
        <w:rPr>
          <w:b/>
        </w:rPr>
        <w:t xml:space="preserve">摘要（ZH）: </w:t>
      </w:r>
      <w:r>
        <w:t>火灾烟雾污染是一个新兴的健康风险因素，但先前的研究主要集中在细颗粒物（PM2.5）上，而忽视了其他污染物的健康影响，尤其是臭氧（O3）。在此，我们使用地面空气质量测量、卫星数据和机器学习模型量化了整个美国本土在烟雾事件期间地面O3浓度的变化。在校正气象变异性后，烟雾对每日地面O3的贡献在某些美国监测地点可达到高达6.9亿分之一（相对于无烟雾日增加16%），这是从2006年到2023年所有烟雾日的平均值。烟雾O3模式与烟雾PM2.5模式的相关性较差，表明它们的健康影响在空间和时间上不一定一致。我们估计，使用所有来源O3暴露的既定暴露-反应函数，烟雾O3可导致2006年至2023年间平均每年2045例超额死亡（95%置信区间：1325至2755）。由于烟雾O3导致的死亡率增加，部分抵消了无烟雾O3死亡率的下降趋势。在研究期间，烟雾O3导致的估计死亡人数相当于烟雾PM2.5死亡率的15.8%，这一比例在2023年达到61.5%。</w:t>
      </w:r>
    </w:p>
    <w:p>
      <w:pPr>
        <w:spacing w:before="0" w:after="200" w:lineRule="auto" w:line="276"/>
      </w:pPr>
      <w:r>
        <w:rPr>
          <w:b/>
        </w:rPr>
        <w:t xml:space="preserve">Abstract (EN): </w:t>
      </w:r>
      <w:r>
        <w:t>Fire smoke pollution is an emerging health risk factor, yet prior studies have focused mostly on fine particulate matter (PM2.5) and neglected the health impacts from other pollutants, most notably ozone (O3). Here, we quantify changes in ground-level O3 concentrations during smoke episodes across the contiguous US using surface air quality measurements, satellite data, and machine learning models. After correcting for meteorological variability, smoke contribution to daily ground-level O3 can reach up to 6.9 parts per billion (16% increase relative to nonsmoke days) at certain US monitoring locations, averaged over all smoke days from 2006 to 2023. Smoke O3 patterns are poorly correlated with smoke PM2.5 patterns, demonstrating that their health impacts do not necessarily coincide in space and time. We estimate that smoke O3 can lead to 2045 annual excess deaths (95% confidence interval: 1325 to 2755) averaged across 2006 to 2023 using established exposure-response functions of all-source O3 exposure. The increasing mortality due to smoke O3 partially offset the observed declining trend in nonsmoke O3 mortality. Over the study period, estimated deaths from smoke O3 were equivalent to 15.8% of smoke PM2.5 mortality, and this proportion reached 61.5% in 2023.</w:t>
      </w:r>
    </w:p>
    <w:p>
      <w:pPr>
        <w:spacing w:before="120" w:after="120"/>
      </w:pPr>
      <w:r>
        <w:rPr>
          <w:sz w:val="18"/>
        </w:rPr>
        <w:t>——————————————————————————————————————————————————————————————————————</w:t>
      </w:r>
    </w:p>
    <w:p>
      <w:pPr>
        <w:spacing w:before="160" w:after="40" w:line="240" w:lineRule="auto"/>
      </w:pPr>
      <w:r>
        <w:rPr>
          <w:b/>
        </w:rPr>
        <w:t xml:space="preserve">[283] </w:t>
      </w:r>
      <w:hyperlink r:id="rId669">
        <w:r>
          <w:rPr>
            <w:color w:val="1155CC"/>
            <w:u w:val="single"/>
          </w:rPr>
          <w:t>脊椎动物追逐捕食的异速生长</w:t>
        </w:r>
      </w:hyperlink>
    </w:p>
    <w:p>
      <w:pPr>
        <w:spacing w:before="0" w:after="80"/>
      </w:pPr>
      <w:r>
        <w:rPr>
          <w:i/>
          <w:sz w:val="20"/>
        </w:rPr>
        <w:t>EN: The allometry of vertebrate pursuit predation</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670">
        <w:r>
          <w:rPr>
            <w:color w:val="1155CC"/>
            <w:u w:val="single"/>
          </w:rPr>
          <w:t>10.1073/pnas.2534397123</w:t>
        </w:r>
      </w:hyperlink>
    </w:p>
    <w:p>
      <w:pPr>
        <w:spacing w:before="0" w:after="120"/>
      </w:pPr>
      <w:r>
        <w:rPr>
          <w:b/>
        </w:rPr>
        <w:t xml:space="preserve">Notes: </w:t>
      </w:r>
      <w:r>
        <w:t>abstract_source=pubmed</w:t>
      </w:r>
    </w:p>
    <w:p>
      <w:pPr>
        <w:spacing w:before="0" w:after="80" w:lineRule="auto" w:line="276"/>
      </w:pPr>
      <w:r>
        <w:rPr>
          <w:b/>
        </w:rPr>
        <w:t xml:space="preserve">摘要（ZH）: </w:t>
      </w:r>
      <w:r>
        <w:t>追逐和逃避动态是捕食者与猎物在陆地、水域和空中领域中观察到的一般现象。体重和领域的差异产生了生物力学特征的变化，这些特征塑造了这些遭遇，但这种变化的后果仍然知之甚少。在这里，我们将脊椎动物运动的异速生长关系与转弯策略理论（一种追逐-逃避的几何模型）结合起来，研究体型和领域如何影响捕食者-猎物遭遇的结果。我们表明，在其原始形式中，转弯策略预测猎物很少能够比捕食者更灵活，特别是在空中和水域系统中，这与自然界中观察到的低捕获成功率相矛盾。通过认识到捕食者无法立即响应猎物的动作，这种不匹配得以解决。尽管这些感觉-运动延迟很短，但它们在所有领域中将优势转移给了猎物。最后，我们表明，这些延迟与速度和机动性的领域特定缩放相结合，产生了不同的生物力学机制，其中不同的特征决定了追逐-逃避的结果。</w:t>
      </w:r>
    </w:p>
    <w:p>
      <w:pPr>
        <w:spacing w:before="0" w:after="200" w:lineRule="auto" w:line="276"/>
      </w:pPr>
      <w:r>
        <w:rPr>
          <w:b/>
        </w:rPr>
        <w:t xml:space="preserve">Abstract (EN): </w:t>
      </w:r>
      <w:r>
        <w:t>Pursuit and evasion dynamics are a general phenomenon observed in predator-prey interactions across terrestrial, aquatic, and aerial domains. Differences in body mass and domain generate variation in biomechanical traits that shape these encounters, yet the consequences of such variation remain poorly understood. Here, we integrate allometric scaling relationships of vertebrate locomotion with turning gambit theory, a geometrical model of pursuit-evasion, to examine how body size and domain shape predator-prey encounter outcomes. We show that in its original form, the turning gambit predicts that prey should rarely be able to outmaneuver predators, particularly in aerial and aquatic systems, contradicting the low capture success observed in nature. This mismatch is resolved by recognizing that predators cannot respond instantaneously to prey maneuvers. Such sensory-motor delays, although brief, shift the advantage to prey across all domains. Finally, we show that these delays, together with domain-specific scaling of speed and maneuverability, generate distinct biomechanical regimes in which different traits govern pursuit-evasion outcomes.</w:t>
      </w:r>
    </w:p>
    <w:p>
      <w:pPr>
        <w:spacing w:before="120" w:after="120"/>
      </w:pPr>
      <w:r>
        <w:rPr>
          <w:sz w:val="18"/>
        </w:rPr>
        <w:t>——————————————————————————————————————————————————————————————————————</w:t>
      </w:r>
    </w:p>
    <w:p>
      <w:pPr>
        <w:spacing w:before="160" w:after="40" w:line="240" w:lineRule="auto"/>
      </w:pPr>
      <w:r>
        <w:rPr>
          <w:b/>
        </w:rPr>
        <w:t xml:space="preserve">[284] </w:t>
      </w:r>
      <w:hyperlink r:id="rId671">
        <w:r>
          <w:rPr>
            <w:color w:val="1155CC"/>
            <w:u w:val="single"/>
          </w:rPr>
          <w:t>通过机器人成像和人工智能驱动的自然历史收藏品转录解锁生物多样性数据</w:t>
        </w:r>
      </w:hyperlink>
    </w:p>
    <w:p>
      <w:pPr>
        <w:spacing w:before="0" w:after="80"/>
      </w:pPr>
      <w:r>
        <w:rPr>
          <w:i/>
          <w:sz w:val="20"/>
        </w:rPr>
        <w:t>EN: Unlocking biodiversity data with robotic imaging and AI-driven transcription of natural history collections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72">
        <w:r>
          <w:rPr>
            <w:color w:val="1155CC"/>
            <w:u w:val="single"/>
          </w:rPr>
          <w:t>10.1126/sciadv.aeb6975</w:t>
        </w:r>
      </w:hyperlink>
    </w:p>
    <w:p>
      <w:pPr>
        <w:spacing w:before="0" w:after="120"/>
      </w:pPr>
      <w:r>
        <w:rPr>
          <w:b/>
        </w:rPr>
        <w:t xml:space="preserve">Notes: </w:t>
      </w:r>
      <w:r>
        <w:t>abstract_source=pubmed</w:t>
      </w:r>
    </w:p>
    <w:p>
      <w:pPr>
        <w:spacing w:before="0" w:after="80" w:lineRule="auto" w:line="276"/>
      </w:pPr>
      <w:r>
        <w:rPr>
          <w:b/>
        </w:rPr>
        <w:t xml:space="preserve">摘要（ZH）: </w:t>
      </w:r>
      <w:r>
        <w:t>数字化自然历史标本标签上的元数据仍然是生物多样性研究的关键瓶颈。我们提出了一种变革性的工作流程，将机器人成像与人工智能（AI）驱动的转录相结合，以从标本标签中快速、全面地提取数据。单个高分辨率的标本和相关标签图像被提交给Gemini 2.5 Flash和GPT-4 Turbo以提取逐字文本信息。这种方法每小时产生约600个逐字转录，比传统手动方法的效率提高了30倍，后者每小时产生约20个转录。发布历史标本元数据有助于信息的可访问性，并为各种分析提供时间和空间背景。我们的方法促进了以前在部门或机构之间分隔的不同生物数据集的重新连接，以联合生态上相互依赖的组件（例如，宿主/寄生虫和传粉者/植物），以更完整地理解生物多样性动态。</w:t>
      </w:r>
    </w:p>
    <w:p>
      <w:pPr>
        <w:spacing w:before="0" w:after="200" w:lineRule="auto" w:line="276"/>
      </w:pPr>
      <w:r>
        <w:rPr>
          <w:b/>
        </w:rPr>
        <w:t xml:space="preserve">Abstract (EN): </w:t>
      </w:r>
      <w:r>
        <w:t>Digitizing metadata on natural history specimen labels remains a critical bottleneck for biodiversity research. We present a transformative workflow integrating robotic imaging with artificial intelligence (AI)-driven transcription for rapid, comprehensive data extraction from specimen labels. Single high-resolution images of specimens and associated labels were submitted to Gemini 2.5 Flash and GPT-4 Turbo to extract verbatim textual information. This approach yielded ~600 verbatim transcriptions per hour, a 30-fold increase in efficiency compared to traditional manual methods, which yielded ~20 transcriptions per hour. Releasing historical specimen metadata facilitates information accessibility and provides temporal and spatial context for a variety of analyses. Our method fosters the reconnection of disparate biological datasets previously segregated among departments or institutions to unite ecologically interdependent components (e.g., host/parasite and pollinator/plant) for a more complete understanding of biodiversity dynamics.</w:t>
      </w:r>
    </w:p>
    <w:p>
      <w:pPr>
        <w:spacing w:before="120" w:after="120"/>
      </w:pPr>
      <w:r>
        <w:rPr>
          <w:sz w:val="18"/>
        </w:rPr>
        <w:t>——————————————————————————————————————————————————————————————————————</w:t>
      </w:r>
    </w:p>
    <w:p>
      <w:pPr>
        <w:spacing w:before="160" w:after="40" w:line="240" w:lineRule="auto"/>
      </w:pPr>
      <w:r>
        <w:rPr>
          <w:b/>
        </w:rPr>
        <w:t xml:space="preserve">[285] </w:t>
      </w:r>
      <w:hyperlink r:id="rId673">
        <w:r>
          <w:rPr>
            <w:color w:val="1155CC"/>
            <w:u w:val="single"/>
          </w:rPr>
          <w:t>基因工程人类细胞微型机器人用于选择性癌细胞死亡</w:t>
        </w:r>
      </w:hyperlink>
    </w:p>
    <w:p>
      <w:pPr>
        <w:spacing w:before="0" w:after="80"/>
      </w:pPr>
      <w:r>
        <w:rPr>
          <w:i/>
          <w:sz w:val="20"/>
        </w:rPr>
        <w:t>EN: Genetically engineered human cell–based microrobots for selective cancer cell death</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74">
        <w:r>
          <w:rPr>
            <w:color w:val="1155CC"/>
            <w:u w:val="single"/>
          </w:rPr>
          <w:t>10.1126/sciadv.aea9831</w:t>
        </w:r>
      </w:hyperlink>
    </w:p>
    <w:p>
      <w:pPr>
        <w:spacing w:before="0" w:after="120"/>
      </w:pPr>
      <w:r>
        <w:rPr>
          <w:b/>
        </w:rPr>
        <w:t xml:space="preserve">Notes: </w:t>
      </w:r>
      <w:r>
        <w:t>abstract_source=pubmed</w:t>
      </w:r>
    </w:p>
    <w:p>
      <w:pPr>
        <w:spacing w:before="0" w:after="80" w:lineRule="auto" w:line="276"/>
      </w:pPr>
      <w:r>
        <w:rPr>
          <w:b/>
        </w:rPr>
        <w:t xml:space="preserve">摘要（ZH）: </w:t>
      </w:r>
      <w:r>
        <w:t>医疗微型机器人在靶向治疗递送方面具有很大潜力；然而，目前的系统仅实现物理靶向，一旦到达靶点，它们无法区分健康细胞和癌细胞，因为缺乏生物选择性。在这里，我们提出了一种结合磁性靶向和生物选择性的生物混合微型机器人系统。微型机器人来源于人类胚胎肾细胞，这些细胞经过基因工程改造以产生肿瘤坏死因子相关的凋亡诱导配体（TRAIL），这种分子在多种肿瘤类型中诱导癌细胞死亡而不损害健康细胞。然后将工程细胞与生物相容性磁性Janus颗粒-半涂有FePt纳米膜的硅珠结合，以实现外部磁控。在磁场的作用下，微型机器人聚集在肿瘤球体周围，并连续释放TRAIL数天，导致选择性癌细胞死亡，同时避免对健康细胞的损害。这项研究将微型机器人技术与基因工程细胞疗法相结合，实现了靶向、持久和癌症选择性的治疗递送。</w:t>
      </w:r>
    </w:p>
    <w:p>
      <w:pPr>
        <w:spacing w:before="0" w:after="200" w:lineRule="auto" w:line="276"/>
      </w:pPr>
      <w:r>
        <w:rPr>
          <w:b/>
        </w:rPr>
        <w:t xml:space="preserve">Abstract (EN): </w:t>
      </w:r>
      <w:r>
        <w:t>Medical microrobots have strong potential for targeted therapeutic delivery; however, current systems achieve only physical targeting, and once at the target site, they are unable to distinguish healthy cells from cancerous ones because of the lack of biological selectivity. Here, we present a biohybrid microrobot system that combines magnetic targeting with biological selectivity. The microrobots are derived from human embryonic kidney cells genetically engineered to produce tumor necrosis factor-related apoptosis-inducing ligand (TRAIL), a molecule that induces cancer cell death in multiple tumor types without damaging healthy cells. Engineered cells are then conjugated to biocompatible magnetic Janus particles-silica beads half-coated with FePt nanofilms-to enable external magnetic control. With magnetic fields, the microrobots accumulate around the tumor spheroids and continuously release TRAIL for several days, leading to selective cancer cell death while avoiding damage to healthy cells. This study combines microrobotics with genetically engineered cell therapies to achieve a targeted, prolonged, and cancer-selective therapeutic delivery.</w:t>
      </w:r>
    </w:p>
    <w:p>
      <w:pPr>
        <w:spacing w:before="120" w:after="120"/>
      </w:pPr>
      <w:r>
        <w:rPr>
          <w:sz w:val="18"/>
        </w:rPr>
        <w:t>——————————————————————————————————————————————————————————————————————</w:t>
      </w:r>
    </w:p>
    <w:p>
      <w:pPr>
        <w:spacing w:before="160" w:after="40" w:line="240" w:lineRule="auto"/>
      </w:pPr>
      <w:r>
        <w:rPr>
          <w:b/>
        </w:rPr>
        <w:t xml:space="preserve">[286] </w:t>
      </w:r>
      <w:hyperlink r:id="rId675">
        <w:r>
          <w:rPr>
            <w:color w:val="1155CC"/>
            <w:u w:val="single"/>
          </w:rPr>
          <w:t>PSGRN：通过合成金标准自训练从单细胞扰动数据推断基因调控网络</w:t>
        </w:r>
      </w:hyperlink>
    </w:p>
    <w:p>
      <w:pPr>
        <w:spacing w:before="0" w:after="80"/>
      </w:pPr>
      <w:r>
        <w:rPr>
          <w:i/>
          <w:sz w:val="20"/>
        </w:rPr>
        <w:t>EN: PSGRN: Gene regulatory network inference from single-cell perturbational data through self-training with synthetic gold standards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76">
        <w:r>
          <w:rPr>
            <w:color w:val="1155CC"/>
            <w:u w:val="single"/>
          </w:rPr>
          <w:t>10.1126/sciadv.aeb3376</w:t>
        </w:r>
      </w:hyperlink>
    </w:p>
    <w:p>
      <w:pPr>
        <w:spacing w:before="0" w:after="120"/>
      </w:pPr>
      <w:r>
        <w:rPr>
          <w:b/>
        </w:rPr>
        <w:t xml:space="preserve">Notes: </w:t>
      </w:r>
      <w:r>
        <w:t>abstract_source=pubmed</w:t>
      </w:r>
    </w:p>
    <w:p>
      <w:pPr>
        <w:spacing w:before="0" w:after="80" w:lineRule="auto" w:line="276"/>
      </w:pPr>
      <w:r>
        <w:rPr>
          <w:b/>
        </w:rPr>
        <w:t xml:space="preserve">摘要（ZH）: </w:t>
      </w:r>
      <w:r>
        <w:t>基因调控网络（GRNs）对于理解基因如何协调细胞过程至关重要。大规模单细胞扰动研究现在为GRN推断提供了强大的机会，但许多最先进（SOTA）的方法未能充分利用干预信息。我们提出了PSGRN，这是一种在CausalBench挑战中表现优异的方法，它通过使用合成金标准的自我训练框架整合了干预和观察单细胞RNA测序数据。在八个数据集和六个评估指标中，PSGRN始终优于现有方法。使用干预数据，它在K562中实现了高达43%的Wasserstein距离提升和最低的错误遗漏率，与最近的SOTA方法相比。使用实验验证的调控相互作用，PSGRN在精确度上提高了高达30%，在召回率上提高了超过100%。这些结果突出了PSGRN的多功能性和可扩展性，确立了其作为从单细胞数据中进行GRN推断和生物学发现的强大工具。</w:t>
      </w:r>
    </w:p>
    <w:p>
      <w:pPr>
        <w:spacing w:before="0" w:after="200" w:lineRule="auto" w:line="276"/>
      </w:pPr>
      <w:r>
        <w:rPr>
          <w:b/>
        </w:rPr>
        <w:t xml:space="preserve">Abstract (EN): </w:t>
      </w:r>
      <w:r>
        <w:t>Gene regulatory networks (GRNs) are essential for understanding how genes coordinate cellular processes. Large-scale single-cell perturbation studies now offer powerful opportunities for GRN inference, yet many state-of-the-art (SOTA) methods fail to fully use interventional information. We present PSGRN, a top-performing method in the CausalBench Challenge, which integrates interventional and observational single-cell RNA sequencing data using a self-training framework with synthetic gold standards. Across eight datasets and six evaluation metrics, PSGRN consistently outperformed existing approaches. With interventional data, it achieved up to 43% higher Wasserstein distances and the lowest false omission rate in K562 compared with recent SOTA methods. Using experimentally validated regulatory interactions, PSGRN showed up to 30% gains in precision and over 100% gains in recall. These results highlight PSGRN's versatility and scalability, establishing it as a robust tool for GRN inference and biological discovery from single-cell data.</w:t>
      </w:r>
    </w:p>
    <w:p>
      <w:pPr>
        <w:spacing w:before="120" w:after="120"/>
      </w:pPr>
      <w:r>
        <w:rPr>
          <w:sz w:val="18"/>
        </w:rPr>
        <w:t>——————————————————————————————————————————————————————————————————————</w:t>
      </w:r>
    </w:p>
    <w:p>
      <w:pPr>
        <w:spacing w:before="160" w:after="40" w:line="240" w:lineRule="auto"/>
      </w:pPr>
      <w:r>
        <w:rPr>
          <w:b/>
        </w:rPr>
        <w:t xml:space="preserve">[287] </w:t>
      </w:r>
      <w:hyperlink r:id="rId677">
        <w:r>
          <w:rPr>
            <w:color w:val="1155CC"/>
            <w:u w:val="single"/>
          </w:rPr>
          <w:t>IRS4是通过DNA重排或表观遗传机制在多种实体瘤中上调的PI3K激活癌症依赖性</w:t>
        </w:r>
      </w:hyperlink>
    </w:p>
    <w:p>
      <w:pPr>
        <w:spacing w:before="0" w:after="80"/>
      </w:pPr>
      <w:r>
        <w:rPr>
          <w:i/>
          <w:sz w:val="20"/>
        </w:rPr>
        <w:t>EN: IRS4 is a PI3K-activating cancer dependency up-regulated through DNA rearrangements or epigenetic mechanisms in multiple solid tumors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78">
        <w:r>
          <w:rPr>
            <w:color w:val="1155CC"/>
            <w:u w:val="single"/>
          </w:rPr>
          <w:t>10.1126/sciadv.aeb3503</w:t>
        </w:r>
      </w:hyperlink>
    </w:p>
    <w:p>
      <w:pPr>
        <w:spacing w:before="0" w:after="120"/>
      </w:pPr>
      <w:r>
        <w:rPr>
          <w:b/>
        </w:rPr>
        <w:t xml:space="preserve">Notes: </w:t>
      </w:r>
      <w:r>
        <w:t>abstract_source=pubmed</w:t>
      </w:r>
    </w:p>
    <w:p>
      <w:pPr>
        <w:spacing w:before="0" w:after="80" w:lineRule="auto" w:line="276"/>
      </w:pPr>
      <w:r>
        <w:rPr>
          <w:b/>
        </w:rPr>
        <w:t xml:space="preserve">摘要（ZH）: </w:t>
      </w:r>
      <w:r>
        <w:t>癌症治疗在临床试验中经常失败，因为治疗指数（疗效与毒性比）较差。我们系统地识别出可能具有良好治疗指数的靶点，揭示了胰岛素受体底物4（IRS4）在IRS4表达的癌症中作为依赖性。对儿科富集癌症的泛癌分析显示，IRS4表达与68%的脉络丛、37%的恶性横纹肌样、31%的NUT中线和5%的骨肉瘤的依赖性一致，而在成人癌症中，它在8%的子宫平滑肌肉瘤和1%至2%的肺鳞状、胃和乳腺癌中表达。成人肿瘤中的IRS4表达与增强子劫持重排有关，包括乳腺癌中的GATA3-IRS4和ANKRD30A-IRS4的复发性重排，而横纹肌样和NUT中线癌症则表观遗传地表达IRS4。IRS4通过PI3K-Akt激活推动癌症依赖性，域分析揭示了PH和PTB域，这些域具有预测的药物口袋，是可有可无的，建议基于降解的模式。这些数据揭示了IRS4作为IRS4表达癌症中的一个靶点，并建议抑制性方法。</w:t>
      </w:r>
    </w:p>
    <w:p>
      <w:pPr>
        <w:spacing w:before="0" w:after="200" w:lineRule="auto" w:line="276"/>
      </w:pPr>
      <w:r>
        <w:rPr>
          <w:b/>
        </w:rPr>
        <w:t xml:space="preserve">Abstract (EN): </w:t>
      </w:r>
      <w:r>
        <w:t>Cancer therapeutics frequently fail in clinical trials because of poor therapeutic index (efficacy-to-toxicity ratio). We systematically identified targets likely to have a good therapeutic index, revealing insulin receptor substrate 4 (IRS4) as a dependency in IRS4-expressing cancers. Pan-cancer analysis of pediatric-enriched cancers revealed IRS4 expression consistent with dependency in 68% of choroid plexus, 37% of malignant rhabdoid, 31% of NUT midline, and 5% of osteosarcomas, while in adult cancers, it was expressed in 8% of uterine leiomyosarcomas and 1 to 2% of lung squamous, stomach, and breast carcinomas. IRS4 expression in adult tumors was associated with enhancer hijacking rearrangements, including recurrent GATA3-IRS4 and ANKRD30A-IRS4 in breast cancer, while rhabdoid and NUT midline cancers expressed IRS4 epigenetically. IRS4 fueled cancer dependency through PI3K-Akt activation, and domain analysis revealed the PH and PTB domains, which have a predicted drug pocket, to be dispensable, suggesting degradation-based modalities. These data reveal IRS4 as a target in IRS4-expressing cancers and suggest inhibitory approaches.</w:t>
      </w:r>
    </w:p>
    <w:p>
      <w:pPr>
        <w:spacing w:before="120" w:after="120"/>
      </w:pPr>
      <w:r>
        <w:rPr>
          <w:sz w:val="18"/>
        </w:rPr>
        <w:t>——————————————————————————————————————————————————————————————————————</w:t>
      </w:r>
    </w:p>
    <w:p>
      <w:pPr>
        <w:spacing w:before="160" w:after="40" w:line="240" w:lineRule="auto"/>
      </w:pPr>
      <w:r>
        <w:rPr>
          <w:b/>
        </w:rPr>
        <w:t xml:space="preserve">[288] </w:t>
      </w:r>
      <w:hyperlink r:id="rId679">
        <w:r>
          <w:rPr>
            <w:color w:val="1155CC"/>
            <w:u w:val="single"/>
          </w:rPr>
          <w:t>Twirlbot：受风滚草启发的滚动机器人</w:t>
        </w:r>
      </w:hyperlink>
    </w:p>
    <w:p>
      <w:pPr>
        <w:spacing w:before="0" w:after="80"/>
      </w:pPr>
      <w:r>
        <w:rPr>
          <w:i/>
          <w:sz w:val="20"/>
        </w:rPr>
        <w:t>EN: Twirlbot: Tumbleweed-inspired rolling robot</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80">
        <w:r>
          <w:rPr>
            <w:color w:val="1155CC"/>
            <w:u w:val="single"/>
          </w:rPr>
          <w:t>10.1126/sciadv.aeb8948</w:t>
        </w:r>
      </w:hyperlink>
    </w:p>
    <w:p>
      <w:pPr>
        <w:spacing w:before="0" w:after="120"/>
      </w:pPr>
      <w:r>
        <w:rPr>
          <w:b/>
        </w:rPr>
        <w:t xml:space="preserve">Notes: </w:t>
      </w:r>
      <w:r>
        <w:t>abstract_source=pubmed</w:t>
      </w:r>
    </w:p>
    <w:p>
      <w:pPr>
        <w:spacing w:before="0" w:after="80" w:lineRule="auto" w:line="276"/>
      </w:pPr>
      <w:r>
        <w:rPr>
          <w:b/>
        </w:rPr>
        <w:t xml:space="preserve">摘要（ZH）: </w:t>
      </w:r>
      <w:r>
        <w:t>全向运动在适应性和机动性方面优于单向/双向运动，球形结构由于其零转弯半径和在复杂地形上的几何稳定性而理想。然而，现有的球形机器人依赖于嵌入式控制组件和车载电源，不可避免地增加了设计复杂性、重量和成本。在此，我们开发了一种受风滚草启发的滚动机器人（Twirlbot），通过编织光活性/被动双层条带实现中空球形结构。Twirlbot在恒定光照下展示了自主滚动，实现了多种功能，包括全向运动、爬坡、踩踏阻力、货物运输、自我校正、抗风性以及适应多样化地形和环境。这些特性赋予Twirlbot在现实世界应用中的巨大潜力，如自我维持的播种、日光驱动的通勤和自主水下布线。值得注意的是，结构设计可推广到其他系统，包括商业材料，从而大幅降低成本（不到现有自主无绳机器人的十分之一），因此为下一代无绳、自我维持的机器人系统提供了一条有前途的途径。</w:t>
      </w:r>
    </w:p>
    <w:p>
      <w:pPr>
        <w:spacing w:before="0" w:after="200" w:lineRule="auto" w:line="276"/>
      </w:pPr>
      <w:r>
        <w:rPr>
          <w:b/>
        </w:rPr>
        <w:t xml:space="preserve">Abstract (EN): </w:t>
      </w:r>
      <w:r>
        <w:t>Omnidirectional locomotion offers superior adaptability and maneuverability over uni-/bidirectional movement, with spherical structures being ideal due to their zero turning radius and geometric stability on complex terrains. However, existing spherical robots rely on embedded control components and onboard power sources, inevitably increasing design complexity, weight, and cost. Herein, we developed a tumbleweed-inspired rolling robot (Twirlbot) to achieve the hollow spherical architecture by weaving photoactive/passive bilayer strips. The Twirlbot demonstrated autonomous rolling under constant light, enabling multiple functionalities, including omnidirectional locomotion, slope climbing, trampling resistance, cargo transport, self-correction, wind resistance, and adaptation to diverse terrains and environments. These features endowed the Twirlbot with great potential for real-world applications, such as self-sustained seed-sowing, daylight-driven commuting, and autonomous underwater wiring. Notably, the structural design was generalizable to other systems, including commercial materials, enabling substantial cost reduction (less than one-tenth that of existing autonomous untethered robots) and thereby presenting a promising route toward next-generation untethered, self-sustained robotic systems.</w:t>
      </w:r>
    </w:p>
    <w:p>
      <w:pPr>
        <w:spacing w:before="120" w:after="120"/>
      </w:pPr>
      <w:r>
        <w:rPr>
          <w:sz w:val="18"/>
        </w:rPr>
        <w:t>——————————————————————————————————————————————————————————————————————</w:t>
      </w:r>
    </w:p>
    <w:p>
      <w:pPr>
        <w:spacing w:before="160" w:after="40" w:line="240" w:lineRule="auto"/>
      </w:pPr>
      <w:r>
        <w:rPr>
          <w:b/>
        </w:rPr>
        <w:t xml:space="preserve">[289] </w:t>
      </w:r>
      <w:hyperlink r:id="rId681">
        <w:r>
          <w:rPr>
            <w:color w:val="1155CC"/>
            <w:u w:val="single"/>
          </w:rPr>
          <w:t>通过化学光遗传学突触前消融功能性审查神经连接</w:t>
        </w:r>
      </w:hyperlink>
    </w:p>
    <w:p>
      <w:pPr>
        <w:spacing w:before="0" w:after="80"/>
      </w:pPr>
      <w:r>
        <w:rPr>
          <w:i/>
          <w:sz w:val="20"/>
        </w:rPr>
        <w:t>EN: Functional interrogation of neuronal connections by chemoptogenetic presynaptic ablation</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82">
        <w:r>
          <w:rPr>
            <w:color w:val="1155CC"/>
            <w:u w:val="single"/>
          </w:rPr>
          <w:t>10.1126/sciadv.aeb6755</w:t>
        </w:r>
      </w:hyperlink>
    </w:p>
    <w:p>
      <w:pPr>
        <w:spacing w:before="0" w:after="120"/>
      </w:pPr>
      <w:r>
        <w:rPr>
          <w:b/>
        </w:rPr>
        <w:t xml:space="preserve">Notes: </w:t>
      </w:r>
      <w:r>
        <w:t>abstract_source=pubmed</w:t>
      </w:r>
    </w:p>
    <w:p>
      <w:pPr>
        <w:spacing w:before="0" w:after="80" w:lineRule="auto" w:line="276"/>
      </w:pPr>
      <w:r>
        <w:rPr>
          <w:b/>
        </w:rPr>
        <w:t xml:space="preserve">摘要（ZH）: </w:t>
      </w:r>
      <w:r>
        <w:t>大多数神经元嵌入在多个回路中，与不同突触后伙伴的信号传递在功能上扮演不同的角色。可以使用突触定位的光遗传效应器来探究特定连接的功能；然而，这些工具通常在实验上难以验证或产生矛盾的结果。我们开发了一种系统，用于光消融源自遗传定义神经元的突触连接，基于荧光素激活蛋白dL5**的突触前定位，当与细胞可渗透的荧光素染料结合时，dL5**充当光敏剂。使用映射良好的斑马鱼逃逸回路作为读出，我们首先展示了胞质表达的dL5**能够使用近红外光实现高效的空间定位神经元消融。然后，我们证明了突触前定位的dL5**（syp-dL5）的空间模式照明可以有效地断开神经元与选定下游伙伴的连接，抑制突触后反应并产生精确的行为缺陷。这项技术应该适用于几乎任何遗传可操作的神经回路，使得能够在神经系统内精细操控功能连接。</w:t>
      </w:r>
    </w:p>
    <w:p>
      <w:pPr>
        <w:spacing w:before="0" w:after="200" w:lineRule="auto" w:line="276"/>
      </w:pPr>
      <w:r>
        <w:rPr>
          <w:b/>
        </w:rPr>
        <w:t xml:space="preserve">Abstract (EN): </w:t>
      </w:r>
      <w:r>
        <w:t>Most neurons are embedded in multiple circuits, with signaling to distinct postsynaptic partners playing functionally different roles. The function of specific connections can be interrogated using synaptically localized optogenetic effectors; however, these tools are often experimentally difficult to validate or produce paradoxical outcomes. We have developed a system for photoablation of synaptic connections originating from genetically defined neurons based on presynaptic localization of the fluorogen-activating protein dL5** that acts as a photosensitizer when bound to a cell-permeable fluorogen dye. Using the well-mapped zebrafish escape circuit as a readout, we first show that cytoplasmically expressed dL5** enables efficient spatially targeted neuronal ablation using near-infrared light. We then demonstrate that spatially patterned illumination of presynaptically localized dL5** (syp-dL5) can effectively disconnect neurons from selected downstream partners, suppressing postsynaptic responses and producing precise behavioral deficits. This technique should be applicable to almost any genetically tractable neuronal circuit, enabling refined manipulation of functional connectivity within the nervous system.</w:t>
      </w:r>
    </w:p>
    <w:p>
      <w:pPr>
        <w:spacing w:before="120" w:after="120"/>
      </w:pPr>
      <w:r>
        <w:rPr>
          <w:sz w:val="18"/>
        </w:rPr>
        <w:t>——————————————————————————————————————————————————————————————————————</w:t>
      </w:r>
    </w:p>
    <w:p>
      <w:pPr>
        <w:spacing w:before="160" w:after="40" w:line="240" w:lineRule="auto"/>
      </w:pPr>
      <w:r>
        <w:rPr>
          <w:b/>
        </w:rPr>
        <w:t xml:space="preserve">[290] </w:t>
      </w:r>
      <w:hyperlink r:id="rId683">
        <w:r>
          <w:rPr>
            <w:color w:val="1155CC"/>
            <w:u w:val="single"/>
          </w:rPr>
          <w:t>在活细胞中运行的分子量子纳米传感器</w:t>
        </w:r>
      </w:hyperlink>
    </w:p>
    <w:p>
      <w:pPr>
        <w:spacing w:before="0" w:after="80"/>
      </w:pPr>
      <w:r>
        <w:rPr>
          <w:i/>
          <w:sz w:val="20"/>
        </w:rPr>
        <w:t>EN: Molecular quantum nanosensors functioning in living cells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84">
        <w:r>
          <w:rPr>
            <w:color w:val="1155CC"/>
            <w:u w:val="single"/>
          </w:rPr>
          <w:t>10.1126/sciadv.aeb5422</w:t>
        </w:r>
      </w:hyperlink>
    </w:p>
    <w:p>
      <w:pPr>
        <w:spacing w:before="0" w:after="120"/>
      </w:pPr>
      <w:r>
        <w:rPr>
          <w:b/>
        </w:rPr>
        <w:t xml:space="preserve">Notes: </w:t>
      </w:r>
      <w:r>
        <w:t>abstract_source=pubmed</w:t>
      </w:r>
    </w:p>
    <w:p>
      <w:pPr>
        <w:spacing w:before="0" w:after="80" w:lineRule="auto" w:line="276"/>
      </w:pPr>
      <w:r>
        <w:rPr>
          <w:b/>
        </w:rPr>
        <w:t xml:space="preserve">摘要（ZH）: </w:t>
      </w:r>
      <w:r>
        <w:t>定量映射活细胞内的温度对于理解亚细胞生物物理过程至关重要；然而，现有的细胞内量子传感器如含氮空位中心的纳米金刚石、量子点和荧光蛋白在材料异质性、细胞毒性和温度测量特异性方面面临限制。在此，我们提出分子量子纳米传感器（MoQNs）作为下一代细胞内量子传感平台。MoQNs将苯并三苯分子自旋量子位嵌入涂有Pluronic F-127的对苯三苯纳米晶体中，产生在生理条件下具有分子级均匀性和长自旋相干时间的相干自旋系统。通过化学抑制超精细相互作用，我们提高了光谱分辨率，并展示了癌细胞胞质和细胞核内的空间分辨绝对温度传感。因此，MoQNs提供了一种化学可调、生物相容的平台，用于细胞内环境的热和生化状态的量子级检测。</w:t>
      </w:r>
    </w:p>
    <w:p>
      <w:pPr>
        <w:spacing w:before="0" w:after="200" w:lineRule="auto" w:line="276"/>
      </w:pPr>
      <w:r>
        <w:rPr>
          <w:b/>
        </w:rPr>
        <w:t xml:space="preserve">Abstract (EN): </w:t>
      </w:r>
      <w:r>
        <w:t>Quantitatively mapping temperature within living cells is essential for understanding subcellular biophysical processes; however, existing intracellular quantum sensors such as nanodiamonds with nitrogen-vacancy centers, quantum dots, and fluorescent proteins face limitations in material heterogeneity, cytotoxicity, and thermometric specificity. Here, we present molecular quantum nanosensors (MoQNs) as a next-generation platform for intracellular quantum sensing. MoQNs embed pentacene molecular spin qubits within para-terphenyl nanocrystals coated with Pluronic F-127, yielding a coherent spin system with molecular-level uniformity and long spin coherence times under physiological conditions. By chemically suppressing hyperfine interactions, we enhance spectral resolution and demonstrate spatially resolved absolute temperature sensing inside the cytoplasm and nuclei of cancer cells. MoQNs thus offer a chemically tunable, biologically compatible platform for quantum-level detection of thermal and biochemical states of intracellular environments.</w:t>
      </w:r>
    </w:p>
    <w:p>
      <w:pPr>
        <w:spacing w:before="120" w:after="120"/>
      </w:pPr>
      <w:r>
        <w:rPr>
          <w:sz w:val="18"/>
        </w:rPr>
        <w:t>——————————————————————————————————————————————————————————————————————</w:t>
      </w:r>
    </w:p>
    <w:p>
      <w:pPr>
        <w:spacing w:before="160" w:after="40" w:line="240" w:lineRule="auto"/>
      </w:pPr>
      <w:r>
        <w:rPr>
          <w:b/>
        </w:rPr>
        <w:t xml:space="preserve">[291] </w:t>
      </w:r>
      <w:hyperlink r:id="rId685">
        <w:r>
          <w:rPr>
            <w:color w:val="1155CC"/>
            <w:u w:val="single"/>
          </w:rPr>
          <w:t>NbSe2中的H线性磁阻由于受阻的回旋运动</w:t>
        </w:r>
      </w:hyperlink>
    </w:p>
    <w:p>
      <w:pPr>
        <w:spacing w:before="0" w:after="80"/>
      </w:pPr>
      <w:r>
        <w:rPr>
          <w:i/>
          <w:sz w:val="20"/>
        </w:rPr>
        <w:t>EN: H-linear magnetoresistance in NbSe2 due to impeded cyclotron motion</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86">
        <w:r>
          <w:rPr>
            <w:color w:val="1155CC"/>
            <w:u w:val="single"/>
          </w:rPr>
          <w:t>10.1126/sciadv.aea6029</w:t>
        </w:r>
      </w:hyperlink>
    </w:p>
    <w:p>
      <w:pPr>
        <w:spacing w:before="0" w:after="120"/>
      </w:pPr>
      <w:r>
        <w:rPr>
          <w:b/>
        </w:rPr>
        <w:t xml:space="preserve">Notes: </w:t>
      </w:r>
      <w:r>
        <w:t>abstract_source=pubmed</w:t>
      </w:r>
    </w:p>
    <w:p>
      <w:pPr>
        <w:spacing w:before="0" w:after="80" w:lineRule="auto" w:line="276"/>
      </w:pPr>
      <w:r>
        <w:rPr>
          <w:b/>
        </w:rPr>
        <w:t xml:space="preserve">摘要（ZH）: </w:t>
      </w:r>
      <w:r>
        <w:t>线性磁阻（LMR）是一种广泛存在的现象，观察到在从半导体纳米结构到量子临界和奇异金属的一系列量子材料中。虽然已经提出了多种解释LMR的情景，但对这一现象的完整理解仍然难以捉摸。LMR的起源很可能依赖于特定的电子状态。在此，我们报告了对原型电荷密度波（CDW）化合物2H-NbSe2的磁阻形式的无序影响的研究。结果显示，磁阻与包含阻碍回旋运动（ICM）的玻尔兹曼传输分析表现出强烈的定性和定量一致性。我们确定了2H-NbSe2中ICM的来源是强散射汇，CDW序在高温费米圆柱体之间连接。这种不寻常的“热点”提供了对观察到的LMR的解释，以及在2H-NbSe2的电荷有序状态中长期未解释的量子振荡缺失。这些发现提供了强有力的证据，表明ICM在某些相关金属中产生LMR。</w:t>
      </w:r>
    </w:p>
    <w:p>
      <w:pPr>
        <w:spacing w:before="0" w:after="200" w:lineRule="auto" w:line="276"/>
      </w:pPr>
      <w:r>
        <w:rPr>
          <w:b/>
        </w:rPr>
        <w:t xml:space="preserve">Abstract (EN): </w:t>
      </w:r>
      <w:r>
        <w:t>Linear magnetoresistance (LMR) is a widespread phenomenon observed in a host of quantum materials ranging from semiconductor nanostructures to quantum critical and strange metals. While multiple scenarios to explain LMR have been proposed, a complete understanding of the phenomenon remains elusive. It is highly likely that the origin of LMR depends on the specific electronic state. Here, we report a study of the impact of disorder on the form of the magnetoresistance of the prototypical charge-density-wave (CDW) compound 2H-NbSe2. The magnetoresistance is shown to exhibit strong qualitative and quantitative agreement with Boltzmann transport analysis incorporating impeded cyclotron motion (ICM). We identify the source of ICM in 2H-NbSe2 as strong scattering sinks where the CDW order connects the high-temperature Fermi cylinders. Such unusual "hotspots" provide an explanation for the observed LMR as well as for the long-unexplained absence of quantum oscillations inside the charge-ordered state in 2H-NbSe2. These findings provide strong evidence that ICM generates LMR in certain correlated metals.</w:t>
      </w:r>
    </w:p>
    <w:p>
      <w:pPr>
        <w:spacing w:before="120" w:after="120"/>
      </w:pPr>
      <w:r>
        <w:rPr>
          <w:sz w:val="18"/>
        </w:rPr>
        <w:t>——————————————————————————————————————————————————————————————————————</w:t>
      </w:r>
    </w:p>
    <w:p>
      <w:pPr>
        <w:spacing w:before="160" w:after="40" w:line="240" w:lineRule="auto"/>
      </w:pPr>
      <w:r>
        <w:rPr>
          <w:b/>
        </w:rPr>
        <w:t xml:space="preserve">[292] </w:t>
      </w:r>
      <w:hyperlink r:id="rId687">
        <w:r>
          <w:rPr>
            <w:color w:val="1155CC"/>
            <w:u w:val="single"/>
          </w:rPr>
          <w:t>NOD2驱动肠上皮中的再生胎儿样重编程</w:t>
        </w:r>
      </w:hyperlink>
    </w:p>
    <w:p>
      <w:pPr>
        <w:spacing w:before="0" w:after="80"/>
      </w:pPr>
      <w:r>
        <w:rPr>
          <w:i/>
          <w:sz w:val="20"/>
        </w:rPr>
        <w:t>EN: NOD2 drives regenerative fetal-like reprogramming in the intestinal epithelium</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688">
        <w:r>
          <w:rPr>
            <w:color w:val="1155CC"/>
            <w:u w:val="single"/>
          </w:rPr>
          <w:t>10.1073/pnas.2519981123</w:t>
        </w:r>
      </w:hyperlink>
    </w:p>
    <w:p>
      <w:pPr>
        <w:spacing w:before="0" w:after="120"/>
      </w:pPr>
      <w:r>
        <w:rPr>
          <w:b/>
        </w:rPr>
        <w:t xml:space="preserve">Notes: </w:t>
      </w:r>
      <w:r>
        <w:t>abstract_source=pubmed</w:t>
      </w:r>
    </w:p>
    <w:p>
      <w:pPr>
        <w:spacing w:before="0" w:after="80" w:lineRule="auto" w:line="276"/>
      </w:pPr>
      <w:r>
        <w:rPr>
          <w:b/>
        </w:rPr>
        <w:t xml:space="preserve">摘要（ZH）: </w:t>
      </w:r>
      <w:r>
        <w:t>肠道的炎症损伤会触发肠上皮细胞重新编程为类似胎儿的状态，从而推动上皮屏障的快速恢复。尽管肠道微生物群是炎症的关键调节因子，但其在影响上皮胎儿样干细胞重新编程及随后的恢复中的作用仍不清楚。使用辐射（IR）损伤作为小肠上皮损伤和修复的模型，我们发现肠道微生物群通过放大与修复相关的炎症反应加速了上皮恢复，这种反应促进了以Ly6a和Clu为标志的胎儿样肠上皮细胞（IECs）的出现。NOD2是克罗恩病发展的最强遗传关联，发现其在损伤后表达于胎儿样IECs中。采用回肠类器官模型，我们证明了NOD2通过其肽聚糖配体的激活增强了以干扰素信号为特征的炎症基因特征，同时伴随着肠上皮细胞的恢复。NOD2缺乏加剧了IR损伤后的上皮细胞凋亡，而上皮特异性NOD2信号促进了胎儿样IECs的出现并增加了上皮增殖。总体而言，这些发现揭示了微生物群和NOD2介导的微生物感知在调节损伤后胎儿样IECs命运中的关键作用，从而有助于这种微生物传感器在肠道炎症中的保护功能。</w:t>
      </w:r>
    </w:p>
    <w:p>
      <w:pPr>
        <w:spacing w:before="0" w:after="200" w:lineRule="auto" w:line="276"/>
      </w:pPr>
      <w:r>
        <w:rPr>
          <w:b/>
        </w:rPr>
        <w:t xml:space="preserve">Abstract (EN): </w:t>
      </w:r>
      <w:r>
        <w:t>Inflammatory injury to the intestine triggers a reprogramming of the intestinal epithelium to a fetal-like state that drives rapid restoration of the epithelial barrier. Although the intestinal microbiota is a key modulator of inflammation, its role in influencing epithelial fetal-like stem cell reprogramming and consequent restitution remains unclear. Using irradiation (IR) injury as a model for small intestinal epithelium injury and repair, we found that the intestinal microbiota accelerated epithelial restitution by amplifying a repair-associated inflammatory response that promoted the emergence of fetal-like intestinal epithelial cells (IECs), marked by Ly6a and Clu. NOD2, the strongest genetic link to the development of Crohn's disease, was found to be expressed in fetal-like IECs following injury. Employing an ileal organoid model, we demonstrated that NOD2 activation by its peptidoglycan ligand potentiated an inflammatory gene signature characterized by interferon signaling, concurrent with enterocyte recovery. NOD2 deficiency exacerbated epithelial apoptosis following IR injury, whereas epithelial-specific NOD2 signaling promoted fetal-like IEC emergence and increased epithelial proliferation. Collectively, these findings reveal a pivotal role for the microbiota and NOD2-mediated microbial sensing in regulating fetal-like IEC fate after injury, thus contributing to the protective function of this microbial sensor during intestinal inflammation.</w:t>
      </w:r>
    </w:p>
    <w:p>
      <w:pPr>
        <w:spacing w:before="120" w:after="120"/>
      </w:pPr>
      <w:r>
        <w:rPr>
          <w:sz w:val="18"/>
        </w:rPr>
        <w:t>——————————————————————————————————————————————————————————————————————</w:t>
      </w:r>
    </w:p>
    <w:p>
      <w:pPr>
        <w:spacing w:before="160" w:after="40" w:line="240" w:lineRule="auto"/>
      </w:pPr>
      <w:r>
        <w:rPr>
          <w:b/>
        </w:rPr>
        <w:t xml:space="preserve">[293] </w:t>
      </w:r>
      <w:hyperlink r:id="rId689">
        <w:r>
          <w:rPr>
            <w:color w:val="1155CC"/>
            <w:u w:val="single"/>
          </w:rPr>
          <w:t>古代安第斯山脉五千年来的降水变异性、肥力和代谢压力：一种生物考古路径分析</w:t>
        </w:r>
      </w:hyperlink>
    </w:p>
    <w:p>
      <w:pPr>
        <w:spacing w:before="0" w:after="80"/>
      </w:pPr>
      <w:r>
        <w:rPr>
          <w:i/>
          <w:sz w:val="20"/>
        </w:rPr>
        <w:t>EN: Precipitation variability, fertility, and metabolic stress over 5 millennia in the ancient Andes: A bioarchaeological path analysis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90">
        <w:r>
          <w:rPr>
            <w:color w:val="1155CC"/>
            <w:u w:val="single"/>
          </w:rPr>
          <w:t>10.1126/sciadv.adz1998</w:t>
        </w:r>
      </w:hyperlink>
    </w:p>
    <w:p>
      <w:pPr>
        <w:spacing w:before="0" w:after="120"/>
      </w:pPr>
      <w:r>
        <w:rPr>
          <w:b/>
        </w:rPr>
        <w:t xml:space="preserve">Notes: </w:t>
      </w:r>
      <w:r>
        <w:t>abstract_source=pubmed</w:t>
      </w:r>
    </w:p>
    <w:p>
      <w:pPr>
        <w:spacing w:before="0" w:after="80" w:lineRule="auto" w:line="276"/>
      </w:pPr>
      <w:r>
        <w:rPr>
          <w:b/>
        </w:rPr>
        <w:t xml:space="preserve">摘要（ZH）: </w:t>
      </w:r>
      <w:r>
        <w:t>气候变化是一个紧迫的全球性问题。对现存人群的研究未能捕捉到所有可能的反应范围。考古学和生物考古学研究提供了一个窗口，展示了人类如何适应过去的气候变化。我们研究了南美洲安第斯地区考古人群的人类健康与降水之间的关系。我们进行了一项路径分析，分析降水、筛状眶缘和死亡年龄，以评估对气候变化的代谢反应的证据。我们的模型表明，当降水量较大时，筛状眶缘较少见，生育率较高。模型结果具有不确定性，强调了人类对环境变化反应的高度多样性。</w:t>
      </w:r>
    </w:p>
    <w:p>
      <w:pPr>
        <w:spacing w:before="0" w:after="200" w:lineRule="auto" w:line="276"/>
      </w:pPr>
      <w:r>
        <w:rPr>
          <w:b/>
        </w:rPr>
        <w:t xml:space="preserve">Abstract (EN): </w:t>
      </w:r>
      <w:r>
        <w:t>Climate change is a pressing global issue. Research on living populations fails to capture the full range of possible responses. Archaeological and bioarchaeological research offers a window into how people adapted to past climatic changes. We investigate the relationship between human health and precipitation among archaeological populations in the Andes region of South America. We conduct a path analysis of precipitation, cribra orbitalia, and age-at-death to assess the evidence for metabolic responses to climate change. Our models suggest that cribra orbitalia was less common, and that fertility was higher, when precipitation was greater. Model results were characterized by uncertainty, emphasizing the high variety in human responses to environmental change.</w:t>
      </w:r>
    </w:p>
    <w:p>
      <w:pPr>
        <w:spacing w:before="120" w:after="120"/>
      </w:pPr>
      <w:r>
        <w:rPr>
          <w:sz w:val="18"/>
        </w:rPr>
        <w:t>——————————————————————————————————————————————————————————————————————</w:t>
      </w:r>
    </w:p>
    <w:p>
      <w:pPr>
        <w:spacing w:before="160" w:after="40" w:line="240" w:lineRule="auto"/>
      </w:pPr>
      <w:r>
        <w:rPr>
          <w:b/>
        </w:rPr>
        <w:t xml:space="preserve">[294] </w:t>
      </w:r>
      <w:hyperlink r:id="rId691">
        <w:r>
          <w:rPr>
            <w:color w:val="1155CC"/>
            <w:u w:val="single"/>
          </w:rPr>
          <w:t>资源可用性通过基因组生态位分区构建微生物竞争</w:t>
        </w:r>
      </w:hyperlink>
    </w:p>
    <w:p>
      <w:pPr>
        <w:spacing w:before="0" w:after="80"/>
      </w:pPr>
      <w:r>
        <w:rPr>
          <w:i/>
          <w:sz w:val="20"/>
        </w:rPr>
        <w:t>EN: Resource availability structures microbial competition through genomic niche partitioning</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692">
        <w:r>
          <w:rPr>
            <w:color w:val="1155CC"/>
            <w:u w:val="single"/>
          </w:rPr>
          <w:t>10.1073/pnas.2526391123</w:t>
        </w:r>
      </w:hyperlink>
    </w:p>
    <w:p>
      <w:pPr>
        <w:spacing w:before="0" w:after="120"/>
      </w:pPr>
      <w:r>
        <w:rPr>
          <w:b/>
        </w:rPr>
        <w:t xml:space="preserve">Notes: </w:t>
      </w:r>
      <w:r>
        <w:t>abstract_source=pubmed</w:t>
      </w:r>
    </w:p>
    <w:p>
      <w:pPr>
        <w:spacing w:before="0" w:after="80" w:lineRule="auto" w:line="276"/>
      </w:pPr>
      <w:r>
        <w:rPr>
          <w:b/>
        </w:rPr>
        <w:t xml:space="preserve">摘要（ZH）: </w:t>
      </w:r>
      <w:r>
        <w:t>微生物对稀缺资源的竞争塑造了全球生物群落的生物多样性模式和生态系统功能，但从基因组数据中量化这一过程仍然难以捉摸。在此，我们介绍了CaCo，这是一种可扩展的度量标准，将宏基因组碳水化合物活性酶谱转化为生态位重叠和竞争潜力的精确测量（资源分配评分，RPS）。分析了14,691个高质量的宏基因组组装基因组，涵盖海洋、淡水、土壤和人类肠道微生物群，我们揭示了一个引人注目的宏生态模式：生态位重叠从贫营养海洋中的分区专家增加到富含碳环境中的重叠通才，包括人类肠道。这一梯度与经典生态位理论一致，因为系统发育信号表明密切相关的分类群可能竞争最激烈。跨越BIOLOG表型、合成共培养和相互作用梯度的多层验证证实了CaCo的预测能力，并捕捉到了竞争性排斥。CaCo连接了基因组潜力和生态现实，提供了生态位宽度指标，并使资源可用性如何塑造微生物竞争和群落结构的可测试预测成为可能。</w:t>
      </w:r>
    </w:p>
    <w:p>
      <w:pPr>
        <w:spacing w:before="0" w:after="200" w:lineRule="auto" w:line="276"/>
      </w:pPr>
      <w:r>
        <w:rPr>
          <w:b/>
        </w:rPr>
        <w:t xml:space="preserve">Abstract (EN): </w:t>
      </w:r>
      <w:r>
        <w:t>Microbial competition for scarce resources shapes biodiversity patterns and ecosystem function across global biomes, yet quantifying this process from genomic data has remained elusive. Here, we introduce CaCo, a scalable metric that transforms metagenomic carbohydrate-active enzyme profiles into precise measures of niche overlap and competition potential (Resource Partitioning Score, RPS). Analyzing 14,691 high-quality metagenome-assembled genomes spanning Ocean, freshwater, soil, and human gut microbiomes, we reveal a striking macroecological pattern: Niche overlap increases from partitioned specialists in oligotrophic oceans to overlapping generalists in carbon-rich environments, including the human gut. This gradient aligns with classic niche theory, as phylogenetic signals indicate that closely related taxa may compete most intensely. Multitiered validation, spanning BIOLOG phenotypes, synthetic cocultures, and interaction gradients, confirms CaCo's predictive power and captures competitive exclusion. CaCo bridges genomic potential and ecological reality, providing niche-breadth metrics and enabling testable predictions of how resource availability shapes microbial competition and community structure.</w:t>
      </w:r>
    </w:p>
    <w:p>
      <w:pPr>
        <w:spacing w:before="120" w:after="120"/>
      </w:pPr>
      <w:r>
        <w:rPr>
          <w:sz w:val="18"/>
        </w:rPr>
        <w:t>——————————————————————————————————————————————————————————————————————</w:t>
      </w:r>
    </w:p>
    <w:p>
      <w:pPr>
        <w:spacing w:before="160" w:after="40" w:line="240" w:lineRule="auto"/>
      </w:pPr>
      <w:r>
        <w:rPr>
          <w:b/>
        </w:rPr>
        <w:t xml:space="preserve">[295] </w:t>
      </w:r>
      <w:hyperlink r:id="rId693">
        <w:r>
          <w:rPr>
            <w:color w:val="1155CC"/>
            <w:u w:val="single"/>
          </w:rPr>
          <w:t>通过放大液态金属界面的连续触觉感应</w:t>
        </w:r>
      </w:hyperlink>
    </w:p>
    <w:p>
      <w:pPr>
        <w:spacing w:before="0" w:after="80"/>
      </w:pPr>
      <w:r>
        <w:rPr>
          <w:i/>
          <w:sz w:val="20"/>
        </w:rPr>
        <w:t>EN: Continuum tactile sensing via an amplified liquid metal interface</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94">
        <w:r>
          <w:rPr>
            <w:color w:val="1155CC"/>
            <w:u w:val="single"/>
          </w:rPr>
          <w:t>10.1126/sciadv.aec3673</w:t>
        </w:r>
      </w:hyperlink>
    </w:p>
    <w:p>
      <w:pPr>
        <w:spacing w:before="0" w:after="120"/>
      </w:pPr>
      <w:r>
        <w:rPr>
          <w:b/>
        </w:rPr>
        <w:t xml:space="preserve">Notes: </w:t>
      </w:r>
      <w:r>
        <w:t>abstract_source=pubmed</w:t>
      </w:r>
    </w:p>
    <w:p>
      <w:pPr>
        <w:spacing w:before="0" w:after="80" w:lineRule="auto" w:line="276"/>
      </w:pPr>
      <w:r>
        <w:rPr>
          <w:b/>
        </w:rPr>
        <w:t xml:space="preserve">摘要（ZH）: </w:t>
      </w:r>
      <w:r>
        <w:t>多模态触觉感知对于下一代机器人和人机交互至关重要，但基于离散传感器阵列的传统解决方案存在复杂性、灵活性有限和高制造成本的问题。在此，我们介绍了一种基于连续液态金属启用的柔性触觉感知（CLiMETS）平台的连续感知范式。这种方法通过从单一、非结构化的液态金属（LM）表面解码触觉信息，消除了对传感器阵列的需求。我们揭示了一种关键机制，即LM的电双层（EDL）的变形诱导电压在与导电杆接触时协同放大超过两个数量级。我们几何编码的双通道方案实现了精确的5乘5定位和八方向滑动识别。我们进一步通过实现LED阵列的后处理视觉反馈，展示了该平台的可行性，有效地将复杂的触觉输入转化为相应的光学输出。CLiMETS平台提供了一种简约但高度多功能的概念验证感知模式，为更具适应性和互动性的触觉技术奠定了坚实的基础。</w:t>
      </w:r>
    </w:p>
    <w:p>
      <w:pPr>
        <w:spacing w:before="0" w:after="200" w:lineRule="auto" w:line="276"/>
      </w:pPr>
      <w:r>
        <w:rPr>
          <w:b/>
        </w:rPr>
        <w:t xml:space="preserve">Abstract (EN): </w:t>
      </w:r>
      <w:r>
        <w:t>Multimodal tactile sensing is crucial for next-generation robotics and human-machine interaction, but conventional solutions based on discrete sensor arrays suffer from complexity, limited flexibility, and high fabrication costs. Here, we introduce a continuum sensing paradigm based on a continuous liquid metal enabled flexible tactile sensing (CLiMETS) platform. This approach eliminates the need for sensor arrays by decoding tactile information from a single, unstructured liquid metal (LM) surface. We reveal a key mechanism where the deformation-induced voltage of the LM's electric double layer (EDL) is synergistically amplified by over two orders of magnitude upon contact with a conductive rod. Our geometrically encoded, dual-channel scheme enables precise 5 by 5 localization and eight-directional sliding recognition. We further demonstrate the platform's feasibility by realizing postprocessing visual feedback of an LED array, effectively translating complex tactile inputs into corresponding optical outputs. The CLiMETS platform offers a minimalist yet highly versatile proof-of-concept sensing modality, laying a strong foundation for more adaptive and interactive tactile technologies.</w:t>
      </w:r>
    </w:p>
    <w:p>
      <w:pPr>
        <w:spacing w:before="120" w:after="120"/>
      </w:pPr>
      <w:r>
        <w:rPr>
          <w:sz w:val="18"/>
        </w:rPr>
        <w:t>——————————————————————————————————————————————————————————————————————</w:t>
      </w:r>
    </w:p>
    <w:p>
      <w:pPr>
        <w:spacing w:before="160" w:after="40" w:line="240" w:lineRule="auto"/>
      </w:pPr>
      <w:r>
        <w:rPr>
          <w:b/>
        </w:rPr>
        <w:t xml:space="preserve">[296] </w:t>
      </w:r>
      <w:hyperlink r:id="rId695">
        <w:r>
          <w:rPr>
            <w:color w:val="1155CC"/>
            <w:u w:val="single"/>
          </w:rPr>
          <w:t>一种Ad5载体平台生成自组装VLPs引发对甲型流感病毒和SARS-CoV-2的强效粘膜免疫</w:t>
        </w:r>
      </w:hyperlink>
    </w:p>
    <w:p>
      <w:pPr>
        <w:spacing w:before="0" w:after="80"/>
      </w:pPr>
      <w:r>
        <w:rPr>
          <w:i/>
          <w:sz w:val="20"/>
        </w:rPr>
        <w:t>EN: An Ad5-vectored platform generating self-assembling VLPs elicits potent mucosal immunity against influenza A virus and SARS-CoV-2</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696">
        <w:r>
          <w:rPr>
            <w:color w:val="1155CC"/>
            <w:u w:val="single"/>
          </w:rPr>
          <w:t>10.1073/pnas.2519857123</w:t>
        </w:r>
      </w:hyperlink>
    </w:p>
    <w:p>
      <w:pPr>
        <w:spacing w:before="0" w:after="120"/>
      </w:pPr>
      <w:r>
        <w:rPr>
          <w:b/>
        </w:rPr>
        <w:t xml:space="preserve">Notes: </w:t>
      </w:r>
      <w:r>
        <w:t>abstract_source=pubmed</w:t>
      </w:r>
    </w:p>
    <w:p>
      <w:pPr>
        <w:spacing w:before="0" w:after="80" w:lineRule="auto" w:line="276"/>
      </w:pPr>
      <w:r>
        <w:rPr>
          <w:b/>
        </w:rPr>
        <w:t xml:space="preserve">摘要（ZH）: </w:t>
      </w:r>
      <w:r>
        <w:t>整合互补的疫苗模式对于对抗新兴病原体至关重要。尽管最近的mRNA-VLP杂交体能够自发组装类病毒颗粒（VLPs），从而增强免疫原性，但它们未能引发针对呼吸道病原体的强大肺粘膜免疫。在此，我们开发了Ad5-Envp-VLP，这是一种嵌合腺病毒平台，利用先进技术通过EABR（ESCRT和ALIX结合区域）招募ESCRT（内体分选复合体）实现包膜蛋白显示的VLPs的体内自发组装。与肌肉注射途径相比，单剂量Ad5-HA-VLP的鼻内给药对同源和异源流感A株提供持久保护。整合的单细胞RNA测序和流式细胞术分析显示，Ad5-HA-VLP的鼻内递送招募并功能性重编程肺部先天免疫细胞，促进抗原呈递并驱动强大的粘膜分泌型IgA（sIgA）分泌和细胞毒性T淋巴细胞反应。同样，Ad5-S-VLP的鼻内递送引发了针对SARS-CoV-2变体的强效交叉中和抗体滴度。重要的是，Ad5-S-HA-VLP（共表达S-和HA-VLPs）的鼻内免疫产生了双重流感和SARS-CoV-2中和抗体，以及肺部抗原特异性sIgA，确认Ad5-Envp-VLP作为一种有前途的“单剂量多重粘膜疫苗”对抗呼吸道病原体。进一步扩展的应用显示，Ad5-RVDG-VLP也诱导了广泛的保护性免疫。</w:t>
      </w:r>
    </w:p>
    <w:p>
      <w:pPr>
        <w:spacing w:before="0" w:after="200" w:lineRule="auto" w:line="276"/>
      </w:pPr>
      <w:r>
        <w:rPr>
          <w:b/>
        </w:rPr>
        <w:t xml:space="preserve">Abstract (EN): </w:t>
      </w:r>
      <w:r>
        <w:t>Integrating complementary vaccine modalities is essential for combating emerging pathogens. Although the recent mRNA-VLP hybrids enable spontaneous virus-like particles (VLPs) self-assembly, thereby enhancing immunogenicity, they fail to elicit robust pulmonary mucosal immunity against respiratory pathogens. Here, we developed Ad5-Envp-VLP, a chimeric adenoviral platform enabling spontaneous in vivo assembly of envelope protein-displaying VLPs using advanced technology that recruits ESCRT (endosomal sorting complex required for transport) via the EABR (ESCRT and ALIX-binding region). Compared with the intramuscular route, intranasal administration of a single-dose Ad5-HA-VLP confers long-lasting protection against both homologous and heterologous influenza A strains. Integrated single-cell RNA sequencing and flow cytometry analyses reveal that intranasal delivery of Ad5-HA-VLP recruits and functionally reprograms lung innate immune cells, promoting antigen presentation and driving robust mucosal secretory IgA (sIgA) secretion and cytotoxic T lymphocyte responses. Similarly, intranasal delivery of Ad5-S-VLP elicits potent cross-neutralizing antibody titers against SARS-CoV-2 variants. Importantly, intranasal immunization with Ad5-S-HA-VLP (coexpressing S- and HA-VLPs) generates dual influenza and SARS-CoV-2 neutralizing antibodies, alongside pulmonary antigen-specific sIgA, confirming Ad5-Envp-VLP as a promising "single-dose multiplexed mucosal vaccine" against respiratory pathogens. Further extended applications show that Ad5-RVDG-VLP also induces broad protective immunity in mouse, dog, and cat models, verifying its feasibility as an efficient rabies vaccine. Collectively, the Ad5-Envp-VLP platform represents a universal and versatile mucosal vaccine strategy, leveraging pulmonary delivery of vectors that encode in vivo-assembling VLPs to concurrently elicit robust mucosal and systemic immunity against a wide spectrum of pathogens.</w:t>
      </w:r>
    </w:p>
    <w:p>
      <w:pPr>
        <w:spacing w:before="120" w:after="120"/>
      </w:pPr>
      <w:r>
        <w:rPr>
          <w:sz w:val="18"/>
        </w:rPr>
        <w:t>——————————————————————————————————————————————————————————————————————</w:t>
      </w:r>
    </w:p>
    <w:p>
      <w:pPr>
        <w:spacing w:before="160" w:after="40" w:line="240" w:lineRule="auto"/>
      </w:pPr>
      <w:r>
        <w:rPr>
          <w:b/>
        </w:rPr>
        <w:t xml:space="preserve">[297] </w:t>
      </w:r>
      <w:hyperlink r:id="rId697">
        <w:r>
          <w:rPr>
            <w:color w:val="1155CC"/>
            <w:u w:val="single"/>
          </w:rPr>
          <w:t>Mavacamten通过稳定肌球蛋白相互作用头部结构并阻止马达力生成来抑制肌球蛋白活性</w:t>
        </w:r>
      </w:hyperlink>
    </w:p>
    <w:p>
      <w:pPr>
        <w:spacing w:before="0" w:after="80"/>
      </w:pPr>
      <w:r>
        <w:rPr>
          <w:i/>
          <w:sz w:val="20"/>
        </w:rPr>
        <w:t>EN: Mavacamten inhibits myosin activity by stabilizing the myosin interacting-heads motif and stalling motor force generation</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698">
        <w:r>
          <w:rPr>
            <w:color w:val="1155CC"/>
            <w:u w:val="single"/>
          </w:rPr>
          <w:t>10.1126/sciadv.aea9335</w:t>
        </w:r>
      </w:hyperlink>
    </w:p>
    <w:p>
      <w:pPr>
        <w:spacing w:before="0" w:after="120"/>
      </w:pPr>
      <w:r>
        <w:rPr>
          <w:b/>
        </w:rPr>
        <w:t xml:space="preserve">Notes: </w:t>
      </w:r>
      <w:r>
        <w:t>abstract_source=pubmed</w:t>
      </w:r>
    </w:p>
    <w:p>
      <w:pPr>
        <w:spacing w:before="0" w:after="80" w:lineRule="auto" w:line="276"/>
      </w:pPr>
      <w:r>
        <w:rPr>
          <w:b/>
        </w:rPr>
        <w:t xml:space="preserve">摘要（ZH）: </w:t>
      </w:r>
      <w:r>
        <w:t>大多数年轻人猝死源于肥厚型心肌病，这是一种遗传性心肌疾病。治疗直到最近才局限于症状缓解或侵入性手术。心肌小分子调节剂是有前景的治疗选择，旨在靶向疾病进展。Mavacamten是第一个获得食品和药物管理局批准的例子，其机制尚不清楚。为了解决这一问题，我们解决了三种腺苷5'-二磷酸和无机磷酸（ADP.Pi）结合状态下的β-心肌重链肌球蛋白的冷冻电子显微镜（cryo-EM）结构，分别为2.9、3.4和3.7 Å的全局分辨率，包括有和没有mavacamten的启动马达域以及与mavacamten的自抑制相互作用头部结构（IHM）。结合定量交联质谱分析，这些结构揭示了mavacamten如何抑制肌球蛋白。Mavacamten稳定ADP.Pi结合，使马达域停留在启动状态，减少了闭合肌动蛋白结合裂缝所需的马达动态，并减缓了力生成循环的进程。这些效应在双头分子内传播，通过增加马达-马达接触稳定IHM。虽然这促进了舒张期松弛，但也减少了收缩期的收缩输出。</w:t>
      </w:r>
    </w:p>
    <w:p>
      <w:pPr>
        <w:spacing w:before="0" w:after="200" w:lineRule="auto" w:line="276"/>
      </w:pPr>
      <w:r>
        <w:rPr>
          <w:b/>
        </w:rPr>
        <w:t xml:space="preserve">Abstract (EN): </w:t>
      </w:r>
      <w:r>
        <w:t>Most sudden cardiac deaths in young people arise from hypertrophic cardiomyopathy, a genetic heart muscle disease. Treatment has until recently been limited to symptomatic relief or invasive procedures. Small-molecule modulators of cardiac myosin are promising therapeutic options to target disease progression. Mavacamten, the first Food and Drug Administration-approved example, has an unclear mechanism. To address this, we solved cryo-electron microscopy (cryo-EM) structures of beta-cardiac heavy meromyosin in three adenosine 5'-diphosphate and inorganic phosphate (ADP.Pi)-bound states, the primed motor domain with and without mavacamten and the autoinhibited interacting-heads motif (IHM) with mavacamten, to 2.9, 3.4, and 3.7 Å global resolution, respectively. Together with quantitative cross-linking mass spectrometry analysis, these structures reveal how mavacamten inhibits myosin. Mavacamten stabilizes ADP.Pi binding, stalling the motor domain in a primed state, reducing motor dynamics required for actin-binding cleft closure, and slowing progression through the force generation cycle. These effects propagate within the two-headed molecule, stabilizing the IHM through increased motor-motor contacts. While this promotes diastolic relaxation, it also reduces systolic contractile output.</w:t>
      </w:r>
    </w:p>
    <w:p>
      <w:pPr>
        <w:spacing w:before="120" w:after="120"/>
      </w:pPr>
      <w:r>
        <w:rPr>
          <w:sz w:val="18"/>
        </w:rPr>
        <w:t>——————————————————————————————————————————————————————————————————————</w:t>
      </w:r>
    </w:p>
    <w:p>
      <w:pPr>
        <w:spacing w:before="160" w:after="40" w:line="240" w:lineRule="auto"/>
      </w:pPr>
      <w:r>
        <w:rPr>
          <w:b/>
        </w:rPr>
        <w:t xml:space="preserve">[298] </w:t>
      </w:r>
      <w:hyperlink r:id="rId699">
        <w:r>
          <w:rPr>
            <w:color w:val="1155CC"/>
            <w:u w:val="single"/>
          </w:rPr>
          <w:t>在社会和跨学科科学中推进人类学</w:t>
        </w:r>
      </w:hyperlink>
    </w:p>
    <w:p>
      <w:pPr>
        <w:spacing w:before="0" w:after="80"/>
      </w:pPr>
      <w:r>
        <w:rPr>
          <w:i/>
          <w:sz w:val="20"/>
        </w:rPr>
        <w:t>EN: Advancing anthropology in the social and interdisciplinary sciences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700">
        <w:r>
          <w:rPr>
            <w:color w:val="1155CC"/>
            <w:u w:val="single"/>
          </w:rPr>
          <w:t>10.1126/sciadv.aeh9319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[299] </w:t>
      </w:r>
      <w:hyperlink r:id="rId701">
        <w:r>
          <w:rPr>
            <w:color w:val="1155CC"/>
            <w:u w:val="single"/>
          </w:rPr>
          <w:t>北美沉积物中保存的全球气候冷却的青年干旱期火山强迫</w:t>
        </w:r>
      </w:hyperlink>
    </w:p>
    <w:p>
      <w:pPr>
        <w:spacing w:before="0" w:after="80"/>
      </w:pPr>
      <w:r>
        <w:rPr>
          <w:i/>
          <w:sz w:val="20"/>
        </w:rPr>
        <w:t>EN: Volcanic forcing of global climate cooling at the Younger Dryas onset preserved in North American sediments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702">
        <w:r>
          <w:rPr>
            <w:color w:val="1155CC"/>
            <w:u w:val="single"/>
          </w:rPr>
          <w:t>10.1126/sciadv.aec9030</w:t>
        </w:r>
      </w:hyperlink>
    </w:p>
    <w:p>
      <w:pPr>
        <w:spacing w:before="0" w:after="120"/>
      </w:pPr>
      <w:r>
        <w:rPr>
          <w:b/>
        </w:rPr>
        <w:t xml:space="preserve">Notes: </w:t>
      </w:r>
      <w:r>
        <w:t>abstract_source=pubmed</w:t>
      </w:r>
    </w:p>
    <w:p>
      <w:pPr>
        <w:spacing w:before="0" w:after="80" w:lineRule="auto" w:line="276"/>
      </w:pPr>
      <w:r>
        <w:rPr>
          <w:b/>
        </w:rPr>
        <w:t xml:space="preserve">摘要（ZH）: </w:t>
      </w:r>
      <w:r>
        <w:t>较年轻的德里亚斯期（YD；约12.9至11.7千年前）标志着最后一次去冰期期间气候突然回归接近冰川的条件，但其原因仍有争议。一种可能的情景是YD撞击假说，提出了一个外星触发因素。然而，越来越多的地球化学和地层证据指向火山起源。本研究展示了来自佛罗里达Page-Ladson（PL）地点（8JE591）的187Os/188Os同位素和高亲铁元素（HSE）数据，这是一个跨越YD开始的良好定年、连续的沉积记录。PL剖面中的开始以非放射性锇为标志，与升高的Os和Re浓度以及Cl球粒陨石标准化的HSE模式相吻合，其组成范围和特征与火山气溶胶模式密切匹配。当与来自德克萨斯州Hall's Cave和Debra L. Friedkin地点的可比记录整合时，非放射性187Os/188Os比率在多个沉积环境中一致，并与格陵兰和南极冰芯中记录的主要双极火山喷发集群（约12.98至12.87千年前）相关联，其累积辐射强迫超过了公元以来火山活动最活跃的时期。这种火山活动的规模和半球不对称性意味着足够大的强迫，能够扰乱大西洋经向翻转环流并引发北半球快速降温。这些发现提供了多代理、区域一致的证据，支持在YD开始时由火山驱动的扰动，提供了一个强有力的替代方案</w:t>
      </w:r>
    </w:p>
    <w:p>
      <w:pPr>
        <w:spacing w:before="0" w:after="200" w:lineRule="auto" w:line="276"/>
      </w:pPr>
      <w:r>
        <w:rPr>
          <w:b/>
        </w:rPr>
        <w:t xml:space="preserve">Abstract (EN): </w:t>
      </w:r>
      <w:r>
        <w:t>The Younger Dryas (YD; ~12.9 to 11.7 thousand years) marks an abrupt return to near-glacial conditions during the last deglaciation, yet its cause remains debated. One possible scenario, the YD impact hypothesis, proposes an extraterrestrial trigger. However, growing geochemical and stratigraphic evidence points toward a volcanic origin. This study presents the 187Os/188Os isotope and highly siderophile element (HSE) data from the Page-Ladson (PL) site (8JE591) in Florida, a well-dated, continuous sedimentary record spanning the YD onset. The onset in the PL profile is marked by unradiogenic osmium coincident with elevated Os and Re concentrations and a Cl-chondrite-normalized HSE pattern with a compositional range and signature closely matching volcanic aerosol patterns. When integrated with comparable records from Hall's Cave and the Debra L. Friedkin site in Texas, the unradiogenic 187Os/188Os ratios align across multiple depositional environments and correlate with a cluster of major bipolar volcanic eruptions (~12.98 to 12.87 thousand years) documented in Greenland and Antarctic ice cores whose cumulative radiative forcing exceeds the most volcanically active intervals of the Common Era. The magnitude and hemispheric asymmetry of this volcanic activity imply forcing of sufficient magnitude capable of disrupting the Atlantic Meridional Overturning Circulation and triggering rapid Northern Hemisphere cooling. These findings provide multiproxy, regionally consistent evidence for a volcanically driven perturbation at the onset of the YD, offering a robust alternative to impact-based explanations.</w:t>
      </w:r>
    </w:p>
    <w:p>
      <w:pPr>
        <w:spacing w:before="120" w:after="120"/>
      </w:pPr>
      <w:r>
        <w:rPr>
          <w:sz w:val="18"/>
        </w:rPr>
        <w:t>——————————————————————————————————————————————————————————————————————</w:t>
      </w:r>
    </w:p>
    <w:p>
      <w:pPr>
        <w:spacing w:before="160" w:after="40" w:line="240" w:lineRule="auto"/>
      </w:pPr>
      <w:r>
        <w:rPr>
          <w:b/>
        </w:rPr>
        <w:t xml:space="preserve">[300] </w:t>
      </w:r>
      <w:hyperlink r:id="rId703">
        <w:r>
          <w:rPr>
            <w:color w:val="1155CC"/>
            <w:u w:val="single"/>
          </w:rPr>
          <w:t>实现碳排放目标的速度改变区域气候风险</w:t>
        </w:r>
      </w:hyperlink>
    </w:p>
    <w:p>
      <w:pPr>
        <w:spacing w:before="0" w:after="80"/>
      </w:pPr>
      <w:r>
        <w:rPr>
          <w:i/>
          <w:sz w:val="20"/>
        </w:rPr>
        <w:t>EN: The pace of meeting carbon emission targets alters regional climate risks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704">
        <w:r>
          <w:rPr>
            <w:color w:val="1155CC"/>
            <w:u w:val="single"/>
          </w:rPr>
          <w:t>10.1126/sciadv.aec4566</w:t>
        </w:r>
      </w:hyperlink>
    </w:p>
    <w:p>
      <w:pPr>
        <w:spacing w:before="0" w:after="120"/>
      </w:pPr>
      <w:r>
        <w:rPr>
          <w:b/>
        </w:rPr>
        <w:t xml:space="preserve">Notes: </w:t>
      </w:r>
      <w:r>
        <w:t>abstract_source=pubmed</w:t>
      </w:r>
    </w:p>
    <w:p>
      <w:pPr>
        <w:spacing w:before="0" w:after="80" w:lineRule="auto" w:line="276"/>
      </w:pPr>
      <w:r>
        <w:rPr>
          <w:b/>
        </w:rPr>
        <w:t xml:space="preserve">摘要（ZH）: </w:t>
      </w:r>
      <w:r>
        <w:t>碳预算源于累积碳排放与全球变暖之间的近线性关系，指导气候缓解和适应。然而，达到目标预算的速度对气候响应的影响仍不确定。使用29个气候模型，我们比较了缓慢或快速达到相同碳排放目标的情景。较快的轨迹产生更强的陆地变暖和更大的极端热浪暴露，而不是较慢的路径。在46个陆地区域中，37个（80%）在较快的情况下变暖更多，39个（85%）经历更高的热浪暴露。这是因为深海无法快速吸收热量，放大了大气变暖。这些发现强调，不仅总排放量，而且排放速度也对区域气候风险起着关键作用。</w:t>
      </w:r>
    </w:p>
    <w:p>
      <w:pPr>
        <w:spacing w:before="0" w:after="200" w:lineRule="auto" w:line="276"/>
      </w:pPr>
      <w:r>
        <w:rPr>
          <w:b/>
        </w:rPr>
        <w:t xml:space="preserve">Abstract (EN): </w:t>
      </w:r>
      <w:r>
        <w:t>Carbon budgets, derived from the near-linear link between cumulative carbon emissions and global warming, guide climate mitigation and adaptation. However, the impact of the pace of reaching a target budget on climate response remains uncertain. Using 29 climate models, we compare scenarios reaching the same carbon emission target slowly or quickly. A faster trajectory produces stronger land warming and greater exposure to extreme heat waves than a slower pathway. Of 46 land regions, 37 (80%) warm more and 39 (85%) experience higher heat wave exposure in the faster case. This arises because the deep ocean cannot absorb heat rapidly, amplifying atmospheric warming. These findings underscore that not only the total emissions but also the pace of emissions critically governs regional climate risks.</w:t>
      </w:r>
    </w:p>
    <w:p>
      <w:pPr>
        <w:spacing w:before="120" w:after="120"/>
      </w:pPr>
      <w:r>
        <w:rPr>
          <w:sz w:val="18"/>
        </w:rPr>
        <w:t>——————————————————————————————————————————————————————————————————————</w:t>
      </w:r>
    </w:p>
    <w:p>
      <w:pPr>
        <w:spacing w:before="160" w:after="40" w:line="240" w:lineRule="auto"/>
      </w:pPr>
      <w:r>
        <w:rPr>
          <w:b/>
        </w:rPr>
        <w:t xml:space="preserve">[301] </w:t>
      </w:r>
      <w:hyperlink r:id="rId705">
        <w:r>
          <w:rPr>
            <w:color w:val="1155CC"/>
            <w:u w:val="single"/>
          </w:rPr>
          <w:t>人类脑脊液与间质液室流动的定量评估</w:t>
        </w:r>
      </w:hyperlink>
    </w:p>
    <w:p>
      <w:pPr>
        <w:spacing w:before="0" w:after="80"/>
      </w:pPr>
      <w:r>
        <w:rPr>
          <w:i/>
          <w:sz w:val="20"/>
        </w:rPr>
        <w:t>EN: Quantitative assessment of flow between cerebrospinal and interstitial fluid compartments in humans</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706">
        <w:r>
          <w:rPr>
            <w:color w:val="1155CC"/>
            <w:u w:val="single"/>
          </w:rPr>
          <w:t>10.1073/pnas.2526239123</w:t>
        </w:r>
      </w:hyperlink>
    </w:p>
    <w:p>
      <w:pPr>
        <w:spacing w:before="0" w:after="120"/>
      </w:pPr>
      <w:r>
        <w:rPr>
          <w:b/>
        </w:rPr>
        <w:t xml:space="preserve">Notes: </w:t>
      </w:r>
      <w:r>
        <w:t>abstract_source=pubmed</w:t>
      </w:r>
    </w:p>
    <w:p>
      <w:pPr>
        <w:spacing w:before="0" w:after="80" w:lineRule="auto" w:line="276"/>
      </w:pPr>
      <w:r>
        <w:rPr>
          <w:b/>
        </w:rPr>
        <w:t xml:space="preserve">摘要（ZH）: </w:t>
      </w:r>
      <w:r>
        <w:t>根据脑淋巴系统理论，脑脊液（CSF）灌注大脑的间质空间以支持废物清除，但这种流动的大小和人类间质液（ISF）的流出途径仍不确定。为了实现流量量化，我们应用了一个与鞘内注射钆后获得的连续定量MRI数据结合使用的隔室模型方法。使用该方法，我们估计了CSF到ISF的流入量为45 ± 20 mL/h，在疑似特发性正常压力脑积水患者中。组织特异性贡献为皮质灰质34 ± 14 mL/h，白质11±6 mL/h，皮质下灰质0.4 ± 0.3 mL/h，表明CSF灌注主要发生在靠近蛛网膜下腔的浅表区域。流入与颅脊系统总流出之间缺乏相关性（r = 0.03，P = 0.91）表明ISF循环回到CSF，而不是通过单独的途径离开颅脊系统。在健康老年人中使用静脉注射钆进行的独立实验支持ISF到CSF的再循环，其中推测穿过血脑屏障的对比材料随后出现在蛛网膜下腔中，允许ISF到CSF流量的量化。这些发现为研究人类大脑清除提供了一个定量框架，并支持蛛网膜下腔再循环作为一个重要的流出途径。</w:t>
      </w:r>
    </w:p>
    <w:p>
      <w:pPr>
        <w:spacing w:before="0" w:after="200" w:lineRule="auto" w:line="276"/>
      </w:pPr>
      <w:r>
        <w:rPr>
          <w:b/>
        </w:rPr>
        <w:t xml:space="preserve">Abstract (EN): </w:t>
      </w:r>
      <w:r>
        <w:t>According to glymphatic system theory, cerebrospinal fluid (CSF) perfuses the brain's interstitial space to support waste clearance, but the magnitude of this flow and the outflow pathway of interstitial fluid (ISF) in humans remain uncertain. To achieve flow quantification, we applied a compartment-model approach applied in conjunction with serial quantitative MRI data acquired after intrathecal gadolinium administration. Using the method, we estimated CSF-to-ISF inflow to 45 ± 20 mL/h, in patients with suspected idiopathic normal pressure hydrocephalus. Tissue-specific contributions were 34 ± 14 mL/h in cortical gray matter, 11±6 mL/h in white matter, and 0.4 ± 0.3 mL/h in subcortical gray matter, suggesting that CSF perfusion occurs primarily in superficial regions near the subarachnoid space. A lack of correlation between inflow and total craniospinal system outflow (r = 0.03, P = 0.91) suggested that ISF recirculates back into CSF rather than exiting the craniospinal system via a separate route. Independent experiments in healthy older individuals using intravenous gadolinium administration supported ISF-to-CSF recirculation, where contrast material that presumably crossed the blood-brain barrier subsequently appeared in the subarachnoid space, allowing ISF-to-CSF flow quantification. These findings provide a quantitative framework for studying brain clearance in humans and support subarachnoid space recirculation as an important efflux route.</w:t>
      </w:r>
    </w:p>
    <w:p>
      <w:pPr>
        <w:spacing w:before="120" w:after="120"/>
      </w:pPr>
      <w:r>
        <w:rPr>
          <w:sz w:val="18"/>
        </w:rPr>
        <w:t>——————————————————————————————————————————————————————————————————————</w:t>
      </w:r>
    </w:p>
    <w:p>
      <w:pPr>
        <w:spacing w:before="160" w:after="40" w:line="240" w:lineRule="auto"/>
      </w:pPr>
      <w:r>
        <w:rPr>
          <w:b/>
        </w:rPr>
        <w:t xml:space="preserve">[302] </w:t>
      </w:r>
      <w:hyperlink r:id="rId707">
        <w:r>
          <w:rPr>
            <w:color w:val="1155CC"/>
            <w:u w:val="single"/>
          </w:rPr>
          <w:t>南极中层水特性变化与中布伦海斯事件期间大气CO2上升相吻合</w:t>
        </w:r>
      </w:hyperlink>
    </w:p>
    <w:p>
      <w:pPr>
        <w:spacing w:before="0" w:after="80"/>
      </w:pPr>
      <w:r>
        <w:rPr>
          <w:i/>
          <w:sz w:val="20"/>
        </w:rPr>
        <w:t>EN: Shifts in Antarctic Intermediate Water properties coincide with atmospheric CO2 rise across the Mid-Brunhes Event</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708">
        <w:r>
          <w:rPr>
            <w:color w:val="1155CC"/>
            <w:u w:val="single"/>
          </w:rPr>
          <w:t>10.1126/sciadv.ady4567</w:t>
        </w:r>
      </w:hyperlink>
    </w:p>
    <w:p>
      <w:pPr>
        <w:spacing w:before="0" w:after="120"/>
      </w:pPr>
      <w:r>
        <w:rPr>
          <w:b/>
        </w:rPr>
        <w:t xml:space="preserve">Notes: </w:t>
      </w:r>
      <w:r>
        <w:t>abstract_source=pubmed</w:t>
      </w:r>
    </w:p>
    <w:p>
      <w:pPr>
        <w:spacing w:before="0" w:after="80" w:lineRule="auto" w:line="276"/>
      </w:pPr>
      <w:r>
        <w:rPr>
          <w:b/>
        </w:rPr>
        <w:t xml:space="preserve">摘要（ZH）: </w:t>
      </w:r>
      <w:r>
        <w:t>南极中层水（AAIW）是全球碳循环的关键，但其对过去大气CO2变化的影响仍不清楚。通过使用来自南大洋太平洋区域的数据稀缺的多代理重建，我们研究了跨越中布伦赫斯事件（MBE）这一主要CO2过渡期的源区间冰期AAIW变异性。尽管表面温度在60万年间保持稳定，但MBE后的AAIW变得更温暖和更咸，可能是由于冰山衍生的淡水输入减少。相比之下，MBE前的AAIW更冷、更淡，增强的热分层可能促进了更大的CO2吸收和储存。MBE后AAIW的封存能力下降，与大气CO2上升相吻合，表明中层水在调节CO2方面发挥了关键作用，挑战了仅底层水过程变化控制这一关键气候过渡的观点。</w:t>
      </w:r>
    </w:p>
    <w:p>
      <w:pPr>
        <w:spacing w:before="0" w:after="200" w:lineRule="auto" w:line="276"/>
      </w:pPr>
      <w:r>
        <w:rPr>
          <w:b/>
        </w:rPr>
        <w:t xml:space="preserve">Abstract (EN): </w:t>
      </w:r>
      <w:r>
        <w:t>Antarctic Intermediate Water (AAIW) is key to the global carbon cycle, yet its influence on past atmospheric CO2 changes remains unclear. Using multiproxy reconstructions from the data-poor Pacific sector of the Southern Ocean, we examine interglacial AAIW variability in its source region across the Mid-Brunhes Event (MBE), a major CO2 transition. While surface temperatures remained stable over 600 thousand years, post-MBE AAIW became warmer and saltier, possibly due to reduced iceberg-derived freshwater input. In contrast, colder, fresher pre-MBE AAIW and enhanced thermal stratification may have promoted greater CO2 uptake and storage. The post-MBE declining sequestration capacity of AAIW, coinciding with rising atmospheric CO2, suggests intermediate waters played a critical role in modulating CO2, challenging the view that changes in bottom-water processes alone controlled this key climatic transition.</w:t>
      </w:r>
    </w:p>
    <w:p>
      <w:pPr>
        <w:spacing w:before="120" w:after="120"/>
      </w:pPr>
      <w:r>
        <w:rPr>
          <w:sz w:val="18"/>
        </w:rPr>
        <w:t>——————————————————————————————————————————————————————————————————————</w:t>
      </w:r>
    </w:p>
    <w:p>
      <w:pPr>
        <w:spacing w:before="160" w:after="40" w:line="240" w:lineRule="auto"/>
      </w:pPr>
      <w:r>
        <w:rPr>
          <w:b/>
        </w:rPr>
        <w:t xml:space="preserve">[303] </w:t>
      </w:r>
      <w:hyperlink r:id="rId709">
        <w:r>
          <w:rPr>
            <w:color w:val="1155CC"/>
            <w:u w:val="single"/>
          </w:rPr>
          <w:t>TLR7在甲型流感感染期间改变母体免疫环境，增加母体和胎儿的发病率</w:t>
        </w:r>
      </w:hyperlink>
    </w:p>
    <w:p>
      <w:pPr>
        <w:spacing w:before="0" w:after="80"/>
      </w:pPr>
      <w:r>
        <w:rPr>
          <w:i/>
          <w:sz w:val="20"/>
        </w:rPr>
        <w:t>EN: TLR7 alters the maternal immune landscape during influenza A infection to increase maternal and fetal morbidity</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710">
        <w:r>
          <w:rPr>
            <w:color w:val="1155CC"/>
            <w:u w:val="single"/>
          </w:rPr>
          <w:t>10.1126/sciadv.ady2382</w:t>
        </w:r>
      </w:hyperlink>
    </w:p>
    <w:p>
      <w:pPr>
        <w:spacing w:before="0" w:after="120"/>
      </w:pPr>
      <w:r>
        <w:rPr>
          <w:b/>
        </w:rPr>
        <w:t xml:space="preserve">Notes: </w:t>
      </w:r>
      <w:r>
        <w:t>abstract_source=pubmed</w:t>
      </w:r>
    </w:p>
    <w:p>
      <w:pPr>
        <w:spacing w:before="0" w:after="80" w:lineRule="auto" w:line="276"/>
      </w:pPr>
      <w:r>
        <w:rPr>
          <w:b/>
        </w:rPr>
        <w:t xml:space="preserve">摘要（ZH）: </w:t>
      </w:r>
      <w:r>
        <w:t>感染甲型流感病毒（IAV）的孕妇面临严重疾病的风险增加，导致母体和胎儿并发症。Toll样受体7（TLR7）识别单链RNA病毒，包括IAV，但其在IAV感染期间对母体免疫反应和妊娠结果的作用尚不清楚。在此，我们证明TLR7敲除（TLR7-/-）孕鼠显示出疾病严重程度降低，尽管与野生型（WT）小鼠相比，肺部病毒滴度相似。TLR7-/-母鼠表现出不同的肺部反应，包括淋巴细胞浸润减少、中性粒细胞反应增强，以及从I型干扰素活性向II型干扰素活性转变。发现TLR7信号对于IAV诱导的妊娠期血管功能障碍的发展至关重要。TLR7-/-小鼠的后代表现出改善的体重和减少的胎盘和胎儿大脑炎症，与WT对照相比。我们提供证据表明TLR7是IAV感染期间不良妊娠结果的关键介质，也是减少母体和胎儿发病率的潜在治疗靶点。</w:t>
      </w:r>
    </w:p>
    <w:p>
      <w:pPr>
        <w:spacing w:before="0" w:after="200" w:lineRule="auto" w:line="276"/>
      </w:pPr>
      <w:r>
        <w:rPr>
          <w:b/>
        </w:rPr>
        <w:t xml:space="preserve">Abstract (EN): </w:t>
      </w:r>
      <w:r>
        <w:t>Pregnant women infected with influenza A virus (IAV) are at increased risk of severe disease, leading to maternal and fetal complications. Toll-like receptor 7 (TLR7) recognizes single-stranded RNA viruses, including IAV, yet its role in maternal immune responses and pregnancy outcomes during IAV infection is poorly understood. Here, we demonstrate that TLR7-knockout (TLR7-/-) pregnant mice showed reduced disease severity, despite similar pulmonary viral titers to wild-type (WT) mice. TLR7-/- dams exhibited distinct pulmonary responses, including reduced lymphocyte infiltration, enhanced neutrophil response, and a shift from type I to type II interferon activity. TLR7 signaling was found to be essential for the development of IAV-induced vascular dysfunction during pregnancy. Offspring from TLR7-/- mice showed improved body weight and reduced placental and fetal brain inflammation compared to WT counterparts. We provide evidence that TLR7 is a critical mediator of adverse pregnancy outcomes during IAV infection and a potential therapeutic target to reduce maternal and fetal morbidity.</w:t>
      </w:r>
    </w:p>
    <w:p>
      <w:pPr>
        <w:spacing w:before="120" w:after="120"/>
      </w:pPr>
      <w:r>
        <w:rPr>
          <w:sz w:val="18"/>
        </w:rPr>
        <w:t>——————————————————————————————————————————————————————————————————————</w:t>
      </w:r>
    </w:p>
    <w:p>
      <w:pPr>
        <w:spacing w:before="160" w:after="40" w:line="240" w:lineRule="auto"/>
      </w:pPr>
      <w:r>
        <w:rPr>
          <w:b/>
        </w:rPr>
        <w:t xml:space="preserve">[304] </w:t>
      </w:r>
      <w:hyperlink r:id="rId711">
        <w:r>
          <w:rPr>
            <w:color w:val="1155CC"/>
            <w:u w:val="single"/>
          </w:rPr>
          <w:t>免疫系统中的设计原则：兴奋性</w:t>
        </w:r>
      </w:hyperlink>
    </w:p>
    <w:p>
      <w:pPr>
        <w:spacing w:before="0" w:after="80"/>
      </w:pPr>
      <w:r>
        <w:rPr>
          <w:i/>
          <w:sz w:val="20"/>
        </w:rPr>
        <w:t>EN: Excitability as a design principle in the immune system</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712">
        <w:r>
          <w:rPr>
            <w:color w:val="1155CC"/>
            <w:u w:val="single"/>
          </w:rPr>
          <w:t>10.1126/sciadv.aeb0921</w:t>
        </w:r>
      </w:hyperlink>
    </w:p>
    <w:p>
      <w:pPr>
        <w:spacing w:before="0" w:after="120"/>
      </w:pPr>
      <w:r>
        <w:rPr>
          <w:b/>
        </w:rPr>
        <w:t xml:space="preserve">Notes: </w:t>
      </w:r>
      <w:r>
        <w:t>abstract_source=pubmed</w:t>
      </w:r>
    </w:p>
    <w:p>
      <w:pPr>
        <w:spacing w:before="0" w:after="80" w:lineRule="auto" w:line="276"/>
      </w:pPr>
      <w:r>
        <w:rPr>
          <w:b/>
        </w:rPr>
        <w:t xml:space="preserve">摘要（ZH）: </w:t>
      </w:r>
      <w:r>
        <w:t>免疫学知识的增长已超过解释分子电路如何产生免疫目标（对病原体的强烈反应、自我耐受和防止附带损害）的统一概念的发展。在此，我们提出兴奋性这一来自动态系统的概念在不同背景下提供了这些目标。一个兴奋性系统在刺激超过阈值时产生大的响应脉冲，然后自行关闭，随后进入不应期。我们数学筛选了数千个细胞因子和细胞电路，以识别能够显示兴奋性的少数几个。在这些中，一个单一的稳健电路在速度和强度上是帕累托最优的——一个诱导自身并诱导其抑制剂的效应器。这个电路在人体免疫网络中出现了数十次，而次优电路则没有。它解释了关于严重急性呼吸综合征冠状病毒2、自身免疫爆发和肿瘤免疫的数据，并提出了治疗靶点。兴奋性可能统一我们对免疫电路的理解。</w:t>
      </w:r>
    </w:p>
    <w:p>
      <w:pPr>
        <w:spacing w:before="0" w:after="200" w:lineRule="auto" w:line="276"/>
      </w:pPr>
      <w:r>
        <w:rPr>
          <w:b/>
        </w:rPr>
        <w:t xml:space="preserve">Abstract (EN): </w:t>
      </w:r>
      <w:r>
        <w:t>Growing knowledge in immunology has outpaced the development of unifying concepts that explain how molecular circuits generate immune goals-strong response to pathogens, self-tolerance, and prevention of collateral damage. Here, we propose that excitability, a concept from dynamical systems, provides these goals in diverse contexts. An excitable system produces a large response pulse when stimulus crosses a threshold and then shuts itself down, followed by a refractory period. We mathematically screen thousands of cytokine and cell circuits to identify the handful that can show excitability. Of these, a single robust circuit is Pareto optimal for speed and strength-an effector that induces itself and induces its inhibitor. This circuit appears dozens of times in the human immune network, whereas the suboptimal circuits do not. It explains data on severe acute respiratory syndrome coronavirus 2, autoimmune flares, and tumor immunity and suggests therapeutic targets. Excitability may unite our understanding of immune circuits.</w:t>
      </w:r>
    </w:p>
    <w:p>
      <w:pPr>
        <w:spacing w:before="120" w:after="120"/>
      </w:pPr>
      <w:r>
        <w:rPr>
          <w:sz w:val="18"/>
        </w:rPr>
        <w:t>——————————————————————————————————————————————————————————————————————</w:t>
      </w:r>
    </w:p>
    <w:p>
      <w:pPr>
        <w:spacing w:before="160" w:after="40" w:line="240" w:lineRule="auto"/>
      </w:pPr>
      <w:r>
        <w:rPr>
          <w:b/>
        </w:rPr>
        <w:t xml:space="preserve">[305] </w:t>
      </w:r>
      <w:hyperlink r:id="rId713">
        <w:r>
          <w:rPr>
            <w:color w:val="1155CC"/>
            <w:u w:val="single"/>
          </w:rPr>
          <w:t>自发突变率和谱系受生物体适应度调节</w:t>
        </w:r>
      </w:hyperlink>
    </w:p>
    <w:p>
      <w:pPr>
        <w:spacing w:before="0" w:after="80"/>
      </w:pPr>
      <w:r>
        <w:rPr>
          <w:i/>
          <w:sz w:val="20"/>
        </w:rPr>
        <w:t>EN: Spontaneous mutation rate and spectrum are modulated by organismal fitness</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714">
        <w:r>
          <w:rPr>
            <w:color w:val="1155CC"/>
            <w:u w:val="single"/>
          </w:rPr>
          <w:t>10.1126/sciadv.adj6957</w:t>
        </w:r>
      </w:hyperlink>
    </w:p>
    <w:p>
      <w:pPr>
        <w:spacing w:before="0" w:after="120"/>
      </w:pPr>
      <w:r>
        <w:rPr>
          <w:b/>
        </w:rPr>
        <w:t xml:space="preserve">Notes: </w:t>
      </w:r>
      <w:r>
        <w:t>abstract_source=pubmed</w:t>
      </w:r>
    </w:p>
    <w:p>
      <w:pPr>
        <w:spacing w:before="0" w:after="80" w:lineRule="auto" w:line="276"/>
      </w:pPr>
      <w:r>
        <w:rPr>
          <w:b/>
        </w:rPr>
        <w:t xml:space="preserve">摘要（ZH）: </w:t>
      </w:r>
      <w:r>
        <w:t>理解控制诱变的原理很重要，因为突变是进化的基本驱动力和疾病的原因。虽然突变率和谱系取决于基因型和环境，但这些因素如何相互作用尚不清楚。我们通过在三个环境中对11种出芽酵母菌株进行突变积累实验来解决这个问题，这些环境在适应度上产生了强烈的基因型与环境的相互作用。对超过9000个积累突变的分析表明，所有突变类型的每代突变率——单核苷酸变异、小插入和缺失、片段复制和缺失以及染色体增益和损失——随着生物体适应度的增加而下降。值得注意的是，当环境变化逆转其相对适应度时，菌株之间的相对突变率往往会反转。突变谱也部分依赖于适应度：适应度较高的菌株显示出较低的转换与颠换比率和更强的AT突变偏向。因此，生物体适应度不仅影响自然选择，还影响可供选择的突变的数量和组成，对分子钟、适应性进化和遗传负担具有广泛的影响。</w:t>
      </w:r>
    </w:p>
    <w:p>
      <w:pPr>
        <w:spacing w:before="0" w:after="200" w:lineRule="auto" w:line="276"/>
      </w:pPr>
      <w:r>
        <w:rPr>
          <w:b/>
        </w:rPr>
        <w:t xml:space="preserve">Abstract (EN): </w:t>
      </w:r>
      <w:r>
        <w:t>Understanding the principles governing mutagenesis is important because mutations are a fundamental driver of evolution and a cause of disease. Although mutation rates and spectra depend on genotype and environment, how these factors interact is unclear. We address this question using mutation accumulation experiments in 11 budding yeast strains across three environments that produce strong genotype-by-environment interactions in fitness. Analysis of over 9000 accumulated mutations reveals that per-generation rates of all mutation types-single-nucleotide variations, small insertions and deletions, segmental duplications and deletions, and chromosome gains and losses-decline with increasing organismal fitness. Notably, relative mutation rates between strains tend to invert when environmental shifts reverse their relative fitness. The mutation spectrum is also partially fitness dependent: Higher-fitness strains show a lower transition-to-transversion ratio and a stronger AT mutational bias. Thus, organismal fitness shapes not only natural selection but also the quantity and composition of mutations available to selection, with broad implications for the molecular clock, adaptive evolution, and genetic load.</w:t>
      </w:r>
    </w:p>
    <w:p>
      <w:pPr>
        <w:spacing w:before="120" w:after="120"/>
      </w:pPr>
      <w:r>
        <w:rPr>
          <w:sz w:val="18"/>
        </w:rPr>
        <w:t>——————————————————————————————————————————————————————————————————————</w:t>
      </w:r>
    </w:p>
    <w:p>
      <w:pPr>
        <w:spacing w:before="160" w:after="40" w:line="240" w:lineRule="auto"/>
      </w:pPr>
      <w:r>
        <w:rPr>
          <w:b/>
        </w:rPr>
        <w:t xml:space="preserve">[306] </w:t>
      </w:r>
      <w:hyperlink r:id="rId715">
        <w:r>
          <w:rPr>
            <w:color w:val="1155CC"/>
            <w:u w:val="single"/>
          </w:rPr>
          <w:t>界面有机阳离子的动态组装实现了酸性条件下高稳定性和选择性的CO2电还原</w:t>
        </w:r>
      </w:hyperlink>
    </w:p>
    <w:p>
      <w:pPr>
        <w:spacing w:before="0" w:after="80"/>
      </w:pPr>
      <w:r>
        <w:rPr>
          <w:i/>
          <w:sz w:val="20"/>
        </w:rPr>
        <w:t>EN: Dynamic assembly of interfacial organic cations enables highly stable and selective CO2 electroreduction in acid</w:t>
      </w:r>
    </w:p>
    <w:p>
      <w:pPr>
        <w:spacing w:before="0" w:after="120"/>
      </w:pPr>
      <w:r>
        <w:rPr>
          <w:b/>
        </w:rPr>
        <w:t xml:space="preserve">Source: </w:t>
      </w:r>
      <w:r>
        <w:t>AAAS: Science Advances: Table of Contents</w:t>
      </w:r>
      <w:r>
        <w:t xml:space="preserve">    </w:t>
      </w:r>
      <w:r>
        <w:rPr>
          <w:b/>
        </w:rPr>
        <w:t xml:space="preserve">Pub date: </w:t>
      </w:r>
      <w:r>
        <w:t>2026-04-29 07:00:00+00:00</w:t>
      </w:r>
      <w:r>
        <w:t xml:space="preserve">    </w:t>
      </w:r>
      <w:r>
        <w:rPr>
          <w:b/>
        </w:rPr>
        <w:t xml:space="preserve">DOI: </w:t>
      </w:r>
      <w:hyperlink r:id="rId716">
        <w:r>
          <w:rPr>
            <w:color w:val="1155CC"/>
            <w:u w:val="single"/>
          </w:rPr>
          <w:t>10.1126/sciadv.aea1941</w:t>
        </w:r>
      </w:hyperlink>
    </w:p>
    <w:p>
      <w:pPr>
        <w:spacing w:before="0" w:after="120"/>
      </w:pPr>
      <w:r>
        <w:rPr>
          <w:b/>
        </w:rPr>
        <w:t xml:space="preserve">Notes: </w:t>
      </w:r>
      <w:r>
        <w:t>abstract_source=pubmed</w:t>
      </w:r>
    </w:p>
    <w:p>
      <w:pPr>
        <w:spacing w:before="0" w:after="80" w:lineRule="auto" w:line="276"/>
      </w:pPr>
      <w:r>
        <w:rPr>
          <w:b/>
        </w:rPr>
        <w:t xml:space="preserve">摘要（ZH）: </w:t>
      </w:r>
      <w:r>
        <w:t>酸性CO2电还原相比中性/碱性系统提供了更高的碳利用效率，但在使用传统金属阳离子电解质时面临氢气演化主导和盐沉淀引起的不稳定性双重挑战。在此，我们报告了一种四甲基铵（TMA+）阳离子介导的策略，该策略在Au纳米颗粒上同时实现了对CO生产的卓越选择性和稳定性，在工业级电流密度下达到接近100%的法拉第效率，同时在没有盐沉淀的情况下连续运行2600小时。通过原位电化学原子力显微镜，我们直接观察到TMA+在电双层内的多层结构的电位依赖动态组装，这一现象此前在理论上已被预测。组装的TMA+层破坏了质子传输的氢键网络，同时，其疏水性和高TMA+-碳酸氢盐溶解度防止了盐沉淀，从而导致了显著的选择性和稳定性。这项工作不仅为推动CO2电解向实际应用引入了先进的范式，还拓宽了我们对阳离子效应的理解。</w:t>
      </w:r>
    </w:p>
    <w:p>
      <w:pPr>
        <w:spacing w:before="0" w:after="200" w:lineRule="auto" w:line="276"/>
      </w:pPr>
      <w:r>
        <w:rPr>
          <w:b/>
        </w:rPr>
        <w:t xml:space="preserve">Abstract (EN): </w:t>
      </w:r>
      <w:r>
        <w:t>Acidic CO2 electroreduction offers enhanced carbon utilization efficiency compared to neutral/alkaline systems but faces dual challenges of hydrogen evolution dominance and salt precipitation-induced instability when using conventional metal cation electrolytes. Here, we report a tetramethylammonium (TMA+) cation-mediated strategy that simultaneously achieves exceptional selectivity and stability toward CO production over Au nanoparticles, a near-unity Faradaic efficiency at an industrial-level current density, while maintaining continuous operation for 2600 hours without salt precipitation. Through in situ electrochemical atomic force microscopy, we directly visualize the potential-dependent dynamic assembly of TMA+ into multilayered structures within the electric double layer, a phenomenon previously predicted theoretically. The assembled TMA+ layers disrupt the hydrogen-bond network for proton transport, and meanwhile, their hydrophobicity and the high TMA+-bicarbonate solubility prevent salt precipitation, which leads to both substantial selectivity and stability. This work not only introduces an advanced paradigm for propelling the CO2 electrolysis toward practical applications but also broadens our understanding of the cation effect.</w:t>
      </w:r>
    </w:p>
    <w:p>
      <w:pPr>
        <w:spacing w:before="120" w:after="120"/>
      </w:pPr>
      <w:r>
        <w:rPr>
          <w:sz w:val="18"/>
        </w:rPr>
        <w:t>——————————————————————————————————————————————————————————————————————</w:t>
      </w:r>
    </w:p>
    <w:p>
      <w:pPr>
        <w:spacing w:before="160" w:after="40" w:line="240" w:lineRule="auto"/>
      </w:pPr>
      <w:r>
        <w:rPr>
          <w:b/>
        </w:rPr>
        <w:t xml:space="preserve">[307] </w:t>
      </w:r>
      <w:hyperlink r:id="rId717">
        <w:r>
          <w:rPr>
            <w:color w:val="1155CC"/>
            <w:u w:val="single"/>
          </w:rPr>
          <w:t>铜氧化物中交织序和空穴口袋的热SU(2)晶格规范理论</w:t>
        </w:r>
      </w:hyperlink>
    </w:p>
    <w:p>
      <w:pPr>
        <w:spacing w:before="0" w:after="80"/>
      </w:pPr>
      <w:r>
        <w:rPr>
          <w:i/>
          <w:sz w:val="20"/>
        </w:rPr>
        <w:t>EN: Thermal SU(2) lattice gauge theory for intertwined orders and hole pockets in the cuprates</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718">
        <w:r>
          <w:rPr>
            <w:color w:val="1155CC"/>
            <w:u w:val="single"/>
          </w:rPr>
          <w:t>10.1073/pnas.2606117123</w:t>
        </w:r>
      </w:hyperlink>
    </w:p>
    <w:p>
      <w:pPr>
        <w:spacing w:before="0" w:after="120"/>
      </w:pPr>
      <w:r>
        <w:rPr>
          <w:b/>
        </w:rPr>
        <w:t xml:space="preserve">Notes: </w:t>
      </w:r>
      <w:r>
        <w:t>abstract_source=pubmed</w:t>
      </w:r>
    </w:p>
    <w:p>
      <w:pPr>
        <w:spacing w:before="0" w:after="80" w:lineRule="auto" w:line="276"/>
      </w:pPr>
      <w:r>
        <w:rPr>
          <w:b/>
        </w:rPr>
        <w:t xml:space="preserve">摘要（ZH）: </w:t>
      </w:r>
      <w:r>
        <w:t>铜酸盐伪能隙相在光电子发射和扫描隧道显微镜中显示费米弧光谱权重，而最近的磁传输观察提供了分数面积为p/8的空穴口袋存在的证据，其中p是掺杂密度。我们提出了一项热SU(2)晶格规范理论的蒙特卡罗研究，可以调和这些观察结果。我们的模拟包括π通量自旋液体的SU(2)规范场U和SU(2)基本电荷e希格斯玻色子B。B、自旋液体的费米子自旋子和分数化费米液体的空穴口袋之间存在一个Yukawa耦合。在伪能隙的较高温度下，通过仅包括B和U的热波动而避免了有限掺杂符号问题，而费米子在每个玻色子背景下被精确对角化。我们的研究还提供了低温下交织有序的分数化描述，包括通过排除具有通量[Formula: see text]的涡旋而开始的d波超导性，每个涡旋都有电荷有序光晕。我们讨论了在清洁的欠掺杂铜酸盐中，来自面积为[Formula: see text]的空穴口袋的量子振荡在态密度中可观察的条件。</w:t>
      </w:r>
    </w:p>
    <w:p>
      <w:pPr>
        <w:spacing w:before="0" w:after="200" w:lineRule="auto" w:line="276"/>
      </w:pPr>
      <w:r>
        <w:rPr>
          <w:b/>
        </w:rPr>
        <w:t xml:space="preserve">Abstract (EN): </w:t>
      </w:r>
      <w:r>
        <w:t>The cuprate pseudogap phase displays Fermi arc spectral weight in photoemission and scanning tunneling microscopy, while recent magnetotransport observations yield evidence for the existence of hole pockets of fractional area p/8, where p is the doping density. We present a Monte Carlo study of a thermal SU(2) lattice gauge theory which can reconcile these observations. Our simulation includes the SU(2) gauge field U of a π-flux spin liquid, and a SU(2) fundamental charge e Higgs boson B. There is a Yukawa coupling between B, the fermionic spinons of the spin liquid, and the hole pockets of a fractionalized Fermi liquid. At the higher temperatures of the pseudogap, the finite-doping sign problem is evaded by including only thermal fluctuations of B and U, while the fermions are diagonalized exactly for each boson background. Our study also yields a fractionalized description of intertwined orders at lower temperatures, including the onset of d-wave superconductivity by the expulsion of vortices with flux [Formula: see text], each with charge-order halos. We discuss conditions under which quantum oscillations in the density of states from hole pockets of area [Formula: see text] could be observable in clean under-hole-doped cuprates.</w:t>
      </w:r>
    </w:p>
    <w:p>
      <w:pPr>
        <w:spacing w:before="120" w:after="120"/>
      </w:pPr>
      <w:r>
        <w:rPr>
          <w:sz w:val="18"/>
        </w:rPr>
        <w:t>——————————————————————————————————————————————————————————————————————</w:t>
      </w:r>
    </w:p>
    <w:p>
      <w:pPr>
        <w:spacing w:before="160" w:after="40" w:line="240" w:lineRule="auto"/>
      </w:pPr>
      <w:r>
        <w:rPr>
          <w:b/>
        </w:rPr>
        <w:t xml:space="preserve">[308] </w:t>
      </w:r>
      <w:hyperlink r:id="rId719">
        <w:r>
          <w:rPr>
            <w:color w:val="1155CC"/>
            <w:u w:val="single"/>
          </w:rPr>
          <w:t>多模态分析揭示了不确定区的细胞多样性和不同的回路</w:t>
        </w:r>
      </w:hyperlink>
    </w:p>
    <w:p>
      <w:pPr>
        <w:spacing w:before="0" w:after="80"/>
      </w:pPr>
      <w:r>
        <w:rPr>
          <w:i/>
          <w:sz w:val="20"/>
        </w:rPr>
        <w:t>EN: Multimodal analysis reveals cellular diversity and divergent circuits of the zona incerta</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720">
        <w:r>
          <w:rPr>
            <w:color w:val="1155CC"/>
            <w:u w:val="single"/>
          </w:rPr>
          <w:t>10.1073/pnas.2509781123</w:t>
        </w:r>
      </w:hyperlink>
    </w:p>
    <w:p>
      <w:pPr>
        <w:spacing w:before="0" w:after="120"/>
      </w:pPr>
      <w:r>
        <w:rPr>
          <w:b/>
        </w:rPr>
        <w:t xml:space="preserve">Notes: </w:t>
      </w:r>
      <w:r>
        <w:t>abstract_source=pubmed</w:t>
      </w:r>
    </w:p>
    <w:p>
      <w:pPr>
        <w:spacing w:before="0" w:after="80" w:lineRule="auto" w:line="276"/>
      </w:pPr>
      <w:r>
        <w:rPr>
          <w:b/>
        </w:rPr>
        <w:t xml:space="preserve">摘要（ZH）: </w:t>
      </w:r>
      <w:r>
        <w:t>不确定区（ZI）在多种行为功能中起着重要作用，并且是用于深部脑刺激治疗神经系统疾病的新兴临床目标。尽管其重要性，ZI的细胞类型组成以及将特定ZI细胞类型与全脑回路连接的解剖回路组织仍不清楚。在这项研究中，我们使用单核RNA测序、空间RNA分析、离体电生理学和解剖回路映射生成ZI的多模态细胞图谱，并表征特定ZI细胞类型的全脑单突触输入。我们定义了四种基因上不同的ZI GABA能神经元群体，这些群体表现出独特的空间分布、特化的内在电生理特性、不同的传出投射和细胞类型依赖的突触输入模式。最后，使用光纤光度法，我们揭示了在围绕由诱食和天生厌恶刺激产生的趋避冲突的行为测验中，不同ZI细胞类型之间的反应差异。因此，这项研究为设计和解释未来旨在理解ZI的组织和功能的实验提供了基础资源。</w:t>
      </w:r>
    </w:p>
    <w:p>
      <w:pPr>
        <w:spacing w:before="0" w:after="200" w:lineRule="auto" w:line="276"/>
      </w:pPr>
      <w:r>
        <w:rPr>
          <w:b/>
        </w:rPr>
        <w:t xml:space="preserve">Abstract (EN): </w:t>
      </w:r>
      <w:r>
        <w:t>The zona incerta (ZI) plays an important role in diverse behavioral functions and is an emerging clinical target for deep brain stimulation to treat neurological conditions. Despite their importance, the cell type composition of the ZI and the anatomical circuit organization linking specific ZI cell types to brain-wide circuits remain unclear. In this study, we used single-nucleus RNA-sequencing, spatial RNA profiling, ex vivo electrophysiology, and anatomical circuit mapping to generate a multimodal cellular atlas of the ZI and to characterize the brain-wide monosynaptic inputs to specific ZI cell types. We define four genetically distinct populations of ZI GABAergic neurons that display unique spatial distributions, specialized intrinsic electrophysiological properties, divergent efferent projections, and cell-type-dependent synaptic input patterns. Finally, using fiber photometry, we reveal response divergence between distinct ZI cell types in a behavioral assay that centers around approach-avoidance conflict produced by appetitive and innately aversive stimuli. This study thus provides a foundational resource for the design and interpretation of future experiments aimed at understanding the organization and function of the ZI.</w:t>
      </w:r>
    </w:p>
    <w:p>
      <w:pPr>
        <w:spacing w:before="120" w:after="120"/>
      </w:pPr>
      <w:r>
        <w:rPr>
          <w:sz w:val="18"/>
        </w:rPr>
        <w:t>——————————————————————————————————————————————————————————————————————</w:t>
      </w:r>
    </w:p>
    <w:p>
      <w:pPr>
        <w:spacing w:before="160" w:after="40" w:line="240" w:lineRule="auto"/>
      </w:pPr>
      <w:r>
        <w:rPr>
          <w:b/>
        </w:rPr>
        <w:t xml:space="preserve">[309] </w:t>
      </w:r>
      <w:hyperlink r:id="rId721">
        <w:r>
          <w:rPr>
            <w:color w:val="1155CC"/>
            <w:u w:val="single"/>
          </w:rPr>
          <w:t>探索PrPC展开作为PrPSc传播背景下其重新折叠的关键步骤</w:t>
        </w:r>
      </w:hyperlink>
    </w:p>
    <w:p>
      <w:pPr>
        <w:spacing w:before="0" w:after="80"/>
      </w:pPr>
      <w:r>
        <w:rPr>
          <w:i/>
          <w:sz w:val="20"/>
        </w:rPr>
        <w:t>EN: Exploring PrPC unfolding as a critical step preceding its refolding in the context of PrPSc propagation</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722">
        <w:r>
          <w:rPr>
            <w:color w:val="1155CC"/>
            <w:u w:val="single"/>
          </w:rPr>
          <w:t>10.1073/pnas.2529837123</w:t>
        </w:r>
      </w:hyperlink>
    </w:p>
    <w:p>
      <w:pPr>
        <w:spacing w:before="0" w:after="120"/>
      </w:pPr>
      <w:r>
        <w:rPr>
          <w:b/>
        </w:rPr>
        <w:t xml:space="preserve">Notes: </w:t>
      </w:r>
      <w:r>
        <w:t>abstract_source=pubmed</w:t>
      </w:r>
    </w:p>
    <w:p>
      <w:pPr>
        <w:spacing w:before="0" w:after="80" w:lineRule="auto" w:line="276"/>
      </w:pPr>
      <w:r>
        <w:rPr>
          <w:b/>
        </w:rPr>
        <w:t xml:space="preserve">摘要（ZH）: </w:t>
      </w:r>
      <w:r>
        <w:t>可能有人认为，阐明PrPSc的原子结构将立即导致对朊病毒传播机制的理解。然而，PrPSc现在被认为是一种“简单”的淀粉样蛋白，只能模板化先前未折叠的多肽链。因此，PrPSc可以轻松模板化进入的PrPC分子的无序~90-120区域，但不能模板化其~121-231折叠域（FD）。FD需要适应到~121-230 PrPSc表面，一个惰性的“普洛克鲁斯特斯之床”。因此，必须存在一种FD协同展开/重折叠的机制，其中FD展开是关键元素。为了探索这可能如何发生，我们对重组银行田鼠PrPC(90-231)进行热展开，使用溶液NMR跟踪残基水平的变化，以确定早期展开倾向。我们的数据表明，一个关键的早期事件是短β1-β2组装的去稳定化，并且与无序尾部相邻的片段~121-140，包括β1及其相邻线圈，是最有可能首先展开的区域。在较高温度下获得的光谱数据表明，α螺旋α2的部分可能是FD最后展开并重折叠成PrPSc构象的元素。分子动力学模拟协助解释这些变化，并建议α1与FD其余部分的分离。我们的数据提供了PrPSc辅助PrPC转化早期事件的可想象时间线，并应作为开发未来PrPSc传播原子模型的起始框架。</w:t>
      </w:r>
    </w:p>
    <w:p>
      <w:pPr>
        <w:spacing w:before="0" w:after="200" w:lineRule="auto" w:line="276"/>
      </w:pPr>
      <w:r>
        <w:rPr>
          <w:b/>
        </w:rPr>
        <w:t xml:space="preserve">Abstract (EN): </w:t>
      </w:r>
      <w:r>
        <w:t>It might have been believed that elucidation of the atomistic structure of PrPSc would lead to an immediate understanding of the mechanism of prion propagation. However, PrPSc, now known to be a "simple" amyloid, can only template a previously unfolded polypeptide chain. Therefore, PrPSc can easily template the disordered ~90-120 domain of an incoming PrPC molecule, but not its ~121-231 folded domain (FD). The FD needs to accommodate into the ~121-230 PrPSc surface, an inert "procrustean bed". Thus, a mechanism for concerted unfolding/refolding of the FD must exist, with FD unfolding as a key element. To explore how this might happen, we performed thermal unfolding of recombinant bank vole PrPC(90-231), a universal PrPSc propagator, tracking changes at the residue level with solution NMR to pinpoint early unfolding propensity. Our data suggest that a key early event is the destabilization of the short β1-β2 assembly and that the segment contiguous to the disordered tail, ~121-140, encompassing β1 and its adjacent coils, is the most likely region to unfold first. Spectroscopic data obtained at higher temperatures suggest that portions of alpha helix α2 are likely the last elements of the FD to unfold and refold into the PrPSc conformation. Molecular Dynamics simulations assisted the interpretation of these changes and suggest separation of α1 from the rest of the FD ensemble. Our data provide a conceivable timeline of the early events in PrPSc-assisted conversion of PrPC and should serve as a starting framework to develop a future atomistic model of PrPSc propagation.</w:t>
      </w:r>
    </w:p>
    <w:p>
      <w:pPr>
        <w:spacing w:before="120" w:after="120"/>
      </w:pPr>
      <w:r>
        <w:rPr>
          <w:sz w:val="18"/>
        </w:rPr>
        <w:t>——————————————————————————————————————————————————————————————————————</w:t>
      </w:r>
    </w:p>
    <w:p>
      <w:pPr>
        <w:spacing w:before="160" w:after="40" w:line="240" w:lineRule="auto"/>
      </w:pPr>
      <w:r>
        <w:rPr>
          <w:b/>
        </w:rPr>
        <w:t xml:space="preserve">[310] </w:t>
      </w:r>
      <w:hyperlink r:id="rId723">
        <w:r>
          <w:rPr>
            <w:color w:val="1155CC"/>
            <w:u w:val="single"/>
          </w:rPr>
          <w:t>Tmem30b介导的听觉外毛细胞顶膜稳态调节对听力至关重要</w:t>
        </w:r>
      </w:hyperlink>
    </w:p>
    <w:p>
      <w:pPr>
        <w:spacing w:before="0" w:after="80"/>
      </w:pPr>
      <w:r>
        <w:rPr>
          <w:i/>
          <w:sz w:val="20"/>
        </w:rPr>
        <w:t>EN: Regulation of Tmem30b-mediated apical membrane homeostasis in auditory outer hair cells is critical for hearing</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724">
        <w:r>
          <w:rPr>
            <w:color w:val="1155CC"/>
            <w:u w:val="single"/>
          </w:rPr>
          <w:t>10.1073/pnas.2531557123</w:t>
        </w:r>
      </w:hyperlink>
    </w:p>
    <w:p>
      <w:pPr>
        <w:spacing w:before="0" w:after="120"/>
      </w:pPr>
      <w:r>
        <w:rPr>
          <w:b/>
        </w:rPr>
        <w:t xml:space="preserve">Notes: </w:t>
      </w:r>
      <w:r>
        <w:t>abstract_source=pubmed</w:t>
      </w:r>
    </w:p>
    <w:p>
      <w:pPr>
        <w:spacing w:before="0" w:after="80" w:lineRule="auto" w:line="276"/>
      </w:pPr>
      <w:r>
        <w:rPr>
          <w:b/>
        </w:rPr>
        <w:t xml:space="preserve">摘要（ZH）: </w:t>
      </w:r>
      <w:r>
        <w:t>耳蜗内的机械传导依赖于毛束的精确结构，但我们对控制声音接收结构形成和维持的机制的理解仍然有限。在此，我们确定Tmem30b，一种磷脂翻转酶伴侣，是在外毛细胞（OHCs）中表达的关键调节因子。尽管最初在P5定位于核膜，Tmem30b在成熟过程中转移到并稳定在立体纤毛和下方的角质板中。Tmem30b-/-小鼠表现出早发性听力损失，而前庭和视网膜功能保持完好。值得注意的是，突变体中OHC立体纤毛的紊乱在P7开始，与Tmem30b在立体纤毛中的初始存在相吻合。在机制上，Tmem30b与Atp8b1合作调节磷脂不对称性；这种复合体的破坏会导致OHC束的不稳定。至关重要的是，AAV介导的Tmem30b递送到毛细胞可以缓解Tmem30b-/-和Atp8b1-/-小鼠的立体纤毛缺陷。此外，毛细胞特异性过表达Tmem30b可以保护小鼠免受噪声诱导和氨基糖苷诱导的听力损失。总之，我们的研究结果确立了Tmem30b作为OHC毛束的关键组织者，并强调Tmem30b-Atp8b1介导的脂质调节作为听力损失的治疗靶点。</w:t>
      </w:r>
    </w:p>
    <w:p>
      <w:pPr>
        <w:spacing w:before="0" w:after="200" w:lineRule="auto" w:line="276"/>
      </w:pPr>
      <w:r>
        <w:rPr>
          <w:b/>
        </w:rPr>
        <w:t xml:space="preserve">Abstract (EN): </w:t>
      </w:r>
      <w:r>
        <w:t>Mechanotransduction within the cochlea depends on the precise architecture of hair bundles, yet our comprehension of the mechanisms that govern the formation and maintenance of the sound-receptive structure is still limited. Here, we identify Tmem30b, a phospholipid-flippase chaperone, as a critical regulator expressed in outer hair cells (OHCs). Although initially localized to the nuclear membrane at P5, Tmem30b translocates to and stabilizes within the stereocilia and the underlying cuticular plate during maturation. The Tmem30b-/- mice exhibit an early-onset hearing loss with preserved vestibular and retinal functions. Notably, the disorganization of OHC stereocilia in mutants initiates at P7, coinciding with the initial presence of Tmem30b in stereocilia. Mechanistically, Tmem30b partners with Atp8b1 to regulate phospholipid asymmetry; disruption of this complex destabilizes OHC bundles. Crucially, AAV-mediated delivery of Tmem30b to hair cells alleviates stereocilia defects in both Tmem30b-/- and Atp8b1-/- mice. Furthermore, hair cell specific overexpression of Tmem30b protects mice from noise-induced and aminoglycoside-induced hearing loss. In summary, our findings establish Tmem30b as a pivotal organizer of OHC hair bundles and highlight Tmem30b-Atp8b1-mediated lipid regulation as a therapeutic target for hearing loss.</w:t>
      </w:r>
    </w:p>
    <w:p>
      <w:pPr>
        <w:spacing w:before="120" w:after="120"/>
      </w:pPr>
      <w:r>
        <w:rPr>
          <w:sz w:val="18"/>
        </w:rPr>
        <w:t>——————————————————————————————————————————————————————————————————————</w:t>
      </w:r>
    </w:p>
    <w:p>
      <w:pPr>
        <w:spacing w:before="160" w:after="40" w:line="240" w:lineRule="auto"/>
      </w:pPr>
      <w:r>
        <w:rPr>
          <w:b/>
        </w:rPr>
        <w:t xml:space="preserve">[311] </w:t>
      </w:r>
      <w:hyperlink r:id="rId725">
        <w:r>
          <w:rPr>
            <w:color w:val="1155CC"/>
            <w:u w:val="single"/>
          </w:rPr>
          <w:t>初级体感皮层中感知决策的神经相关性</w:t>
        </w:r>
      </w:hyperlink>
    </w:p>
    <w:p>
      <w:pPr>
        <w:spacing w:before="0" w:after="80"/>
      </w:pPr>
      <w:r>
        <w:rPr>
          <w:i/>
          <w:sz w:val="20"/>
        </w:rPr>
        <w:t>EN: Neural correlates of perceptual decision-making in the primary somatosensory cortex</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726">
        <w:r>
          <w:rPr>
            <w:color w:val="1155CC"/>
            <w:u w:val="single"/>
          </w:rPr>
          <w:t>10.1073/pnas.2514107123</w:t>
        </w:r>
      </w:hyperlink>
    </w:p>
    <w:p>
      <w:pPr>
        <w:spacing w:before="0" w:after="120"/>
      </w:pPr>
      <w:r>
        <w:rPr>
          <w:b/>
        </w:rPr>
        <w:t xml:space="preserve">Notes: </w:t>
      </w:r>
      <w:r>
        <w:t>abstract_source=pubmed</w:t>
      </w:r>
    </w:p>
    <w:p>
      <w:pPr>
        <w:spacing w:before="0" w:after="80" w:lineRule="auto" w:line="276"/>
      </w:pPr>
      <w:r>
        <w:rPr>
          <w:b/>
        </w:rPr>
        <w:t xml:space="preserve">摘要（ZH）: </w:t>
      </w:r>
      <w:r>
        <w:t>人们认为，大脑通过逐渐积累感觉证据，通过一个分层组织的前馈级联神经活动来产生决策，这些活动将初级体感皮层（S1）中的早期刺激表征转化为在运动前区处理的感知决策。最近，这一普遍观点受到挑战，因为在层级中早至S1就观察到了与选择相关的神经活动。为了解释这些看似矛盾的观察，我们在一个触觉虚拟现实范式中结合密集的电生理记录，使用了小鼠的行为学胡须引导导航。仅留下C2胡须对小鼠进行导航，我们有效地为从感觉输入到决策制定设计了一个信息瓶颈。我们展示了在感觉证据积累期间，神经活动表现出高维尖峰活动的显著崩溃，仅剩一个潜在变量，随后整个皮层柱几乎同步地缓慢上升。我们展示了这个变量与噪声感觉证据逐渐积累到决策界限的模型一致。这些观察表明，S1可能通过皮质-皮质反馈回路直接参与全或无决策变量的分类编码，通过这些回路，感觉信息回响并转化为感知和行动。</w:t>
      </w:r>
    </w:p>
    <w:p>
      <w:pPr>
        <w:spacing w:before="0" w:after="200" w:lineRule="auto" w:line="276"/>
      </w:pPr>
      <w:r>
        <w:rPr>
          <w:b/>
        </w:rPr>
        <w:t xml:space="preserve">Abstract (EN): </w:t>
      </w:r>
      <w:r>
        <w:t>The brain is thought to produce decisions by gradual accumulation of sensory evidence through a hierarchically organized feedforward cascade of neuronal activities that transforms early stimulus representations in the primary somatosensory cortex (S1) to a perceptual decision processed in premotor areas. Recently, this prevailing view has been challenged by observation of choice-correlated neural activity as early in the hierarchy as S1. Here, to reconcile these seemingly controversial observations, we employ ethological whisker-guided navigation of mice in a tactile virtual reality paradigm combined with dense electrophysiological recordings in whisker-related wS1. Leaving only a pair of C2 whiskers for mice to navigate with, we effectively designed an information bottleneck for sensory input to decision-making. We show that neural activity during sensory evidence accumulation exhibits dramatic collapse of the high-dimensional spiking activity to just a single latent variable followed by a slower and almost synchronous ramping up across the whole cortical column. We show that this variable is consistent with models of gradual accumulation of noisy sensory evidence to a decision bound. These observations indicate that S1 may directly participate in a categorical coding of all-or-none decision variable via cortico-cortical feedback loops through which sensory information reverberates to be transformed into perception and action.</w:t>
      </w:r>
    </w:p>
    <w:p>
      <w:pPr>
        <w:spacing w:before="120" w:after="120"/>
      </w:pPr>
      <w:r>
        <w:rPr>
          <w:sz w:val="18"/>
        </w:rPr>
        <w:t>——————————————————————————————————————————————————————————————————————</w:t>
      </w:r>
    </w:p>
    <w:p>
      <w:pPr>
        <w:spacing w:before="160" w:after="40" w:line="240" w:lineRule="auto"/>
      </w:pPr>
      <w:r>
        <w:rPr>
          <w:b/>
        </w:rPr>
        <w:t xml:space="preserve">[312] </w:t>
      </w:r>
      <w:hyperlink r:id="rId727">
        <w:r>
          <w:rPr>
            <w:color w:val="1155CC"/>
            <w:u w:val="single"/>
          </w:rPr>
          <w:t>超强效能的三角洲冠状病毒小蛋白抑制剂的计算设计</w:t>
        </w:r>
      </w:hyperlink>
    </w:p>
    <w:p>
      <w:pPr>
        <w:spacing w:before="0" w:after="80"/>
      </w:pPr>
      <w:r>
        <w:rPr>
          <w:i/>
          <w:sz w:val="20"/>
        </w:rPr>
        <w:t>EN: Computational design of an ultrapotent deltacoronavirus miniprotein inhibitor</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728">
        <w:r>
          <w:rPr>
            <w:color w:val="1155CC"/>
            <w:u w:val="single"/>
          </w:rPr>
          <w:t>10.1073/pnas.2533456123</w:t>
        </w:r>
      </w:hyperlink>
    </w:p>
    <w:p>
      <w:pPr>
        <w:spacing w:before="0" w:after="120"/>
      </w:pPr>
      <w:r>
        <w:rPr>
          <w:b/>
        </w:rPr>
        <w:t xml:space="preserve">Notes: </w:t>
      </w:r>
      <w:r>
        <w:t>abstract_source=pubmed</w:t>
      </w:r>
    </w:p>
    <w:p>
      <w:pPr>
        <w:spacing w:before="0" w:after="80" w:lineRule="auto" w:line="276"/>
      </w:pPr>
      <w:r>
        <w:rPr>
          <w:b/>
        </w:rPr>
        <w:t xml:space="preserve">摘要（ZH）: </w:t>
      </w:r>
      <w:r>
        <w:t>在海地，猪三角冠状病毒（PDCoV）多次溢出到人类中，突显其人畜共患病潜力以及需要针对性干预。尚无批准的疫苗或治疗方法可用于人类对抗任何DCoVs。在此，我们报告了PDCoV小蛋白抑制剂（又称小结合体，MBs）的全新设计，并显示其中之一，MB11，以皮摩尔亲和力结合PDCoV受体结合域（RBD）。MB11强效抑制PDCoV，优于单克隆抗体，并与一组远缘DCoVs交叉反应并广泛中和。我们确定了MB11与PDCoV RBD结合的冷冻电子显微镜结构，揭示了通过干扰宿主受体结合实现广泛DCoV中和的分子基础。PDCoV RBD的深度突变扫描显示，MB11具有高病毒逃逸障碍，仅有少数突变在不削弱APN受体结合的情况下介导逃逸。MB11抵抗严格的生化应激，包括高温、低pH值和蛋白水解，这可能使其能够输送到各种组织进行病毒抑制。这项工作描绘了一个针对PDCoV感染进行临床评估和大流行准备的主要候选者。</w:t>
      </w:r>
    </w:p>
    <w:p>
      <w:pPr>
        <w:spacing w:before="0" w:after="200" w:lineRule="auto" w:line="276"/>
      </w:pPr>
      <w:r>
        <w:rPr>
          <w:b/>
        </w:rPr>
        <w:t xml:space="preserve">Abstract (EN): </w:t>
      </w:r>
      <w:r>
        <w:t>Multiple spillovers of porcine deltacoronavirus (PDCoV) into humans in Haiti highlight its zoonotic potential and the need for targeted interventions. No approved vaccines or therapeutics are available for use in humans against any DCoVs. Here, we report the de novo design of PDCoV miniprotein inhibitors (aka minibinders, MBs) and show that one of them, MB11, binds with picomolar affinity to the PDCoV receptor-binding domain (RBD). MB11 potently inhibits PDCoV, outcompeting monoclonal antibodies, and cross-reacts with and broadly neutralizes a panel of distantly related DCoVs. We determined a cryoelectron microscopy structure of MB11 bound to the PDCoV RBD which reveals the molecular basis of broad DCoV neutralization through interference with host receptor engagement. Deep mutational scanning of the PDCoV RBD reveals that MB11 has a high barrier to viral escape with only few mutations mediating escape without dampening APN receptor binding. MB11 resists stringent biochemical stresses, including high temperature, low pH, and proteolysis, which may enable delivery to various tissues for viral inhibition. This work delineates a prime candidate for clinical evaluation against PDCoV infection and for pandemic preparedness.</w:t>
      </w:r>
    </w:p>
    <w:p>
      <w:pPr>
        <w:spacing w:before="120" w:after="120"/>
      </w:pPr>
      <w:r>
        <w:rPr>
          <w:sz w:val="18"/>
        </w:rPr>
        <w:t>——————————————————————————————————————————————————————————————————————</w:t>
      </w:r>
    </w:p>
    <w:p>
      <w:pPr>
        <w:spacing w:before="160" w:after="40" w:line="240" w:lineRule="auto"/>
      </w:pPr>
      <w:r>
        <w:rPr>
          <w:b/>
        </w:rPr>
        <w:t xml:space="preserve">[313] </w:t>
      </w:r>
      <w:hyperlink r:id="rId729">
        <w:r>
          <w:rPr>
            <w:color w:val="1155CC"/>
            <w:u w:val="single"/>
          </w:rPr>
          <w:t>细胞色素P450 1B1通过微调氧化还原稳态和线粒体完整性引导致病性Th17细胞生成和自身免疫性疾病</w:t>
        </w:r>
      </w:hyperlink>
    </w:p>
    <w:p>
      <w:pPr>
        <w:spacing w:before="0" w:after="80"/>
      </w:pPr>
      <w:r>
        <w:rPr>
          <w:i/>
          <w:sz w:val="20"/>
        </w:rPr>
        <w:t>EN: Cytochrome P450 1B1 directs pathogenic Th17 cell generation and autoimmune disease by fine-tuning redox homeostasis and mitochondrial integrity</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730">
        <w:r>
          <w:rPr>
            <w:color w:val="1155CC"/>
            <w:u w:val="single"/>
          </w:rPr>
          <w:t>10.1073/pnas.2527753123</w:t>
        </w:r>
      </w:hyperlink>
    </w:p>
    <w:p>
      <w:pPr>
        <w:spacing w:before="0" w:after="120"/>
      </w:pPr>
      <w:r>
        <w:rPr>
          <w:b/>
        </w:rPr>
        <w:t xml:space="preserve">Notes: </w:t>
      </w:r>
      <w:r>
        <w:t>abstract_source=pubmed</w:t>
      </w:r>
    </w:p>
    <w:p>
      <w:pPr>
        <w:spacing w:before="0" w:after="80" w:lineRule="auto" w:line="276"/>
      </w:pPr>
      <w:r>
        <w:rPr>
          <w:b/>
        </w:rPr>
        <w:t xml:space="preserve">摘要（ZH）: </w:t>
      </w:r>
      <w:r>
        <w:t>Th17细胞功能高度依赖于环境，可以分为致病性和非致病性Th17细胞亚群。了解致病性Th17（pTh17）细胞免疫的分子控制将有助于相关自身免疫疾病的治疗。在此，我们揭示了细胞色素P450 1B1（CYP1B1）在小鼠和人类结肠炎期间高度上调。CYP1B1通过pTh17依赖但微生物群无关的方式促进了结肠炎性疾病和结肠炎相关结直肠癌。值得注意的是，CYP1B1专门决定了pTh17细胞的分化和致病性，而对非致病性Th17细胞的生成没有影响。在机制上，CYP1B1缺乏通过减少谷胱甘肽合成酶破坏了细胞内氧化还原稳态，导致pTh17细胞的ROS增加和线粒体功能障碍。通过N-乙酰半胱氨酸消除ROS或异位谷胱甘肽合成酶表达恢复线粒体健康并促进pTh17细胞的存活和生成。总之，我们的研究发现揭示了驱动pTh17细胞生成的T细胞内在CYP1B1-ROS-线粒体轴，干扰这一枢纽可能对pTh17细胞相关的免疫病理学有益。</w:t>
      </w:r>
    </w:p>
    <w:p>
      <w:pPr>
        <w:spacing w:before="0" w:after="200" w:lineRule="auto" w:line="276"/>
      </w:pPr>
      <w:r>
        <w:rPr>
          <w:b/>
        </w:rPr>
        <w:t xml:space="preserve">Abstract (EN): </w:t>
      </w:r>
      <w:r>
        <w:t>Th17 cell function is highly context-dependent and can be categorized into pathogenic and nonpathogenic Th17 cell subsets. Understanding the molecule control of pathogenic Th17 (pTh17) cell immunity will benefit the treatment for related autoimmune diseases. Here, we revealed that cytochrome P450 1B1 (CYP1B1) is highly upregulated during mice and human colitis. CYP1B1 promoted both colon inflammatory diseases and colitis-associated colorectal cancer via pTh17-dependent but microbiota-independent manner. Notably, CYP1B1 specifically dictated the differentiation and pathogenicity of pTh17 cells, while having no effects on nonpathogenic Th17 cell generation. Mechanistically, CYP1B1 deficiency disrupted intracellular redox homeostasis via decreased glutathione synthetase, leading to increased ROS and mitochondrial dysfunction of pTh17 cells. ROS elimination by N-acetylcysteine or ectopic glutathione synthetase expression restored mitochondrial fitness and promoted pTh17 cell survival and generation. Taken together, our findings uncover a T cell intrinsic CYP1B1-ROS-mitochondrial axis in driving pTh17 cell generation, interfering with this hub may be beneficial for pTh17 cell-related immunopathology.</w:t>
      </w:r>
    </w:p>
    <w:p>
      <w:pPr>
        <w:spacing w:before="120" w:after="120"/>
      </w:pPr>
      <w:r>
        <w:rPr>
          <w:sz w:val="18"/>
        </w:rPr>
        <w:t>——————————————————————————————————————————————————————————————————————</w:t>
      </w:r>
    </w:p>
    <w:p>
      <w:pPr>
        <w:spacing w:before="160" w:after="40" w:line="240" w:lineRule="auto"/>
      </w:pPr>
      <w:r>
        <w:rPr>
          <w:b/>
        </w:rPr>
        <w:t xml:space="preserve">[314] </w:t>
      </w:r>
      <w:hyperlink r:id="rId731">
        <w:r>
          <w:rPr>
            <w:color w:val="1155CC"/>
            <w:u w:val="single"/>
          </w:rPr>
          <w:t>Fra-2控制胰腺导管腺癌中对KRAS抑制剂MRTX-1133的反应</w:t>
        </w:r>
      </w:hyperlink>
    </w:p>
    <w:p>
      <w:pPr>
        <w:spacing w:before="0" w:after="80"/>
      </w:pPr>
      <w:r>
        <w:rPr>
          <w:i/>
          <w:sz w:val="20"/>
        </w:rPr>
        <w:t>EN: Fra-2 controls the response to the KRAS inhibitor MRTX-1133 in pancreatic ductal adenocarcinoma</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732">
        <w:r>
          <w:rPr>
            <w:color w:val="1155CC"/>
            <w:u w:val="single"/>
          </w:rPr>
          <w:t>10.1073/pnas.2601788123</w:t>
        </w:r>
      </w:hyperlink>
    </w:p>
    <w:p>
      <w:pPr>
        <w:spacing w:before="0" w:after="120"/>
      </w:pPr>
      <w:r>
        <w:rPr>
          <w:b/>
        </w:rPr>
        <w:t xml:space="preserve">Notes: </w:t>
      </w:r>
      <w:r>
        <w:t>abstract_source=pubmed</w:t>
      </w:r>
    </w:p>
    <w:p>
      <w:pPr>
        <w:spacing w:before="0" w:after="80" w:lineRule="auto" w:line="276"/>
      </w:pPr>
      <w:r>
        <w:rPr>
          <w:b/>
        </w:rPr>
        <w:t xml:space="preserve">摘要（ZH）: </w:t>
      </w:r>
      <w:r>
        <w:t>KRAS突变是胰腺导管腺癌（PDAC）的标志，在绝大多数病例中推动肿瘤的起始和进展，其中KRASG12D是最常见的变体。最近的进展导致了特异性KRAS抑制剂（KRASi）的开发，但其临床影响因药物耐药性的快速出现而受阻。在这项研究中，我们确定了Fos相关抗原-2（Fra-2），一种AP-1家族的应激响应转录因子，是KRASG12D选择性抑制剂MRTX-1133适应性耐药的关键介导者。通过结合已建立的PDAC细胞系、异种移植模型和患者来源的类器官，我们证明Fra-2表达在MRTX-1133治疗后持续上调。功能性实验表明，Fra-2过表达通过重编程转录景观直接增强mTOR表达和信号传导，从而促进耐药性。在PDAC患者样本中，FRA2和MTOR水平强烈相关。总体而言，这些发现揭示了Fra-2与mTOR通路在MRTX-1133耐药PDAC中的机制性相互作用，强调靶向Fra-2可能是提高KRASi疗效的有价值方法。</w:t>
      </w:r>
    </w:p>
    <w:p>
      <w:pPr>
        <w:spacing w:before="0" w:after="200" w:lineRule="auto" w:line="276"/>
      </w:pPr>
      <w:r>
        <w:rPr>
          <w:b/>
        </w:rPr>
        <w:t xml:space="preserve">Abstract (EN): </w:t>
      </w:r>
      <w:r>
        <w:t>KRAS mutations are a hallmark of pancreatic ductal adenocarcinoma (PDAC), driving tumor initiation and progression in the vast majority of cases, with KRASG12D being the most prevalent variant. Recent advances have led to the development of mutation-specific KRAS inhibitors (KRASi), yet their clinical impact is hindered by the rapid onset of drug resistance. In this study, we identify Fos-related antigen-2 (Fra-2), a stress-responsive transcription factor of the AP-1 family, as a key mediator of adaptive resistance to the KRASG12D selective inhibitor MRTX-1133. Using a combination of established PDAC cell lines, xenograft models, and patient-derived organoids, we demonstrate that Fra-2 expression is consistently upregulated following MRTX-1133 treatment. Functional assays reveal that Fra-2 overexpression promotes resistance by reprogramming the transcriptional landscape, directly enhancing mTOR expression and signaling. Consistently, FRA2 and MTOR levels strongly correlate in PDAC patient samples. Collectively, these findings uncover a mechanistic interplay between Fra-2 and the mTOR pathway in MRTX-1133-resistant PDAC, highlighting that targeting Fra-2 may represent a valuable approach to enhance the efficacy of KRASi.</w:t>
      </w:r>
    </w:p>
    <w:p>
      <w:pPr>
        <w:spacing w:before="120" w:after="120"/>
      </w:pPr>
      <w:r>
        <w:rPr>
          <w:sz w:val="18"/>
        </w:rPr>
        <w:t>——————————————————————————————————————————————————————————————————————</w:t>
      </w:r>
    </w:p>
    <w:p>
      <w:pPr>
        <w:spacing w:before="160" w:after="40" w:line="240" w:lineRule="auto"/>
      </w:pPr>
      <w:r>
        <w:rPr>
          <w:b/>
        </w:rPr>
        <w:t xml:space="preserve">[315] </w:t>
      </w:r>
      <w:hyperlink r:id="rId733">
        <w:r>
          <w:rPr>
            <w:color w:val="1155CC"/>
            <w:u w:val="single"/>
          </w:rPr>
          <w:t>从头算分子动力学预测和14:4稀土氧化物-磷酸盐结构的实验验证</w:t>
        </w:r>
      </w:hyperlink>
    </w:p>
    <w:p>
      <w:pPr>
        <w:spacing w:before="0" w:after="80"/>
      </w:pPr>
      <w:r>
        <w:rPr>
          <w:i/>
          <w:sz w:val="20"/>
        </w:rPr>
        <w:t>EN: Ab initio molecular dynamics prediction and experimental validation of the 14:4 rare-earth oxide-phosphate structure</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734">
        <w:r>
          <w:rPr>
            <w:color w:val="1155CC"/>
            <w:u w:val="single"/>
          </w:rPr>
          <w:t>10.1073/pnas.2604858123</w:t>
        </w:r>
      </w:hyperlink>
    </w:p>
    <w:p>
      <w:pPr>
        <w:spacing w:before="0" w:after="120"/>
      </w:pPr>
      <w:r>
        <w:rPr>
          <w:b/>
        </w:rPr>
        <w:t xml:space="preserve">Notes: </w:t>
      </w:r>
      <w:r>
        <w:t>abstract_source=pubmed</w:t>
      </w:r>
    </w:p>
    <w:p>
      <w:pPr>
        <w:spacing w:before="0" w:after="80" w:lineRule="auto" w:line="276"/>
      </w:pPr>
      <w:r>
        <w:rPr>
          <w:b/>
        </w:rPr>
        <w:t xml:space="preserve">摘要（ZH）: </w:t>
      </w:r>
      <w:r>
        <w:t>稀土氧化物-磷酸盐（历史上称为氧磷酸盐）占据了RE2O3和REPO4之间的组成空间，并在REPO4熔化和REPO4基环境屏障涂层的高温降解过程中形成。对于一些已报道的化学计量比，可靠的结构模型仍然不可用，因为这些相是低对称性、大单元格化合物，几乎不形成适合单晶X射线衍射的晶体。在此，我们通过结合有限温度从头算分子动力学（AIMD）模拟和有针对性的实验，预测了文献中报道的化合物“RE8P2O17”（RE：Sm到Lu，Y）的晶体结构。合成和电子探针分析显示正确的RE:P比为3.5，对应于RE14P4O31（14:4）。从熔体开始，在SLUSCHI框架中进行AIMD模拟，随后进行对称性约束的松弛，得到一个复杂的（62个不同的氧位于一般位置），单斜Pc结构，代表了一种迄今未知的结构类型。它可以描述为缺陷萤石（锰铁矿，C型RE2O3）结构，沿一个方向被含有（PO4）四面体的隧道穿透。该结构最初为Y14O15(PO4)4预测，并针对RE = Sm, Eu, Gd, Tb和Y通过同步辐射或实验室X射线粉末衍射图验证。将模型扩展到整个稀土系列，得到一致的晶格趋势，并将所有氧化物-磷酸盐RE14O15(PO4)4置于0 K凸包的46 meV/atom以内。来自MD轨迹的有限温度自由能分析预测</w:t>
      </w:r>
    </w:p>
    <w:p>
      <w:pPr>
        <w:spacing w:before="0" w:after="200" w:lineRule="auto" w:line="276"/>
      </w:pPr>
      <w:r>
        <w:rPr>
          <w:b/>
        </w:rPr>
        <w:t xml:space="preserve">Abstract (EN): </w:t>
      </w:r>
      <w:r>
        <w:t>Rare-earth oxide-phosphates (historically termed oxyphosphates) occupy the compositional space between RE2O3 and REPO4 and form during REPO4 melting and high-temperature degradation of REPO4-based environmental barrier coatings. For several reported stoichiometries, reliable structural models remain unavailable because these phases are low-symmetry, large-unit-cell compounds that seldom form crystals suitable for single-crystal X-ray diffraction. Here, we predict the crystal structure of the compounds reported in the literature as "RE8P2O17" (RE: Sm to Lu, Y) by combining finite-temperature ab initio molecular dynamics (AIMD) simulations with targeted experiments. Syntheses and electron microprobe analysis show the correct RE:P ratio is 3.5, corresponding to RE14P4O31 (14:4). Starting from the melt, AIMD simulations in the SLUSCHI framework, followed by symmetry-constrained relaxation, yield a complex (62 distinct oxygen sites on general positions), monoclinic Pc structure which represents a hitherto unknown structure type. It can be described as a defect fluorite (bixbyite, C-type RE2O3) structure penetrated along one direction by tunnels containing (PO4) tetrahedra. The structure was initially predicted for Y14O15(PO4)4 and was validated for RE = Sm, Eu, Gd, Tb, and Y against synchrotron or laboratory X-ray powder diffraction patterns. Extending the model across the rare-earth series yields consistent lattice trends and places all oxide-phosphates RE14O15(PO4)4 within 46 meV/atom of the 0 K convex hull. A finite-temperature free-energy analysis from MD trajectories predicts entropy stabilization of Y14O15(PO4)4 above ~1,305 K, reconciling metastability at 0 K with observed synthesis and helping resolve discrepancies among published Y2O3-YPO4 phase diagrams.</w:t>
      </w:r>
    </w:p>
    <w:p>
      <w:pPr>
        <w:spacing w:before="120" w:after="120"/>
      </w:pPr>
      <w:r>
        <w:rPr>
          <w:sz w:val="18"/>
        </w:rPr>
        <w:t>——————————————————————————————————————————————————————————————————————</w:t>
      </w:r>
    </w:p>
    <w:p>
      <w:pPr>
        <w:spacing w:before="160" w:after="40" w:line="240" w:lineRule="auto"/>
      </w:pPr>
      <w:r>
        <w:rPr>
          <w:b/>
        </w:rPr>
        <w:t xml:space="preserve">[316] </w:t>
      </w:r>
      <w:hyperlink r:id="rId735">
        <w:r>
          <w:rPr>
            <w:color w:val="1155CC"/>
            <w:u w:val="single"/>
          </w:rPr>
          <w:t>细胞对FGF1的反应受对接蛋白FRS2α棕榈酰化的调节</w:t>
        </w:r>
      </w:hyperlink>
    </w:p>
    <w:p>
      <w:pPr>
        <w:spacing w:before="0" w:after="80"/>
      </w:pPr>
      <w:r>
        <w:rPr>
          <w:i/>
          <w:sz w:val="20"/>
        </w:rPr>
        <w:t>EN: Cellular responses to FGF1 are modulated by palmitoylation of the docking protein FRS2α</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736">
        <w:r>
          <w:rPr>
            <w:color w:val="1155CC"/>
            <w:u w:val="single"/>
          </w:rPr>
          <w:t>10.1073/pnas.2605311123</w:t>
        </w:r>
      </w:hyperlink>
    </w:p>
    <w:p>
      <w:pPr>
        <w:spacing w:before="0" w:after="120"/>
      </w:pPr>
      <w:r>
        <w:rPr>
          <w:b/>
        </w:rPr>
        <w:t xml:space="preserve">Notes: </w:t>
      </w:r>
      <w:r>
        <w:t>abstract_source=pubmed</w:t>
      </w:r>
    </w:p>
    <w:p>
      <w:pPr>
        <w:spacing w:before="0" w:after="80" w:lineRule="auto" w:line="276"/>
      </w:pPr>
      <w:r>
        <w:rPr>
          <w:b/>
        </w:rPr>
        <w:t xml:space="preserve">摘要（ZH）: </w:t>
      </w:r>
      <w:r>
        <w:t>受体酪氨酸激酶（RTKs）介导细胞反应的重要机制之一涉及通过与膜相关对接蛋白的直接相互作用形成信号复合物，随后对多个酪氨酸残基进行磷酸化。这些对接蛋白在配体刺激后招募并激活下游信号分子和酶。对接蛋白FRS2α已被确立为由成纤维细胞生长因子（FGFs）、神经营养因子和其他细胞外信号激活的主要信号枢纽。在此，我们展示了FRS2α在两个位点的棕榈酰化对于稳定其依赖肉豆蔻酰化与质膜的结合是必不可少的。在表达缺乏两个棕榈酰化位点之一的FRS2α突变体的细胞中，FGF1诱导的丝裂原活化蛋白激酶（MAPK）激活和其他细胞反应部分恢复。然而，包括MAPK反应和其他FGF1诱导的细胞活动在内的信号强度的完全恢复需要在FRS2α的两个位点进行棕榈酰化。除了增强信号的稳健性外，FRS2α锚定到质膜上还为组装多蛋白复合物提供了结构平台，这对于与膜起皱、吞噬作用和其他FGF1诱导的过程相关的细胞骨架重组至关重要。最后，我们证明，虽然缺乏FRS2α或FRS2α棕榈酰化缺陷的PC12细胞可以增殖，但FGF1诱导的神经元分化严格依赖于对接蛋白的棕榈酰化。</w:t>
      </w:r>
    </w:p>
    <w:p>
      <w:pPr>
        <w:spacing w:before="0" w:after="200" w:lineRule="auto" w:line="276"/>
      </w:pPr>
      <w:r>
        <w:rPr>
          <w:b/>
        </w:rPr>
        <w:t xml:space="preserve">Abstract (EN): </w:t>
      </w:r>
      <w:r>
        <w:t>An important mechanism by which receptor tyrosine kinases (RTKs) mediate cellular responses involves the formation of signaling complexes through direct interactions with membrane-associated docking proteins, followed by phosphorylation of multiple tyrosine residues. These docking proteins recruit and activate downstream signaling molecules and enzymes following ligand stimulation. The docking protein FRS2α has been established as a major signaling hub activated by fibroblast growth factors (FGFs), neurotrophic factors, and other extracellular cues. Here, we show that palmitoylation of FRS2α at two sites is essential for stabilizing its myristoylation-dependent association with the plasma membrane. FGF1-induced mitogen-activated protein kinase (MAPK) activation and other cellular responses are partially restored in cells expressing FRS2α mutants deficient in either one of the two palmitoylation sites. However full restoration of signal strength including MAPK response and other FGF1-induced cellular activities requires palmitoylation at both FRS2α sites. In addition to enhancing signaling robustness, anchoring of FRS2α to the plasma membrane creates a structural platform for assembling multiprotein complexes essential for cytoskeletal reorganization associated with membrane ruffling, macropinocytosis, and other FGF1-induced processes. Finally, we demonstrate that while PC12 cells lacking FRS2α or deficient in FRS2α palmitoylation can proliferate, FGF1-induced neuronal differentiation strictly depends on the palmitoylation of the docking protein.</w:t>
      </w:r>
    </w:p>
    <w:p>
      <w:pPr>
        <w:spacing w:before="120" w:after="120"/>
      </w:pPr>
      <w:r>
        <w:rPr>
          <w:sz w:val="18"/>
        </w:rPr>
        <w:t>——————————————————————————————————————————————————————————————————————</w:t>
      </w:r>
    </w:p>
    <w:p>
      <w:pPr>
        <w:spacing w:before="160" w:after="40" w:line="240" w:lineRule="auto"/>
      </w:pPr>
      <w:r>
        <w:rPr>
          <w:b/>
        </w:rPr>
        <w:t xml:space="preserve">[317] </w:t>
      </w:r>
      <w:hyperlink r:id="rId737">
        <w:r>
          <w:rPr>
            <w:color w:val="1155CC"/>
            <w:u w:val="single"/>
          </w:rPr>
          <w:t>趋化因子受体CCR7偏向信号传导的结构见解</w:t>
        </w:r>
      </w:hyperlink>
    </w:p>
    <w:p>
      <w:pPr>
        <w:spacing w:before="0" w:after="80"/>
      </w:pPr>
      <w:r>
        <w:rPr>
          <w:i/>
          <w:sz w:val="20"/>
        </w:rPr>
        <w:t>EN: Structural insights into biased signaling at chemokine receptor CCR7</w:t>
      </w:r>
    </w:p>
    <w:p>
      <w:pPr>
        <w:spacing w:before="0" w:after="120"/>
      </w:pPr>
      <w:r>
        <w:rPr>
          <w:b/>
        </w:rPr>
        <w:t xml:space="preserve">Source: </w:t>
      </w:r>
      <w:r>
        <w:t>Proceedings of the National Academy of Sciences: Keyword search for query</w:t>
      </w:r>
      <w:r>
        <w:t xml:space="preserve">    </w:t>
      </w:r>
      <w:r>
        <w:rPr>
          <w:b/>
        </w:rPr>
        <w:t xml:space="preserve">Pub date: </w:t>
      </w:r>
      <w:r>
        <w:t>2026-04-29 07:00:00+00:00</w:t>
      </w:r>
      <w:r>
        <w:t xml:space="preserve">    </w:t>
      </w:r>
      <w:r>
        <w:rPr>
          <w:b/>
        </w:rPr>
        <w:t xml:space="preserve">DOI: </w:t>
      </w:r>
      <w:hyperlink r:id="rId738">
        <w:r>
          <w:rPr>
            <w:color w:val="1155CC"/>
            <w:u w:val="single"/>
          </w:rPr>
          <w:t>10.1073/pnas.2533975123</w:t>
        </w:r>
      </w:hyperlink>
    </w:p>
    <w:p>
      <w:pPr>
        <w:spacing w:before="0" w:after="120"/>
      </w:pPr>
      <w:r>
        <w:rPr>
          <w:b/>
        </w:rPr>
        <w:t xml:space="preserve">Notes: </w:t>
      </w:r>
      <w:r>
        <w:t>abstract_source=pubmed</w:t>
      </w:r>
    </w:p>
    <w:p>
      <w:pPr>
        <w:spacing w:before="0" w:after="80" w:lineRule="auto" w:line="276"/>
      </w:pPr>
      <w:r>
        <w:rPr>
          <w:b/>
        </w:rPr>
        <w:t xml:space="preserve">摘要（ZH）: </w:t>
      </w:r>
      <w:r>
        <w:t>CC趋化因子受体7（CCR7）调节适应性免疫，表现出一种称为偏向性激动的现象。CCL19诱导强烈的G蛋白信号和β-arrestin招募，导致瞬时信号。相比之下，CCL21优先激活G蛋白通路，几乎不涉及arrestin，导致持续信号和不同的功能结果。在此，我们展示了人CCR7-Gi复合物与CCL19或CCL21的冷冻电镜结构。结构揭示了虽然两者都占据了一个保守的正构口袋，但它们采用了显著不同的结合姿势。值得注意的是，CCL21的紧凑30s环深深插入受体的细胞外前庭，而CCL19的相应环则位于细胞外环2之上。分子动力学模拟进一步揭示了这些不同的结合模式诱导了不同的细胞内动力学，与跨膜螺旋1的细胞内末端的Y83的旋转状态有关。我们证明CCL19稳定了一个灵活的构象集合，具有高度动态的螺旋8，创造了一个有利于GPCR激酶结合的侧向开口。相反，CCL21限制了这种灵活性，将受体锁定在一个排除激酶相互作用的状态，同时保持G蛋白耦合。通过功能数据验证，这些发现提供了关于CCR7偏向性激动的结构基础的关键见解，并为路径选择性免疫调节剂的合理设计奠定了基础。</w:t>
      </w:r>
    </w:p>
    <w:p>
      <w:pPr>
        <w:spacing w:before="0" w:after="200" w:lineRule="auto" w:line="276"/>
      </w:pPr>
      <w:r>
        <w:rPr>
          <w:b/>
        </w:rPr>
        <w:t xml:space="preserve">Abstract (EN): </w:t>
      </w:r>
      <w:r>
        <w:t>CC chemokine receptor 7 (CCR7), which orchestrates adaptive immunity, exhibits a phenomenon known as biased agonism. CCL19 induces robust G-protein signaling and β-arrestin recruitment, leading to transient signaling. In contrast, CCL21 preferentially activates G-protein pathways with minimal arrestin engagement, resulting in sustained signaling and differential functional outcomes. Here, we present the cryo-EM structures of the human CCR7-Gi complex with either CCL19 or CCL21. The structures reveal that while both engage a conserved orthosteric pocket, they adopt markedly distinct binding poses. Notably, the compact 30s loop of CCL21 inserts deeply into the receptor's extracellular vestibule, whereas the corresponding loop of CCL19 rests atop extracellular loop 2. Molecular dynamics simulations further reveal that these distinct binding modes induce differential intracellular dynamics, linked to the rotameric state of Y83 at the intracellular end of transmembrane helix 1. We demonstrate that CCL19 stabilizes a flexible conformational ensemble with a highly dynamic helix 8, creating a lateral opening favorable for GPCR kinase engagement. Conversely, CCL21 restricts this flexibility, locking the receptor in a state that precludes kinase interaction while maintaining G-protein coupling. Corroborated by functional data, these findings provide key insights into the structural basis of biased agonism at CCR7 and establish a foundation for rational design of pathway-selective immunomodulators.</w:t>
      </w:r>
    </w:p>
    <w:p>
      <w:pPr>
        <w:spacing w:before="120" w:after="120"/>
      </w:pPr>
      <w:r>
        <w:rPr>
          <w:sz w:val="18"/>
        </w:rPr>
        <w:t>——————————————————————————————————————————————————————————————————————</w:t>
      </w:r>
    </w:p>
    <w:p>
      <w:pPr>
        <w:spacing w:before="160" w:after="40" w:line="240" w:lineRule="auto"/>
      </w:pPr>
      <w:r>
        <w:rPr>
          <w:b/>
        </w:rPr>
        <w:t xml:space="preserve">[318] </w:t>
      </w:r>
      <w:hyperlink r:id="rId739">
        <w:r>
          <w:rPr>
            <w:color w:val="1155CC"/>
            <w:u w:val="single"/>
          </w:rPr>
          <w:t>从非发射性手性金属大环到互锁结构的拓扑工程用于强圆偏振发光</w:t>
        </w:r>
      </w:hyperlink>
    </w:p>
    <w:p>
      <w:pPr>
        <w:spacing w:before="0" w:after="80"/>
      </w:pPr>
      <w:r>
        <w:rPr>
          <w:i/>
          <w:sz w:val="20"/>
        </w:rPr>
        <w:t>EN: Topological Engineering From Non‐Emissive Chiral Metallomacrocycle to Interlocked Architecture for Strong Circularly Polarized Luminescence</w:t>
      </w:r>
    </w:p>
    <w:p>
      <w:pPr>
        <w:spacing w:before="0" w:after="120"/>
      </w:pPr>
      <w:r>
        <w:rPr>
          <w:b/>
        </w:rPr>
        <w:t xml:space="preserve">Source: </w:t>
      </w:r>
      <w:r>
        <w:t>Wiley: Angewandte Chemie International Edition: Table of Contents</w:t>
      </w:r>
      <w:r>
        <w:t xml:space="preserve">    </w:t>
      </w:r>
      <w:r>
        <w:rPr>
          <w:b/>
        </w:rPr>
        <w:t xml:space="preserve">Pub date: </w:t>
      </w:r>
      <w:r>
        <w:t>2026-04-29 07:01:57+00:00</w:t>
      </w:r>
      <w:r>
        <w:t xml:space="preserve">    </w:t>
      </w:r>
      <w:r>
        <w:rPr>
          <w:b/>
        </w:rPr>
        <w:t xml:space="preserve">DOI: </w:t>
      </w:r>
      <w:hyperlink r:id="rId740">
        <w:r>
          <w:rPr>
            <w:color w:val="1155CC"/>
            <w:u w:val="single"/>
          </w:rPr>
          <w:t>10.1002/anie.2560002</w:t>
        </w:r>
      </w:hyperlink>
    </w:p>
    <w:p>
      <w:pPr>
        <w:spacing w:before="0" w:after="120"/>
      </w:pPr>
      <w:r>
        <w:rPr>
          <w:b/>
        </w:rPr>
        <w:t xml:space="preserve">Notes: </w:t>
      </w:r>
      <w:r>
        <w:t>abstract_source=pubmed</w:t>
      </w:r>
    </w:p>
    <w:p>
      <w:pPr>
        <w:spacing w:before="0" w:after="80" w:lineRule="auto" w:line="276"/>
      </w:pPr>
      <w:r>
        <w:rPr>
          <w:b/>
        </w:rPr>
        <w:t xml:space="preserve">摘要（ZH）: </w:t>
      </w:r>
      <w:r>
        <w:t>互锁结构对于稳定特定构象以实现卓越性能至关重要。在此，我们提出了一种空位π位点重组策略，通过从非发光手性金属大环（R/S-Au4）到高圆偏振发光（CPL）套索（R/S-Au8）的拓扑工程实现显著的发光增强。通过1H和31P NMR光谱监测金属大环（R/S-Au4）到套索（R/S-Au8）的动态结构转变。激发态动力学和理论研究揭示，套索（R/S-Au8）中重原子效应的增加有效地将自旋轨道耦合常数从4.03（R-Au4）增加到48.22 cm-1（R-Au8），促进了S1和T1之间的系间跃迁。虽然具有柔性金属环结构的R/S-Au4倾向于通过热振动过程快速弛豫激发态，R/S-Au8的互锁结构导致更好的刚性，从而有效抑制非辐射失活并促进辐射T1→S0弛豫，从而在溶液中实现高效CPL，量子产率约为39%。基于R/S-Au8的溶液加工圆偏振有机发光二极管（CP-OLEDs）实现了高效深红色圆偏振电致发光（CPEL），峰值为685 nm，外量子效率（EQE）为9.9%，电致发光不对称因子为±2.2 × 10-3。无论如何，这种从离散大环到互锁结构的升级方法为开发高性能发光材料开辟了新途径。</w:t>
      </w:r>
    </w:p>
    <w:p>
      <w:pPr>
        <w:spacing w:before="0" w:after="200" w:lineRule="auto" w:line="276"/>
      </w:pPr>
      <w:r>
        <w:rPr>
          <w:b/>
        </w:rPr>
        <w:t xml:space="preserve">Abstract (EN): </w:t>
      </w:r>
      <w:r>
        <w:t>Interlocked architectures are crucial for stabilizing specific conformations to achieve superior performance. Herein, we proposes a vacant π-site recombination strategy to achieve significant luminescence enhancement through topological engineering from non-emissive chiral metallomacrocycles (R/S-Au4) to highly circularly polarized luminescence (CPL) catenanes (R/S-Au8). The dynamical structural transformation of metallomacrocycles (R/S-Au4) to catenanes (R/S-Au8) was monitored by 1H and 31P NMR spectroscopy. Excited state dynamics and theoretical studies revealed that the increase of heavy atom effect in catenanes (R/S-Au8) effectively increases spin-orbit coupling constant from 4.03 (R-Au4) to 48.22 cm-1 (R-Au8), facilitating the intersystem crossing between S1 and T1. While R/S-Au4 with flexible metallocyclic structures tend to rapidly relax the excited states through thermally vibrational processes, interlocked structures of R/S-Au8 lead to better rigidity, thus effectively suppressing non-radiative deactivation and facilitating radiative T1→S0 relaxation, thus achieving highly efficient CPL with ca. 39% quantum yield in solution. Solution-processed circularly polarized organic light-emitting diodes (CP-OLEDs) based on R/S-Au8 attain high-efficiency deep-red circularly polarized electroluminescence (CPEL) peaked at 685 nm, with external quantum efficiency (EQE) of 9.9% and electroluminescence asymmetric factor of ± 2.2 × 10-3. In any case, this upgrading approach from discrete macrocycles to interlocked architectures opens a new avenue for developing high-performance emitting materials and devices.</w:t>
      </w:r>
    </w:p>
    <w:p>
      <w:pPr>
        <w:spacing w:before="120" w:after="120"/>
      </w:pPr>
      <w:r>
        <w:rPr>
          <w:sz w:val="18"/>
        </w:rPr>
        <w:t>——————————————————————————————————————————————————————————————————————</w:t>
      </w:r>
    </w:p>
    <w:p>
      <w:pPr>
        <w:spacing w:before="160" w:after="40" w:line="240" w:lineRule="auto"/>
      </w:pPr>
      <w:r>
        <w:rPr>
          <w:b/>
        </w:rPr>
        <w:t xml:space="preserve">[319] </w:t>
      </w:r>
      <w:hyperlink r:id="rId741">
        <w:r>
          <w:rPr>
            <w:color w:val="1155CC"/>
            <w:u w:val="single"/>
          </w:rPr>
          <w:t>生物合成的丝蛋白-淀粉样蛋白-贻贝蛋白作为可溶解回收材料，具有可调的超收缩性</w:t>
        </w:r>
      </w:hyperlink>
    </w:p>
    <w:p>
      <w:pPr>
        <w:spacing w:before="0" w:after="80"/>
      </w:pPr>
      <w:r>
        <w:rPr>
          <w:i/>
          <w:sz w:val="20"/>
        </w:rPr>
        <w:t>EN: Biosynthesized Silk‐Amyloid‐Mussel Proteins as Dissolution Recyclable Materials With Tunable Supercontraction</w:t>
      </w:r>
    </w:p>
    <w:p>
      <w:pPr>
        <w:spacing w:before="0" w:after="120"/>
      </w:pPr>
      <w:r>
        <w:rPr>
          <w:b/>
        </w:rPr>
        <w:t xml:space="preserve">Source: </w:t>
      </w:r>
      <w:r>
        <w:t>Wiley: Advanced Materials: Table of Contents</w:t>
      </w:r>
      <w:r>
        <w:t xml:space="preserve">    </w:t>
      </w:r>
      <w:r>
        <w:rPr>
          <w:b/>
        </w:rPr>
        <w:t xml:space="preserve">Pub date: </w:t>
      </w:r>
      <w:r>
        <w:t>2026-04-29 07:03:09+00:00</w:t>
      </w:r>
      <w:r>
        <w:t xml:space="preserve">    </w:t>
      </w:r>
      <w:r>
        <w:rPr>
          <w:b/>
        </w:rPr>
        <w:t xml:space="preserve">DOI: </w:t>
      </w:r>
      <w:hyperlink r:id="rId742">
        <w:r>
          <w:rPr>
            <w:color w:val="1155CC"/>
            <w:u w:val="single"/>
          </w:rPr>
          <w:t>10.1002/adma.73200</w:t>
        </w:r>
      </w:hyperlink>
    </w:p>
    <w:p>
      <w:pPr>
        <w:spacing w:before="0" w:after="120"/>
      </w:pPr>
      <w:r>
        <w:rPr>
          <w:b/>
        </w:rPr>
        <w:t xml:space="preserve">Notes: </w:t>
      </w:r>
      <w:r>
        <w:t>abstract_source=pubmed</w:t>
      </w:r>
    </w:p>
    <w:p>
      <w:pPr>
        <w:spacing w:before="0" w:after="80" w:lineRule="auto" w:line="276"/>
      </w:pPr>
      <w:r>
        <w:rPr>
          <w:b/>
        </w:rPr>
        <w:t xml:space="preserve">摘要（ZH）: </w:t>
      </w:r>
      <w:r>
        <w:t>溶解回收代表了一种有前景且可能具有成本效益的材料再生和温室气体减排策略。然而，由于强烈的分子间相互作用对于机械性能至关重要，而这些相互作用通常与溶解过程中溶剂的破坏不兼容，因此很少有聚合物可以通过溶解实际回收。在此，我们提出了一种合理的材料工程方法，平衡这些竞争需求，以创造高性能、可溶解回收的蛋白质基材料（PBMs）。通过蛋白质工程和合成生物学，我们设计了丝-淀粉样-贻贝（SAM）蛋白质杂交体，其无定形域控制溶剂渗入，而结晶域保持承载的分子间相互作用。工程化的SAM纤维，SAMHY，在高湿度（&gt;90%）下表现出卓越的拉伸强度（401 ± 40 MPa）、韧性（124 ± 38 MJ/m-3）和最小的超收缩（2.2% ± 1.9%），并通过快速（&lt;1小时）、节能的溶解过程使用水性甲酸实现完全回收。回收的纤维在多次回收循环中保持了结构完整性和机械性能。此外，回收的SAMHY蛋白被重新加工成水凝胶，即使在进一步回收后也具有强的水下粘附性和机械稳健性。这些发现确立了可回收PBMs的基本设计原则，并展示了生产多功能、高性能、可持续和可回收蛋白质材料的可行性，适用于广泛的应用。</w:t>
      </w:r>
    </w:p>
    <w:p>
      <w:pPr>
        <w:spacing w:before="0" w:after="200" w:lineRule="auto" w:line="276"/>
      </w:pPr>
      <w:r>
        <w:rPr>
          <w:b/>
        </w:rPr>
        <w:t xml:space="preserve">Abstract (EN): </w:t>
      </w:r>
      <w:r>
        <w:t>Dissolution recycling represents a promising and potentially cost-effective strategy for material regeneration and greenhouse gas reduction. Yet, very few polymers are practically recyclable by dissolution because strong intermolecular interactions, essential for mechanical performance, are typically incompatible with solvent disruption during dissolution. Here, we present a rational material engineering approach that balances these competing requirements to create high-performance, dissolution-recyclable protein-based materials (PBMs). Using protein engineering and synthetic biology, we designed silk-amyloid-mussel (SAM) protein hybrids whose amorphous domains control solvent ingress, while crystalline domains maintain load-bearing intermolecular interactions. The engineered SAM fibers, SAMHY, exhibited exceptional tensile strength (401 ± 40 MPa), toughness (124 ± 38 MJ/m-3), and minimal supercontraction (2.2% ± 1.9%) under high humidity (&gt;90%), alongside full recyclability through a rapid (&lt;1 h), energy-efficient dissolution process using aqueous formic acid. Recycled fibers retained both structural integrity and mechanical performance over multiple recycling cycles. Moreover, the recycled SAMHY protein was reprocessed into hydrogels with strong underwater adhesion and mechanical robustness even after further recycling. These findings establish fundamental design principles for recyclable PBMs and demonstrate the feasibility of producing versatile, high-performance, sustainable, and recyclable protein materials for a broad range of applications.</w:t>
      </w:r>
    </w:p>
    <w:p>
      <w:pPr>
        <w:spacing w:before="120" w:after="120"/>
      </w:pPr>
      <w:r>
        <w:rPr>
          <w:sz w:val="18"/>
        </w:rPr>
        <w:t>——————————————————————————————————————————————————————————————————————</w:t>
      </w:r>
    </w:p>
    <w:p>
      <w:pPr>
        <w:spacing w:before="160" w:after="40" w:line="240" w:lineRule="auto"/>
      </w:pPr>
      <w:r>
        <w:rPr>
          <w:b/>
        </w:rPr>
        <w:t xml:space="preserve">[320] </w:t>
      </w:r>
      <w:hyperlink r:id="rId743">
        <w:r>
          <w:rPr>
            <w:color w:val="1155CC"/>
            <w:u w:val="single"/>
          </w:rPr>
          <w:t>非侵入性脑靶向递送大麻二酚以缓解神经炎症性疾病</w:t>
        </w:r>
      </w:hyperlink>
    </w:p>
    <w:p>
      <w:pPr>
        <w:spacing w:before="0" w:after="80"/>
      </w:pPr>
      <w:r>
        <w:rPr>
          <w:i/>
          <w:sz w:val="20"/>
        </w:rPr>
        <w:t>EN: Non‐Invasive Brain Targeted Delivery of Cannabidiol for Alleviating Neuroinflammatory Disease</w:t>
      </w:r>
    </w:p>
    <w:p>
      <w:pPr>
        <w:spacing w:before="0" w:after="120"/>
      </w:pPr>
      <w:r>
        <w:rPr>
          <w:b/>
        </w:rPr>
        <w:t xml:space="preserve">Source: </w:t>
      </w:r>
      <w:r>
        <w:t>Wiley: Advanced Materials: Table of Contents</w:t>
      </w:r>
      <w:r>
        <w:t xml:space="preserve">    </w:t>
      </w:r>
      <w:r>
        <w:rPr>
          <w:b/>
        </w:rPr>
        <w:t xml:space="preserve">Pub date: </w:t>
      </w:r>
      <w:r>
        <w:t>2026-04-29 07:04:08+00:00</w:t>
      </w:r>
      <w:r>
        <w:t xml:space="preserve">    </w:t>
      </w:r>
      <w:r>
        <w:rPr>
          <w:b/>
        </w:rPr>
        <w:t xml:space="preserve">DOI: </w:t>
      </w:r>
      <w:hyperlink r:id="rId744">
        <w:r>
          <w:rPr>
            <w:color w:val="1155CC"/>
            <w:u w:val="single"/>
          </w:rPr>
          <w:t>10.1002/adma.202518697</w:t>
        </w:r>
      </w:hyperlink>
    </w:p>
    <w:p>
      <w:pPr>
        <w:spacing w:before="0" w:after="120"/>
      </w:pPr>
      <w:r>
        <w:rPr>
          <w:b/>
        </w:rPr>
        <w:t xml:space="preserve">Notes: </w:t>
      </w:r>
      <w:r>
        <w:t>abstract_source=pubmed</w:t>
      </w:r>
    </w:p>
    <w:p>
      <w:pPr>
        <w:spacing w:before="0" w:after="80" w:lineRule="auto" w:line="276"/>
      </w:pPr>
      <w:r>
        <w:rPr>
          <w:b/>
        </w:rPr>
        <w:t xml:space="preserve">摘要（ZH）: </w:t>
      </w:r>
      <w:r>
        <w:t>慢性神经炎症是神经退行性疾病的已知病因病理因素。虽然大麻二酚（CBD）已显示出抗炎效果，但不利的药代动力学和较差的血脑屏障（BBB）渗透性导致大脑暴露量低。在此，我们通过将CBD纳入一种BBB可渗透的葡萄糖纳米颗粒（GNPs）中大大提高了CBD治疗神经炎症的功效，该设计还结合了组织靶向基团，并使用活性氧响应聚合物选择性靶向神经炎症病灶。我们实现了比裸载体高出20倍的高药物浓度，并在两种小鼠神经炎症疾病模型中展示了强效的治疗效果。在机制上，疾病改善是通过将小胶质细胞从神经毒性M1表型重新极化为神经保护性M2表型实现的，从而通过增强脑源性神经营养和抗炎因子的分泌促进神经细胞再生。我们的大脑靶向CBD递送方法可能为治疗其他以神经炎症为特征的中枢神经系统疾病提供一个多功能平台。</w:t>
      </w:r>
    </w:p>
    <w:p>
      <w:pPr>
        <w:spacing w:before="0" w:after="200" w:lineRule="auto" w:line="276"/>
      </w:pPr>
      <w:r>
        <w:rPr>
          <w:b/>
        </w:rPr>
        <w:t xml:space="preserve">Abstract (EN): </w:t>
      </w:r>
      <w:r>
        <w:t>Chronic neuroinflammation is a known etiopathogenic factor in neurodegenerative disease. While cannabidiol (CBD) has demonstrated anti-inflammatory effects, unfavorable pharmacokinetics and poor blood-brain barrier (BBB) permeability lead to low brain exposure. Here, we greatly improve the efficacy of CBD to treat neuroinflammation by incorporating CBD in a BBB-permeable glucose nanoparticle (GNPs) that by design also incorporates tissue-targeting moieties and uses reactive oxygen species responsive polymer to selectively target neuroinflammatory lesions. We achieved a high drug concentration over 20 times higher than naked cargo and demonstrate potent therapeutic effects in two mouse models of neuroinflammatory disease. Mechanistically, disease amelioration resulted from repolarizing microglia from the neurotoxic M1 to the neuroprotective M2 phenotype, leading to neuronal cell regeneration by enhanced secretion of brain derived neurotropic and anti-inflammatory factors. Our approach for brain targeted CBD delivery may provide a versatile platform for treating other CNS disorders characterized by neuroinflammation.</w:t>
      </w:r>
    </w:p>
    <w:p>
      <w:pPr>
        <w:spacing w:before="120" w:after="120"/>
      </w:pPr>
      <w:r>
        <w:rPr>
          <w:sz w:val="18"/>
        </w:rPr>
        <w:t>——————————————————————————————————————————————————————————————————————</w:t>
      </w:r>
    </w:p>
    <w:p>
      <w:pPr>
        <w:spacing w:before="160" w:after="40" w:line="240" w:lineRule="auto"/>
      </w:pPr>
      <w:r>
        <w:rPr>
          <w:b/>
        </w:rPr>
        <w:t xml:space="preserve">[321] </w:t>
      </w:r>
      <w:hyperlink r:id="rId745">
        <w:r>
          <w:rPr>
            <w:color w:val="1155CC"/>
            <w:u w:val="single"/>
          </w:rPr>
          <w:t>通过协同链缠结、氢键和纳米粒子掺入增强的机械强度超高分子量超分子水凝胶</w:t>
        </w:r>
      </w:hyperlink>
    </w:p>
    <w:p>
      <w:pPr>
        <w:spacing w:before="0" w:after="80"/>
      </w:pPr>
      <w:r>
        <w:rPr>
          <w:i/>
          <w:sz w:val="20"/>
        </w:rPr>
        <w:t>EN: Mechanically Robust Ultrahigh Molecular Weight Supramolecular Hydrogels Reinforced by Synergistic Chain Entanglement, Hydrogen Bonding, and Nanoparticle Incorporation</w:t>
      </w:r>
    </w:p>
    <w:p>
      <w:pPr>
        <w:spacing w:before="0" w:after="120"/>
      </w:pPr>
      <w:r>
        <w:rPr>
          <w:b/>
        </w:rPr>
        <w:t xml:space="preserve">Source: </w:t>
      </w:r>
      <w:r>
        <w:t>Wiley: Angewandte Chemie International Edition: Table of Contents</w:t>
      </w:r>
      <w:r>
        <w:t xml:space="preserve">    </w:t>
      </w:r>
      <w:r>
        <w:rPr>
          <w:b/>
        </w:rPr>
        <w:t xml:space="preserve">Pub date: </w:t>
      </w:r>
      <w:r>
        <w:t>2026-04-29 07:29:09+00:00</w:t>
      </w:r>
      <w:r>
        <w:t xml:space="preserve">    </w:t>
      </w:r>
      <w:r>
        <w:rPr>
          <w:b/>
        </w:rPr>
        <w:t xml:space="preserve">DOI: </w:t>
      </w:r>
      <w:hyperlink r:id="rId746">
        <w:r>
          <w:rPr>
            <w:color w:val="1155CC"/>
            <w:u w:val="single"/>
          </w:rPr>
          <w:t>10.1002/anie.5675930</w:t>
        </w:r>
      </w:hyperlink>
    </w:p>
    <w:p>
      <w:pPr>
        <w:spacing w:before="0" w:after="120"/>
      </w:pPr>
      <w:r>
        <w:rPr>
          <w:b/>
        </w:rPr>
        <w:t xml:space="preserve">Notes: </w:t>
      </w:r>
      <w:r>
        <w:t>abstract_source=pubmed</w:t>
      </w:r>
    </w:p>
    <w:p>
      <w:pPr>
        <w:spacing w:before="0" w:after="80" w:lineRule="auto" w:line="276"/>
      </w:pPr>
      <w:r>
        <w:rPr>
          <w:b/>
        </w:rPr>
        <w:t xml:space="preserve">摘要（ZH）: </w:t>
      </w:r>
      <w:r>
        <w:t>调节超高分子量（UHMW）物理交联水凝胶的机械性能仍然是一个重大挑战。我们通过利用Fenton引发的可逆加成-断裂链转移（RAFT）聚合，在温和的水相条件下合成分子量高达1700 kg mol-1的聚（甲基丙烯酸）（PMAA）来解决这一问题。这些UHMW聚合物利用广泛的链缠结和氢键形成强韧的超分子水凝胶，表现出高达0.16 MPa的拉伸强度、2000%的断裂应变和2.93 MJ m-3的韧性。此外，作为次级物理交联的PMAA稳定纳米颗粒（球体或蠕虫）的引入显著增强了能量耗散和整体机械性能，使韧性相对于纯UHMW PMAA水凝胶增加了2.5倍。这种方法为通过分子和纳米尺度的分层工程设计高性能软材料提供了一个多功能框架。</w:t>
      </w:r>
    </w:p>
    <w:p>
      <w:pPr>
        <w:spacing w:before="0" w:after="200" w:lineRule="auto" w:line="276"/>
      </w:pPr>
      <w:r>
        <w:rPr>
          <w:b/>
        </w:rPr>
        <w:t xml:space="preserve">Abstract (EN): </w:t>
      </w:r>
      <w:r>
        <w:t>Tuning the mechanical properties of ultrahigh molecular weight (UHMW) physically crosslinked hydrogels remains a significant challenge. We address this by utilizing Fenton-initiated reversible addition-fragmentation chain transfer (RAFT) polymerization to synthesize poly(methacrylic acid) (PMAA) with molecular weights of up to 1700 kg mol-1 under mild aqueous conditions. These UHMW polymers leverage extensive chain entanglement and hydrogen bonding to form strong and tough supramolecular hydrogels, exhibiting a tensile strength of up to 0.16 MPa, a fracture strain of 2000%, and a toughness of 2.93 MJ m-3. Furthermore, the incorporation of PMAA-stabilized nanoparticles (spheres or worms) as secondary physical crosslinks significantly enhances energy dissipation and overall mechanical properties, resulting in a 2.5-fold increase in toughness relative to the neat UHMW PMAA hydrogel. This approach offers a versatile framework for designing high-performance soft materials through hierarchical molecular and nanoscale engineering.</w:t>
      </w:r>
    </w:p>
    <w:p>
      <w:pPr>
        <w:spacing w:before="120" w:after="120"/>
      </w:pPr>
      <w:r>
        <w:rPr>
          <w:sz w:val="18"/>
        </w:rPr>
        <w:t>——————————————————————————————————————————————————————————————————————</w:t>
      </w:r>
    </w:p>
    <w:p>
      <w:pPr>
        <w:spacing w:before="160" w:after="40" w:line="240" w:lineRule="auto"/>
      </w:pPr>
      <w:r>
        <w:rPr>
          <w:b/>
        </w:rPr>
        <w:t xml:space="preserve">[322] </w:t>
      </w:r>
      <w:hyperlink r:id="rId747">
        <w:r>
          <w:rPr>
            <w:color w:val="1155CC"/>
            <w:u w:val="single"/>
          </w:rPr>
          <w:t>超越体相传输：用于实际安培时规模锌阳极的界面原子调控</w:t>
        </w:r>
      </w:hyperlink>
    </w:p>
    <w:p>
      <w:pPr>
        <w:spacing w:before="0" w:after="80"/>
      </w:pPr>
      <w:r>
        <w:rPr>
          <w:i/>
          <w:sz w:val="20"/>
        </w:rPr>
        <w:t>EN: Beyond Bulk Transport: Interfacial Atomic Regulation for Practical Ah‐Scale Zinc Anodes</w:t>
      </w:r>
    </w:p>
    <w:p>
      <w:pPr>
        <w:spacing w:before="0" w:after="120"/>
      </w:pPr>
      <w:r>
        <w:rPr>
          <w:b/>
        </w:rPr>
        <w:t xml:space="preserve">Source: </w:t>
      </w:r>
      <w:r>
        <w:t>Wiley: Advanced Energy Materials: Table of Contents</w:t>
      </w:r>
      <w:r>
        <w:t xml:space="preserve">    </w:t>
      </w:r>
      <w:r>
        <w:rPr>
          <w:b/>
        </w:rPr>
        <w:t xml:space="preserve">Pub date: </w:t>
      </w:r>
      <w:r>
        <w:t>2026-04-29 07:44:49+00:00</w:t>
      </w:r>
      <w:r>
        <w:t xml:space="preserve">    </w:t>
      </w:r>
      <w:r>
        <w:rPr>
          <w:b/>
        </w:rPr>
        <w:t xml:space="preserve">DOI: </w:t>
      </w:r>
      <w:hyperlink r:id="rId748">
        <w:r>
          <w:rPr>
            <w:color w:val="1155CC"/>
            <w:u w:val="single"/>
          </w:rPr>
          <w:t>10.1002/aenm.71019</w:t>
        </w:r>
      </w:hyperlink>
    </w:p>
    <w:p>
      <w:pPr>
        <w:spacing w:before="0" w:after="80" w:lineRule="auto" w:line="276"/>
      </w:pPr>
      <w:r>
        <w:rPr>
          <w:b/>
        </w:rPr>
        <w:t xml:space="preserve">摘要（ZH）: </w:t>
      </w:r>
      <w:r>
        <w:t>(empty)</w:t>
      </w:r>
    </w:p>
    <w:p>
      <w:pPr>
        <w:spacing w:before="0" w:after="200" w:lineRule="auto" w:line="276"/>
      </w:pPr>
      <w:r>
        <w:rPr>
          <w:b/>
        </w:rPr>
        <w:t xml:space="preserve">Abstract (EN): </w:t>
      </w:r>
      <w:r>
        <w:t>(empty)</w:t>
      </w:r>
    </w:p>
    <w:p>
      <w:pPr>
        <w:spacing w:before="120" w:after="120"/>
      </w:pPr>
      <w:r>
        <w:rPr>
          <w:sz w:val="18"/>
        </w:rPr>
        <w:t>——————————————————————————————————————————————————————————————————————</w:t>
      </w:r>
    </w:p>
    <w:p>
      <w:pPr>
        <w:spacing w:before="160" w:after="40" w:line="240" w:lineRule="auto"/>
      </w:pPr>
      <w:r>
        <w:rPr>
          <w:b/>
        </w:rPr>
        <w:t xml:space="preserve">[323] </w:t>
      </w:r>
      <w:hyperlink r:id="rId749">
        <w:r>
          <w:rPr>
            <w:color w:val="1155CC"/>
            <w:u w:val="single"/>
          </w:rPr>
          <w:t>[ASAP] 通过铱和鞘胺催化的N–H插入实现对映选择性吡唑烷基化</w:t>
        </w:r>
      </w:hyperlink>
    </w:p>
    <w:p>
      <w:pPr>
        <w:spacing w:before="0" w:after="80"/>
      </w:pPr>
      <w:r>
        <w:rPr>
          <w:i/>
          <w:sz w:val="20"/>
        </w:rPr>
        <w:t>EN: [ASAP] Enantioselective Pyrazole Alkylation via Iridium and Squaramide Catalyzed N–H Insertion</w:t>
      </w:r>
    </w:p>
    <w:p>
      <w:pPr>
        <w:spacing w:before="0" w:after="120"/>
      </w:pPr>
      <w:r>
        <w:rPr>
          <w:b/>
        </w:rPr>
        <w:t xml:space="preserve">Source: </w:t>
      </w:r>
      <w:r>
        <w:t>Journal of the American Chemical Society: Latest Articles (ACS Publications)</w:t>
      </w:r>
      <w:r>
        <w:t xml:space="preserve">    </w:t>
      </w:r>
      <w:r>
        <w:rPr>
          <w:b/>
        </w:rPr>
        <w:t xml:space="preserve">Pub date: </w:t>
      </w:r>
      <w:r>
        <w:t>2026-04-29 12:05:29+00:00</w:t>
      </w:r>
      <w:r>
        <w:t xml:space="preserve">    </w:t>
      </w:r>
      <w:r>
        <w:rPr>
          <w:b/>
        </w:rPr>
        <w:t xml:space="preserve">DOI: </w:t>
      </w:r>
      <w:hyperlink r:id="rId750">
        <w:r>
          <w:rPr>
            <w:color w:val="1155CC"/>
            <w:u w:val="single"/>
          </w:rPr>
          <w:t>10.1021/jacs.6c00508</w:t>
        </w:r>
      </w:hyperlink>
    </w:p>
    <w:p>
      <w:pPr>
        <w:spacing w:before="0" w:after="120"/>
      </w:pPr>
      <w:r>
        <w:rPr>
          <w:b/>
        </w:rPr>
        <w:t xml:space="preserve">Notes: </w:t>
      </w:r>
      <w:r>
        <w:t>abstract_source=pubmed</w:t>
      </w:r>
    </w:p>
    <w:p>
      <w:pPr>
        <w:spacing w:before="0" w:after="80" w:lineRule="auto" w:line="276"/>
      </w:pPr>
      <w:r>
        <w:rPr>
          <w:b/>
        </w:rPr>
        <w:t xml:space="preserve">摘要（ZH）: </w:t>
      </w:r>
      <w:r>
        <w:t>虽然吡唑是药物化学中的特权骨架，但其互变异构和路易斯碱性对对映选择性催化烷基化构成挑战。在此，我们报告了一种铱和方酰胺催化的N-H插入，提供了一种位点选择性和对映选择性的α-吡唑酯合成路线。Ir催化剂促进在空间位阻较小的氮（Nβ）上的位点选择性插入；Ir和方酰胺催化剂的组合介导了具有优异对映控制的非对称质子化。这些发现确立了吡唑的非对称N-H插入策略，提供了以前无法通过非对称催化获得的手性氮杂环。该概念扩展到吲唑功能化，并实现了首次公开的PARP7抑制剂的非对称合成。</w:t>
      </w:r>
    </w:p>
    <w:p>
      <w:pPr>
        <w:spacing w:before="0" w:after="200" w:lineRule="auto" w:line="276"/>
      </w:pPr>
      <w:r>
        <w:rPr>
          <w:b/>
        </w:rPr>
        <w:t xml:space="preserve">Abstract (EN): </w:t>
      </w:r>
      <w:r>
        <w:t>While pyrazoles are privileged scaffolds in medicinal chemistry, their tautomerization and Lewis-basicity pose challenges for enantioselective catalytic alkylation. Here, we report an iridium and squaramide catalyzed N-H insertion that provides a site-selective and enantioselective route to α-pyrazole esters. An Ir catalyst promotes site-selective insertion at the less sterically hindered nitrogen (Nβ); the combination of Ir and squaramide catalysts mediates asymmetric protonation with excellent enantiocontrol. These findings establish a strategy for the asymmetric N-H insertion of pyrazoles, providing access to chiral nitrogen heterocycles previously inaccessible by asymmetric catalysis. This concept extends to indazole functionalization and enables the first disclosed asymmetric synthesis of a PARP7 inhibitor.</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sciencedirect.com/science/article/pii/S0306261926005738?dgcid=rss_sd_all" TargetMode="External"/><Relationship Id="rId10" Type="http://schemas.openxmlformats.org/officeDocument/2006/relationships/hyperlink" Target="https://onlinelibrary.wiley.com/doi/10.1002/anie.9572636?af=R" TargetMode="External"/><Relationship Id="rId11" Type="http://schemas.openxmlformats.org/officeDocument/2006/relationships/hyperlink" Target="https://doi.org/10.1002/anie.9572636" TargetMode="External"/><Relationship Id="rId12" Type="http://schemas.openxmlformats.org/officeDocument/2006/relationships/hyperlink" Target="https://www.sciencedirect.com/science/article/pii/S0306261926005374?dgcid=rss_sd_all" TargetMode="External"/><Relationship Id="rId13" Type="http://schemas.openxmlformats.org/officeDocument/2006/relationships/hyperlink" Target="https://www.nature.com/articles/s41565-026-02165-6" TargetMode="External"/><Relationship Id="rId14" Type="http://schemas.openxmlformats.org/officeDocument/2006/relationships/hyperlink" Target="https://doi.org/10.1038/s41565-026-02165-6" TargetMode="External"/><Relationship Id="rId15" Type="http://schemas.openxmlformats.org/officeDocument/2006/relationships/hyperlink" Target="https://www.cell.com/joule/fulltext/S2542-4351(26)00116-9?rss=yes" TargetMode="External"/><Relationship Id="rId16" Type="http://schemas.openxmlformats.org/officeDocument/2006/relationships/hyperlink" Target="https://doi.org/10.1016/j.joule.2026.102432" TargetMode="External"/><Relationship Id="rId17" Type="http://schemas.openxmlformats.org/officeDocument/2006/relationships/hyperlink" Target="https://www.sciencedirect.com/science/article/pii/S0306261926005945?dgcid=rss_sd_all" TargetMode="External"/><Relationship Id="rId18" Type="http://schemas.openxmlformats.org/officeDocument/2006/relationships/hyperlink" Target="https://advanced.onlinelibrary.wiley.com/doi/10.1002/adma.73221?af=R" TargetMode="External"/><Relationship Id="rId19" Type="http://schemas.openxmlformats.org/officeDocument/2006/relationships/hyperlink" Target="https://doi.org/10.1002/adma.73221" TargetMode="External"/><Relationship Id="rId20" Type="http://schemas.openxmlformats.org/officeDocument/2006/relationships/hyperlink" Target="https://advanced.onlinelibrary.wiley.com/doi/10.1002/adma.73134?af=R" TargetMode="External"/><Relationship Id="rId21" Type="http://schemas.openxmlformats.org/officeDocument/2006/relationships/hyperlink" Target="https://doi.org/10.1002/adma.73134" TargetMode="External"/><Relationship Id="rId22" Type="http://schemas.openxmlformats.org/officeDocument/2006/relationships/hyperlink" Target="http://dx.doi.org/10.1021/acsenergylett.6c00888" TargetMode="External"/><Relationship Id="rId23" Type="http://schemas.openxmlformats.org/officeDocument/2006/relationships/hyperlink" Target="https://doi.org/10.1021/acsenergylett.6c00888" TargetMode="External"/><Relationship Id="rId24" Type="http://schemas.openxmlformats.org/officeDocument/2006/relationships/hyperlink" Target="https://www.sciencedirect.com/science/article/pii/S0301421526002788?dgcid=rss_sd_all" TargetMode="External"/><Relationship Id="rId25" Type="http://schemas.openxmlformats.org/officeDocument/2006/relationships/hyperlink" Target="https://www.nature.com/articles/s41563-026-02589-4" TargetMode="External"/><Relationship Id="rId26" Type="http://schemas.openxmlformats.org/officeDocument/2006/relationships/hyperlink" Target="https://doi.org/10.1038/s41563-026-02589-4" TargetMode="External"/><Relationship Id="rId27" Type="http://schemas.openxmlformats.org/officeDocument/2006/relationships/hyperlink" Target="http://dx.doi.org/10.1021/jacs.6c03439" TargetMode="External"/><Relationship Id="rId28" Type="http://schemas.openxmlformats.org/officeDocument/2006/relationships/hyperlink" Target="https://doi.org/10.1021/jacs.6c03439" TargetMode="External"/><Relationship Id="rId29" Type="http://schemas.openxmlformats.org/officeDocument/2006/relationships/hyperlink" Target="http://pubs.rsc.org/en/Content/ArticleLanding/2026/EE/D6EE00174B" TargetMode="External"/><Relationship Id="rId30" Type="http://schemas.openxmlformats.org/officeDocument/2006/relationships/hyperlink" Target="http://pubs.rsc.org/en/Content/ArticleLanding/2026/CS/D6CS90039A" TargetMode="External"/><Relationship Id="rId31" Type="http://schemas.openxmlformats.org/officeDocument/2006/relationships/hyperlink" Target="https://www.nature.com/articles/s41586-026-10419-5" TargetMode="External"/><Relationship Id="rId32" Type="http://schemas.openxmlformats.org/officeDocument/2006/relationships/hyperlink" Target="https://doi.org/10.1038/s41586-026-10419-5" TargetMode="External"/><Relationship Id="rId33" Type="http://schemas.openxmlformats.org/officeDocument/2006/relationships/hyperlink" Target="https://advanced.onlinelibrary.wiley.com/doi/10.1002/aenm.202506764?af=R" TargetMode="External"/><Relationship Id="rId34" Type="http://schemas.openxmlformats.org/officeDocument/2006/relationships/hyperlink" Target="https://doi.org/10.1002/aenm.202506764" TargetMode="External"/><Relationship Id="rId35" Type="http://schemas.openxmlformats.org/officeDocument/2006/relationships/hyperlink" Target="https://advanced.onlinelibrary.wiley.com/doi/10.1002/aenm.70939?af=R" TargetMode="External"/><Relationship Id="rId36" Type="http://schemas.openxmlformats.org/officeDocument/2006/relationships/hyperlink" Target="https://doi.org/10.1002/aenm.70939" TargetMode="External"/><Relationship Id="rId37" Type="http://schemas.openxmlformats.org/officeDocument/2006/relationships/hyperlink" Target="https://advanced.onlinelibrary.wiley.com/doi/10.1002/aenm.71005?af=R" TargetMode="External"/><Relationship Id="rId38" Type="http://schemas.openxmlformats.org/officeDocument/2006/relationships/hyperlink" Target="https://doi.org/10.1002/aenm.71005" TargetMode="External"/><Relationship Id="rId39" Type="http://schemas.openxmlformats.org/officeDocument/2006/relationships/hyperlink" Target="https://www.science.org/doi/abs/10.1126/sciadv.adz9089?af=R" TargetMode="External"/><Relationship Id="rId40" Type="http://schemas.openxmlformats.org/officeDocument/2006/relationships/hyperlink" Target="https://doi.org/10.1126/sciadv.adz9089" TargetMode="External"/><Relationship Id="rId41" Type="http://schemas.openxmlformats.org/officeDocument/2006/relationships/hyperlink" Target="https://advanced.onlinelibrary.wiley.com/doi/10.1002/aenm.202505717?af=R" TargetMode="External"/><Relationship Id="rId42" Type="http://schemas.openxmlformats.org/officeDocument/2006/relationships/hyperlink" Target="https://doi.org/10.1002/aenm.202505717" TargetMode="External"/><Relationship Id="rId43" Type="http://schemas.openxmlformats.org/officeDocument/2006/relationships/hyperlink" Target="https://onlinelibrary.wiley.com/doi/10.1002/anie.8606538?af=R" TargetMode="External"/><Relationship Id="rId44" Type="http://schemas.openxmlformats.org/officeDocument/2006/relationships/hyperlink" Target="https://doi.org/10.1002/anie.8606538" TargetMode="External"/><Relationship Id="rId45" Type="http://schemas.openxmlformats.org/officeDocument/2006/relationships/hyperlink" Target="http://pubs.rsc.org/en/Content/ArticleLanding/2026/EE/D5EE07709E" TargetMode="External"/><Relationship Id="rId46" Type="http://schemas.openxmlformats.org/officeDocument/2006/relationships/hyperlink" Target="https://onlinelibrary.wiley.com/doi/10.1002/anie.7009531?af=R" TargetMode="External"/><Relationship Id="rId47" Type="http://schemas.openxmlformats.org/officeDocument/2006/relationships/hyperlink" Target="https://doi.org/10.1002/anie.7009531" TargetMode="External"/><Relationship Id="rId48" Type="http://schemas.openxmlformats.org/officeDocument/2006/relationships/hyperlink" Target="https://advanced.onlinelibrary.wiley.com/doi/10.1002/aenm.71008?af=R" TargetMode="External"/><Relationship Id="rId49" Type="http://schemas.openxmlformats.org/officeDocument/2006/relationships/hyperlink" Target="https://doi.org/10.1002/aenm.71008" TargetMode="External"/><Relationship Id="rId50" Type="http://schemas.openxmlformats.org/officeDocument/2006/relationships/hyperlink" Target="http://dx.doi.org/10.1021/acsenergylett.6c00653" TargetMode="External"/><Relationship Id="rId51" Type="http://schemas.openxmlformats.org/officeDocument/2006/relationships/hyperlink" Target="https://doi.org/10.1021/acsenergylett.6c00653" TargetMode="External"/><Relationship Id="rId52" Type="http://schemas.openxmlformats.org/officeDocument/2006/relationships/hyperlink" Target="https://advanced.onlinelibrary.wiley.com/doi/10.1002/aenm.71006?af=R" TargetMode="External"/><Relationship Id="rId53" Type="http://schemas.openxmlformats.org/officeDocument/2006/relationships/hyperlink" Target="https://doi.org/10.1002/aenm.71006" TargetMode="External"/><Relationship Id="rId54" Type="http://schemas.openxmlformats.org/officeDocument/2006/relationships/hyperlink" Target="https://advanced.onlinelibrary.wiley.com/doi/10.1002/aenm.71013?af=R" TargetMode="External"/><Relationship Id="rId55" Type="http://schemas.openxmlformats.org/officeDocument/2006/relationships/hyperlink" Target="https://doi.org/10.1002/aenm.71013" TargetMode="External"/><Relationship Id="rId56" Type="http://schemas.openxmlformats.org/officeDocument/2006/relationships/hyperlink" Target="https://advanced.onlinelibrary.wiley.com/doi/10.1002/aenm.71015?af=R" TargetMode="External"/><Relationship Id="rId57" Type="http://schemas.openxmlformats.org/officeDocument/2006/relationships/hyperlink" Target="https://doi.org/10.1002/aenm.71015" TargetMode="External"/><Relationship Id="rId58" Type="http://schemas.openxmlformats.org/officeDocument/2006/relationships/hyperlink" Target="https://advanced.onlinelibrary.wiley.com/doi/10.1002/aenm.70993?af=R" TargetMode="External"/><Relationship Id="rId59" Type="http://schemas.openxmlformats.org/officeDocument/2006/relationships/hyperlink" Target="https://doi.org/10.1002/aenm.70993" TargetMode="External"/><Relationship Id="rId60" Type="http://schemas.openxmlformats.org/officeDocument/2006/relationships/hyperlink" Target="https://onlinelibrary.wiley.com/doi/10.1002/anie.9106635?af=R" TargetMode="External"/><Relationship Id="rId61" Type="http://schemas.openxmlformats.org/officeDocument/2006/relationships/hyperlink" Target="https://doi.org/10.1002/anie.9106635" TargetMode="External"/><Relationship Id="rId62" Type="http://schemas.openxmlformats.org/officeDocument/2006/relationships/hyperlink" Target="http://dx.doi.org/10.1021/acsenergylett.6c00301" TargetMode="External"/><Relationship Id="rId63" Type="http://schemas.openxmlformats.org/officeDocument/2006/relationships/hyperlink" Target="https://doi.org/10.1021/acsenergylett.6c00301" TargetMode="External"/><Relationship Id="rId64" Type="http://schemas.openxmlformats.org/officeDocument/2006/relationships/hyperlink" Target="https://advanced.onlinelibrary.wiley.com/doi/10.1002/adma.73135?af=R" TargetMode="External"/><Relationship Id="rId65" Type="http://schemas.openxmlformats.org/officeDocument/2006/relationships/hyperlink" Target="https://doi.org/10.1002/adma.73135" TargetMode="External"/><Relationship Id="rId66" Type="http://schemas.openxmlformats.org/officeDocument/2006/relationships/hyperlink" Target="http://pubs.rsc.org/en/Content/ArticleLanding/2026/EE/D6EE01770C" TargetMode="External"/><Relationship Id="rId67" Type="http://schemas.openxmlformats.org/officeDocument/2006/relationships/hyperlink" Target="http://dx.doi.org/10.1021/acsenergylett.6c00810" TargetMode="External"/><Relationship Id="rId68" Type="http://schemas.openxmlformats.org/officeDocument/2006/relationships/hyperlink" Target="https://doi.org/10.1021/acsenergylett.6c00810" TargetMode="External"/><Relationship Id="rId69" Type="http://schemas.openxmlformats.org/officeDocument/2006/relationships/hyperlink" Target="https://onlinelibrary.wiley.com/doi/10.1002/anie.2598559?af=R" TargetMode="External"/><Relationship Id="rId70" Type="http://schemas.openxmlformats.org/officeDocument/2006/relationships/hyperlink" Target="https://doi.org/10.1002/anie.2598559" TargetMode="External"/><Relationship Id="rId71" Type="http://schemas.openxmlformats.org/officeDocument/2006/relationships/hyperlink" Target="https://advanced.onlinelibrary.wiley.com/doi/10.1002/aenm.70978?af=R" TargetMode="External"/><Relationship Id="rId72" Type="http://schemas.openxmlformats.org/officeDocument/2006/relationships/hyperlink" Target="https://doi.org/10.1002/aenm.70978" TargetMode="External"/><Relationship Id="rId73" Type="http://schemas.openxmlformats.org/officeDocument/2006/relationships/hyperlink" Target="https://advanced.onlinelibrary.wiley.com/doi/10.1002/adma.73186?af=R" TargetMode="External"/><Relationship Id="rId74" Type="http://schemas.openxmlformats.org/officeDocument/2006/relationships/hyperlink" Target="https://doi.org/10.1002/adma.73186" TargetMode="External"/><Relationship Id="rId75" Type="http://schemas.openxmlformats.org/officeDocument/2006/relationships/hyperlink" Target="http://dx.doi.org/10.1021/acsenergylett.5c03200" TargetMode="External"/><Relationship Id="rId76" Type="http://schemas.openxmlformats.org/officeDocument/2006/relationships/hyperlink" Target="https://doi.org/10.1021/acsenergylett.5c03200" TargetMode="External"/><Relationship Id="rId77" Type="http://schemas.openxmlformats.org/officeDocument/2006/relationships/hyperlink" Target="http://dx.doi.org/10.1021/jacs.6c00214" TargetMode="External"/><Relationship Id="rId78" Type="http://schemas.openxmlformats.org/officeDocument/2006/relationships/hyperlink" Target="https://doi.org/10.1021/jacs.6c00214" TargetMode="External"/><Relationship Id="rId79" Type="http://schemas.openxmlformats.org/officeDocument/2006/relationships/hyperlink" Target="https://www.sciencedirect.com/science/article/pii/S0306261926005799?dgcid=rss_sd_all" TargetMode="External"/><Relationship Id="rId80" Type="http://schemas.openxmlformats.org/officeDocument/2006/relationships/hyperlink" Target="https://onlinelibrary.wiley.com/doi/10.1002/anie.2577325?af=R" TargetMode="External"/><Relationship Id="rId81" Type="http://schemas.openxmlformats.org/officeDocument/2006/relationships/hyperlink" Target="https://doi.org/10.1002/anie.2577325" TargetMode="External"/><Relationship Id="rId82" Type="http://schemas.openxmlformats.org/officeDocument/2006/relationships/hyperlink" Target="https://www.nature.com/articles/s44359-026-00167-0" TargetMode="External"/><Relationship Id="rId83" Type="http://schemas.openxmlformats.org/officeDocument/2006/relationships/hyperlink" Target="https://doi.org/10.1038/s44359-026-00167-0" TargetMode="External"/><Relationship Id="rId84" Type="http://schemas.openxmlformats.org/officeDocument/2006/relationships/hyperlink" Target="https://www.cell.com/joule/fulltext/S2542-4351(26)00124-8?rss=yes" TargetMode="External"/><Relationship Id="rId85" Type="http://schemas.openxmlformats.org/officeDocument/2006/relationships/hyperlink" Target="https://doi.org/10.1016/j.joule.2026.102440" TargetMode="External"/><Relationship Id="rId86" Type="http://schemas.openxmlformats.org/officeDocument/2006/relationships/hyperlink" Target="https://advanced.onlinelibrary.wiley.com/doi/10.1002/aenm.71004?af=R" TargetMode="External"/><Relationship Id="rId87" Type="http://schemas.openxmlformats.org/officeDocument/2006/relationships/hyperlink" Target="https://doi.org/10.1002/aenm.71004" TargetMode="External"/><Relationship Id="rId88" Type="http://schemas.openxmlformats.org/officeDocument/2006/relationships/hyperlink" Target="http://pubs.rsc.org/en/Content/ArticleLanding/2026/EE/D5EE07558K" TargetMode="External"/><Relationship Id="rId89" Type="http://schemas.openxmlformats.org/officeDocument/2006/relationships/hyperlink" Target="https://www.cell.com/joule/fulltext/S2542-4351(26)00118-2?rss=yes" TargetMode="External"/><Relationship Id="rId90" Type="http://schemas.openxmlformats.org/officeDocument/2006/relationships/hyperlink" Target="https://doi.org/10.1016/j.joule.2026.102434" TargetMode="External"/><Relationship Id="rId91" Type="http://schemas.openxmlformats.org/officeDocument/2006/relationships/hyperlink" Target="https://www.sciencedirect.com/science/article/pii/S030626192600601X?dgcid=rss_sd_all" TargetMode="External"/><Relationship Id="rId92" Type="http://schemas.openxmlformats.org/officeDocument/2006/relationships/hyperlink" Target="http://dx.doi.org/10.1021/jacs.6c02253" TargetMode="External"/><Relationship Id="rId93" Type="http://schemas.openxmlformats.org/officeDocument/2006/relationships/hyperlink" Target="https://doi.org/10.1021/jacs.6c02253" TargetMode="External"/><Relationship Id="rId94" Type="http://schemas.openxmlformats.org/officeDocument/2006/relationships/hyperlink" Target="https://www.sciencedirect.com/science/article/pii/S0306261926005489?dgcid=rss_sd_all" TargetMode="External"/><Relationship Id="rId95" Type="http://schemas.openxmlformats.org/officeDocument/2006/relationships/hyperlink" Target="https://www.sciencedirect.com/science/article/pii/S0306261926005441?dgcid=rss_sd_all" TargetMode="External"/><Relationship Id="rId96" Type="http://schemas.openxmlformats.org/officeDocument/2006/relationships/hyperlink" Target="https://www.sciencedirect.com/science/article/pii/S030626192600557X?dgcid=rss_sd_all" TargetMode="External"/><Relationship Id="rId97" Type="http://schemas.openxmlformats.org/officeDocument/2006/relationships/hyperlink" Target="https://www.sciencedirect.com/science/article/pii/S0306261926005702?dgcid=rss_sd_all" TargetMode="External"/><Relationship Id="rId98" Type="http://schemas.openxmlformats.org/officeDocument/2006/relationships/hyperlink" Target="https://www.sciencedirect.com/science/article/pii/S0306261926006112?dgcid=rss_sd_all" TargetMode="External"/><Relationship Id="rId99" Type="http://schemas.openxmlformats.org/officeDocument/2006/relationships/hyperlink" Target="https://www.sciencedirect.com/science/article/pii/S0301421526002296?dgcid=rss_sd_all" TargetMode="External"/><Relationship Id="rId100" Type="http://schemas.openxmlformats.org/officeDocument/2006/relationships/hyperlink" Target="https://www.sciencedirect.com/science/article/pii/S0301421526002314?dgcid=rss_sd_all" TargetMode="External"/><Relationship Id="rId101" Type="http://schemas.openxmlformats.org/officeDocument/2006/relationships/hyperlink" Target="https://advanced.onlinelibrary.wiley.com/doi/10.1002/adma.202523080?af=R" TargetMode="External"/><Relationship Id="rId102" Type="http://schemas.openxmlformats.org/officeDocument/2006/relationships/hyperlink" Target="https://doi.org/10.1002/adma.202523080" TargetMode="External"/><Relationship Id="rId103" Type="http://schemas.openxmlformats.org/officeDocument/2006/relationships/hyperlink" Target="https://www.sciencedirect.com/science/article/pii/S0306261926005854?dgcid=rss_sd_all" TargetMode="External"/><Relationship Id="rId104" Type="http://schemas.openxmlformats.org/officeDocument/2006/relationships/hyperlink" Target="https://www.sciencedirect.com/science/article/pii/S0306261926005520?dgcid=rss_sd_all" TargetMode="External"/><Relationship Id="rId105" Type="http://schemas.openxmlformats.org/officeDocument/2006/relationships/hyperlink" Target="https://www.sciencedirect.com/science/article/pii/S0301421526002302?dgcid=rss_sd_all" TargetMode="External"/><Relationship Id="rId106" Type="http://schemas.openxmlformats.org/officeDocument/2006/relationships/hyperlink" Target="https://www.cell.com/joule/fulltext/S2542-4351(26)00120-0?rss=yes" TargetMode="External"/><Relationship Id="rId107" Type="http://schemas.openxmlformats.org/officeDocument/2006/relationships/hyperlink" Target="https://doi.org/10.1016/j.joule.2026.102436" TargetMode="External"/><Relationship Id="rId108" Type="http://schemas.openxmlformats.org/officeDocument/2006/relationships/hyperlink" Target="https://www.sciencedirect.com/science/article/pii/S0306261926006240?dgcid=rss_sd_all" TargetMode="External"/><Relationship Id="rId109" Type="http://schemas.openxmlformats.org/officeDocument/2006/relationships/hyperlink" Target="https://www.nature.com/articles/s44359-026-00166-1" TargetMode="External"/><Relationship Id="rId110" Type="http://schemas.openxmlformats.org/officeDocument/2006/relationships/hyperlink" Target="https://doi.org/10.1038/s44359-026-00166-1" TargetMode="External"/><Relationship Id="rId111" Type="http://schemas.openxmlformats.org/officeDocument/2006/relationships/hyperlink" Target="https://advanced.onlinelibrary.wiley.com/doi/10.1002/aenm.70941?af=R" TargetMode="External"/><Relationship Id="rId112" Type="http://schemas.openxmlformats.org/officeDocument/2006/relationships/hyperlink" Target="https://doi.org/10.1002/aenm.70941" TargetMode="External"/><Relationship Id="rId113" Type="http://schemas.openxmlformats.org/officeDocument/2006/relationships/hyperlink" Target="https://advanced.onlinelibrary.wiley.com/doi/10.1002/adma.73220?af=R" TargetMode="External"/><Relationship Id="rId114" Type="http://schemas.openxmlformats.org/officeDocument/2006/relationships/hyperlink" Target="https://doi.org/10.1002/adma.73220" TargetMode="External"/><Relationship Id="rId115" Type="http://schemas.openxmlformats.org/officeDocument/2006/relationships/hyperlink" Target="https://www.sciencedirect.com/science/article/pii/S0306261926006318?dgcid=rss_sd_all" TargetMode="External"/><Relationship Id="rId116" Type="http://schemas.openxmlformats.org/officeDocument/2006/relationships/hyperlink" Target="https://www.sciencedirect.com/science/article/pii/S0306261926006343?dgcid=rss_sd_all" TargetMode="External"/><Relationship Id="rId117" Type="http://schemas.openxmlformats.org/officeDocument/2006/relationships/hyperlink" Target="https://onlinelibrary.wiley.com/doi/10.1002/anie.4189062?af=R" TargetMode="External"/><Relationship Id="rId118" Type="http://schemas.openxmlformats.org/officeDocument/2006/relationships/hyperlink" Target="https://doi.org/10.1002/anie.4189062" TargetMode="External"/><Relationship Id="rId119" Type="http://schemas.openxmlformats.org/officeDocument/2006/relationships/hyperlink" Target="http://pubs.rsc.org/en/Content/ArticleLanding/2026/EE/D6EE00982D" TargetMode="External"/><Relationship Id="rId120" Type="http://schemas.openxmlformats.org/officeDocument/2006/relationships/hyperlink" Target="https://www.sciencedirect.com/science/article/pii/S0306261926005751?dgcid=rss_sd_all" TargetMode="External"/><Relationship Id="rId121" Type="http://schemas.openxmlformats.org/officeDocument/2006/relationships/hyperlink" Target="https://www.nature.com/articles/s44359-026-00168-z" TargetMode="External"/><Relationship Id="rId122" Type="http://schemas.openxmlformats.org/officeDocument/2006/relationships/hyperlink" Target="https://doi.org/10.1038/s44359-026-00168-z" TargetMode="External"/><Relationship Id="rId123" Type="http://schemas.openxmlformats.org/officeDocument/2006/relationships/hyperlink" Target="https://onlinelibrary.wiley.com/doi/10.1002/anie.2285211?af=R" TargetMode="External"/><Relationship Id="rId124" Type="http://schemas.openxmlformats.org/officeDocument/2006/relationships/hyperlink" Target="https://doi.org/10.1002/anie.2285211" TargetMode="External"/><Relationship Id="rId125" Type="http://schemas.openxmlformats.org/officeDocument/2006/relationships/hyperlink" Target="https://advanced.onlinelibrary.wiley.com/doi/10.1002/aenm.71003?af=R" TargetMode="External"/><Relationship Id="rId126" Type="http://schemas.openxmlformats.org/officeDocument/2006/relationships/hyperlink" Target="https://doi.org/10.1002/aenm.71003" TargetMode="External"/><Relationship Id="rId127" Type="http://schemas.openxmlformats.org/officeDocument/2006/relationships/hyperlink" Target="http://dx.doi.org/10.1021/jacs.5c21431" TargetMode="External"/><Relationship Id="rId128" Type="http://schemas.openxmlformats.org/officeDocument/2006/relationships/hyperlink" Target="https://doi.org/10.1021/jacs.5c21431" TargetMode="External"/><Relationship Id="rId129" Type="http://schemas.openxmlformats.org/officeDocument/2006/relationships/hyperlink" Target="https://www.nature.com/articles/d41586-026-01300-6" TargetMode="External"/><Relationship Id="rId130" Type="http://schemas.openxmlformats.org/officeDocument/2006/relationships/hyperlink" Target="https://doi.org/10.1038/d41586-026-01300-6" TargetMode="External"/><Relationship Id="rId131" Type="http://schemas.openxmlformats.org/officeDocument/2006/relationships/hyperlink" Target="https://advanced.onlinelibrary.wiley.com/doi/10.1002/adma.73201?af=R" TargetMode="External"/><Relationship Id="rId132" Type="http://schemas.openxmlformats.org/officeDocument/2006/relationships/hyperlink" Target="https://doi.org/10.1002/adma.73201" TargetMode="External"/><Relationship Id="rId133" Type="http://schemas.openxmlformats.org/officeDocument/2006/relationships/hyperlink" Target="https://www.cell.com/joule/fulltext/S2542-4351(26)00121-2?rss=yes" TargetMode="External"/><Relationship Id="rId134" Type="http://schemas.openxmlformats.org/officeDocument/2006/relationships/hyperlink" Target="https://doi.org/10.1016/j.joule.2026.102437" TargetMode="External"/><Relationship Id="rId135" Type="http://schemas.openxmlformats.org/officeDocument/2006/relationships/hyperlink" Target="https://advanced.onlinelibrary.wiley.com/doi/10.1002/adma.73196?af=R" TargetMode="External"/><Relationship Id="rId136" Type="http://schemas.openxmlformats.org/officeDocument/2006/relationships/hyperlink" Target="https://doi.org/10.1002/adma.73196" TargetMode="External"/><Relationship Id="rId137" Type="http://schemas.openxmlformats.org/officeDocument/2006/relationships/hyperlink" Target="https://advanced.onlinelibrary.wiley.com/doi/10.1002/aenm.71009?af=R" TargetMode="External"/><Relationship Id="rId138" Type="http://schemas.openxmlformats.org/officeDocument/2006/relationships/hyperlink" Target="https://doi.org/10.1002/aenm.71009" TargetMode="External"/><Relationship Id="rId139" Type="http://schemas.openxmlformats.org/officeDocument/2006/relationships/hyperlink" Target="https://www.sciencedirect.com/science/article/pii/S0306261926005465?dgcid=rss_sd_all" TargetMode="External"/><Relationship Id="rId140" Type="http://schemas.openxmlformats.org/officeDocument/2006/relationships/hyperlink" Target="https://www.sciencedirect.com/science/article/pii/S0306261926005428?dgcid=rss_sd_all" TargetMode="External"/><Relationship Id="rId141" Type="http://schemas.openxmlformats.org/officeDocument/2006/relationships/hyperlink" Target="https://www.sciencedirect.com/science/article/pii/S0306261926005817?dgcid=rss_sd_all" TargetMode="External"/><Relationship Id="rId142" Type="http://schemas.openxmlformats.org/officeDocument/2006/relationships/hyperlink" Target="https://www.nature.com/articles/s41467-026-72552-z" TargetMode="External"/><Relationship Id="rId143" Type="http://schemas.openxmlformats.org/officeDocument/2006/relationships/hyperlink" Target="https://doi.org/10.1038/s41467-026-72552-z" TargetMode="External"/><Relationship Id="rId144" Type="http://schemas.openxmlformats.org/officeDocument/2006/relationships/hyperlink" Target="https://www.nature.com/articles/s41467-026-71664-w" TargetMode="External"/><Relationship Id="rId145" Type="http://schemas.openxmlformats.org/officeDocument/2006/relationships/hyperlink" Target="https://doi.org/10.1038/s41467-026-71664-w" TargetMode="External"/><Relationship Id="rId146" Type="http://schemas.openxmlformats.org/officeDocument/2006/relationships/hyperlink" Target="https://www.nature.com/articles/s41467-026-72335-6" TargetMode="External"/><Relationship Id="rId147" Type="http://schemas.openxmlformats.org/officeDocument/2006/relationships/hyperlink" Target="https://doi.org/10.1038/s41467-026-72335-6" TargetMode="External"/><Relationship Id="rId148" Type="http://schemas.openxmlformats.org/officeDocument/2006/relationships/hyperlink" Target="https://www.nature.com/articles/s41467-026-72144-x" TargetMode="External"/><Relationship Id="rId149" Type="http://schemas.openxmlformats.org/officeDocument/2006/relationships/hyperlink" Target="https://doi.org/10.1038/s41467-026-72144-x" TargetMode="External"/><Relationship Id="rId150" Type="http://schemas.openxmlformats.org/officeDocument/2006/relationships/hyperlink" Target="https://www.nature.com/articles/s41467-026-72323-w" TargetMode="External"/><Relationship Id="rId151" Type="http://schemas.openxmlformats.org/officeDocument/2006/relationships/hyperlink" Target="https://doi.org/10.1038/s41467-026-72323-w" TargetMode="External"/><Relationship Id="rId152" Type="http://schemas.openxmlformats.org/officeDocument/2006/relationships/hyperlink" Target="https://www.sciencedirect.com/science/article/pii/S030626192600591X?dgcid=rss_sd_all" TargetMode="External"/><Relationship Id="rId153" Type="http://schemas.openxmlformats.org/officeDocument/2006/relationships/hyperlink" Target="https://academic.oup.com/nsr/advance-article/doi/10.1093/nsr/nwag186/8662458?rss=1" TargetMode="External"/><Relationship Id="rId154" Type="http://schemas.openxmlformats.org/officeDocument/2006/relationships/hyperlink" Target="https://doi.org/10.1093/nsr/nwag186" TargetMode="External"/><Relationship Id="rId155" Type="http://schemas.openxmlformats.org/officeDocument/2006/relationships/hyperlink" Target="https://academic.oup.com/nsr/advance-article/doi/10.1093/nsr/nwag245/8662459?rss=1" TargetMode="External"/><Relationship Id="rId156" Type="http://schemas.openxmlformats.org/officeDocument/2006/relationships/hyperlink" Target="https://doi.org/10.1093/nsr/nwag245" TargetMode="External"/><Relationship Id="rId157" Type="http://schemas.openxmlformats.org/officeDocument/2006/relationships/hyperlink" Target="https://www.nature.com/articles/s41467-026-72137-w" TargetMode="External"/><Relationship Id="rId158" Type="http://schemas.openxmlformats.org/officeDocument/2006/relationships/hyperlink" Target="https://doi.org/10.1038/s41467-026-72137-w" TargetMode="External"/><Relationship Id="rId159" Type="http://schemas.openxmlformats.org/officeDocument/2006/relationships/hyperlink" Target="https://www.nature.com/articles/s41467-026-72326-7" TargetMode="External"/><Relationship Id="rId160" Type="http://schemas.openxmlformats.org/officeDocument/2006/relationships/hyperlink" Target="https://doi.org/10.1038/s41467-026-72326-7" TargetMode="External"/><Relationship Id="rId161" Type="http://schemas.openxmlformats.org/officeDocument/2006/relationships/hyperlink" Target="https://www.sciencedirect.com/science/article/pii/S0301421526002260?dgcid=rss_sd_all" TargetMode="External"/><Relationship Id="rId162" Type="http://schemas.openxmlformats.org/officeDocument/2006/relationships/hyperlink" Target="https://www.nature.com/articles/s41467-026-70916-z" TargetMode="External"/><Relationship Id="rId163" Type="http://schemas.openxmlformats.org/officeDocument/2006/relationships/hyperlink" Target="https://doi.org/10.1038/s41467-026-70916-z" TargetMode="External"/><Relationship Id="rId164" Type="http://schemas.openxmlformats.org/officeDocument/2006/relationships/hyperlink" Target="https://www.sciencedirect.com/science/article/pii/S0306261926005544?dgcid=rss_sd_all" TargetMode="External"/><Relationship Id="rId165" Type="http://schemas.openxmlformats.org/officeDocument/2006/relationships/hyperlink" Target="https://www.sciencedirect.com/science/article/pii/S0306261926005763?dgcid=rss_sd_all" TargetMode="External"/><Relationship Id="rId166" Type="http://schemas.openxmlformats.org/officeDocument/2006/relationships/hyperlink" Target="https://www.sciencedirect.com/science/article/pii/S0306261926005829?dgcid=rss_sd_all" TargetMode="External"/><Relationship Id="rId167" Type="http://schemas.openxmlformats.org/officeDocument/2006/relationships/hyperlink" Target="https://www.sciencedirect.com/science/article/pii/S0306261926005775?dgcid=rss_sd_all" TargetMode="External"/><Relationship Id="rId168" Type="http://schemas.openxmlformats.org/officeDocument/2006/relationships/hyperlink" Target="https://www.sciencedirect.com/science/article/pii/S0306261926006057?dgcid=rss_sd_all" TargetMode="External"/><Relationship Id="rId169" Type="http://schemas.openxmlformats.org/officeDocument/2006/relationships/hyperlink" Target="https://www.sciencedirect.com/science/article/pii/S0301421526002466?dgcid=rss_sd_all" TargetMode="External"/><Relationship Id="rId170" Type="http://schemas.openxmlformats.org/officeDocument/2006/relationships/hyperlink" Target="https://www.sciencedirect.com/science/article/pii/S0306261926006288?dgcid=rss_sd_all" TargetMode="External"/><Relationship Id="rId171" Type="http://schemas.openxmlformats.org/officeDocument/2006/relationships/hyperlink" Target="https://www.sciencedirect.com/science/article/pii/S0301421526002776?dgcid=rss_sd_all" TargetMode="External"/><Relationship Id="rId172" Type="http://schemas.openxmlformats.org/officeDocument/2006/relationships/hyperlink" Target="https://onlinelibrary.wiley.com/doi/10.1002/anie.7558823?af=R" TargetMode="External"/><Relationship Id="rId173" Type="http://schemas.openxmlformats.org/officeDocument/2006/relationships/hyperlink" Target="https://doi.org/10.1002/anie.7558823" TargetMode="External"/><Relationship Id="rId174" Type="http://schemas.openxmlformats.org/officeDocument/2006/relationships/hyperlink" Target="https://advanced.onlinelibrary.wiley.com/doi/10.1002/adma.73114?af=R" TargetMode="External"/><Relationship Id="rId175" Type="http://schemas.openxmlformats.org/officeDocument/2006/relationships/hyperlink" Target="https://doi.org/10.1002/adma.73114" TargetMode="External"/><Relationship Id="rId176" Type="http://schemas.openxmlformats.org/officeDocument/2006/relationships/hyperlink" Target="https://onlinelibrary.wiley.com/doi/10.1002/anie.1914320?af=R" TargetMode="External"/><Relationship Id="rId177" Type="http://schemas.openxmlformats.org/officeDocument/2006/relationships/hyperlink" Target="https://doi.org/10.1002/anie.1914320" TargetMode="External"/><Relationship Id="rId178" Type="http://schemas.openxmlformats.org/officeDocument/2006/relationships/hyperlink" Target="https://onlinelibrary.wiley.com/doi/10.1002/anie.5203276?af=R" TargetMode="External"/><Relationship Id="rId179" Type="http://schemas.openxmlformats.org/officeDocument/2006/relationships/hyperlink" Target="https://doi.org/10.1002/anie.5203276" TargetMode="External"/><Relationship Id="rId180" Type="http://schemas.openxmlformats.org/officeDocument/2006/relationships/hyperlink" Target="https://advanced.onlinelibrary.wiley.com/doi/10.1002/aenm.70988?af=R" TargetMode="External"/><Relationship Id="rId181" Type="http://schemas.openxmlformats.org/officeDocument/2006/relationships/hyperlink" Target="https://doi.org/10.1002/aenm.70988" TargetMode="External"/><Relationship Id="rId182" Type="http://schemas.openxmlformats.org/officeDocument/2006/relationships/hyperlink" Target="https://advanced.onlinelibrary.wiley.com/doi/10.1002/adma.202520209?af=R" TargetMode="External"/><Relationship Id="rId183" Type="http://schemas.openxmlformats.org/officeDocument/2006/relationships/hyperlink" Target="https://doi.org/10.1002/adma.202520209" TargetMode="External"/><Relationship Id="rId184" Type="http://schemas.openxmlformats.org/officeDocument/2006/relationships/hyperlink" Target="https://onlinelibrary.wiley.com/doi/10.1002/anie.6712761?af=R" TargetMode="External"/><Relationship Id="rId185" Type="http://schemas.openxmlformats.org/officeDocument/2006/relationships/hyperlink" Target="https://doi.org/10.1002/anie.6712761" TargetMode="External"/><Relationship Id="rId186" Type="http://schemas.openxmlformats.org/officeDocument/2006/relationships/hyperlink" Target="https://onlinelibrary.wiley.com/doi/10.1002/anie.8887289?af=R" TargetMode="External"/><Relationship Id="rId187" Type="http://schemas.openxmlformats.org/officeDocument/2006/relationships/hyperlink" Target="https://doi.org/10.1002/anie.8887289" TargetMode="External"/><Relationship Id="rId188" Type="http://schemas.openxmlformats.org/officeDocument/2006/relationships/hyperlink" Target="https://onlinelibrary.wiley.com/doi/10.1002/anie.202521626?af=R" TargetMode="External"/><Relationship Id="rId189" Type="http://schemas.openxmlformats.org/officeDocument/2006/relationships/hyperlink" Target="https://doi.org/10.1002/anie.202521626" TargetMode="External"/><Relationship Id="rId190" Type="http://schemas.openxmlformats.org/officeDocument/2006/relationships/hyperlink" Target="https://onlinelibrary.wiley.com/doi/10.1002/anie.9985126?af=R" TargetMode="External"/><Relationship Id="rId191" Type="http://schemas.openxmlformats.org/officeDocument/2006/relationships/hyperlink" Target="https://doi.org/10.1002/anie.9985126" TargetMode="External"/><Relationship Id="rId192" Type="http://schemas.openxmlformats.org/officeDocument/2006/relationships/hyperlink" Target="https://onlinelibrary.wiley.com/doi/10.1002/anie.5338298?af=R" TargetMode="External"/><Relationship Id="rId193" Type="http://schemas.openxmlformats.org/officeDocument/2006/relationships/hyperlink" Target="https://doi.org/10.1002/anie.5338298" TargetMode="External"/><Relationship Id="rId194" Type="http://schemas.openxmlformats.org/officeDocument/2006/relationships/hyperlink" Target="https://onlinelibrary.wiley.com/doi/10.1002/anie.7391407?af=R" TargetMode="External"/><Relationship Id="rId195" Type="http://schemas.openxmlformats.org/officeDocument/2006/relationships/hyperlink" Target="https://doi.org/10.1002/anie.7391407" TargetMode="External"/><Relationship Id="rId196" Type="http://schemas.openxmlformats.org/officeDocument/2006/relationships/hyperlink" Target="https://onlinelibrary.wiley.com/doi/10.1002/anie.9243644?af=R" TargetMode="External"/><Relationship Id="rId197" Type="http://schemas.openxmlformats.org/officeDocument/2006/relationships/hyperlink" Target="https://doi.org/10.1002/anie.9243644" TargetMode="External"/><Relationship Id="rId198" Type="http://schemas.openxmlformats.org/officeDocument/2006/relationships/hyperlink" Target="https://onlinelibrary.wiley.com/doi/10.1002/anie.2656827?af=R" TargetMode="External"/><Relationship Id="rId199" Type="http://schemas.openxmlformats.org/officeDocument/2006/relationships/hyperlink" Target="https://doi.org/10.1002/anie.2656827" TargetMode="External"/><Relationship Id="rId200" Type="http://schemas.openxmlformats.org/officeDocument/2006/relationships/hyperlink" Target="http://dx.doi.org/10.1021/jacs.6c04439" TargetMode="External"/><Relationship Id="rId201" Type="http://schemas.openxmlformats.org/officeDocument/2006/relationships/hyperlink" Target="https://doi.org/10.1021/jacs.6c04439" TargetMode="External"/><Relationship Id="rId202" Type="http://schemas.openxmlformats.org/officeDocument/2006/relationships/hyperlink" Target="https://www.sciencedirect.com/science/article/pii/S0306261926005982?dgcid=rss_sd_all" TargetMode="External"/><Relationship Id="rId203" Type="http://schemas.openxmlformats.org/officeDocument/2006/relationships/hyperlink" Target="https://www.sciencedirect.com/science/article/pii/S0306261926005659?dgcid=rss_sd_all" TargetMode="External"/><Relationship Id="rId204" Type="http://schemas.openxmlformats.org/officeDocument/2006/relationships/hyperlink" Target="https://www.sciencedirect.com/science/article/pii/S0306261926005283?dgcid=rss_sd_all" TargetMode="External"/><Relationship Id="rId205" Type="http://schemas.openxmlformats.org/officeDocument/2006/relationships/hyperlink" Target="https://www.sciencedirect.com/science/article/pii/S0306261926005350?dgcid=rss_sd_all" TargetMode="External"/><Relationship Id="rId206" Type="http://schemas.openxmlformats.org/officeDocument/2006/relationships/hyperlink" Target="https://www.sciencedirect.com/science/article/pii/S0306261926005842?dgcid=rss_sd_all" TargetMode="External"/><Relationship Id="rId207" Type="http://schemas.openxmlformats.org/officeDocument/2006/relationships/hyperlink" Target="https://www.sciencedirect.com/science/article/pii/S0306261926005994?dgcid=rss_sd_all" TargetMode="External"/><Relationship Id="rId208" Type="http://schemas.openxmlformats.org/officeDocument/2006/relationships/hyperlink" Target="https://www.sciencedirect.com/science/article/pii/S0306261926004666?dgcid=rss_sd_all" TargetMode="External"/><Relationship Id="rId209" Type="http://schemas.openxmlformats.org/officeDocument/2006/relationships/hyperlink" Target="https://www.sciencedirect.com/science/article/pii/S0306261926005519?dgcid=rss_sd_all" TargetMode="External"/><Relationship Id="rId210" Type="http://schemas.openxmlformats.org/officeDocument/2006/relationships/hyperlink" Target="https://www.sciencedirect.com/science/article/pii/S0301421526002673?dgcid=rss_sd_all" TargetMode="External"/><Relationship Id="rId211" Type="http://schemas.openxmlformats.org/officeDocument/2006/relationships/hyperlink" Target="https://www.nature.com/articles/d41586-026-01361-7" TargetMode="External"/><Relationship Id="rId212" Type="http://schemas.openxmlformats.org/officeDocument/2006/relationships/hyperlink" Target="https://doi.org/10.1038/d41586-026-01361-7" TargetMode="External"/><Relationship Id="rId213" Type="http://schemas.openxmlformats.org/officeDocument/2006/relationships/hyperlink" Target="http://dx.doi.org/10.1021/jacs.5c22335" TargetMode="External"/><Relationship Id="rId214" Type="http://schemas.openxmlformats.org/officeDocument/2006/relationships/hyperlink" Target="https://doi.org/10.1021/jacs.5c22335" TargetMode="External"/><Relationship Id="rId215" Type="http://schemas.openxmlformats.org/officeDocument/2006/relationships/hyperlink" Target="http://dx.doi.org/10.1021/jacs.6c02904" TargetMode="External"/><Relationship Id="rId216" Type="http://schemas.openxmlformats.org/officeDocument/2006/relationships/hyperlink" Target="https://doi.org/10.1021/jacs.6c02904" TargetMode="External"/><Relationship Id="rId217" Type="http://schemas.openxmlformats.org/officeDocument/2006/relationships/hyperlink" Target="http://dx.doi.org/10.1021/jacs.6c04303" TargetMode="External"/><Relationship Id="rId218" Type="http://schemas.openxmlformats.org/officeDocument/2006/relationships/hyperlink" Target="https://doi.org/10.1021/jacs.6c04303" TargetMode="External"/><Relationship Id="rId219" Type="http://schemas.openxmlformats.org/officeDocument/2006/relationships/hyperlink" Target="http://pubs.rsc.org/en/Content/ArticleLanding/2026/CS/D5CS01327E" TargetMode="External"/><Relationship Id="rId220" Type="http://schemas.openxmlformats.org/officeDocument/2006/relationships/hyperlink" Target="https://www.nature.com/articles/s41565-026-02158-5" TargetMode="External"/><Relationship Id="rId221" Type="http://schemas.openxmlformats.org/officeDocument/2006/relationships/hyperlink" Target="https://doi.org/10.1038/s41565-026-02158-5" TargetMode="External"/><Relationship Id="rId222" Type="http://schemas.openxmlformats.org/officeDocument/2006/relationships/hyperlink" Target="https://www.nature.com/articles/s41578-026-00918-2" TargetMode="External"/><Relationship Id="rId223" Type="http://schemas.openxmlformats.org/officeDocument/2006/relationships/hyperlink" Target="https://doi.org/10.1038/s41578-026-00918-2" TargetMode="External"/><Relationship Id="rId224" Type="http://schemas.openxmlformats.org/officeDocument/2006/relationships/hyperlink" Target="https://www.nature.com/articles/s41565-026-02156-7" TargetMode="External"/><Relationship Id="rId225" Type="http://schemas.openxmlformats.org/officeDocument/2006/relationships/hyperlink" Target="https://doi.org/10.1038/s41565-026-02156-7" TargetMode="External"/><Relationship Id="rId226" Type="http://schemas.openxmlformats.org/officeDocument/2006/relationships/hyperlink" Target="https://www.nature.com/articles/s41560-026-02058-x" TargetMode="External"/><Relationship Id="rId227" Type="http://schemas.openxmlformats.org/officeDocument/2006/relationships/hyperlink" Target="https://doi.org/10.1038/s41560-026-02058-x" TargetMode="External"/><Relationship Id="rId228" Type="http://schemas.openxmlformats.org/officeDocument/2006/relationships/hyperlink" Target="https://www.nature.com/articles/s41560-026-02057-y" TargetMode="External"/><Relationship Id="rId229" Type="http://schemas.openxmlformats.org/officeDocument/2006/relationships/hyperlink" Target="https://doi.org/10.1038/s41560-026-02057-y" TargetMode="External"/><Relationship Id="rId230" Type="http://schemas.openxmlformats.org/officeDocument/2006/relationships/hyperlink" Target="https://www.nature.com/articles/s41893-026-01803-0" TargetMode="External"/><Relationship Id="rId231" Type="http://schemas.openxmlformats.org/officeDocument/2006/relationships/hyperlink" Target="https://doi.org/10.1038/s41893-026-01803-0" TargetMode="External"/><Relationship Id="rId232" Type="http://schemas.openxmlformats.org/officeDocument/2006/relationships/hyperlink" Target="https://www.nature.com/articles/d41586-026-01303-3" TargetMode="External"/><Relationship Id="rId233" Type="http://schemas.openxmlformats.org/officeDocument/2006/relationships/hyperlink" Target="https://doi.org/10.1038/d41586-026-01303-3" TargetMode="External"/><Relationship Id="rId234" Type="http://schemas.openxmlformats.org/officeDocument/2006/relationships/hyperlink" Target="https://www.nature.com/articles/d41586-026-01295-0" TargetMode="External"/><Relationship Id="rId235" Type="http://schemas.openxmlformats.org/officeDocument/2006/relationships/hyperlink" Target="https://doi.org/10.1038/d41586-026-01295-0" TargetMode="External"/><Relationship Id="rId236" Type="http://schemas.openxmlformats.org/officeDocument/2006/relationships/hyperlink" Target="https://www.nature.com/articles/d41586-026-01246-9" TargetMode="External"/><Relationship Id="rId237" Type="http://schemas.openxmlformats.org/officeDocument/2006/relationships/hyperlink" Target="https://doi.org/10.1038/d41586-026-01246-9" TargetMode="External"/><Relationship Id="rId238" Type="http://schemas.openxmlformats.org/officeDocument/2006/relationships/hyperlink" Target="https://www.nature.com/articles/d41586-026-01283-4" TargetMode="External"/><Relationship Id="rId239" Type="http://schemas.openxmlformats.org/officeDocument/2006/relationships/hyperlink" Target="https://doi.org/10.1038/d41586-026-01283-4" TargetMode="External"/><Relationship Id="rId240" Type="http://schemas.openxmlformats.org/officeDocument/2006/relationships/hyperlink" Target="https://www.nature.com/articles/d41586-026-01266-5" TargetMode="External"/><Relationship Id="rId241" Type="http://schemas.openxmlformats.org/officeDocument/2006/relationships/hyperlink" Target="https://doi.org/10.1038/d41586-026-01266-5" TargetMode="External"/><Relationship Id="rId242" Type="http://schemas.openxmlformats.org/officeDocument/2006/relationships/hyperlink" Target="https://www.nature.com/articles/s41586-026-10563-y" TargetMode="External"/><Relationship Id="rId243" Type="http://schemas.openxmlformats.org/officeDocument/2006/relationships/hyperlink" Target="https://doi.org/10.1038/s41586-026-10563-y" TargetMode="External"/><Relationship Id="rId244" Type="http://schemas.openxmlformats.org/officeDocument/2006/relationships/hyperlink" Target="https://www.cell.com/chem/fulltext/S2451-9294(26)00098-7?rss=yes" TargetMode="External"/><Relationship Id="rId245" Type="http://schemas.openxmlformats.org/officeDocument/2006/relationships/hyperlink" Target="https://doi.org/10.1016/j.chempr.2026.103032" TargetMode="External"/><Relationship Id="rId246" Type="http://schemas.openxmlformats.org/officeDocument/2006/relationships/hyperlink" Target="https://www.nature.com/articles/s41563-026-02567-w" TargetMode="External"/><Relationship Id="rId247" Type="http://schemas.openxmlformats.org/officeDocument/2006/relationships/hyperlink" Target="https://doi.org/10.1038/s41563-026-02567-w" TargetMode="External"/><Relationship Id="rId248" Type="http://schemas.openxmlformats.org/officeDocument/2006/relationships/hyperlink" Target="https://www.nature.com/articles/s41928-026-01626-z" TargetMode="External"/><Relationship Id="rId249" Type="http://schemas.openxmlformats.org/officeDocument/2006/relationships/hyperlink" Target="https://doi.org/10.1038/s41928-026-01626-z" TargetMode="External"/><Relationship Id="rId250" Type="http://schemas.openxmlformats.org/officeDocument/2006/relationships/hyperlink" Target="https://www.nature.com/articles/d41586-026-01297-y" TargetMode="External"/><Relationship Id="rId251" Type="http://schemas.openxmlformats.org/officeDocument/2006/relationships/hyperlink" Target="https://doi.org/10.1038/d41586-026-01297-y" TargetMode="External"/><Relationship Id="rId252" Type="http://schemas.openxmlformats.org/officeDocument/2006/relationships/hyperlink" Target="https://www.nature.com/articles/d41586-026-01384-0" TargetMode="External"/><Relationship Id="rId253" Type="http://schemas.openxmlformats.org/officeDocument/2006/relationships/hyperlink" Target="https://doi.org/10.1038/d41586-026-01384-0" TargetMode="External"/><Relationship Id="rId254" Type="http://schemas.openxmlformats.org/officeDocument/2006/relationships/hyperlink" Target="https://onlinelibrary.wiley.com/doi/10.1002/anie.6232425?af=R" TargetMode="External"/><Relationship Id="rId255" Type="http://schemas.openxmlformats.org/officeDocument/2006/relationships/hyperlink" Target="https://doi.org/10.1002/anie.6232425" TargetMode="External"/><Relationship Id="rId256" Type="http://schemas.openxmlformats.org/officeDocument/2006/relationships/hyperlink" Target="https://onlinelibrary.wiley.com/doi/10.1002/anie.9159585?af=R" TargetMode="External"/><Relationship Id="rId257" Type="http://schemas.openxmlformats.org/officeDocument/2006/relationships/hyperlink" Target="https://doi.org/10.1002/anie.9159585" TargetMode="External"/><Relationship Id="rId258" Type="http://schemas.openxmlformats.org/officeDocument/2006/relationships/hyperlink" Target="https://onlinelibrary.wiley.com/doi/10.1002/anie.2270272?af=R" TargetMode="External"/><Relationship Id="rId259" Type="http://schemas.openxmlformats.org/officeDocument/2006/relationships/hyperlink" Target="https://doi.org/10.1002/anie.2270272" TargetMode="External"/><Relationship Id="rId260" Type="http://schemas.openxmlformats.org/officeDocument/2006/relationships/hyperlink" Target="https://advanced.onlinelibrary.wiley.com/doi/10.1002/adma.73182?af=R" TargetMode="External"/><Relationship Id="rId261" Type="http://schemas.openxmlformats.org/officeDocument/2006/relationships/hyperlink" Target="https://doi.org/10.1002/adma.73182" TargetMode="External"/><Relationship Id="rId262" Type="http://schemas.openxmlformats.org/officeDocument/2006/relationships/hyperlink" Target="https://onlinelibrary.wiley.com/doi/10.1002/anie.6661486?af=R" TargetMode="External"/><Relationship Id="rId263" Type="http://schemas.openxmlformats.org/officeDocument/2006/relationships/hyperlink" Target="https://doi.org/10.1002/anie.6661486" TargetMode="External"/><Relationship Id="rId264" Type="http://schemas.openxmlformats.org/officeDocument/2006/relationships/hyperlink" Target="https://onlinelibrary.wiley.com/doi/10.1002/anie.8359659?af=R" TargetMode="External"/><Relationship Id="rId265" Type="http://schemas.openxmlformats.org/officeDocument/2006/relationships/hyperlink" Target="https://doi.org/10.1002/anie.8359659" TargetMode="External"/><Relationship Id="rId266" Type="http://schemas.openxmlformats.org/officeDocument/2006/relationships/hyperlink" Target="https://onlinelibrary.wiley.com/doi/10.1002/anie.8386838?af=R" TargetMode="External"/><Relationship Id="rId267" Type="http://schemas.openxmlformats.org/officeDocument/2006/relationships/hyperlink" Target="https://doi.org/10.1002/anie.8386838" TargetMode="External"/><Relationship Id="rId268" Type="http://schemas.openxmlformats.org/officeDocument/2006/relationships/hyperlink" Target="https://onlinelibrary.wiley.com/doi/10.1002/anie.202524671?af=R" TargetMode="External"/><Relationship Id="rId269" Type="http://schemas.openxmlformats.org/officeDocument/2006/relationships/hyperlink" Target="https://doi.org/10.1002/anie.202524671" TargetMode="External"/><Relationship Id="rId270" Type="http://schemas.openxmlformats.org/officeDocument/2006/relationships/hyperlink" Target="https://onlinelibrary.wiley.com/doi/10.1002/anie.5772470?af=R" TargetMode="External"/><Relationship Id="rId271" Type="http://schemas.openxmlformats.org/officeDocument/2006/relationships/hyperlink" Target="https://doi.org/10.1002/anie.5772470" TargetMode="External"/><Relationship Id="rId272" Type="http://schemas.openxmlformats.org/officeDocument/2006/relationships/hyperlink" Target="https://advanced.onlinelibrary.wiley.com/doi/10.1002/aenm.70991?af=R" TargetMode="External"/><Relationship Id="rId273" Type="http://schemas.openxmlformats.org/officeDocument/2006/relationships/hyperlink" Target="https://doi.org/10.1002/aenm.70991" TargetMode="External"/><Relationship Id="rId274" Type="http://schemas.openxmlformats.org/officeDocument/2006/relationships/hyperlink" Target="http://dx.doi.org/10.1021/acs.chemrev.5c00971" TargetMode="External"/><Relationship Id="rId275" Type="http://schemas.openxmlformats.org/officeDocument/2006/relationships/hyperlink" Target="https://doi.org/10.1021/acs.chemrev.5c00971" TargetMode="External"/><Relationship Id="rId276" Type="http://schemas.openxmlformats.org/officeDocument/2006/relationships/hyperlink" Target="http://dx.doi.org/10.1021/jacs.6c02912" TargetMode="External"/><Relationship Id="rId277" Type="http://schemas.openxmlformats.org/officeDocument/2006/relationships/hyperlink" Target="https://doi.org/10.1021/jacs.6c02912" TargetMode="External"/><Relationship Id="rId278" Type="http://schemas.openxmlformats.org/officeDocument/2006/relationships/hyperlink" Target="http://dx.doi.org/10.1021/jacs.6c05353" TargetMode="External"/><Relationship Id="rId279" Type="http://schemas.openxmlformats.org/officeDocument/2006/relationships/hyperlink" Target="https://doi.org/10.1021/jacs.6c05353" TargetMode="External"/><Relationship Id="rId280" Type="http://schemas.openxmlformats.org/officeDocument/2006/relationships/hyperlink" Target="http://dx.doi.org/10.1021/jacs.6c00709" TargetMode="External"/><Relationship Id="rId281" Type="http://schemas.openxmlformats.org/officeDocument/2006/relationships/hyperlink" Target="https://doi.org/10.1021/jacs.6c00709" TargetMode="External"/><Relationship Id="rId282" Type="http://schemas.openxmlformats.org/officeDocument/2006/relationships/hyperlink" Target="http://dx.doi.org/10.1021/jacs.6c05682" TargetMode="External"/><Relationship Id="rId283" Type="http://schemas.openxmlformats.org/officeDocument/2006/relationships/hyperlink" Target="https://doi.org/10.1021/jacs.6c05682" TargetMode="External"/><Relationship Id="rId284" Type="http://schemas.openxmlformats.org/officeDocument/2006/relationships/hyperlink" Target="http://dx.doi.org/10.1021/jacs.6c04104" TargetMode="External"/><Relationship Id="rId285" Type="http://schemas.openxmlformats.org/officeDocument/2006/relationships/hyperlink" Target="https://doi.org/10.1021/jacs.6c04104" TargetMode="External"/><Relationship Id="rId286" Type="http://schemas.openxmlformats.org/officeDocument/2006/relationships/hyperlink" Target="https://advanced.onlinelibrary.wiley.com/doi/10.1002/adma.73133?af=R" TargetMode="External"/><Relationship Id="rId287" Type="http://schemas.openxmlformats.org/officeDocument/2006/relationships/hyperlink" Target="https://doi.org/10.1002/adma.73133" TargetMode="External"/><Relationship Id="rId288" Type="http://schemas.openxmlformats.org/officeDocument/2006/relationships/hyperlink" Target="https://advanced.onlinelibrary.wiley.com/doi/10.1002/adma.73139?af=R" TargetMode="External"/><Relationship Id="rId289" Type="http://schemas.openxmlformats.org/officeDocument/2006/relationships/hyperlink" Target="https://doi.org/10.1002/adma.73139" TargetMode="External"/><Relationship Id="rId290" Type="http://schemas.openxmlformats.org/officeDocument/2006/relationships/hyperlink" Target="https://advanced.onlinelibrary.wiley.com/doi/10.1002/adma.73136?af=R" TargetMode="External"/><Relationship Id="rId291" Type="http://schemas.openxmlformats.org/officeDocument/2006/relationships/hyperlink" Target="https://doi.org/10.1002/adma.73136" TargetMode="External"/><Relationship Id="rId292" Type="http://schemas.openxmlformats.org/officeDocument/2006/relationships/hyperlink" Target="https://advanced.onlinelibrary.wiley.com/doi/10.1002/adma.73138?af=R" TargetMode="External"/><Relationship Id="rId293" Type="http://schemas.openxmlformats.org/officeDocument/2006/relationships/hyperlink" Target="https://doi.org/10.1002/adma.73138" TargetMode="External"/><Relationship Id="rId294" Type="http://schemas.openxmlformats.org/officeDocument/2006/relationships/hyperlink" Target="http://dx.doi.org/10.1021/jacs.6c04422" TargetMode="External"/><Relationship Id="rId295" Type="http://schemas.openxmlformats.org/officeDocument/2006/relationships/hyperlink" Target="https://doi.org/10.1021/jacs.6c04422" TargetMode="External"/><Relationship Id="rId296" Type="http://schemas.openxmlformats.org/officeDocument/2006/relationships/hyperlink" Target="http://dx.doi.org/10.1021/acsenergylett.6c00659" TargetMode="External"/><Relationship Id="rId297" Type="http://schemas.openxmlformats.org/officeDocument/2006/relationships/hyperlink" Target="https://doi.org/10.1021/acsenergylett.6c00659" TargetMode="External"/><Relationship Id="rId298" Type="http://schemas.openxmlformats.org/officeDocument/2006/relationships/hyperlink" Target="http://dx.doi.org/10.1021/jacs.6c04364" TargetMode="External"/><Relationship Id="rId299" Type="http://schemas.openxmlformats.org/officeDocument/2006/relationships/hyperlink" Target="https://doi.org/10.1021/jacs.6c04364" TargetMode="External"/><Relationship Id="rId300" Type="http://schemas.openxmlformats.org/officeDocument/2006/relationships/hyperlink" Target="http://dx.doi.org/10.1021/jacs.6c02463" TargetMode="External"/><Relationship Id="rId301" Type="http://schemas.openxmlformats.org/officeDocument/2006/relationships/hyperlink" Target="https://doi.org/10.1021/jacs.6c02463" TargetMode="External"/><Relationship Id="rId302" Type="http://schemas.openxmlformats.org/officeDocument/2006/relationships/hyperlink" Target="http://dx.doi.org/10.1021/jacs.5c21778" TargetMode="External"/><Relationship Id="rId303" Type="http://schemas.openxmlformats.org/officeDocument/2006/relationships/hyperlink" Target="https://doi.org/10.1021/jacs.5c21778" TargetMode="External"/><Relationship Id="rId304" Type="http://schemas.openxmlformats.org/officeDocument/2006/relationships/hyperlink" Target="http://dx.doi.org/10.1021/jacs.6c01740" TargetMode="External"/><Relationship Id="rId305" Type="http://schemas.openxmlformats.org/officeDocument/2006/relationships/hyperlink" Target="https://doi.org/10.1021/jacs.6c01740" TargetMode="External"/><Relationship Id="rId306" Type="http://schemas.openxmlformats.org/officeDocument/2006/relationships/hyperlink" Target="http://dx.doi.org/10.1021/jacs.6c02161" TargetMode="External"/><Relationship Id="rId307" Type="http://schemas.openxmlformats.org/officeDocument/2006/relationships/hyperlink" Target="https://doi.org/10.1021/jacs.6c02161" TargetMode="External"/><Relationship Id="rId308" Type="http://schemas.openxmlformats.org/officeDocument/2006/relationships/hyperlink" Target="http://dx.doi.org/10.1021/jacs.6c02482" TargetMode="External"/><Relationship Id="rId309" Type="http://schemas.openxmlformats.org/officeDocument/2006/relationships/hyperlink" Target="https://doi.org/10.1021/jacs.6c02482" TargetMode="External"/><Relationship Id="rId310" Type="http://schemas.openxmlformats.org/officeDocument/2006/relationships/hyperlink" Target="http://dx.doi.org/10.1021/jacs.6c01860" TargetMode="External"/><Relationship Id="rId311" Type="http://schemas.openxmlformats.org/officeDocument/2006/relationships/hyperlink" Target="https://doi.org/10.1021/jacs.6c01860" TargetMode="External"/><Relationship Id="rId312" Type="http://schemas.openxmlformats.org/officeDocument/2006/relationships/hyperlink" Target="http://dx.doi.org/10.1021/jacs.6c04516" TargetMode="External"/><Relationship Id="rId313" Type="http://schemas.openxmlformats.org/officeDocument/2006/relationships/hyperlink" Target="https://doi.org/10.1021/jacs.6c04516" TargetMode="External"/><Relationship Id="rId314" Type="http://schemas.openxmlformats.org/officeDocument/2006/relationships/hyperlink" Target="http://dx.doi.org/10.1021/jacs.6c01684" TargetMode="External"/><Relationship Id="rId315" Type="http://schemas.openxmlformats.org/officeDocument/2006/relationships/hyperlink" Target="https://doi.org/10.1021/jacs.6c01684" TargetMode="External"/><Relationship Id="rId316" Type="http://schemas.openxmlformats.org/officeDocument/2006/relationships/hyperlink" Target="http://dx.doi.org/10.1021/jacs.6c02665" TargetMode="External"/><Relationship Id="rId317" Type="http://schemas.openxmlformats.org/officeDocument/2006/relationships/hyperlink" Target="https://doi.org/10.1021/jacs.6c02665" TargetMode="External"/><Relationship Id="rId318" Type="http://schemas.openxmlformats.org/officeDocument/2006/relationships/hyperlink" Target="http://dx.doi.org/10.1021/jacs.6c03062" TargetMode="External"/><Relationship Id="rId319" Type="http://schemas.openxmlformats.org/officeDocument/2006/relationships/hyperlink" Target="https://doi.org/10.1021/jacs.6c03062" TargetMode="External"/><Relationship Id="rId320" Type="http://schemas.openxmlformats.org/officeDocument/2006/relationships/hyperlink" Target="http://dx.doi.org/10.1021/jacs.6c00931" TargetMode="External"/><Relationship Id="rId321" Type="http://schemas.openxmlformats.org/officeDocument/2006/relationships/hyperlink" Target="https://doi.org/10.1021/jacs.6c00931" TargetMode="External"/><Relationship Id="rId322" Type="http://schemas.openxmlformats.org/officeDocument/2006/relationships/hyperlink" Target="http://pubs.rsc.org/en/Content/ArticleLanding/2026/EE/D5EE07642K" TargetMode="External"/><Relationship Id="rId323" Type="http://schemas.openxmlformats.org/officeDocument/2006/relationships/hyperlink" Target="http://pubs.rsc.org/en/Content/ArticleLanding/2026/CS/D5CS00384A" TargetMode="External"/><Relationship Id="rId324" Type="http://schemas.openxmlformats.org/officeDocument/2006/relationships/hyperlink" Target="http://pubs.rsc.org/en/Content/ArticleLanding/2026/CS/D5CS00509D" TargetMode="External"/><Relationship Id="rId325" Type="http://schemas.openxmlformats.org/officeDocument/2006/relationships/hyperlink" Target="http://pubs.rsc.org/en/Content/ArticleLanding/2026/CS/D5CS01312G" TargetMode="External"/><Relationship Id="rId326" Type="http://schemas.openxmlformats.org/officeDocument/2006/relationships/hyperlink" Target="https://www.nature.com/articles/d41586-026-01366-2" TargetMode="External"/><Relationship Id="rId327" Type="http://schemas.openxmlformats.org/officeDocument/2006/relationships/hyperlink" Target="https://doi.org/10.1038/d41586-026-01366-2" TargetMode="External"/><Relationship Id="rId328" Type="http://schemas.openxmlformats.org/officeDocument/2006/relationships/hyperlink" Target="https://www.nature.com/articles/d41586-026-00916-y" TargetMode="External"/><Relationship Id="rId329" Type="http://schemas.openxmlformats.org/officeDocument/2006/relationships/hyperlink" Target="https://doi.org/10.1038/d41586-026-00916-y" TargetMode="External"/><Relationship Id="rId330" Type="http://schemas.openxmlformats.org/officeDocument/2006/relationships/hyperlink" Target="https://www.nature.com/articles/d41586-026-01367-1" TargetMode="External"/><Relationship Id="rId331" Type="http://schemas.openxmlformats.org/officeDocument/2006/relationships/hyperlink" Target="https://doi.org/10.1038/d41586-026-01367-1" TargetMode="External"/><Relationship Id="rId332" Type="http://schemas.openxmlformats.org/officeDocument/2006/relationships/hyperlink" Target="https://www.nature.com/articles/d41586-026-00820-5" TargetMode="External"/><Relationship Id="rId333" Type="http://schemas.openxmlformats.org/officeDocument/2006/relationships/hyperlink" Target="https://doi.org/10.1038/d41586-026-00820-5" TargetMode="External"/><Relationship Id="rId334" Type="http://schemas.openxmlformats.org/officeDocument/2006/relationships/hyperlink" Target="https://www.nature.com/articles/d41586-026-01352-8" TargetMode="External"/><Relationship Id="rId335" Type="http://schemas.openxmlformats.org/officeDocument/2006/relationships/hyperlink" Target="https://doi.org/10.1038/d41586-026-01352-8" TargetMode="External"/><Relationship Id="rId336" Type="http://schemas.openxmlformats.org/officeDocument/2006/relationships/hyperlink" Target="https://www.cell.com/joule/fulltext/S2542-4351(26)00119-4?rss=yes" TargetMode="External"/><Relationship Id="rId337" Type="http://schemas.openxmlformats.org/officeDocument/2006/relationships/hyperlink" Target="https://doi.org/10.1016/j.joule.2026.102435" TargetMode="External"/><Relationship Id="rId338" Type="http://schemas.openxmlformats.org/officeDocument/2006/relationships/hyperlink" Target="https://www.nature.com/articles/d41586-026-01349-3" TargetMode="External"/><Relationship Id="rId339" Type="http://schemas.openxmlformats.org/officeDocument/2006/relationships/hyperlink" Target="https://doi.org/10.1038/d41586-026-01349-3" TargetMode="External"/><Relationship Id="rId340" Type="http://schemas.openxmlformats.org/officeDocument/2006/relationships/hyperlink" Target="https://www.nature.com/articles/s41586-026-10559-8" TargetMode="External"/><Relationship Id="rId341" Type="http://schemas.openxmlformats.org/officeDocument/2006/relationships/hyperlink" Target="https://doi.org/10.1038/s41586-026-10559-8" TargetMode="External"/><Relationship Id="rId342" Type="http://schemas.openxmlformats.org/officeDocument/2006/relationships/hyperlink" Target="https://www.nature.com/articles/s41467-026-72576-5" TargetMode="External"/><Relationship Id="rId343" Type="http://schemas.openxmlformats.org/officeDocument/2006/relationships/hyperlink" Target="https://doi.org/10.1038/s41467-026-72576-5" TargetMode="External"/><Relationship Id="rId344" Type="http://schemas.openxmlformats.org/officeDocument/2006/relationships/hyperlink" Target="https://www.nature.com/articles/s41563-026-02596-5" TargetMode="External"/><Relationship Id="rId345" Type="http://schemas.openxmlformats.org/officeDocument/2006/relationships/hyperlink" Target="https://doi.org/10.1038/s41563-026-02596-5" TargetMode="External"/><Relationship Id="rId346" Type="http://schemas.openxmlformats.org/officeDocument/2006/relationships/hyperlink" Target="https://www.nature.com/articles/d41586-026-01370-6" TargetMode="External"/><Relationship Id="rId347" Type="http://schemas.openxmlformats.org/officeDocument/2006/relationships/hyperlink" Target="https://doi.org/10.1038/d41586-026-01370-6" TargetMode="External"/><Relationship Id="rId348" Type="http://schemas.openxmlformats.org/officeDocument/2006/relationships/hyperlink" Target="https://www.nature.com/articles/d41586-026-01298-x" TargetMode="External"/><Relationship Id="rId349" Type="http://schemas.openxmlformats.org/officeDocument/2006/relationships/hyperlink" Target="https://doi.org/10.1038/d41586-026-01298-x" TargetMode="External"/><Relationship Id="rId350" Type="http://schemas.openxmlformats.org/officeDocument/2006/relationships/hyperlink" Target="https://www.nature.com/articles/d41586-026-01368-0" TargetMode="External"/><Relationship Id="rId351" Type="http://schemas.openxmlformats.org/officeDocument/2006/relationships/hyperlink" Target="https://doi.org/10.1038/d41586-026-01368-0" TargetMode="External"/><Relationship Id="rId352" Type="http://schemas.openxmlformats.org/officeDocument/2006/relationships/hyperlink" Target="https://www.nature.com/articles/d41586-026-00894-1" TargetMode="External"/><Relationship Id="rId353" Type="http://schemas.openxmlformats.org/officeDocument/2006/relationships/hyperlink" Target="https://doi.org/10.1038/d41586-026-00894-1" TargetMode="External"/><Relationship Id="rId354" Type="http://schemas.openxmlformats.org/officeDocument/2006/relationships/hyperlink" Target="https://www.sciencedirect.com/science/article/pii/S0306261926005246?dgcid=rss_sd_all" TargetMode="External"/><Relationship Id="rId355" Type="http://schemas.openxmlformats.org/officeDocument/2006/relationships/hyperlink" Target="https://academic.oup.com/nsr/advance-article/doi/10.1093/nsr/nwag246/8664328?rss=1" TargetMode="External"/><Relationship Id="rId356" Type="http://schemas.openxmlformats.org/officeDocument/2006/relationships/hyperlink" Target="https://doi.org/10.1093/nsr/nwag246" TargetMode="External"/><Relationship Id="rId357" Type="http://schemas.openxmlformats.org/officeDocument/2006/relationships/hyperlink" Target="https://www.nature.com/articles/d41586-026-01202-7" TargetMode="External"/><Relationship Id="rId358" Type="http://schemas.openxmlformats.org/officeDocument/2006/relationships/hyperlink" Target="https://doi.org/10.1038/d41586-026-01202-7" TargetMode="External"/><Relationship Id="rId359" Type="http://schemas.openxmlformats.org/officeDocument/2006/relationships/hyperlink" Target="https://www.cell.com/one-earth/fulltext/S2590-3322(26)00088-6?rss=yes" TargetMode="External"/><Relationship Id="rId360" Type="http://schemas.openxmlformats.org/officeDocument/2006/relationships/hyperlink" Target="https://doi.org/10.1016/j.oneear.2026.101687" TargetMode="External"/><Relationship Id="rId361" Type="http://schemas.openxmlformats.org/officeDocument/2006/relationships/hyperlink" Target="https://www.sciencedirect.com/science/article/pii/S0306261926005787?dgcid=rss_sd_all" TargetMode="External"/><Relationship Id="rId362" Type="http://schemas.openxmlformats.org/officeDocument/2006/relationships/hyperlink" Target="https://www.sciencedirect.com/science/article/pii/S0306261926005908?dgcid=rss_sd_all" TargetMode="External"/><Relationship Id="rId363" Type="http://schemas.openxmlformats.org/officeDocument/2006/relationships/hyperlink" Target="https://www.nature.com/articles/d41586-026-01301-5" TargetMode="External"/><Relationship Id="rId364" Type="http://schemas.openxmlformats.org/officeDocument/2006/relationships/hyperlink" Target="https://doi.org/10.1038/d41586-026-01301-5" TargetMode="External"/><Relationship Id="rId365" Type="http://schemas.openxmlformats.org/officeDocument/2006/relationships/hyperlink" Target="https://www.cell.com/matter/fulltext/S2590-2385(26)00172-4?rss=yes" TargetMode="External"/><Relationship Id="rId366" Type="http://schemas.openxmlformats.org/officeDocument/2006/relationships/hyperlink" Target="https://doi.org/10.1016/j.matt.2026.102809" TargetMode="External"/><Relationship Id="rId367" Type="http://schemas.openxmlformats.org/officeDocument/2006/relationships/hyperlink" Target="https://www.cell.com/matter/fulltext/S2590-2385(26)00173-6?rss=yes" TargetMode="External"/><Relationship Id="rId368" Type="http://schemas.openxmlformats.org/officeDocument/2006/relationships/hyperlink" Target="https://doi.org/10.1016/j.matt.2026.102810" TargetMode="External"/><Relationship Id="rId369" Type="http://schemas.openxmlformats.org/officeDocument/2006/relationships/hyperlink" Target="https://www.nature.com/articles/s41467-026-71939-2" TargetMode="External"/><Relationship Id="rId370" Type="http://schemas.openxmlformats.org/officeDocument/2006/relationships/hyperlink" Target="https://doi.org/10.1038/s41467-026-71939-2" TargetMode="External"/><Relationship Id="rId371" Type="http://schemas.openxmlformats.org/officeDocument/2006/relationships/hyperlink" Target="https://www.nature.com/articles/s44359-026-00169-y" TargetMode="External"/><Relationship Id="rId372" Type="http://schemas.openxmlformats.org/officeDocument/2006/relationships/hyperlink" Target="https://doi.org/10.1038/s44359-026-00169-y" TargetMode="External"/><Relationship Id="rId373" Type="http://schemas.openxmlformats.org/officeDocument/2006/relationships/hyperlink" Target="https://www.sciencedirect.com/science/article/pii/S0306261926006008?dgcid=rss_sd_all" TargetMode="External"/><Relationship Id="rId374" Type="http://schemas.openxmlformats.org/officeDocument/2006/relationships/hyperlink" Target="https://onlinelibrary.wiley.com/doi/10.1002/anie.4318204?af=R" TargetMode="External"/><Relationship Id="rId375" Type="http://schemas.openxmlformats.org/officeDocument/2006/relationships/hyperlink" Target="https://doi.org/10.1002/anie.4318204" TargetMode="External"/><Relationship Id="rId376" Type="http://schemas.openxmlformats.org/officeDocument/2006/relationships/hyperlink" Target="https://advanced.onlinelibrary.wiley.com/doi/10.1002/aenm.70992?af=R" TargetMode="External"/><Relationship Id="rId377" Type="http://schemas.openxmlformats.org/officeDocument/2006/relationships/hyperlink" Target="https://doi.org/10.1002/aenm.70992" TargetMode="External"/><Relationship Id="rId378" Type="http://schemas.openxmlformats.org/officeDocument/2006/relationships/hyperlink" Target="https://advanced.onlinelibrary.wiley.com/doi/10.1002/adma.73222?af=R" TargetMode="External"/><Relationship Id="rId379" Type="http://schemas.openxmlformats.org/officeDocument/2006/relationships/hyperlink" Target="https://doi.org/10.1002/adma.73222" TargetMode="External"/><Relationship Id="rId380" Type="http://schemas.openxmlformats.org/officeDocument/2006/relationships/hyperlink" Target="https://advanced.onlinelibrary.wiley.com/doi/10.1002/adma.73198?af=R" TargetMode="External"/><Relationship Id="rId381" Type="http://schemas.openxmlformats.org/officeDocument/2006/relationships/hyperlink" Target="https://doi.org/10.1002/adma.73198" TargetMode="External"/><Relationship Id="rId382" Type="http://schemas.openxmlformats.org/officeDocument/2006/relationships/hyperlink" Target="https://advanced.onlinelibrary.wiley.com/doi/10.1002/aenm.70945?af=R" TargetMode="External"/><Relationship Id="rId383" Type="http://schemas.openxmlformats.org/officeDocument/2006/relationships/hyperlink" Target="https://doi.org/10.1002/aenm.70945" TargetMode="External"/><Relationship Id="rId384" Type="http://schemas.openxmlformats.org/officeDocument/2006/relationships/hyperlink" Target="https://advanced.onlinelibrary.wiley.com/doi/10.1002/adma.202523006?af=R" TargetMode="External"/><Relationship Id="rId385" Type="http://schemas.openxmlformats.org/officeDocument/2006/relationships/hyperlink" Target="https://doi.org/10.1002/adma.202523006" TargetMode="External"/><Relationship Id="rId386" Type="http://schemas.openxmlformats.org/officeDocument/2006/relationships/hyperlink" Target="https://onlinelibrary.wiley.com/doi/10.1002/anie.5707597?af=R" TargetMode="External"/><Relationship Id="rId387" Type="http://schemas.openxmlformats.org/officeDocument/2006/relationships/hyperlink" Target="https://doi.org/10.1002/anie.5707597" TargetMode="External"/><Relationship Id="rId388" Type="http://schemas.openxmlformats.org/officeDocument/2006/relationships/hyperlink" Target="https://onlinelibrary.wiley.com/doi/10.1002/anie.8045649?af=R" TargetMode="External"/><Relationship Id="rId389" Type="http://schemas.openxmlformats.org/officeDocument/2006/relationships/hyperlink" Target="https://doi.org/10.1002/anie.8045649" TargetMode="External"/><Relationship Id="rId390" Type="http://schemas.openxmlformats.org/officeDocument/2006/relationships/hyperlink" Target="https://onlinelibrary.wiley.com/doi/10.1002/anie.4892726?af=R" TargetMode="External"/><Relationship Id="rId391" Type="http://schemas.openxmlformats.org/officeDocument/2006/relationships/hyperlink" Target="https://doi.org/10.1002/anie.4892726" TargetMode="External"/><Relationship Id="rId392" Type="http://schemas.openxmlformats.org/officeDocument/2006/relationships/hyperlink" Target="https://advanced.onlinelibrary.wiley.com/doi/10.1002/adma.73219?af=R" TargetMode="External"/><Relationship Id="rId393" Type="http://schemas.openxmlformats.org/officeDocument/2006/relationships/hyperlink" Target="https://doi.org/10.1002/adma.73219" TargetMode="External"/><Relationship Id="rId394" Type="http://schemas.openxmlformats.org/officeDocument/2006/relationships/hyperlink" Target="https://advanced.onlinelibrary.wiley.com/doi/10.1002/adma.202600007?af=R" TargetMode="External"/><Relationship Id="rId395" Type="http://schemas.openxmlformats.org/officeDocument/2006/relationships/hyperlink" Target="https://doi.org/10.1002/adma.202600007" TargetMode="External"/><Relationship Id="rId396" Type="http://schemas.openxmlformats.org/officeDocument/2006/relationships/hyperlink" Target="https://onlinelibrary.wiley.com/doi/10.1002/anie.4186742?af=R" TargetMode="External"/><Relationship Id="rId397" Type="http://schemas.openxmlformats.org/officeDocument/2006/relationships/hyperlink" Target="https://doi.org/10.1002/anie.4186742" TargetMode="External"/><Relationship Id="rId398" Type="http://schemas.openxmlformats.org/officeDocument/2006/relationships/hyperlink" Target="https://advanced.onlinelibrary.wiley.com/doi/10.1002/adma.202523655?af=R" TargetMode="External"/><Relationship Id="rId399" Type="http://schemas.openxmlformats.org/officeDocument/2006/relationships/hyperlink" Target="https://doi.org/10.1002/adma.202523655" TargetMode="External"/><Relationship Id="rId400" Type="http://schemas.openxmlformats.org/officeDocument/2006/relationships/hyperlink" Target="https://onlinelibrary.wiley.com/doi/10.1002/anie.6584076?af=R" TargetMode="External"/><Relationship Id="rId401" Type="http://schemas.openxmlformats.org/officeDocument/2006/relationships/hyperlink" Target="https://doi.org/10.1002/anie.6584076" TargetMode="External"/><Relationship Id="rId402" Type="http://schemas.openxmlformats.org/officeDocument/2006/relationships/hyperlink" Target="https://onlinelibrary.wiley.com/doi/10.1002/anie.9633132?af=R" TargetMode="External"/><Relationship Id="rId403" Type="http://schemas.openxmlformats.org/officeDocument/2006/relationships/hyperlink" Target="https://doi.org/10.1002/anie.9633132" TargetMode="External"/><Relationship Id="rId404" Type="http://schemas.openxmlformats.org/officeDocument/2006/relationships/hyperlink" Target="https://advanced.onlinelibrary.wiley.com/doi/10.1002/adma.202516173?af=R" TargetMode="External"/><Relationship Id="rId405" Type="http://schemas.openxmlformats.org/officeDocument/2006/relationships/hyperlink" Target="https://doi.org/10.1002/adma.202516173" TargetMode="External"/><Relationship Id="rId406" Type="http://schemas.openxmlformats.org/officeDocument/2006/relationships/hyperlink" Target="https://onlinelibrary.wiley.com/doi/10.1002/anie.9927716?af=R" TargetMode="External"/><Relationship Id="rId407" Type="http://schemas.openxmlformats.org/officeDocument/2006/relationships/hyperlink" Target="https://doi.org/10.1002/anie.9927716" TargetMode="External"/><Relationship Id="rId408" Type="http://schemas.openxmlformats.org/officeDocument/2006/relationships/hyperlink" Target="https://advanced.onlinelibrary.wiley.com/doi/10.1002/adma.202517521?af=R" TargetMode="External"/><Relationship Id="rId409" Type="http://schemas.openxmlformats.org/officeDocument/2006/relationships/hyperlink" Target="https://doi.org/10.1002/adma.202517521" TargetMode="External"/><Relationship Id="rId410" Type="http://schemas.openxmlformats.org/officeDocument/2006/relationships/hyperlink" Target="https://onlinelibrary.wiley.com/doi/10.1002/anie.2968123?af=R" TargetMode="External"/><Relationship Id="rId411" Type="http://schemas.openxmlformats.org/officeDocument/2006/relationships/hyperlink" Target="https://doi.org/10.1002/anie.2968123" TargetMode="External"/><Relationship Id="rId412" Type="http://schemas.openxmlformats.org/officeDocument/2006/relationships/hyperlink" Target="https://www.pnas.org/doi/abs/10.1073/pnas.2533244123?mi=eymic2&amp;af=R&amp;access=on&amp;content=articlesChapters&amp;publication=pnas&amp;sortBy=Earliest&amp;target=default" TargetMode="External"/><Relationship Id="rId413" Type="http://schemas.openxmlformats.org/officeDocument/2006/relationships/hyperlink" Target="https://doi.org/10.1073/pnas.2533244123" TargetMode="External"/><Relationship Id="rId414" Type="http://schemas.openxmlformats.org/officeDocument/2006/relationships/hyperlink" Target="https://www.pnas.org/doi/abs/10.1073/pnas.2601111123?mi=eymic2&amp;af=R&amp;access=on&amp;content=articlesChapters&amp;publication=pnas&amp;sortBy=Earliest&amp;target=default" TargetMode="External"/><Relationship Id="rId415" Type="http://schemas.openxmlformats.org/officeDocument/2006/relationships/hyperlink" Target="https://doi.org/10.1073/pnas.2601111123" TargetMode="External"/><Relationship Id="rId416" Type="http://schemas.openxmlformats.org/officeDocument/2006/relationships/hyperlink" Target="https://www.pnas.org/doi/abs/10.1073/pnas.2532840123?mi=eymic2&amp;af=R&amp;access=on&amp;content=articlesChapters&amp;publication=pnas&amp;sortBy=Earliest&amp;target=default" TargetMode="External"/><Relationship Id="rId417" Type="http://schemas.openxmlformats.org/officeDocument/2006/relationships/hyperlink" Target="https://doi.org/10.1073/pnas.2532840123" TargetMode="External"/><Relationship Id="rId418" Type="http://schemas.openxmlformats.org/officeDocument/2006/relationships/hyperlink" Target="https://www.pnas.org/doi/abs/10.1073/pnas.2521310123?mi=eymic2&amp;af=R&amp;access=on&amp;content=articlesChapters&amp;publication=pnas&amp;sortBy=Earliest&amp;target=default" TargetMode="External"/><Relationship Id="rId419" Type="http://schemas.openxmlformats.org/officeDocument/2006/relationships/hyperlink" Target="https://doi.org/10.1073/pnas.2521310123" TargetMode="External"/><Relationship Id="rId420" Type="http://schemas.openxmlformats.org/officeDocument/2006/relationships/hyperlink" Target="https://www.pnas.org/doi/abs/10.1073/pnas.2604044123?mi=eymic2&amp;af=R&amp;access=on&amp;content=articlesChapters&amp;publication=pnas&amp;sortBy=Earliest&amp;target=default" TargetMode="External"/><Relationship Id="rId421" Type="http://schemas.openxmlformats.org/officeDocument/2006/relationships/hyperlink" Target="https://doi.org/10.1073/pnas.2604044123" TargetMode="External"/><Relationship Id="rId422" Type="http://schemas.openxmlformats.org/officeDocument/2006/relationships/hyperlink" Target="https://www.pnas.org/doi/abs/10.1073/pnas.2532659123?mi=eymic2&amp;af=R&amp;access=on&amp;content=articlesChapters&amp;publication=pnas&amp;sortBy=Earliest&amp;target=default" TargetMode="External"/><Relationship Id="rId423" Type="http://schemas.openxmlformats.org/officeDocument/2006/relationships/hyperlink" Target="https://doi.org/10.1073/pnas.2532659123" TargetMode="External"/><Relationship Id="rId424" Type="http://schemas.openxmlformats.org/officeDocument/2006/relationships/hyperlink" Target="https://www.pnas.org/doi/abs/10.1073/pnas.2532423123?mi=eymic2&amp;af=R&amp;access=on&amp;content=articlesChapters&amp;publication=pnas&amp;sortBy=Earliest&amp;target=default" TargetMode="External"/><Relationship Id="rId425" Type="http://schemas.openxmlformats.org/officeDocument/2006/relationships/hyperlink" Target="https://doi.org/10.1073/pnas.2532423123" TargetMode="External"/><Relationship Id="rId426" Type="http://schemas.openxmlformats.org/officeDocument/2006/relationships/hyperlink" Target="https://www.pnas.org/doi/abs/10.1073/pnas.2508352123?mi=eymic2&amp;af=R&amp;access=on&amp;content=articlesChapters&amp;publication=pnas&amp;sortBy=Earliest&amp;target=default" TargetMode="External"/><Relationship Id="rId427" Type="http://schemas.openxmlformats.org/officeDocument/2006/relationships/hyperlink" Target="https://doi.org/10.1073/pnas.2508352123" TargetMode="External"/><Relationship Id="rId428" Type="http://schemas.openxmlformats.org/officeDocument/2006/relationships/hyperlink" Target="https://www.pnas.org/doi/abs/10.1073/pnas.2514042123?mi=eymic2&amp;af=R&amp;access=on&amp;content=articlesChapters&amp;publication=pnas&amp;sortBy=Earliest&amp;target=default" TargetMode="External"/><Relationship Id="rId429" Type="http://schemas.openxmlformats.org/officeDocument/2006/relationships/hyperlink" Target="https://doi.org/10.1073/pnas.2514042123" TargetMode="External"/><Relationship Id="rId430" Type="http://schemas.openxmlformats.org/officeDocument/2006/relationships/hyperlink" Target="https://www.pnas.org/doi/abs/10.1073/pnas.2531747123?mi=eymic2&amp;af=R&amp;access=on&amp;content=articlesChapters&amp;publication=pnas&amp;sortBy=Earliest&amp;target=default" TargetMode="External"/><Relationship Id="rId431" Type="http://schemas.openxmlformats.org/officeDocument/2006/relationships/hyperlink" Target="https://doi.org/10.1073/pnas.2531747123" TargetMode="External"/><Relationship Id="rId432" Type="http://schemas.openxmlformats.org/officeDocument/2006/relationships/hyperlink" Target="https://www.pnas.org/doi/abs/10.1073/pnas.2528281123?mi=eymic2&amp;af=R&amp;access=on&amp;content=articlesChapters&amp;publication=pnas&amp;sortBy=Earliest&amp;target=default" TargetMode="External"/><Relationship Id="rId433" Type="http://schemas.openxmlformats.org/officeDocument/2006/relationships/hyperlink" Target="https://doi.org/10.1073/pnas.2528281123" TargetMode="External"/><Relationship Id="rId434" Type="http://schemas.openxmlformats.org/officeDocument/2006/relationships/hyperlink" Target="https://www.pnas.org/doi/abs/10.1073/pnas.2525505123?mi=eymic2&amp;af=R&amp;access=on&amp;content=articlesChapters&amp;publication=pnas&amp;sortBy=Earliest&amp;target=default" TargetMode="External"/><Relationship Id="rId435" Type="http://schemas.openxmlformats.org/officeDocument/2006/relationships/hyperlink" Target="https://doi.org/10.1073/pnas.2525505123" TargetMode="External"/><Relationship Id="rId436" Type="http://schemas.openxmlformats.org/officeDocument/2006/relationships/hyperlink" Target="https://www.pnas.org/doi/abs/10.1073/pnas.2524488123?mi=eymic2&amp;af=R&amp;access=on&amp;content=articlesChapters&amp;publication=pnas&amp;sortBy=Earliest&amp;target=default" TargetMode="External"/><Relationship Id="rId437" Type="http://schemas.openxmlformats.org/officeDocument/2006/relationships/hyperlink" Target="https://doi.org/10.1073/pnas.2524488123" TargetMode="External"/><Relationship Id="rId438" Type="http://schemas.openxmlformats.org/officeDocument/2006/relationships/hyperlink" Target="https://www.pnas.org/doi/abs/10.1073/pnas.2603475123?mi=eymic2&amp;af=R&amp;access=on&amp;content=articlesChapters&amp;publication=pnas&amp;sortBy=Earliest&amp;target=default" TargetMode="External"/><Relationship Id="rId439" Type="http://schemas.openxmlformats.org/officeDocument/2006/relationships/hyperlink" Target="https://doi.org/10.1073/pnas.2603475123" TargetMode="External"/><Relationship Id="rId440" Type="http://schemas.openxmlformats.org/officeDocument/2006/relationships/hyperlink" Target="https://www.pnas.org/doi/abs/10.1073/pnas.2602101123?mi=eymic2&amp;af=R&amp;access=on&amp;content=articlesChapters&amp;publication=pnas&amp;sortBy=Earliest&amp;target=default" TargetMode="External"/><Relationship Id="rId441" Type="http://schemas.openxmlformats.org/officeDocument/2006/relationships/hyperlink" Target="https://doi.org/10.1073/pnas.2602101123" TargetMode="External"/><Relationship Id="rId442" Type="http://schemas.openxmlformats.org/officeDocument/2006/relationships/hyperlink" Target="https://www.pnas.org/doi/abs/10.1073/pnas.2601991123?mi=eymic2&amp;af=R&amp;access=on&amp;content=articlesChapters&amp;publication=pnas&amp;sortBy=Earliest&amp;target=default" TargetMode="External"/><Relationship Id="rId443" Type="http://schemas.openxmlformats.org/officeDocument/2006/relationships/hyperlink" Target="https://doi.org/10.1073/pnas.2601991123" TargetMode="External"/><Relationship Id="rId444" Type="http://schemas.openxmlformats.org/officeDocument/2006/relationships/hyperlink" Target="https://www.pnas.org/doi/abs/10.1073/pnas.2601748123?mi=eymic2&amp;af=R&amp;access=on&amp;content=articlesChapters&amp;publication=pnas&amp;sortBy=Earliest&amp;target=default" TargetMode="External"/><Relationship Id="rId445" Type="http://schemas.openxmlformats.org/officeDocument/2006/relationships/hyperlink" Target="https://doi.org/10.1073/pnas.2601748123" TargetMode="External"/><Relationship Id="rId446" Type="http://schemas.openxmlformats.org/officeDocument/2006/relationships/hyperlink" Target="https://www.pnas.org/doi/abs/10.1073/pnas.2602412123?mi=eymic2&amp;af=R&amp;access=on&amp;content=articlesChapters&amp;publication=pnas&amp;sortBy=Earliest&amp;target=default" TargetMode="External"/><Relationship Id="rId447" Type="http://schemas.openxmlformats.org/officeDocument/2006/relationships/hyperlink" Target="https://doi.org/10.1073/pnas.2602412123" TargetMode="External"/><Relationship Id="rId448" Type="http://schemas.openxmlformats.org/officeDocument/2006/relationships/hyperlink" Target="https://www.pnas.org/doi/abs/10.1073/pnas.2517429123?mi=eymic2&amp;af=R&amp;access=on&amp;content=articlesChapters&amp;publication=pnas&amp;sortBy=Earliest&amp;target=default" TargetMode="External"/><Relationship Id="rId449" Type="http://schemas.openxmlformats.org/officeDocument/2006/relationships/hyperlink" Target="https://doi.org/10.1073/pnas.2517429123" TargetMode="External"/><Relationship Id="rId450" Type="http://schemas.openxmlformats.org/officeDocument/2006/relationships/hyperlink" Target="https://www.pnas.org/doi/abs/10.1073/pnas.2518812123?mi=eymic2&amp;af=R&amp;access=on&amp;content=articlesChapters&amp;publication=pnas&amp;sortBy=Earliest&amp;target=default" TargetMode="External"/><Relationship Id="rId451" Type="http://schemas.openxmlformats.org/officeDocument/2006/relationships/hyperlink" Target="https://doi.org/10.1073/pnas.2518812123" TargetMode="External"/><Relationship Id="rId452" Type="http://schemas.openxmlformats.org/officeDocument/2006/relationships/hyperlink" Target="https://www.pnas.org/doi/abs/10.1073/pnas.2533434123?mi=eymic2&amp;af=R&amp;access=on&amp;content=articlesChapters&amp;publication=pnas&amp;sortBy=Earliest&amp;target=default" TargetMode="External"/><Relationship Id="rId453" Type="http://schemas.openxmlformats.org/officeDocument/2006/relationships/hyperlink" Target="https://doi.org/10.1073/pnas.2533434123" TargetMode="External"/><Relationship Id="rId454" Type="http://schemas.openxmlformats.org/officeDocument/2006/relationships/hyperlink" Target="https://www.pnas.org/doi/abs/10.1073/pnas.2518820123?mi=eymic2&amp;af=R&amp;access=on&amp;content=articlesChapters&amp;publication=pnas&amp;sortBy=Earliest&amp;target=default" TargetMode="External"/><Relationship Id="rId455" Type="http://schemas.openxmlformats.org/officeDocument/2006/relationships/hyperlink" Target="https://doi.org/10.1073/pnas.2518820123" TargetMode="External"/><Relationship Id="rId456" Type="http://schemas.openxmlformats.org/officeDocument/2006/relationships/hyperlink" Target="https://www.pnas.org/doi/abs/10.1073/pnas.2537627123?mi=eymic2&amp;af=R&amp;access=on&amp;content=articlesChapters&amp;publication=pnas&amp;sortBy=Earliest&amp;target=default" TargetMode="External"/><Relationship Id="rId457" Type="http://schemas.openxmlformats.org/officeDocument/2006/relationships/hyperlink" Target="https://doi.org/10.1073/pnas.2537627123" TargetMode="External"/><Relationship Id="rId458" Type="http://schemas.openxmlformats.org/officeDocument/2006/relationships/hyperlink" Target="https://www.pnas.org/doi/abs/10.1073/iti1726123?mi=eymic2&amp;af=R&amp;access=on&amp;content=articlesChapters&amp;publication=pnas&amp;sortBy=Earliest&amp;target=default" TargetMode="External"/><Relationship Id="rId459" Type="http://schemas.openxmlformats.org/officeDocument/2006/relationships/hyperlink" Target="https://doi.org/10.1073/iti1726123" TargetMode="External"/><Relationship Id="rId460" Type="http://schemas.openxmlformats.org/officeDocument/2006/relationships/hyperlink" Target="https://www.pnas.org/doi/abs/10.1073/pnas.2534014123?mi=eymic2&amp;af=R&amp;access=on&amp;content=articlesChapters&amp;publication=pnas&amp;sortBy=Earliest&amp;target=default" TargetMode="External"/><Relationship Id="rId461" Type="http://schemas.openxmlformats.org/officeDocument/2006/relationships/hyperlink" Target="https://doi.org/10.1073/pnas.2534014123" TargetMode="External"/><Relationship Id="rId462" Type="http://schemas.openxmlformats.org/officeDocument/2006/relationships/hyperlink" Target="http://dx.doi.org/10.1021/jacs.6c07716" TargetMode="External"/><Relationship Id="rId463" Type="http://schemas.openxmlformats.org/officeDocument/2006/relationships/hyperlink" Target="https://doi.org/10.1021/jacs.6c07716" TargetMode="External"/><Relationship Id="rId464" Type="http://schemas.openxmlformats.org/officeDocument/2006/relationships/hyperlink" Target="http://dx.doi.org/10.1021/jacs.6c02244" TargetMode="External"/><Relationship Id="rId465" Type="http://schemas.openxmlformats.org/officeDocument/2006/relationships/hyperlink" Target="https://doi.org/10.1021/jacs.6c02244" TargetMode="External"/><Relationship Id="rId466" Type="http://schemas.openxmlformats.org/officeDocument/2006/relationships/hyperlink" Target="http://dx.doi.org/10.1021/jacs.6c05014" TargetMode="External"/><Relationship Id="rId467" Type="http://schemas.openxmlformats.org/officeDocument/2006/relationships/hyperlink" Target="https://doi.org/10.1021/jacs.6c05014" TargetMode="External"/><Relationship Id="rId468" Type="http://schemas.openxmlformats.org/officeDocument/2006/relationships/hyperlink" Target="http://dx.doi.org/10.1021/jacs.6c07788" TargetMode="External"/><Relationship Id="rId469" Type="http://schemas.openxmlformats.org/officeDocument/2006/relationships/hyperlink" Target="https://doi.org/10.1021/jacs.6c07788" TargetMode="External"/><Relationship Id="rId470" Type="http://schemas.openxmlformats.org/officeDocument/2006/relationships/hyperlink" Target="http://dx.doi.org/10.1021/jacs.6c00498" TargetMode="External"/><Relationship Id="rId471" Type="http://schemas.openxmlformats.org/officeDocument/2006/relationships/hyperlink" Target="https://doi.org/10.1021/jacs.6c00498" TargetMode="External"/><Relationship Id="rId472" Type="http://schemas.openxmlformats.org/officeDocument/2006/relationships/hyperlink" Target="http://dx.doi.org/10.1021/jacs.6c03719" TargetMode="External"/><Relationship Id="rId473" Type="http://schemas.openxmlformats.org/officeDocument/2006/relationships/hyperlink" Target="https://doi.org/10.1021/jacs.6c03719" TargetMode="External"/><Relationship Id="rId474" Type="http://schemas.openxmlformats.org/officeDocument/2006/relationships/hyperlink" Target="http://dx.doi.org/10.1021/jacs.6c00828" TargetMode="External"/><Relationship Id="rId475" Type="http://schemas.openxmlformats.org/officeDocument/2006/relationships/hyperlink" Target="https://doi.org/10.1021/jacs.6c00828" TargetMode="External"/><Relationship Id="rId476" Type="http://schemas.openxmlformats.org/officeDocument/2006/relationships/hyperlink" Target="http://dx.doi.org/10.1021/jacs.6c03529" TargetMode="External"/><Relationship Id="rId477" Type="http://schemas.openxmlformats.org/officeDocument/2006/relationships/hyperlink" Target="https://doi.org/10.1021/jacs.6c03529" TargetMode="External"/><Relationship Id="rId478" Type="http://schemas.openxmlformats.org/officeDocument/2006/relationships/hyperlink" Target="http://dx.doi.org/10.1021/jacs.6c01974" TargetMode="External"/><Relationship Id="rId479" Type="http://schemas.openxmlformats.org/officeDocument/2006/relationships/hyperlink" Target="https://doi.org/10.1021/jacs.6c01974" TargetMode="External"/><Relationship Id="rId480" Type="http://schemas.openxmlformats.org/officeDocument/2006/relationships/hyperlink" Target="http://dx.doi.org/10.1021/jacs.5c21614" TargetMode="External"/><Relationship Id="rId481" Type="http://schemas.openxmlformats.org/officeDocument/2006/relationships/hyperlink" Target="https://doi.org/10.1021/jacs.5c21614" TargetMode="External"/><Relationship Id="rId482" Type="http://schemas.openxmlformats.org/officeDocument/2006/relationships/hyperlink" Target="http://dx.doi.org/10.1021/jacs.6c02011" TargetMode="External"/><Relationship Id="rId483" Type="http://schemas.openxmlformats.org/officeDocument/2006/relationships/hyperlink" Target="https://doi.org/10.1021/jacs.6c02011" TargetMode="External"/><Relationship Id="rId484" Type="http://schemas.openxmlformats.org/officeDocument/2006/relationships/hyperlink" Target="http://dx.doi.org/10.1021/jacs.6c04848" TargetMode="External"/><Relationship Id="rId485" Type="http://schemas.openxmlformats.org/officeDocument/2006/relationships/hyperlink" Target="https://doi.org/10.1021/jacs.6c04848" TargetMode="External"/><Relationship Id="rId486" Type="http://schemas.openxmlformats.org/officeDocument/2006/relationships/hyperlink" Target="http://dx.doi.org/10.1021/jacs.6c00543" TargetMode="External"/><Relationship Id="rId487" Type="http://schemas.openxmlformats.org/officeDocument/2006/relationships/hyperlink" Target="https://doi.org/10.1021/jacs.6c00543" TargetMode="External"/><Relationship Id="rId488" Type="http://schemas.openxmlformats.org/officeDocument/2006/relationships/hyperlink" Target="http://dx.doi.org/10.1021/jacs.6c05220" TargetMode="External"/><Relationship Id="rId489" Type="http://schemas.openxmlformats.org/officeDocument/2006/relationships/hyperlink" Target="https://doi.org/10.1021/jacs.6c05220" TargetMode="External"/><Relationship Id="rId490" Type="http://schemas.openxmlformats.org/officeDocument/2006/relationships/hyperlink" Target="http://dx.doi.org/10.1021/jacs.5c23176" TargetMode="External"/><Relationship Id="rId491" Type="http://schemas.openxmlformats.org/officeDocument/2006/relationships/hyperlink" Target="https://doi.org/10.1021/jacs.5c23176" TargetMode="External"/><Relationship Id="rId492" Type="http://schemas.openxmlformats.org/officeDocument/2006/relationships/hyperlink" Target="http://dx.doi.org/10.1021/jacs.6c04122" TargetMode="External"/><Relationship Id="rId493" Type="http://schemas.openxmlformats.org/officeDocument/2006/relationships/hyperlink" Target="https://doi.org/10.1021/jacs.6c04122" TargetMode="External"/><Relationship Id="rId494" Type="http://schemas.openxmlformats.org/officeDocument/2006/relationships/hyperlink" Target="http://dx.doi.org/10.1021/jacs.6c00821" TargetMode="External"/><Relationship Id="rId495" Type="http://schemas.openxmlformats.org/officeDocument/2006/relationships/hyperlink" Target="https://doi.org/10.1021/jacs.6c00821" TargetMode="External"/><Relationship Id="rId496" Type="http://schemas.openxmlformats.org/officeDocument/2006/relationships/hyperlink" Target="http://dx.doi.org/10.1021/jacs.5c23266" TargetMode="External"/><Relationship Id="rId497" Type="http://schemas.openxmlformats.org/officeDocument/2006/relationships/hyperlink" Target="https://doi.org/10.1021/jacs.5c23266" TargetMode="External"/><Relationship Id="rId498" Type="http://schemas.openxmlformats.org/officeDocument/2006/relationships/hyperlink" Target="http://dx.doi.org/10.1021/jacs.5c16359" TargetMode="External"/><Relationship Id="rId499" Type="http://schemas.openxmlformats.org/officeDocument/2006/relationships/hyperlink" Target="https://doi.org/10.1021/jacs.5c16359" TargetMode="External"/><Relationship Id="rId500" Type="http://schemas.openxmlformats.org/officeDocument/2006/relationships/hyperlink" Target="http://pubs.rsc.org/en/Content/ArticleLanding/2026/CS/D4CS00445K" TargetMode="External"/><Relationship Id="rId501" Type="http://schemas.openxmlformats.org/officeDocument/2006/relationships/hyperlink" Target="http://pubs.rsc.org/en/Content/ArticleLanding/2026/CS/D5CS00823A" TargetMode="External"/><Relationship Id="rId502" Type="http://schemas.openxmlformats.org/officeDocument/2006/relationships/hyperlink" Target="http://pubs.rsc.org/en/Content/ArticleLanding/2026/CS/D5CS01408E" TargetMode="External"/><Relationship Id="rId503" Type="http://schemas.openxmlformats.org/officeDocument/2006/relationships/hyperlink" Target="https://www.nature.com/articles/s41467-026-72299-7" TargetMode="External"/><Relationship Id="rId504" Type="http://schemas.openxmlformats.org/officeDocument/2006/relationships/hyperlink" Target="https://doi.org/10.1038/s41467-026-72299-7" TargetMode="External"/><Relationship Id="rId505" Type="http://schemas.openxmlformats.org/officeDocument/2006/relationships/hyperlink" Target="https://www.nature.com/articles/s41586-026-10428-4" TargetMode="External"/><Relationship Id="rId506" Type="http://schemas.openxmlformats.org/officeDocument/2006/relationships/hyperlink" Target="https://doi.org/10.1038/s41586-026-10428-4" TargetMode="External"/><Relationship Id="rId507" Type="http://schemas.openxmlformats.org/officeDocument/2006/relationships/hyperlink" Target="https://academic.oup.com/nsr/advance-article/doi/10.1093/nsr/nwag251/8665134?rss=1" TargetMode="External"/><Relationship Id="rId508" Type="http://schemas.openxmlformats.org/officeDocument/2006/relationships/hyperlink" Target="https://doi.org/10.1093/nsr/nwag251" TargetMode="External"/><Relationship Id="rId509" Type="http://schemas.openxmlformats.org/officeDocument/2006/relationships/hyperlink" Target="https://www.nature.com/articles/s41586-026-10470-2" TargetMode="External"/><Relationship Id="rId510" Type="http://schemas.openxmlformats.org/officeDocument/2006/relationships/hyperlink" Target="https://doi.org/10.1038/s41586-026-10470-2" TargetMode="External"/><Relationship Id="rId511" Type="http://schemas.openxmlformats.org/officeDocument/2006/relationships/hyperlink" Target="https://www.nature.com/articles/s41586-026-10425-7" TargetMode="External"/><Relationship Id="rId512" Type="http://schemas.openxmlformats.org/officeDocument/2006/relationships/hyperlink" Target="https://doi.org/10.1038/s41586-026-10425-7" TargetMode="External"/><Relationship Id="rId513" Type="http://schemas.openxmlformats.org/officeDocument/2006/relationships/hyperlink" Target="https://www.nature.com/articles/s41586-026-10437-3" TargetMode="External"/><Relationship Id="rId514" Type="http://schemas.openxmlformats.org/officeDocument/2006/relationships/hyperlink" Target="https://doi.org/10.1038/s41586-026-10437-3" TargetMode="External"/><Relationship Id="rId515" Type="http://schemas.openxmlformats.org/officeDocument/2006/relationships/hyperlink" Target="https://www.nature.com/articles/s41586-026-10418-6" TargetMode="External"/><Relationship Id="rId516" Type="http://schemas.openxmlformats.org/officeDocument/2006/relationships/hyperlink" Target="https://doi.org/10.1038/s41586-026-10418-6" TargetMode="External"/><Relationship Id="rId517" Type="http://schemas.openxmlformats.org/officeDocument/2006/relationships/hyperlink" Target="https://www.nature.com/articles/s41586-026-10460-4" TargetMode="External"/><Relationship Id="rId518" Type="http://schemas.openxmlformats.org/officeDocument/2006/relationships/hyperlink" Target="https://doi.org/10.1038/s41586-026-10460-4" TargetMode="External"/><Relationship Id="rId519" Type="http://schemas.openxmlformats.org/officeDocument/2006/relationships/hyperlink" Target="https://www.nature.com/articles/s41586-026-10472-0" TargetMode="External"/><Relationship Id="rId520" Type="http://schemas.openxmlformats.org/officeDocument/2006/relationships/hyperlink" Target="https://doi.org/10.1038/s41586-026-10472-0" TargetMode="External"/><Relationship Id="rId521" Type="http://schemas.openxmlformats.org/officeDocument/2006/relationships/hyperlink" Target="https://www.nature.com/articles/s41586-026-10434-6" TargetMode="External"/><Relationship Id="rId522" Type="http://schemas.openxmlformats.org/officeDocument/2006/relationships/hyperlink" Target="https://doi.org/10.1038/s41586-026-10434-6" TargetMode="External"/><Relationship Id="rId523" Type="http://schemas.openxmlformats.org/officeDocument/2006/relationships/hyperlink" Target="https://www.nature.com/articles/d41586-026-01273-6" TargetMode="External"/><Relationship Id="rId524" Type="http://schemas.openxmlformats.org/officeDocument/2006/relationships/hyperlink" Target="https://doi.org/10.1038/d41586-026-01273-6" TargetMode="External"/><Relationship Id="rId525" Type="http://schemas.openxmlformats.org/officeDocument/2006/relationships/hyperlink" Target="https://academic.oup.com/nsr/advance-article/doi/10.1093/nsr/nwag248/8665133?rss=1" TargetMode="External"/><Relationship Id="rId526" Type="http://schemas.openxmlformats.org/officeDocument/2006/relationships/hyperlink" Target="https://doi.org/10.1093/nsr/nwag248" TargetMode="External"/><Relationship Id="rId527" Type="http://schemas.openxmlformats.org/officeDocument/2006/relationships/hyperlink" Target="https://www.nature.com/articles/s41586-026-10429-3" TargetMode="External"/><Relationship Id="rId528" Type="http://schemas.openxmlformats.org/officeDocument/2006/relationships/hyperlink" Target="https://doi.org/10.1038/s41586-026-10429-3" TargetMode="External"/><Relationship Id="rId529" Type="http://schemas.openxmlformats.org/officeDocument/2006/relationships/hyperlink" Target="https://www.nature.com/articles/s41467-026-71813-1" TargetMode="External"/><Relationship Id="rId530" Type="http://schemas.openxmlformats.org/officeDocument/2006/relationships/hyperlink" Target="https://doi.org/10.1038/s41467-026-71813-1" TargetMode="External"/><Relationship Id="rId531" Type="http://schemas.openxmlformats.org/officeDocument/2006/relationships/hyperlink" Target="https://www.nature.com/articles/d41586-026-01406-x" TargetMode="External"/><Relationship Id="rId532" Type="http://schemas.openxmlformats.org/officeDocument/2006/relationships/hyperlink" Target="https://doi.org/10.1038/d41586-026-01406-x" TargetMode="External"/><Relationship Id="rId533" Type="http://schemas.openxmlformats.org/officeDocument/2006/relationships/hyperlink" Target="https://www.nature.com/articles/s41893-026-01831-w" TargetMode="External"/><Relationship Id="rId534" Type="http://schemas.openxmlformats.org/officeDocument/2006/relationships/hyperlink" Target="https://doi.org/10.1038/s41893-026-01831-w" TargetMode="External"/><Relationship Id="rId535" Type="http://schemas.openxmlformats.org/officeDocument/2006/relationships/hyperlink" Target="https://www.nature.com/articles/s41586-026-10435-5" TargetMode="External"/><Relationship Id="rId536" Type="http://schemas.openxmlformats.org/officeDocument/2006/relationships/hyperlink" Target="https://doi.org/10.1038/s41586-026-10435-5" TargetMode="External"/><Relationship Id="rId537" Type="http://schemas.openxmlformats.org/officeDocument/2006/relationships/hyperlink" Target="https://www.nature.com/articles/s41586-026-10445-3" TargetMode="External"/><Relationship Id="rId538" Type="http://schemas.openxmlformats.org/officeDocument/2006/relationships/hyperlink" Target="https://doi.org/10.1038/s41586-026-10445-3" TargetMode="External"/><Relationship Id="rId539" Type="http://schemas.openxmlformats.org/officeDocument/2006/relationships/hyperlink" Target="https://www.nature.com/articles/s41586-026-10433-7" TargetMode="External"/><Relationship Id="rId540" Type="http://schemas.openxmlformats.org/officeDocument/2006/relationships/hyperlink" Target="https://doi.org/10.1038/s41586-026-10433-7" TargetMode="External"/><Relationship Id="rId541" Type="http://schemas.openxmlformats.org/officeDocument/2006/relationships/hyperlink" Target="https://www.nature.com/articles/s41586-026-10471-1" TargetMode="External"/><Relationship Id="rId542" Type="http://schemas.openxmlformats.org/officeDocument/2006/relationships/hyperlink" Target="https://doi.org/10.1038/s41586-026-10471-1" TargetMode="External"/><Relationship Id="rId543" Type="http://schemas.openxmlformats.org/officeDocument/2006/relationships/hyperlink" Target="https://www.nature.com/articles/d41586-026-01193-5" TargetMode="External"/><Relationship Id="rId544" Type="http://schemas.openxmlformats.org/officeDocument/2006/relationships/hyperlink" Target="https://doi.org/10.1038/d41586-026-01193-5" TargetMode="External"/><Relationship Id="rId545" Type="http://schemas.openxmlformats.org/officeDocument/2006/relationships/hyperlink" Target="https://www.nature.com/articles/s41467-026-72219-9" TargetMode="External"/><Relationship Id="rId546" Type="http://schemas.openxmlformats.org/officeDocument/2006/relationships/hyperlink" Target="https://doi.org/10.1038/s41467-026-72219-9" TargetMode="External"/><Relationship Id="rId547" Type="http://schemas.openxmlformats.org/officeDocument/2006/relationships/hyperlink" Target="https://academic.oup.com/nsr/advance-article/doi/10.1093/nsr/nwag243/8665132?rss=1" TargetMode="External"/><Relationship Id="rId548" Type="http://schemas.openxmlformats.org/officeDocument/2006/relationships/hyperlink" Target="https://doi.org/10.1093/nsr/nwag243" TargetMode="External"/><Relationship Id="rId549" Type="http://schemas.openxmlformats.org/officeDocument/2006/relationships/hyperlink" Target="https://www.nature.com/articles/s41586-026-10341-w" TargetMode="External"/><Relationship Id="rId550" Type="http://schemas.openxmlformats.org/officeDocument/2006/relationships/hyperlink" Target="https://doi.org/10.1038/s41586-026-10341-w" TargetMode="External"/><Relationship Id="rId551" Type="http://schemas.openxmlformats.org/officeDocument/2006/relationships/hyperlink" Target="https://www.nature.com/articles/s41586-026-10371-4" TargetMode="External"/><Relationship Id="rId552" Type="http://schemas.openxmlformats.org/officeDocument/2006/relationships/hyperlink" Target="https://doi.org/10.1038/s41586-026-10371-4" TargetMode="External"/><Relationship Id="rId553" Type="http://schemas.openxmlformats.org/officeDocument/2006/relationships/hyperlink" Target="https://www.nature.com/articles/s41586-026-10370-5" TargetMode="External"/><Relationship Id="rId554" Type="http://schemas.openxmlformats.org/officeDocument/2006/relationships/hyperlink" Target="https://doi.org/10.1038/s41586-026-10370-5" TargetMode="External"/><Relationship Id="rId555" Type="http://schemas.openxmlformats.org/officeDocument/2006/relationships/hyperlink" Target="https://www.nature.com/articles/s41586-026-10600-w" TargetMode="External"/><Relationship Id="rId556" Type="http://schemas.openxmlformats.org/officeDocument/2006/relationships/hyperlink" Target="https://doi.org/10.1038/s41586-026-10600-w" TargetMode="External"/><Relationship Id="rId557" Type="http://schemas.openxmlformats.org/officeDocument/2006/relationships/hyperlink" Target="https://www.cell.com/chem/fulltext/S2451-9294(26)00108-7?rss=yes" TargetMode="External"/><Relationship Id="rId558" Type="http://schemas.openxmlformats.org/officeDocument/2006/relationships/hyperlink" Target="https://doi.org/10.1016/j.chempr.2026.103042" TargetMode="External"/><Relationship Id="rId559" Type="http://schemas.openxmlformats.org/officeDocument/2006/relationships/hyperlink" Target="https://www.nature.com/articles/s41563-026-02590-x" TargetMode="External"/><Relationship Id="rId560" Type="http://schemas.openxmlformats.org/officeDocument/2006/relationships/hyperlink" Target="https://doi.org/10.1038/s41563-026-02590-x" TargetMode="External"/><Relationship Id="rId561" Type="http://schemas.openxmlformats.org/officeDocument/2006/relationships/hyperlink" Target="https://www.nature.com/articles/s41586-026-10463-1" TargetMode="External"/><Relationship Id="rId562" Type="http://schemas.openxmlformats.org/officeDocument/2006/relationships/hyperlink" Target="https://doi.org/10.1038/s41586-026-10463-1" TargetMode="External"/><Relationship Id="rId563" Type="http://schemas.openxmlformats.org/officeDocument/2006/relationships/hyperlink" Target="https://www.nature.com/articles/d41586-026-01150-2" TargetMode="External"/><Relationship Id="rId564" Type="http://schemas.openxmlformats.org/officeDocument/2006/relationships/hyperlink" Target="https://doi.org/10.1038/d41586-026-01150-2" TargetMode="External"/><Relationship Id="rId565" Type="http://schemas.openxmlformats.org/officeDocument/2006/relationships/hyperlink" Target="https://www.nature.com/articles/s41586-026-10432-8" TargetMode="External"/><Relationship Id="rId566" Type="http://schemas.openxmlformats.org/officeDocument/2006/relationships/hyperlink" Target="https://doi.org/10.1038/s41586-026-10432-8" TargetMode="External"/><Relationship Id="rId567" Type="http://schemas.openxmlformats.org/officeDocument/2006/relationships/hyperlink" Target="https://www.nature.com/articles/d41586-026-01270-9" TargetMode="External"/><Relationship Id="rId568" Type="http://schemas.openxmlformats.org/officeDocument/2006/relationships/hyperlink" Target="https://doi.org/10.1038/d41586-026-01270-9" TargetMode="External"/><Relationship Id="rId569" Type="http://schemas.openxmlformats.org/officeDocument/2006/relationships/hyperlink" Target="https://www.nature.com/articles/d41586-026-01362-6" TargetMode="External"/><Relationship Id="rId570" Type="http://schemas.openxmlformats.org/officeDocument/2006/relationships/hyperlink" Target="https://doi.org/10.1038/d41586-026-01362-6" TargetMode="External"/><Relationship Id="rId571" Type="http://schemas.openxmlformats.org/officeDocument/2006/relationships/hyperlink" Target="https://www.cell.com/matter/fulltext/S2590-2385(26)00131-1?rss=yes" TargetMode="External"/><Relationship Id="rId572" Type="http://schemas.openxmlformats.org/officeDocument/2006/relationships/hyperlink" Target="https://doi.org/10.1016/j.matt.2026.102768" TargetMode="External"/><Relationship Id="rId573" Type="http://schemas.openxmlformats.org/officeDocument/2006/relationships/hyperlink" Target="https://www.cell.com/matter/fulltext/S2590-2385(26)00171-2?rss=yes" TargetMode="External"/><Relationship Id="rId574" Type="http://schemas.openxmlformats.org/officeDocument/2006/relationships/hyperlink" Target="https://doi.org/10.1016/j.matt.2026.102808" TargetMode="External"/><Relationship Id="rId575" Type="http://schemas.openxmlformats.org/officeDocument/2006/relationships/hyperlink" Target="https://www.nature.com/articles/s44359-026-00170-5" TargetMode="External"/><Relationship Id="rId576" Type="http://schemas.openxmlformats.org/officeDocument/2006/relationships/hyperlink" Target="https://doi.org/10.1038/s44359-026-00170-5" TargetMode="External"/><Relationship Id="rId577" Type="http://schemas.openxmlformats.org/officeDocument/2006/relationships/hyperlink" Target="https://www.nature.com/articles/s41928-026-01611-6" TargetMode="External"/><Relationship Id="rId578" Type="http://schemas.openxmlformats.org/officeDocument/2006/relationships/hyperlink" Target="https://doi.org/10.1038/s41928-026-01611-6" TargetMode="External"/><Relationship Id="rId579" Type="http://schemas.openxmlformats.org/officeDocument/2006/relationships/hyperlink" Target="https://www.nature.com/articles/s41928-026-01613-4" TargetMode="External"/><Relationship Id="rId580" Type="http://schemas.openxmlformats.org/officeDocument/2006/relationships/hyperlink" Target="https://doi.org/10.1038/s41928-026-01613-4" TargetMode="External"/><Relationship Id="rId581" Type="http://schemas.openxmlformats.org/officeDocument/2006/relationships/hyperlink" Target="https://www.nature.com/articles/s41928-026-01635-y" TargetMode="External"/><Relationship Id="rId582" Type="http://schemas.openxmlformats.org/officeDocument/2006/relationships/hyperlink" Target="https://doi.org/10.1038/s41928-026-01635-y" TargetMode="External"/><Relationship Id="rId583" Type="http://schemas.openxmlformats.org/officeDocument/2006/relationships/hyperlink" Target="https://www.nature.com/articles/s41565-026-02164-7" TargetMode="External"/><Relationship Id="rId584" Type="http://schemas.openxmlformats.org/officeDocument/2006/relationships/hyperlink" Target="https://doi.org/10.1038/s41565-026-02164-7" TargetMode="External"/><Relationship Id="rId585" Type="http://schemas.openxmlformats.org/officeDocument/2006/relationships/hyperlink" Target="https://academic.oup.com/nsr/advance-article/doi/10.1093/nsr/nwag247/8665135?rss=1" TargetMode="External"/><Relationship Id="rId586" Type="http://schemas.openxmlformats.org/officeDocument/2006/relationships/hyperlink" Target="https://doi.org/10.1093/nsr/nwag247" TargetMode="External"/><Relationship Id="rId587" Type="http://schemas.openxmlformats.org/officeDocument/2006/relationships/hyperlink" Target="https://www.nature.com/articles/d41586-026-01395-x" TargetMode="External"/><Relationship Id="rId588" Type="http://schemas.openxmlformats.org/officeDocument/2006/relationships/hyperlink" Target="https://doi.org/10.1038/d41586-026-01395-x" TargetMode="External"/><Relationship Id="rId589" Type="http://schemas.openxmlformats.org/officeDocument/2006/relationships/hyperlink" Target="https://www.nature.com/articles/d41586-026-01397-9" TargetMode="External"/><Relationship Id="rId590" Type="http://schemas.openxmlformats.org/officeDocument/2006/relationships/hyperlink" Target="https://doi.org/10.1038/d41586-026-01397-9" TargetMode="External"/><Relationship Id="rId591" Type="http://schemas.openxmlformats.org/officeDocument/2006/relationships/hyperlink" Target="https://www.nature.com/articles/s41586-026-10410-0" TargetMode="External"/><Relationship Id="rId592" Type="http://schemas.openxmlformats.org/officeDocument/2006/relationships/hyperlink" Target="https://doi.org/10.1038/s41586-026-10410-0" TargetMode="External"/><Relationship Id="rId593" Type="http://schemas.openxmlformats.org/officeDocument/2006/relationships/hyperlink" Target="https://www.nature.com/articles/s41586-026-10474-y" TargetMode="External"/><Relationship Id="rId594" Type="http://schemas.openxmlformats.org/officeDocument/2006/relationships/hyperlink" Target="https://doi.org/10.1038/s41586-026-10474-y" TargetMode="External"/><Relationship Id="rId595" Type="http://schemas.openxmlformats.org/officeDocument/2006/relationships/hyperlink" Target="https://www.nature.com/articles/s41586-026-10328-7" TargetMode="External"/><Relationship Id="rId596" Type="http://schemas.openxmlformats.org/officeDocument/2006/relationships/hyperlink" Target="https://doi.org/10.1038/s41586-026-10328-7" TargetMode="External"/><Relationship Id="rId597" Type="http://schemas.openxmlformats.org/officeDocument/2006/relationships/hyperlink" Target="https://www.nature.com/articles/s41586-026-10427-5" TargetMode="External"/><Relationship Id="rId598" Type="http://schemas.openxmlformats.org/officeDocument/2006/relationships/hyperlink" Target="https://doi.org/10.1038/s41586-026-10427-5" TargetMode="External"/><Relationship Id="rId599" Type="http://schemas.openxmlformats.org/officeDocument/2006/relationships/hyperlink" Target="https://www.nature.com/articles/s41586-026-10422-w" TargetMode="External"/><Relationship Id="rId600" Type="http://schemas.openxmlformats.org/officeDocument/2006/relationships/hyperlink" Target="https://doi.org/10.1038/s41586-026-10422-w" TargetMode="External"/><Relationship Id="rId601" Type="http://schemas.openxmlformats.org/officeDocument/2006/relationships/hyperlink" Target="https://www.nature.com/articles/s41586-026-10363-4" TargetMode="External"/><Relationship Id="rId602" Type="http://schemas.openxmlformats.org/officeDocument/2006/relationships/hyperlink" Target="https://doi.org/10.1038/s41586-026-10363-4" TargetMode="External"/><Relationship Id="rId603" Type="http://schemas.openxmlformats.org/officeDocument/2006/relationships/hyperlink" Target="https://www.nature.com/articles/d41586-026-01152-0" TargetMode="External"/><Relationship Id="rId604" Type="http://schemas.openxmlformats.org/officeDocument/2006/relationships/hyperlink" Target="https://doi.org/10.1038/d41586-026-01152-0" TargetMode="External"/><Relationship Id="rId605" Type="http://schemas.openxmlformats.org/officeDocument/2006/relationships/hyperlink" Target="https://www.nature.com/articles/d41586-026-01320-2" TargetMode="External"/><Relationship Id="rId606" Type="http://schemas.openxmlformats.org/officeDocument/2006/relationships/hyperlink" Target="https://doi.org/10.1038/d41586-026-01320-2" TargetMode="External"/><Relationship Id="rId607" Type="http://schemas.openxmlformats.org/officeDocument/2006/relationships/hyperlink" Target="https://www.nature.com/articles/s41586-026-10417-7" TargetMode="External"/><Relationship Id="rId608" Type="http://schemas.openxmlformats.org/officeDocument/2006/relationships/hyperlink" Target="https://doi.org/10.1038/s41586-026-10417-7" TargetMode="External"/><Relationship Id="rId609" Type="http://schemas.openxmlformats.org/officeDocument/2006/relationships/hyperlink" Target="https://www.nature.com/articles/s41586-026-10440-8" TargetMode="External"/><Relationship Id="rId610" Type="http://schemas.openxmlformats.org/officeDocument/2006/relationships/hyperlink" Target="https://doi.org/10.1038/s41586-026-10440-8" TargetMode="External"/><Relationship Id="rId611" Type="http://schemas.openxmlformats.org/officeDocument/2006/relationships/hyperlink" Target="https://www.nature.com/articles/d41586-026-01153-z" TargetMode="External"/><Relationship Id="rId612" Type="http://schemas.openxmlformats.org/officeDocument/2006/relationships/hyperlink" Target="https://doi.org/10.1038/d41586-026-01153-z" TargetMode="External"/><Relationship Id="rId613" Type="http://schemas.openxmlformats.org/officeDocument/2006/relationships/hyperlink" Target="https://www.nature.com/articles/d41586-026-01073-y" TargetMode="External"/><Relationship Id="rId614" Type="http://schemas.openxmlformats.org/officeDocument/2006/relationships/hyperlink" Target="https://doi.org/10.1038/d41586-026-01073-y" TargetMode="External"/><Relationship Id="rId615" Type="http://schemas.openxmlformats.org/officeDocument/2006/relationships/hyperlink" Target="https://www.nature.com/articles/d41586-026-01177-5" TargetMode="External"/><Relationship Id="rId616" Type="http://schemas.openxmlformats.org/officeDocument/2006/relationships/hyperlink" Target="https://doi.org/10.1038/d41586-026-01177-5" TargetMode="External"/><Relationship Id="rId617" Type="http://schemas.openxmlformats.org/officeDocument/2006/relationships/hyperlink" Target="https://www.nature.com/articles/d41586-026-01267-4" TargetMode="External"/><Relationship Id="rId618" Type="http://schemas.openxmlformats.org/officeDocument/2006/relationships/hyperlink" Target="https://doi.org/10.1038/d41586-026-01267-4" TargetMode="External"/><Relationship Id="rId619" Type="http://schemas.openxmlformats.org/officeDocument/2006/relationships/hyperlink" Target="https://www.nature.com/articles/d41586-026-01302-4" TargetMode="External"/><Relationship Id="rId620" Type="http://schemas.openxmlformats.org/officeDocument/2006/relationships/hyperlink" Target="https://doi.org/10.1038/d41586-026-01302-4" TargetMode="External"/><Relationship Id="rId621" Type="http://schemas.openxmlformats.org/officeDocument/2006/relationships/hyperlink" Target="https://www.nature.com/articles/s41586-026-10412-y" TargetMode="External"/><Relationship Id="rId622" Type="http://schemas.openxmlformats.org/officeDocument/2006/relationships/hyperlink" Target="https://doi.org/10.1038/s41586-026-10412-y" TargetMode="External"/><Relationship Id="rId623" Type="http://schemas.openxmlformats.org/officeDocument/2006/relationships/hyperlink" Target="https://onlinelibrary.wiley.com/doi/10.1002/anie.4646822?af=R" TargetMode="External"/><Relationship Id="rId624" Type="http://schemas.openxmlformats.org/officeDocument/2006/relationships/hyperlink" Target="https://doi.org/10.1002/anie.4646822" TargetMode="External"/><Relationship Id="rId625" Type="http://schemas.openxmlformats.org/officeDocument/2006/relationships/hyperlink" Target="https://onlinelibrary.wiley.com/doi/10.1002/anie.2970755?af=R" TargetMode="External"/><Relationship Id="rId626" Type="http://schemas.openxmlformats.org/officeDocument/2006/relationships/hyperlink" Target="https://doi.org/10.1002/anie.2970755" TargetMode="External"/><Relationship Id="rId627" Type="http://schemas.openxmlformats.org/officeDocument/2006/relationships/hyperlink" Target="https://onlinelibrary.wiley.com/doi/10.1002/anie.7839925?af=R" TargetMode="External"/><Relationship Id="rId628" Type="http://schemas.openxmlformats.org/officeDocument/2006/relationships/hyperlink" Target="https://doi.org/10.1002/anie.7839925" TargetMode="External"/><Relationship Id="rId629" Type="http://schemas.openxmlformats.org/officeDocument/2006/relationships/hyperlink" Target="https://onlinelibrary.wiley.com/doi/10.1002/anie.3250436?af=R" TargetMode="External"/><Relationship Id="rId630" Type="http://schemas.openxmlformats.org/officeDocument/2006/relationships/hyperlink" Target="https://doi.org/10.1002/anie.3250436" TargetMode="External"/><Relationship Id="rId631" Type="http://schemas.openxmlformats.org/officeDocument/2006/relationships/hyperlink" Target="https://advanced.onlinelibrary.wiley.com/doi/10.1002/aenm.70990?af=R" TargetMode="External"/><Relationship Id="rId632" Type="http://schemas.openxmlformats.org/officeDocument/2006/relationships/hyperlink" Target="https://doi.org/10.1002/aenm.70990" TargetMode="External"/><Relationship Id="rId633" Type="http://schemas.openxmlformats.org/officeDocument/2006/relationships/hyperlink" Target="https://advanced.onlinelibrary.wiley.com/doi/10.1002/aenm.70982?af=R" TargetMode="External"/><Relationship Id="rId634" Type="http://schemas.openxmlformats.org/officeDocument/2006/relationships/hyperlink" Target="https://doi.org/10.1002/aenm.70982" TargetMode="External"/><Relationship Id="rId635" Type="http://schemas.openxmlformats.org/officeDocument/2006/relationships/hyperlink" Target="https://advanced.onlinelibrary.wiley.com/doi/10.1002/adma.202520216?af=R" TargetMode="External"/><Relationship Id="rId636" Type="http://schemas.openxmlformats.org/officeDocument/2006/relationships/hyperlink" Target="https://doi.org/10.1002/adma.202520216" TargetMode="External"/><Relationship Id="rId637" Type="http://schemas.openxmlformats.org/officeDocument/2006/relationships/hyperlink" Target="https://www.science.org/doi/abs/10.1126/sciadv.aec7264?af=R" TargetMode="External"/><Relationship Id="rId638" Type="http://schemas.openxmlformats.org/officeDocument/2006/relationships/hyperlink" Target="https://doi.org/10.1126/sciadv.aec7264" TargetMode="External"/><Relationship Id="rId639" Type="http://schemas.openxmlformats.org/officeDocument/2006/relationships/hyperlink" Target="https://www.science.org/doi/abs/10.1126/sciadv.aec9913?af=R" TargetMode="External"/><Relationship Id="rId640" Type="http://schemas.openxmlformats.org/officeDocument/2006/relationships/hyperlink" Target="https://doi.org/10.1126/sciadv.aec9913" TargetMode="External"/><Relationship Id="rId641" Type="http://schemas.openxmlformats.org/officeDocument/2006/relationships/hyperlink" Target="https://www.science.org/doi/abs/10.1126/sciadv.aed1676?af=R" TargetMode="External"/><Relationship Id="rId642" Type="http://schemas.openxmlformats.org/officeDocument/2006/relationships/hyperlink" Target="https://doi.org/10.1126/sciadv.aed1676" TargetMode="External"/><Relationship Id="rId643" Type="http://schemas.openxmlformats.org/officeDocument/2006/relationships/hyperlink" Target="https://www.science.org/doi/abs/10.1126/sciadv.aed6472?af=R" TargetMode="External"/><Relationship Id="rId644" Type="http://schemas.openxmlformats.org/officeDocument/2006/relationships/hyperlink" Target="https://doi.org/10.1126/sciadv.aed6472" TargetMode="External"/><Relationship Id="rId645" Type="http://schemas.openxmlformats.org/officeDocument/2006/relationships/hyperlink" Target="https://www.science.org/doi/abs/10.1126/sciadv.aee2983?af=R" TargetMode="External"/><Relationship Id="rId646" Type="http://schemas.openxmlformats.org/officeDocument/2006/relationships/hyperlink" Target="https://doi.org/10.1126/sciadv.aee2983" TargetMode="External"/><Relationship Id="rId647" Type="http://schemas.openxmlformats.org/officeDocument/2006/relationships/hyperlink" Target="https://www.science.org/doi/abs/10.1126/sciadv.adz9284?af=R" TargetMode="External"/><Relationship Id="rId648" Type="http://schemas.openxmlformats.org/officeDocument/2006/relationships/hyperlink" Target="https://doi.org/10.1126/sciadv.adz9284" TargetMode="External"/><Relationship Id="rId649" Type="http://schemas.openxmlformats.org/officeDocument/2006/relationships/hyperlink" Target="https://www.science.org/doi/abs/10.1126/sciadv.aee4401?af=R" TargetMode="External"/><Relationship Id="rId650" Type="http://schemas.openxmlformats.org/officeDocument/2006/relationships/hyperlink" Target="https://doi.org/10.1126/sciadv.aee4401" TargetMode="External"/><Relationship Id="rId651" Type="http://schemas.openxmlformats.org/officeDocument/2006/relationships/hyperlink" Target="https://www.science.org/doi/abs/10.1126/sciadv.aea6630?af=R" TargetMode="External"/><Relationship Id="rId652" Type="http://schemas.openxmlformats.org/officeDocument/2006/relationships/hyperlink" Target="https://doi.org/10.1126/sciadv.aea6630" TargetMode="External"/><Relationship Id="rId653" Type="http://schemas.openxmlformats.org/officeDocument/2006/relationships/hyperlink" Target="https://www.science.org/doi/abs/10.1126/sciadv.adw6864?af=R" TargetMode="External"/><Relationship Id="rId654" Type="http://schemas.openxmlformats.org/officeDocument/2006/relationships/hyperlink" Target="https://doi.org/10.1126/sciadv.adw6864" TargetMode="External"/><Relationship Id="rId655" Type="http://schemas.openxmlformats.org/officeDocument/2006/relationships/hyperlink" Target="https://www.pnas.org/doi/abs/10.1073/pnas.2516541123?mi=eymic2&amp;af=R&amp;access=on&amp;content=articlesChapters&amp;publication=pnas&amp;sortBy=Earliest&amp;target=default" TargetMode="External"/><Relationship Id="rId656" Type="http://schemas.openxmlformats.org/officeDocument/2006/relationships/hyperlink" Target="https://doi.org/10.1073/pnas.2516541123" TargetMode="External"/><Relationship Id="rId657" Type="http://schemas.openxmlformats.org/officeDocument/2006/relationships/hyperlink" Target="https://www.science.org/doi/abs/10.1126/sciadv.aee4377?af=R" TargetMode="External"/><Relationship Id="rId658" Type="http://schemas.openxmlformats.org/officeDocument/2006/relationships/hyperlink" Target="https://doi.org/10.1126/sciadv.aee4377" TargetMode="External"/><Relationship Id="rId659" Type="http://schemas.openxmlformats.org/officeDocument/2006/relationships/hyperlink" Target="https://www.science.org/doi/abs/10.1126/sciadv.aec3773?af=R" TargetMode="External"/><Relationship Id="rId660" Type="http://schemas.openxmlformats.org/officeDocument/2006/relationships/hyperlink" Target="https://doi.org/10.1126/sciadv.aec3773" TargetMode="External"/><Relationship Id="rId661" Type="http://schemas.openxmlformats.org/officeDocument/2006/relationships/hyperlink" Target="https://www.pnas.org/doi/abs/10.1073/pnas.2532810123?mi=eymic2&amp;af=R&amp;access=on&amp;content=articlesChapters&amp;publication=pnas&amp;sortBy=Earliest&amp;target=default" TargetMode="External"/><Relationship Id="rId662" Type="http://schemas.openxmlformats.org/officeDocument/2006/relationships/hyperlink" Target="https://doi.org/10.1073/pnas.2532810123" TargetMode="External"/><Relationship Id="rId663" Type="http://schemas.openxmlformats.org/officeDocument/2006/relationships/hyperlink" Target="https://www.science.org/doi/abs/10.1126/sciadv.aec1433?af=R" TargetMode="External"/><Relationship Id="rId664" Type="http://schemas.openxmlformats.org/officeDocument/2006/relationships/hyperlink" Target="https://doi.org/10.1126/sciadv.aec1433" TargetMode="External"/><Relationship Id="rId665" Type="http://schemas.openxmlformats.org/officeDocument/2006/relationships/hyperlink" Target="https://www.science.org/doi/abs/10.1126/sciadv.aec1406?af=R" TargetMode="External"/><Relationship Id="rId666" Type="http://schemas.openxmlformats.org/officeDocument/2006/relationships/hyperlink" Target="https://doi.org/10.1126/sciadv.aec1406" TargetMode="External"/><Relationship Id="rId667" Type="http://schemas.openxmlformats.org/officeDocument/2006/relationships/hyperlink" Target="https://www.science.org/doi/abs/10.1126/sciadv.aec2903?af=R" TargetMode="External"/><Relationship Id="rId668" Type="http://schemas.openxmlformats.org/officeDocument/2006/relationships/hyperlink" Target="https://doi.org/10.1126/sciadv.aec2903" TargetMode="External"/><Relationship Id="rId669" Type="http://schemas.openxmlformats.org/officeDocument/2006/relationships/hyperlink" Target="https://www.pnas.org/doi/abs/10.1073/pnas.2534397123?mi=eymic2&amp;af=R&amp;access=on&amp;content=articlesChapters&amp;publication=pnas&amp;sortBy=Earliest&amp;target=default" TargetMode="External"/><Relationship Id="rId670" Type="http://schemas.openxmlformats.org/officeDocument/2006/relationships/hyperlink" Target="https://doi.org/10.1073/pnas.2534397123" TargetMode="External"/><Relationship Id="rId671" Type="http://schemas.openxmlformats.org/officeDocument/2006/relationships/hyperlink" Target="https://www.science.org/doi/abs/10.1126/sciadv.aeb6975?af=R" TargetMode="External"/><Relationship Id="rId672" Type="http://schemas.openxmlformats.org/officeDocument/2006/relationships/hyperlink" Target="https://doi.org/10.1126/sciadv.aeb6975" TargetMode="External"/><Relationship Id="rId673" Type="http://schemas.openxmlformats.org/officeDocument/2006/relationships/hyperlink" Target="https://www.science.org/doi/abs/10.1126/sciadv.aea9831?af=R" TargetMode="External"/><Relationship Id="rId674" Type="http://schemas.openxmlformats.org/officeDocument/2006/relationships/hyperlink" Target="https://doi.org/10.1126/sciadv.aea9831" TargetMode="External"/><Relationship Id="rId675" Type="http://schemas.openxmlformats.org/officeDocument/2006/relationships/hyperlink" Target="https://www.science.org/doi/abs/10.1126/sciadv.aeb3376?af=R" TargetMode="External"/><Relationship Id="rId676" Type="http://schemas.openxmlformats.org/officeDocument/2006/relationships/hyperlink" Target="https://doi.org/10.1126/sciadv.aeb3376" TargetMode="External"/><Relationship Id="rId677" Type="http://schemas.openxmlformats.org/officeDocument/2006/relationships/hyperlink" Target="https://www.science.org/doi/abs/10.1126/sciadv.aeb3503?af=R" TargetMode="External"/><Relationship Id="rId678" Type="http://schemas.openxmlformats.org/officeDocument/2006/relationships/hyperlink" Target="https://doi.org/10.1126/sciadv.aeb3503" TargetMode="External"/><Relationship Id="rId679" Type="http://schemas.openxmlformats.org/officeDocument/2006/relationships/hyperlink" Target="https://www.science.org/doi/abs/10.1126/sciadv.aeb8948?af=R" TargetMode="External"/><Relationship Id="rId680" Type="http://schemas.openxmlformats.org/officeDocument/2006/relationships/hyperlink" Target="https://doi.org/10.1126/sciadv.aeb8948" TargetMode="External"/><Relationship Id="rId681" Type="http://schemas.openxmlformats.org/officeDocument/2006/relationships/hyperlink" Target="https://www.science.org/doi/abs/10.1126/sciadv.aeb6755?af=R" TargetMode="External"/><Relationship Id="rId682" Type="http://schemas.openxmlformats.org/officeDocument/2006/relationships/hyperlink" Target="https://doi.org/10.1126/sciadv.aeb6755" TargetMode="External"/><Relationship Id="rId683" Type="http://schemas.openxmlformats.org/officeDocument/2006/relationships/hyperlink" Target="https://www.science.org/doi/abs/10.1126/sciadv.aeb5422?af=R" TargetMode="External"/><Relationship Id="rId684" Type="http://schemas.openxmlformats.org/officeDocument/2006/relationships/hyperlink" Target="https://doi.org/10.1126/sciadv.aeb5422" TargetMode="External"/><Relationship Id="rId685" Type="http://schemas.openxmlformats.org/officeDocument/2006/relationships/hyperlink" Target="https://www.science.org/doi/abs/10.1126/sciadv.aea6029?af=R" TargetMode="External"/><Relationship Id="rId686" Type="http://schemas.openxmlformats.org/officeDocument/2006/relationships/hyperlink" Target="https://doi.org/10.1126/sciadv.aea6029" TargetMode="External"/><Relationship Id="rId687" Type="http://schemas.openxmlformats.org/officeDocument/2006/relationships/hyperlink" Target="https://www.pnas.org/doi/abs/10.1073/pnas.2519981123?mi=eymic2&amp;af=R&amp;access=on&amp;content=articlesChapters&amp;publication=pnas&amp;sortBy=Earliest&amp;target=default" TargetMode="External"/><Relationship Id="rId688" Type="http://schemas.openxmlformats.org/officeDocument/2006/relationships/hyperlink" Target="https://doi.org/10.1073/pnas.2519981123" TargetMode="External"/><Relationship Id="rId689" Type="http://schemas.openxmlformats.org/officeDocument/2006/relationships/hyperlink" Target="https://www.science.org/doi/abs/10.1126/sciadv.adz1998?af=R" TargetMode="External"/><Relationship Id="rId690" Type="http://schemas.openxmlformats.org/officeDocument/2006/relationships/hyperlink" Target="https://doi.org/10.1126/sciadv.adz1998" TargetMode="External"/><Relationship Id="rId691" Type="http://schemas.openxmlformats.org/officeDocument/2006/relationships/hyperlink" Target="https://www.pnas.org/doi/abs/10.1073/pnas.2526391123?mi=eymic2&amp;af=R&amp;access=on&amp;content=articlesChapters&amp;publication=pnas&amp;sortBy=Earliest&amp;target=default" TargetMode="External"/><Relationship Id="rId692" Type="http://schemas.openxmlformats.org/officeDocument/2006/relationships/hyperlink" Target="https://doi.org/10.1073/pnas.2526391123" TargetMode="External"/><Relationship Id="rId693" Type="http://schemas.openxmlformats.org/officeDocument/2006/relationships/hyperlink" Target="https://www.science.org/doi/abs/10.1126/sciadv.aec3673?af=R" TargetMode="External"/><Relationship Id="rId694" Type="http://schemas.openxmlformats.org/officeDocument/2006/relationships/hyperlink" Target="https://doi.org/10.1126/sciadv.aec3673" TargetMode="External"/><Relationship Id="rId695" Type="http://schemas.openxmlformats.org/officeDocument/2006/relationships/hyperlink" Target="https://www.pnas.org/doi/abs/10.1073/pnas.2519857123?mi=eymic2&amp;af=R&amp;access=on&amp;content=articlesChapters&amp;publication=pnas&amp;sortBy=Earliest&amp;target=default" TargetMode="External"/><Relationship Id="rId696" Type="http://schemas.openxmlformats.org/officeDocument/2006/relationships/hyperlink" Target="https://doi.org/10.1073/pnas.2519857123" TargetMode="External"/><Relationship Id="rId697" Type="http://schemas.openxmlformats.org/officeDocument/2006/relationships/hyperlink" Target="https://www.science.org/doi/abs/10.1126/sciadv.aea9335?af=R" TargetMode="External"/><Relationship Id="rId698" Type="http://schemas.openxmlformats.org/officeDocument/2006/relationships/hyperlink" Target="https://doi.org/10.1126/sciadv.aea9335" TargetMode="External"/><Relationship Id="rId699" Type="http://schemas.openxmlformats.org/officeDocument/2006/relationships/hyperlink" Target="https://www.science.org/doi/abs/10.1126/sciadv.aeh9319?af=R" TargetMode="External"/><Relationship Id="rId700" Type="http://schemas.openxmlformats.org/officeDocument/2006/relationships/hyperlink" Target="https://doi.org/10.1126/sciadv.aeh9319" TargetMode="External"/><Relationship Id="rId701" Type="http://schemas.openxmlformats.org/officeDocument/2006/relationships/hyperlink" Target="https://www.science.org/doi/abs/10.1126/sciadv.aec9030?af=R" TargetMode="External"/><Relationship Id="rId702" Type="http://schemas.openxmlformats.org/officeDocument/2006/relationships/hyperlink" Target="https://doi.org/10.1126/sciadv.aec9030" TargetMode="External"/><Relationship Id="rId703" Type="http://schemas.openxmlformats.org/officeDocument/2006/relationships/hyperlink" Target="https://www.science.org/doi/abs/10.1126/sciadv.aec4566?af=R" TargetMode="External"/><Relationship Id="rId704" Type="http://schemas.openxmlformats.org/officeDocument/2006/relationships/hyperlink" Target="https://doi.org/10.1126/sciadv.aec4566" TargetMode="External"/><Relationship Id="rId705" Type="http://schemas.openxmlformats.org/officeDocument/2006/relationships/hyperlink" Target="https://www.pnas.org/doi/abs/10.1073/pnas.2526239123?mi=eymic2&amp;af=R&amp;access=on&amp;content=articlesChapters&amp;publication=pnas&amp;sortBy=Earliest&amp;target=default" TargetMode="External"/><Relationship Id="rId706" Type="http://schemas.openxmlformats.org/officeDocument/2006/relationships/hyperlink" Target="https://doi.org/10.1073/pnas.2526239123" TargetMode="External"/><Relationship Id="rId707" Type="http://schemas.openxmlformats.org/officeDocument/2006/relationships/hyperlink" Target="https://www.science.org/doi/abs/10.1126/sciadv.ady4567?af=R" TargetMode="External"/><Relationship Id="rId708" Type="http://schemas.openxmlformats.org/officeDocument/2006/relationships/hyperlink" Target="https://doi.org/10.1126/sciadv.ady4567" TargetMode="External"/><Relationship Id="rId709" Type="http://schemas.openxmlformats.org/officeDocument/2006/relationships/hyperlink" Target="https://www.science.org/doi/abs/10.1126/sciadv.ady2382?af=R" TargetMode="External"/><Relationship Id="rId710" Type="http://schemas.openxmlformats.org/officeDocument/2006/relationships/hyperlink" Target="https://doi.org/10.1126/sciadv.ady2382" TargetMode="External"/><Relationship Id="rId711" Type="http://schemas.openxmlformats.org/officeDocument/2006/relationships/hyperlink" Target="https://www.science.org/doi/abs/10.1126/sciadv.aeb0921?af=R" TargetMode="External"/><Relationship Id="rId712" Type="http://schemas.openxmlformats.org/officeDocument/2006/relationships/hyperlink" Target="https://doi.org/10.1126/sciadv.aeb0921" TargetMode="External"/><Relationship Id="rId713" Type="http://schemas.openxmlformats.org/officeDocument/2006/relationships/hyperlink" Target="https://www.science.org/doi/abs/10.1126/sciadv.adj6957?af=R" TargetMode="External"/><Relationship Id="rId714" Type="http://schemas.openxmlformats.org/officeDocument/2006/relationships/hyperlink" Target="https://doi.org/10.1126/sciadv.adj6957" TargetMode="External"/><Relationship Id="rId715" Type="http://schemas.openxmlformats.org/officeDocument/2006/relationships/hyperlink" Target="https://www.science.org/doi/abs/10.1126/sciadv.aea1941?af=R" TargetMode="External"/><Relationship Id="rId716" Type="http://schemas.openxmlformats.org/officeDocument/2006/relationships/hyperlink" Target="https://doi.org/10.1126/sciadv.aea1941" TargetMode="External"/><Relationship Id="rId717" Type="http://schemas.openxmlformats.org/officeDocument/2006/relationships/hyperlink" Target="https://www.pnas.org/doi/abs/10.1073/pnas.2606117123?mi=eymic2&amp;af=R&amp;access=on&amp;content=articlesChapters&amp;publication=pnas&amp;sortBy=Earliest&amp;target=default" TargetMode="External"/><Relationship Id="rId718" Type="http://schemas.openxmlformats.org/officeDocument/2006/relationships/hyperlink" Target="https://doi.org/10.1073/pnas.2606117123" TargetMode="External"/><Relationship Id="rId719" Type="http://schemas.openxmlformats.org/officeDocument/2006/relationships/hyperlink" Target="https://www.pnas.org/doi/abs/10.1073/pnas.2509781123?mi=eymic2&amp;af=R&amp;access=on&amp;content=articlesChapters&amp;publication=pnas&amp;sortBy=Earliest&amp;target=default" TargetMode="External"/><Relationship Id="rId720" Type="http://schemas.openxmlformats.org/officeDocument/2006/relationships/hyperlink" Target="https://doi.org/10.1073/pnas.2509781123" TargetMode="External"/><Relationship Id="rId721" Type="http://schemas.openxmlformats.org/officeDocument/2006/relationships/hyperlink" Target="https://www.pnas.org/doi/abs/10.1073/pnas.2529837123?mi=eymic2&amp;af=R&amp;access=on&amp;content=articlesChapters&amp;publication=pnas&amp;sortBy=Earliest&amp;target=default" TargetMode="External"/><Relationship Id="rId722" Type="http://schemas.openxmlformats.org/officeDocument/2006/relationships/hyperlink" Target="https://doi.org/10.1073/pnas.2529837123" TargetMode="External"/><Relationship Id="rId723" Type="http://schemas.openxmlformats.org/officeDocument/2006/relationships/hyperlink" Target="https://www.pnas.org/doi/abs/10.1073/pnas.2531557123?mi=eymic2&amp;af=R&amp;access=on&amp;content=articlesChapters&amp;publication=pnas&amp;sortBy=Earliest&amp;target=default" TargetMode="External"/><Relationship Id="rId724" Type="http://schemas.openxmlformats.org/officeDocument/2006/relationships/hyperlink" Target="https://doi.org/10.1073/pnas.2531557123" TargetMode="External"/><Relationship Id="rId725" Type="http://schemas.openxmlformats.org/officeDocument/2006/relationships/hyperlink" Target="https://www.pnas.org/doi/abs/10.1073/pnas.2514107123?mi=eymic2&amp;af=R&amp;access=on&amp;content=articlesChapters&amp;publication=pnas&amp;sortBy=Earliest&amp;target=default" TargetMode="External"/><Relationship Id="rId726" Type="http://schemas.openxmlformats.org/officeDocument/2006/relationships/hyperlink" Target="https://doi.org/10.1073/pnas.2514107123" TargetMode="External"/><Relationship Id="rId727" Type="http://schemas.openxmlformats.org/officeDocument/2006/relationships/hyperlink" Target="https://www.pnas.org/doi/abs/10.1073/pnas.2533456123?mi=eymic2&amp;af=R&amp;access=on&amp;content=articlesChapters&amp;publication=pnas&amp;sortBy=Earliest&amp;target=default" TargetMode="External"/><Relationship Id="rId728" Type="http://schemas.openxmlformats.org/officeDocument/2006/relationships/hyperlink" Target="https://doi.org/10.1073/pnas.2533456123" TargetMode="External"/><Relationship Id="rId729" Type="http://schemas.openxmlformats.org/officeDocument/2006/relationships/hyperlink" Target="https://www.pnas.org/doi/abs/10.1073/pnas.2527753123?mi=eymic2&amp;af=R&amp;access=on&amp;content=articlesChapters&amp;publication=pnas&amp;sortBy=Earliest&amp;target=default" TargetMode="External"/><Relationship Id="rId730" Type="http://schemas.openxmlformats.org/officeDocument/2006/relationships/hyperlink" Target="https://doi.org/10.1073/pnas.2527753123" TargetMode="External"/><Relationship Id="rId731" Type="http://schemas.openxmlformats.org/officeDocument/2006/relationships/hyperlink" Target="https://www.pnas.org/doi/abs/10.1073/pnas.2601788123?mi=eymic2&amp;af=R&amp;access=on&amp;content=articlesChapters&amp;publication=pnas&amp;sortBy=Earliest&amp;target=default" TargetMode="External"/><Relationship Id="rId732" Type="http://schemas.openxmlformats.org/officeDocument/2006/relationships/hyperlink" Target="https://doi.org/10.1073/pnas.2601788123" TargetMode="External"/><Relationship Id="rId733" Type="http://schemas.openxmlformats.org/officeDocument/2006/relationships/hyperlink" Target="https://www.pnas.org/doi/abs/10.1073/pnas.2604858123?mi=eymic2&amp;af=R&amp;access=on&amp;content=articlesChapters&amp;publication=pnas&amp;sortBy=Earliest&amp;target=default" TargetMode="External"/><Relationship Id="rId734" Type="http://schemas.openxmlformats.org/officeDocument/2006/relationships/hyperlink" Target="https://doi.org/10.1073/pnas.2604858123" TargetMode="External"/><Relationship Id="rId735" Type="http://schemas.openxmlformats.org/officeDocument/2006/relationships/hyperlink" Target="https://www.pnas.org/doi/abs/10.1073/pnas.2605311123?mi=eymic2&amp;af=R&amp;access=on&amp;content=articlesChapters&amp;publication=pnas&amp;sortBy=Earliest&amp;target=default" TargetMode="External"/><Relationship Id="rId736" Type="http://schemas.openxmlformats.org/officeDocument/2006/relationships/hyperlink" Target="https://doi.org/10.1073/pnas.2605311123" TargetMode="External"/><Relationship Id="rId737" Type="http://schemas.openxmlformats.org/officeDocument/2006/relationships/hyperlink" Target="https://www.pnas.org/doi/abs/10.1073/pnas.2533975123?mi=eymic2&amp;af=R&amp;access=on&amp;content=articlesChapters&amp;publication=pnas&amp;sortBy=Earliest&amp;target=default" TargetMode="External"/><Relationship Id="rId738" Type="http://schemas.openxmlformats.org/officeDocument/2006/relationships/hyperlink" Target="https://doi.org/10.1073/pnas.2533975123" TargetMode="External"/><Relationship Id="rId739" Type="http://schemas.openxmlformats.org/officeDocument/2006/relationships/hyperlink" Target="https://onlinelibrary.wiley.com/doi/10.1002/anie.2560002?af=R" TargetMode="External"/><Relationship Id="rId740" Type="http://schemas.openxmlformats.org/officeDocument/2006/relationships/hyperlink" Target="https://doi.org/10.1002/anie.2560002" TargetMode="External"/><Relationship Id="rId741" Type="http://schemas.openxmlformats.org/officeDocument/2006/relationships/hyperlink" Target="https://advanced.onlinelibrary.wiley.com/doi/10.1002/adma.73200?af=R" TargetMode="External"/><Relationship Id="rId742" Type="http://schemas.openxmlformats.org/officeDocument/2006/relationships/hyperlink" Target="https://doi.org/10.1002/adma.73200" TargetMode="External"/><Relationship Id="rId743" Type="http://schemas.openxmlformats.org/officeDocument/2006/relationships/hyperlink" Target="https://advanced.onlinelibrary.wiley.com/doi/10.1002/adma.202518697?af=R" TargetMode="External"/><Relationship Id="rId744" Type="http://schemas.openxmlformats.org/officeDocument/2006/relationships/hyperlink" Target="https://doi.org/10.1002/adma.202518697" TargetMode="External"/><Relationship Id="rId745" Type="http://schemas.openxmlformats.org/officeDocument/2006/relationships/hyperlink" Target="https://onlinelibrary.wiley.com/doi/10.1002/anie.5675930?af=R" TargetMode="External"/><Relationship Id="rId746" Type="http://schemas.openxmlformats.org/officeDocument/2006/relationships/hyperlink" Target="https://doi.org/10.1002/anie.5675930" TargetMode="External"/><Relationship Id="rId747" Type="http://schemas.openxmlformats.org/officeDocument/2006/relationships/hyperlink" Target="https://advanced.onlinelibrary.wiley.com/doi/10.1002/aenm.71019?af=R" TargetMode="External"/><Relationship Id="rId748" Type="http://schemas.openxmlformats.org/officeDocument/2006/relationships/hyperlink" Target="https://doi.org/10.1002/aenm.71019" TargetMode="External"/><Relationship Id="rId749" Type="http://schemas.openxmlformats.org/officeDocument/2006/relationships/hyperlink" Target="http://dx.doi.org/10.1021/jacs.6c00508" TargetMode="External"/><Relationship Id="rId750" Type="http://schemas.openxmlformats.org/officeDocument/2006/relationships/hyperlink" Target="https://doi.org/10.1021/jacs.6c0050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