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2026-01-30</w:t>
      </w:r>
    </w:p>
    <w:p>
      <w:pPr>
        <w:spacing w:before="160" w:after="40" w:line="240" w:lineRule="auto"/>
      </w:pPr>
      <w:r>
        <w:rPr>
          <w:b/>
        </w:rPr>
        <w:t xml:space="preserve">[1] </w:t>
      </w:r>
      <w:hyperlink r:id="rId9">
        <w:r>
          <w:rPr>
            <w:color w:val="1155CC"/>
            <w:u w:val="single"/>
          </w:rPr>
          <w:t>对使用贝叶斯优化的高压PEMEC作业的安全和经济权衡</w:t>
        </w:r>
      </w:hyperlink>
    </w:p>
    <w:p>
      <w:pPr>
        <w:spacing w:before="0" w:after="80"/>
      </w:pPr>
      <w:r>
        <w:rPr>
          <w:i/>
          <w:sz w:val="20"/>
        </w:rPr>
        <w:t>EN: Insight into safety and economic trade-offs for high-pressure PEMEC operation using Bayesian optimization</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RNA疗法针对脂质纳米粒子的工程材料工具箱</w:t>
        </w:r>
      </w:hyperlink>
    </w:p>
    <w:p>
      <w:pPr>
        <w:spacing w:before="0" w:after="80"/>
      </w:pPr>
      <w:r>
        <w:rPr>
          <w:i/>
          <w:sz w:val="20"/>
        </w:rPr>
        <w:t>EN: A material toolbox for engineering targeted lipid nanoparticles for RNA therapies</w:t>
      </w:r>
    </w:p>
    <w:p>
      <w:pPr>
        <w:spacing w:before="0" w:after="120"/>
      </w:pPr>
      <w:r>
        <w:rPr>
          <w:b/>
        </w:rPr>
        <w:t xml:space="preserve">Source: </w:t>
      </w:r>
      <w:r>
        <w:t>ScienceDirect Publication: Materials Today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Bernoulli 以主要媒介为媒介的 Cl2 电子合成合成</w:t>
        </w:r>
      </w:hyperlink>
    </w:p>
    <w:p>
      <w:pPr>
        <w:spacing w:before="0" w:after="80"/>
      </w:pPr>
      <w:r>
        <w:rPr>
          <w:i/>
          <w:sz w:val="20"/>
        </w:rPr>
        <w:t>EN: Bernoulli’s principle-mediated Cl2 electrosynthesis</w:t>
      </w:r>
    </w:p>
    <w:p>
      <w:pPr>
        <w:spacing w:before="0" w:after="120"/>
      </w:pPr>
      <w:r>
        <w:rPr>
          <w:b/>
        </w:rPr>
        <w:t xml:space="preserve">Source: </w:t>
      </w:r>
      <w:r>
        <w:t>Nature Communications</w:t>
      </w:r>
      <w:r>
        <w:t xml:space="preserve">    </w:t>
      </w:r>
      <w:r>
        <w:rPr>
          <w:b/>
        </w:rPr>
        <w:t xml:space="preserve">Pub date: </w:t>
      </w:r>
      <w:r>
        <w:t>2026-01-24 00:00:00+00:00</w:t>
      </w:r>
    </w:p>
    <w:p>
      <w:pPr>
        <w:spacing w:before="0" w:after="120"/>
      </w:pPr>
      <w:r>
        <w:rPr>
          <w:b/>
        </w:rPr>
        <w:t xml:space="preserve">Notes: </w:t>
      </w:r>
      <w:r>
        <w:t>abstract_source=nature_html</w:t>
      </w:r>
    </w:p>
    <w:p>
      <w:pPr>
        <w:spacing w:before="0" w:after="80" w:lineRule="auto" w:line="276"/>
      </w:pPr>
      <w:r>
        <w:rPr>
          <w:b/>
        </w:rPr>
        <w:t xml:space="preserve">摘要（ZH）: </w:t>
      </w:r>
      <w:r>
        <w:t>氯(Cl2)合成的现有技术通常受到低生产率或高生产成本的影响。 在Bernoulli原则的指导下,我们在此报告一个高效但成本效益高的氯2电合成系统,由三相气体扩散层连接到气室的无端氯进化反应(CER)组成。关键是根据Bernoulli原则调节气体扩散层,在三相边界驱动驱动器中的压力差异直接移入气室,从而防止异性/阴性产品的交叉交叉。 通过进一步结合一种小H耐受性催化剂,为高水平的氯2生产建造了一个独立的原型装置,其运行效率为96.3%~87.6%。</w:t>
      </w:r>
    </w:p>
    <w:p>
      <w:pPr>
        <w:spacing w:before="0" w:after="200" w:lineRule="auto" w:line="276"/>
      </w:pPr>
      <w:r>
        <w:rPr>
          <w:b/>
        </w:rPr>
        <w:t xml:space="preserve">Abstract (EN): </w:t>
      </w:r>
      <w:r>
        <w:t>Existing technologies for chlorine (Cl2) synthesis are generally suffered from low productivity or high production cost. Guided by Bernoulli’s principle, here we report an efficient yet cost-effective electrochemical system for Cl2 electrosynthesis, which is composed of anodic chlorine evolution reaction (CER) connected to gas chamber by triple-phase gas diffusion layer. The key is to modulate gas diffusion layer by Bernoulli’s principle, wherein the pressure difference at triple-phase boundary drives oriented Cl2 migration directly into gas chamber, thus preventing the crossover of anodic/cathodic products. By further joining with a pH-tolerant catalyst, a standalone prototype device is built for high-rate Cl2 production, operating at the Faradaic efficiencies of 96.3% ~ 87.6% in the current density range of 0.1 ~ 1.14 A cm−2, having superior Cl2 synthesis performance. Further technical-economic evaluations of our synthetic scheme demonstrate reduced Cl2 production cost, saving 6.75% (1.17 million dollar per year) as comparison to conventional chlor-alkali design. We expect these findings offer broader opportunities to develop industrially production processes for other chemical commodities.</w:t>
      </w:r>
    </w:p>
    <w:p>
      <w:pPr>
        <w:spacing w:before="120" w:after="120"/>
      </w:pPr>
      <w:r>
        <w:rPr>
          <w:sz w:val="18"/>
        </w:rPr>
        <w:t>——————————————————————————————————————————————————————————————————————</w:t>
      </w:r>
    </w:p>
    <w:p>
      <w:pPr>
        <w:spacing w:before="160" w:after="40" w:line="240" w:lineRule="auto"/>
      </w:pPr>
      <w:r>
        <w:rPr>
          <w:b/>
        </w:rPr>
        <w:t xml:space="preserve">[4] </w:t>
      </w:r>
      <w:hyperlink r:id="rId12">
        <w:r>
          <w:rPr>
            <w:color w:val="1155CC"/>
            <w:u w:val="single"/>
          </w:rPr>
          <w:t>通过分布式神经电路进行互动和功能专门化,以灵活控制黑桃的任务</w:t>
        </w:r>
      </w:hyperlink>
    </w:p>
    <w:p>
      <w:pPr>
        <w:spacing w:before="0" w:after="80"/>
      </w:pPr>
      <w:r>
        <w:rPr>
          <w:i/>
          <w:sz w:val="20"/>
        </w:rPr>
        <w:t>EN: Interaction and functional specialization across a distributed neural circuit for flexible task control in macaques</w:t>
      </w:r>
    </w:p>
    <w:p>
      <w:pPr>
        <w:spacing w:before="0" w:after="120"/>
      </w:pPr>
      <w:r>
        <w:rPr>
          <w:b/>
        </w:rPr>
        <w:t xml:space="preserve">Source: </w:t>
      </w:r>
      <w:r>
        <w:t>Nature Communications</w:t>
      </w:r>
      <w:r>
        <w:t xml:space="preserve">    </w:t>
      </w:r>
      <w:r>
        <w:rPr>
          <w:b/>
        </w:rPr>
        <w:t xml:space="preserve">Pub date: </w:t>
      </w:r>
      <w:r>
        <w:t>2026-01-24 00:00:00+00:00</w:t>
      </w:r>
    </w:p>
    <w:p>
      <w:pPr>
        <w:spacing w:before="0" w:after="120"/>
      </w:pPr>
      <w:r>
        <w:rPr>
          <w:b/>
        </w:rPr>
        <w:t xml:space="preserve">Notes: </w:t>
      </w:r>
      <w:r>
        <w:t>abstract_source=nature_html</w:t>
      </w:r>
    </w:p>
    <w:p>
      <w:pPr>
        <w:spacing w:before="0" w:after="80" w:lineRule="auto" w:line="276"/>
      </w:pPr>
      <w:r>
        <w:rPr>
          <w:b/>
        </w:rPr>
        <w:t xml:space="preserve">摘要（ZH）: </w:t>
      </w:r>
      <w:r>
        <w:t>反转任务被视作行为抑制的探针,并且与前期和具体轨道前前额和前端皮层相关联。 然而,行为抑制对逆转任务业绩的核心作用以及任务对特定前前端次区域的依赖性在灵长类中受到质疑。 使用大脑记录、瞬时超声波干扰、两种倒转任务以及强调确定潜伏国之间过渡的任务模式的组合,我们发现男性马卡克斯除了在逆转任务中选择值外还跟踪潜在状态的转变。 反映这两个特征的活动在动物选择时和之前都突出表现在骨质前部皮层以及内脏和骨部骨部骨部骨部骨部骨部。 相反,河马坎普(Hippocampal ) 。</w:t>
      </w:r>
    </w:p>
    <w:p>
      <w:pPr>
        <w:spacing w:before="0" w:after="200" w:lineRule="auto" w:line="276"/>
      </w:pPr>
      <w:r>
        <w:rPr>
          <w:b/>
        </w:rPr>
        <w:t xml:space="preserve">Abstract (EN): </w:t>
      </w:r>
      <w:r>
        <w:t>Reversal tasks have been regarded as probes of behavioural inhibition and linked to prefrontal and specifically orbitofrontal cortex. The centrality of behavioural inhibition to reversal task performance and the task’s dependence on particular prefrontal sub-regions have, however, been questioned in primates. Using a combination of whole brain recording, transient ultrasonic disruption, two types of reversal task, and a task model emphasizing identification of transitions between latent states, we show that male macaques track latent state transitions in addition to choice values in reversal tasks. Activity reflecting both these features is prominent in dorsomedial frontal cortex, and anterior and dorsomedial thalamus when, and just before, animals select choices. By contrast, hippocampal activity continually tracks the probability of a reversal between latent states. We identify patterns of activity interaction spanning the three nodes of this circuit and demonstrate that disruption of each leads to reversal task impairment albeit in different ways.</w:t>
      </w:r>
    </w:p>
    <w:p>
      <w:pPr>
        <w:spacing w:before="120" w:after="120"/>
      </w:pPr>
      <w:r>
        <w:rPr>
          <w:sz w:val="18"/>
        </w:rPr>
        <w:t>——————————————————————————————————————————————————————————————————————</w:t>
      </w:r>
    </w:p>
    <w:p>
      <w:pPr>
        <w:spacing w:before="160" w:after="40" w:line="240" w:lineRule="auto"/>
      </w:pPr>
      <w:r>
        <w:rPr>
          <w:b/>
        </w:rPr>
        <w:t xml:space="preserve">[5] </w:t>
      </w:r>
      <w:hyperlink r:id="rId13">
        <w:r>
          <w:rPr>
            <w:color w:val="1155CC"/>
            <w:u w:val="single"/>
          </w:rPr>
          <w:t>从概念到部署:审查电子乙醇的碳到甲醇途径</w:t>
        </w:r>
      </w:hyperlink>
    </w:p>
    <w:p>
      <w:pPr>
        <w:spacing w:before="0" w:after="80"/>
      </w:pPr>
      <w:r>
        <w:rPr>
          <w:i/>
          <w:sz w:val="20"/>
        </w:rPr>
        <w:t>EN: From concept to deployment: A review of carbon-to-methanol pathways for e-methanol</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
        <w:r>
          <w:rPr>
            <w:color w:val="1155CC"/>
            <w:u w:val="single"/>
          </w:rPr>
          <w:t>双级分配强力协调优化整合的能源系统和基于堆叠格游戏的氢加油站</w:t>
        </w:r>
      </w:hyperlink>
    </w:p>
    <w:p>
      <w:pPr>
        <w:spacing w:before="0" w:after="80"/>
      </w:pPr>
      <w:r>
        <w:rPr>
          <w:i/>
          <w:sz w:val="20"/>
        </w:rPr>
        <w:t>EN: Bi-level distributionally robust coordinated optimization of integrateed energy system and hydrogen refueling station based on stackelberg game</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
        <w:r>
          <w:rPr>
            <w:color w:val="1155CC"/>
            <w:u w:val="single"/>
          </w:rPr>
          <w:t>一种考虑到风水混合动力系统实时运行特点和战略的新颖的日头竞标方法</w:t>
        </w:r>
      </w:hyperlink>
    </w:p>
    <w:p>
      <w:pPr>
        <w:spacing w:before="0" w:after="80"/>
      </w:pPr>
      <w:r>
        <w:rPr>
          <w:i/>
          <w:sz w:val="20"/>
        </w:rPr>
        <w:t>EN: A novel day-ahead bidding method considering real-time operational characteristic and strategy for wind-hydro hybrid power systems</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
        <w:r>
          <w:rPr>
            <w:color w:val="1155CC"/>
            <w:u w:val="single"/>
          </w:rPr>
          <w:t>受益于太阳能:太阳能电动客车和光电池辅助电力的最佳安排</w:t>
        </w:r>
      </w:hyperlink>
    </w:p>
    <w:p>
      <w:pPr>
        <w:spacing w:before="0" w:after="80"/>
      </w:pPr>
      <w:r>
        <w:rPr>
          <w:i/>
          <w:sz w:val="20"/>
        </w:rPr>
        <w:t>EN: Benefiting from solar: Optimal scheduling for solar electric buses with onboard PV auxiliary power</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
        <w:r>
          <w:rPr>
            <w:color w:val="1155CC"/>
            <w:u w:val="single"/>
          </w:rPr>
          <w:t>考虑动态交通流量分布动态的能源运输网络复原力改善战略:多型移动应急资源协作安排</w:t>
        </w:r>
      </w:hyperlink>
    </w:p>
    <w:p>
      <w:pPr>
        <w:spacing w:before="0" w:after="80"/>
      </w:pPr>
      <w:r>
        <w:rPr>
          <w:i/>
          <w:sz w:val="20"/>
        </w:rPr>
        <w:t>EN: Coupled energy-transportation network resilience improvement strategy considering dynamic traffic flow distribution: Multi-type Mobile emergency resources collaborative scheduling</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8">
        <w:r>
          <w:rPr>
            <w:color w:val="1155CC"/>
            <w:u w:val="single"/>
          </w:rPr>
          <w:t>能够增强单细胞 pH 检测单细胞 pH 检测单价/二价热选择性的强化单价/二价热选择性的堆积过压平式石墨晶晶晶晶晶晶体纳米电能</w:t>
        </w:r>
      </w:hyperlink>
    </w:p>
    <w:p>
      <w:pPr>
        <w:spacing w:before="0" w:after="80"/>
      </w:pPr>
      <w:r>
        <w:rPr>
          <w:i/>
          <w:sz w:val="20"/>
        </w:rPr>
        <w:t>EN: Stacked-overlapped graphdiyne nano-iontronics enabling enhanced monovalent/divalent cation selectivity for single-cell pH detection</w:t>
      </w:r>
    </w:p>
    <w:p>
      <w:pPr>
        <w:spacing w:before="0" w:after="120"/>
      </w:pPr>
      <w:r>
        <w:rPr>
          <w:b/>
        </w:rPr>
        <w:t xml:space="preserve">Source: </w:t>
      </w:r>
      <w:r>
        <w:t>National Science Review Advance Access</w:t>
      </w:r>
      <w:r>
        <w:t xml:space="preserve">    </w:t>
      </w:r>
      <w:r>
        <w:rPr>
          <w:b/>
        </w:rPr>
        <w:t xml:space="preserve">Pub date: </w:t>
      </w:r>
      <w:r>
        <w:t>2026-01-24 00:00:00+00:00</w:t>
      </w:r>
      <w:r>
        <w:t xml:space="preserve">    </w:t>
      </w:r>
      <w:r>
        <w:rPr>
          <w:b/>
        </w:rPr>
        <w:t xml:space="preserve">DOI: </w:t>
      </w:r>
      <w:hyperlink r:id="rId19">
        <w:r>
          <w:rPr>
            <w:color w:val="1155CC"/>
            <w:u w:val="single"/>
          </w:rPr>
          <w:t>10.1093/nsr/nwag050/8440139</w:t>
        </w:r>
      </w:hyperlink>
    </w:p>
    <w:p>
      <w:pPr>
        <w:spacing w:before="0" w:after="120"/>
      </w:pPr>
      <w:r>
        <w:rPr>
          <w:b/>
        </w:rPr>
        <w:t xml:space="preserve">Notes: </w:t>
      </w:r>
      <w:r>
        <w:t>abstract_source=rss_oup</w:t>
      </w:r>
    </w:p>
    <w:p>
      <w:pPr>
        <w:spacing w:before="0" w:after="80" w:lineRule="auto" w:line="276"/>
      </w:pPr>
      <w:r>
        <w:rPr>
          <w:b/>
        </w:rPr>
        <w:t xml:space="preserve">摘要（ZH）: </w:t>
      </w:r>
      <w:r>
        <w:t>在复杂的生理系统中进行精确测量时,必须开发能够尽量减少电离干扰的纳米电离设备。Gigapdiyne(GDY)是一个新型的碳超光谱,其特点是次长孔径,能够有效地调节离子迁移,因此是高性能电离电能应用的有希望的材料。在这里,我们报告在纳米管道的顶端上堆叠和重叠的石光二因(so-GDY)层制造的PH反应纳米离子体装置。这个以GDY为基础的PH 纳米电离子传感器显示,负潜能下的离子电流线性下降,因为pH值从8.00下降到5.50。这一反应是由于在SGDY表面和边缘的含氧功能组质变,从而减少了负值。</w:t>
      </w:r>
    </w:p>
    <w:p>
      <w:pPr>
        <w:spacing w:before="0" w:after="200" w:lineRule="auto" w:line="276"/>
      </w:pPr>
      <w:r>
        <w:rPr>
          <w:b/>
        </w:rPr>
        <w:t xml:space="preserve">Abstract (EN): </w:t>
      </w:r>
      <w:r>
        <w:t>Developing nano-iontronic devices that minimize ionic interference is essential for precise measurements in complex physiological systems. Graphdiyne (GDY), a novel carbon allotrope featuring sub-nanometer pores, enables effective regulation of ionic transport and is therefore a promising material for high-performance iontronic applications. Here, we report a pH-responsive nano-iontronic device fabricated by stacking and overlapping graphdiyne (so-GDY) layers onto the tip of the nanopipette. This so-GDY-based pH nano-iontronic sensor exhibits a linear decrease in ionic current under negative potential as the pH decreases from 8.00 to 5.50. This response is attributed to protonation of the oxygen-containing functional groups on the so-GDY surface and edges, which diminishes the negative surface charge and thereby reduces ionic conductivity. A key advantage of this nano-iontronic device is its excellent selectivity, demonstrating robust resistance to interference from divalent cations (Mg²⁺, Ca²⁺) and small molecules within the pH range 8.00-5.50, while maintaining stable detection currents. The so-GDY-based pH nano-iontronic device achieves typical monovalent-to-divalent cation selectivity ratio (&lt;0.4), alongside excellent repeatability, reversibility, and stability. This combination of features yields a biocompatible, high-resolution tool for minimally invasive, real-time pH measurements at the single-cell and even at a single-organelle level, opening new avenues for investigating cellular dynamics and disease pathogenesis with enhanced clarity.</w:t>
      </w:r>
    </w:p>
    <w:p>
      <w:pPr>
        <w:spacing w:before="120" w:after="120"/>
      </w:pPr>
      <w:r>
        <w:rPr>
          <w:sz w:val="18"/>
        </w:rPr>
        <w:t>——————————————————————————————————————————————————————————————————————</w:t>
      </w:r>
    </w:p>
    <w:p>
      <w:pPr>
        <w:spacing w:before="160" w:after="40" w:line="240" w:lineRule="auto"/>
      </w:pPr>
      <w:r>
        <w:rPr>
          <w:b/>
        </w:rPr>
        <w:t xml:space="preserve">[11] </w:t>
      </w:r>
      <w:hyperlink r:id="rId20">
        <w:r>
          <w:rPr>
            <w:color w:val="1155CC"/>
            <w:u w:val="single"/>
          </w:rPr>
          <w:t>距离在变化的气候中选择典型气象年的最佳年间隔有多长?</w:t>
        </w:r>
      </w:hyperlink>
    </w:p>
    <w:p>
      <w:pPr>
        <w:spacing w:before="0" w:after="80"/>
      </w:pPr>
      <w:r>
        <w:rPr>
          <w:i/>
          <w:sz w:val="20"/>
        </w:rPr>
        <w:t>EN: How long is long enough? toward an optimal year span for typical meteorological year selection in a changing climate</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1">
        <w:r>
          <w:rPr>
            <w:color w:val="1155CC"/>
            <w:u w:val="single"/>
          </w:rPr>
          <w:t>确定纳入混合推进厂供海洋应用的混合推进厂的零排放氨用固体氧化固体燃料电池系统的电-热平衡的电-热平衡特性</w:t>
        </w:r>
      </w:hyperlink>
    </w:p>
    <w:p>
      <w:pPr>
        <w:spacing w:before="0" w:after="80"/>
      </w:pPr>
      <w:r>
        <w:rPr>
          <w:i/>
          <w:sz w:val="20"/>
        </w:rPr>
        <w:t>EN: Characterizing electro-thermal balance of zero-emission ammonia-fed solid oxide fuel cell systems integrated into hybrid propulsion plant for marine applications</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2">
        <w:r>
          <w:rPr>
            <w:color w:val="1155CC"/>
            <w:u w:val="single"/>
          </w:rPr>
          <w:t>H2O 高原的电化学氢氧化</w:t>
        </w:r>
      </w:hyperlink>
    </w:p>
    <w:p>
      <w:pPr>
        <w:spacing w:before="0" w:after="80"/>
      </w:pPr>
      <w:r>
        <w:rPr>
          <w:i/>
          <w:sz w:val="20"/>
        </w:rPr>
        <w:t>EN: Electrochemical hydroxylation of alkenes with H2O</w:t>
      </w:r>
    </w:p>
    <w:p>
      <w:pPr>
        <w:spacing w:before="0" w:after="120"/>
      </w:pPr>
      <w:r>
        <w:rPr>
          <w:b/>
        </w:rPr>
        <w:t xml:space="preserve">Source: </w:t>
      </w:r>
      <w:r>
        <w:t>National Science Review Advance Access</w:t>
      </w:r>
      <w:r>
        <w:t xml:space="preserve">    </w:t>
      </w:r>
      <w:r>
        <w:rPr>
          <w:b/>
        </w:rPr>
        <w:t xml:space="preserve">Pub date: </w:t>
      </w:r>
      <w:r>
        <w:t>2026-01-24 00:00:00+00:00</w:t>
      </w:r>
      <w:r>
        <w:t xml:space="preserve">    </w:t>
      </w:r>
      <w:r>
        <w:rPr>
          <w:b/>
        </w:rPr>
        <w:t xml:space="preserve">DOI: </w:t>
      </w:r>
      <w:hyperlink r:id="rId23">
        <w:r>
          <w:rPr>
            <w:color w:val="1155CC"/>
            <w:u w:val="single"/>
          </w:rPr>
          <w:t>10.1093/nsr/nwag047/8440146</w:t>
        </w:r>
      </w:hyperlink>
    </w:p>
    <w:p>
      <w:pPr>
        <w:spacing w:before="0" w:after="120"/>
      </w:pPr>
      <w:r>
        <w:rPr>
          <w:b/>
        </w:rPr>
        <w:t xml:space="preserve">Notes: </w:t>
      </w:r>
      <w:r>
        <w:t>abstract_source=rss_oup</w:t>
      </w:r>
    </w:p>
    <w:p>
      <w:pPr>
        <w:spacing w:before="0" w:after="80" w:lineRule="auto" w:line="276"/>
      </w:pPr>
      <w:r>
        <w:rPr>
          <w:b/>
        </w:rPr>
        <w:t xml:space="preserve">摘要（ZH）: </w:t>
      </w:r>
      <w:r>
        <w:t>酒精是生物活性分子中最常见的功能组,其丰度和结构多样性是无与伦比的,酒精是生物活性分子中发现的最常见功能组之一;藻类的液化反应是合成这些分子的方便方法;然而,一种具有广泛基底范围和良好功能组群容度的一般和直接方法仍然难以找到。在此,我们报告我们努力应用电化学来完成使用H2O作为氢氧基体唯一来源的烷的液化反应,而不必使用异质氧化剂和强酸性试剂,这一过程通过形成高价钴(IV)中间体来运作,该体可以很容易地被水浸泡,以提供理想的酒精产品。机械学研究、环球挥发式研究。</w:t>
      </w:r>
    </w:p>
    <w:p>
      <w:pPr>
        <w:spacing w:before="0" w:after="200" w:lineRule="auto" w:line="276"/>
      </w:pPr>
      <w:r>
        <w:rPr>
          <w:b/>
        </w:rPr>
        <w:t xml:space="preserve">Abstract (EN): </w:t>
      </w:r>
      <w:r>
        <w:t>Alcohol is one of the most prevalent functional groups found in biologically active molecules with unparalleled abundance and structural diversity. The hydroxylation reaction of alkenes represents a convenient approach for synthesizing such molecules. However, a general and direct method featuring a broad substrate scope and good functional group tolerance remains elusive. Herein, we report our efforts in applying electrochemistry to accomplish the hydroxylation of alkenes utilizing H2O as the sole source of hydroxyl without the need for stoichiometric oxidants and strong acidic reagents. This process operates via the formation of a high-valence cobalt (IV) intermediate, which could readily be entrapped by water to deliver the desired alcohols product. Mechanistic studies, cyclic voltammetry analysis and density functional theory calculations have been conducted to verify the feasibility of cobalt valence changes, including the generation of cobalt hydride species, the formation of intermediates after hydrogen atom transfer, the reasonable oxidation potential from Co (III) to Co (IV), which substantiate the proposed reaction pathways. Furthermore, the late-stage modification of biorelevant molecules has demonstrated the promising potential applications of this approach in synthetic chemistry.</w:t>
      </w:r>
    </w:p>
    <w:p>
      <w:pPr>
        <w:spacing w:before="120" w:after="120"/>
      </w:pPr>
      <w:r>
        <w:rPr>
          <w:sz w:val="18"/>
        </w:rPr>
        <w:t>——————————————————————————————————————————————————————————————————————</w:t>
      </w:r>
    </w:p>
    <w:p>
      <w:pPr>
        <w:spacing w:before="160" w:after="40" w:line="240" w:lineRule="auto"/>
      </w:pPr>
      <w:r>
        <w:rPr>
          <w:b/>
        </w:rPr>
        <w:t xml:space="preserve">[14] </w:t>
      </w:r>
      <w:hyperlink r:id="rId24">
        <w:r>
          <w:rPr>
            <w:color w:val="1155CC"/>
            <w:u w:val="single"/>
          </w:rPr>
          <w:t>采用稳定限制的市场清算和定价办法,协调高可再生能源电力系统的频率和电压安全</w:t>
        </w:r>
      </w:hyperlink>
    </w:p>
    <w:p>
      <w:pPr>
        <w:spacing w:before="0" w:after="80"/>
      </w:pPr>
      <w:r>
        <w:rPr>
          <w:i/>
          <w:sz w:val="20"/>
        </w:rPr>
        <w:t>EN: A stability-constrained market clearing and pricing approach for coordinated frequency and voltage security in high-renewable electric power systems</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5">
        <w:r>
          <w:rPr>
            <w:color w:val="1155CC"/>
            <w:u w:val="single"/>
          </w:rPr>
          <w:t>可伸缩沉积和干燥方法,向大面积单状普罗夫斯基/硅同步太阳电池倾斜</w:t>
        </w:r>
      </w:hyperlink>
    </w:p>
    <w:p>
      <w:pPr>
        <w:spacing w:before="0" w:after="80"/>
      </w:pPr>
      <w:r>
        <w:rPr>
          <w:i/>
          <w:sz w:val="20"/>
        </w:rPr>
        <w:t>EN: Scalable deposition and drying methods toward large-area monolithic perovskite/silicon tandem solar cells</w:t>
      </w:r>
    </w:p>
    <w:p>
      <w:pPr>
        <w:spacing w:before="0" w:after="120"/>
      </w:pPr>
      <w:r>
        <w:rPr>
          <w:b/>
        </w:rPr>
        <w:t xml:space="preserve">Source: </w:t>
      </w:r>
      <w:r>
        <w:t>RSC - Energy Environ. Sci. latest articles</w:t>
      </w:r>
      <w:r>
        <w:t xml:space="preserve">    </w:t>
      </w:r>
      <w:r>
        <w:rPr>
          <w:b/>
        </w:rPr>
        <w:t xml:space="preserve">Pub date: </w:t>
      </w:r>
      <w:r>
        <w:t>2026-01-24 00:00:00+00:00</w:t>
      </w:r>
    </w:p>
    <w:p>
      <w:pPr>
        <w:spacing w:before="0" w:after="120"/>
      </w:pPr>
      <w:r>
        <w:rPr>
          <w:b/>
        </w:rPr>
        <w:t xml:space="preserve">Notes: </w:t>
      </w:r>
      <w:r>
        <w:t>abstract_source=rsc_html</w:t>
      </w:r>
    </w:p>
    <w:p>
      <w:pPr>
        <w:spacing w:before="0" w:after="80" w:lineRule="auto" w:line="276"/>
      </w:pPr>
      <w:r>
        <w:rPr>
          <w:b/>
        </w:rPr>
        <w:t xml:space="preserve">摘要（ZH）: </w:t>
      </w:r>
      <w:r>
        <w:t>尽管在实验室阶段以外的试点加工线上部署了这种技术,但是它仍然面临着来自普罗夫斯基亚细胞的规模化挑战,例如与当代大规模生产线不相容以及效率提高不足等,这些小细胞预计将在几年内得到解决,以实现商业可行性。在这里,我们全面阐述了普罗夫斯基亚细胞在硅子系统上的可缩放沉降和干燥方法,并审查了它们最近的先进进展。</w:t>
      </w:r>
    </w:p>
    <w:p>
      <w:pPr>
        <w:spacing w:before="0" w:after="200" w:lineRule="auto" w:line="276"/>
      </w:pPr>
      <w:r>
        <w:rPr>
          <w:b/>
        </w:rPr>
        <w:t xml:space="preserve">Abstract (EN): </w:t>
      </w:r>
      <w:r>
        <w:t>Monolithic perovskite/silicon tandem solar cells have emerged as a compelling route, combining the certified power conversion efficiencies exceeding 34% for laboratory-scale devices with more cost-effective manufacturing compared to market-established silicon photovoltaics. Despite deployment in pilot processing lines beyond the lab stage, this technology still faces scaling challenges from perovskite sub-cells, such as the incompatibility with contemporary mass production lines and the upscaling efficiency deficit, that are expected to be resolved within a few years to achieve commercial viability. Here, we comprehensively elaborate the scalable deposition and drying methods of perovskite sub-cells on silicon substrates and review their recent advanced progress. We assess the merits and limitations of these competing methods, providing a systematic framework for achieving efficient and durable large-area perovskite/silicon tandem solar cells suitable for industrial production.</w:t>
      </w:r>
    </w:p>
    <w:p>
      <w:pPr>
        <w:spacing w:before="120" w:after="120"/>
      </w:pPr>
      <w:r>
        <w:rPr>
          <w:sz w:val="18"/>
        </w:rPr>
        <w:t>——————————————————————————————————————————————————————————————————————</w:t>
      </w:r>
    </w:p>
    <w:p>
      <w:pPr>
        <w:spacing w:before="160" w:after="40" w:line="240" w:lineRule="auto"/>
      </w:pPr>
      <w:r>
        <w:rPr>
          <w:b/>
        </w:rPr>
        <w:t xml:space="preserve">[16] </w:t>
      </w:r>
      <w:hyperlink r:id="rId26">
        <w:r>
          <w:rPr>
            <w:color w:val="1155CC"/>
            <w:u w:val="single"/>
          </w:rPr>
          <w:t>用于预测空气源热泵瞬时性能的减少订购量模型</w:t>
        </w:r>
      </w:hyperlink>
    </w:p>
    <w:p>
      <w:pPr>
        <w:spacing w:before="0" w:after="80"/>
      </w:pPr>
      <w:r>
        <w:rPr>
          <w:i/>
          <w:sz w:val="20"/>
        </w:rPr>
        <w:t>EN: A reduced-order model for predicting transient performance of air-source heat pumps</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7">
        <w:r>
          <w:rPr>
            <w:color w:val="1155CC"/>
            <w:u w:val="single"/>
          </w:rPr>
          <w:t>为综合能源系统集群组合分配合作优化:基于协商一致算法和后勤功能的电力分配战略</w:t>
        </w:r>
      </w:hyperlink>
    </w:p>
    <w:p>
      <w:pPr>
        <w:spacing w:before="0" w:after="80"/>
      </w:pPr>
      <w:r>
        <w:rPr>
          <w:i/>
          <w:sz w:val="20"/>
        </w:rPr>
        <w:t>EN: Distributed collaborative optimization for integrated energy system clusters: A power allocation strategy based on consensus algorithm and logistic function</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8">
        <w:r>
          <w:rPr>
            <w:color w:val="1155CC"/>
            <w:u w:val="single"/>
          </w:rPr>
          <w:t>考虑到经济、抗御力和低碳,岛屿分配网络氢能源储存的总体纳什均衡制最佳配置,考虑到经济、抗御力和低碳</w:t>
        </w:r>
      </w:hyperlink>
    </w:p>
    <w:p>
      <w:pPr>
        <w:spacing w:before="0" w:after="80"/>
      </w:pPr>
      <w:r>
        <w:rPr>
          <w:i/>
          <w:sz w:val="20"/>
        </w:rPr>
        <w:t>EN: Generalized Nash equilibrium-based optimal configuration of hydrogen energy storage in island distribution networks considering economy, resilience, and low-carbon</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9">
        <w:r>
          <w:rPr>
            <w:color w:val="1155CC"/>
            <w:u w:val="single"/>
          </w:rPr>
          <w:t>在基于可再生能源的分布式电池储存系统方面,在基于可再生能源的DC 船上微型电网中,采用基于差错的适应性滴管控制计划,基于功能的 SoC平衡,在基于可再生能源的分布式电池储存系统方面实现平衡。</w:t>
        </w:r>
      </w:hyperlink>
    </w:p>
    <w:p>
      <w:pPr>
        <w:spacing w:before="0" w:after="80"/>
      </w:pPr>
      <w:r>
        <w:rPr>
          <w:i/>
          <w:sz w:val="20"/>
        </w:rPr>
        <w:t>EN: Adaptive droop control scheme with error functioned-based SoC balancing for distributed battery storage system in renewable energy-based DC shipboard microgrid</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0">
        <w:r>
          <w:rPr>
            <w:color w:val="1155CC"/>
            <w:u w:val="single"/>
          </w:rPr>
          <w:t>使用以温度为基础的机器学习模型预测西班牙南部的太阳峰值时数,直到2100年</w:t>
        </w:r>
      </w:hyperlink>
    </w:p>
    <w:p>
      <w:pPr>
        <w:spacing w:before="0" w:after="80"/>
      </w:pPr>
      <w:r>
        <w:rPr>
          <w:i/>
          <w:sz w:val="20"/>
        </w:rPr>
        <w:t>EN: Projecting solar peak hours in southern Spain using temperature-based machine learning models until 2100</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31">
        <w:r>
          <w:rPr>
            <w:color w:val="1155CC"/>
            <w:u w:val="single"/>
          </w:rPr>
          <w:t>提议和核准太阳能项目的地点与核准的太阳项目地点之间的差错:法国阿尔卑斯山的光电接收情况</w:t>
        </w:r>
      </w:hyperlink>
    </w:p>
    <w:p>
      <w:pPr>
        <w:spacing w:before="0" w:after="80"/>
      </w:pPr>
      <w:r>
        <w:rPr>
          <w:i/>
          <w:sz w:val="20"/>
        </w:rPr>
        <w:t>EN: Mismatch between where solar projects are proposed and approved: the case of PV acceptance in the French Alps</w:t>
      </w:r>
    </w:p>
    <w:p>
      <w:pPr>
        <w:spacing w:before="0" w:after="120"/>
      </w:pPr>
      <w:r>
        <w:rPr>
          <w:b/>
        </w:rPr>
        <w:t xml:space="preserve">Source: </w:t>
      </w:r>
      <w:r>
        <w:t>ScienceDirect Publication: Energy Policy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2">
        <w:r>
          <w:rPr>
            <w:color w:val="1155CC"/>
            <w:u w:val="single"/>
          </w:rPr>
          <w:t>理解青年接受能源过渡政策两条道路:对称和不对称观点</w:t>
        </w:r>
      </w:hyperlink>
    </w:p>
    <w:p>
      <w:pPr>
        <w:spacing w:before="0" w:after="80"/>
      </w:pPr>
      <w:r>
        <w:rPr>
          <w:i/>
          <w:sz w:val="20"/>
        </w:rPr>
        <w:t>EN: Two roads to understanding youth acceptance of energy transition policies: A symmetrical and asymmetrical perspective</w:t>
      </w:r>
    </w:p>
    <w:p>
      <w:pPr>
        <w:spacing w:before="0" w:after="120"/>
      </w:pPr>
      <w:r>
        <w:rPr>
          <w:b/>
        </w:rPr>
        <w:t xml:space="preserve">Source: </w:t>
      </w:r>
      <w:r>
        <w:t>ScienceDirect Publication: Energy Policy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3">
        <w:r>
          <w:rPr>
            <w:color w:val="1155CC"/>
            <w:u w:val="single"/>
          </w:rPr>
          <w:t>评估作为电动车辆充电站潜在能源捕获系统的CIGS和Cdte薄壁太阳能光伏发电:印度的比较案例研究</w:t>
        </w:r>
      </w:hyperlink>
    </w:p>
    <w:p>
      <w:pPr>
        <w:spacing w:before="0" w:after="80"/>
      </w:pPr>
      <w:r>
        <w:rPr>
          <w:i/>
          <w:sz w:val="20"/>
        </w:rPr>
        <w:t>EN: Assessment of CIGS and CdTe thin-walled solar photovoltaics as potential energy capture Systems for Electric-Vehicle Charging Stations: A comparative case study in India</w:t>
      </w:r>
    </w:p>
    <w:p>
      <w:pPr>
        <w:spacing w:before="0" w:after="120"/>
      </w:pPr>
      <w:r>
        <w:rPr>
          <w:b/>
        </w:rPr>
        <w:t xml:space="preserve">Source: </w:t>
      </w:r>
      <w:r>
        <w:t>ScienceDirect Publication: Applied Energy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4">
        <w:r>
          <w:rPr>
            <w:color w:val="1155CC"/>
            <w:u w:val="single"/>
          </w:rPr>
          <w:t>对电动车辆的采用收取基础设施和收入费用的作用</w:t>
        </w:r>
      </w:hyperlink>
    </w:p>
    <w:p>
      <w:pPr>
        <w:spacing w:before="0" w:after="80"/>
      </w:pPr>
      <w:r>
        <w:rPr>
          <w:i/>
          <w:sz w:val="20"/>
        </w:rPr>
        <w:t>EN: The role of charging infrastructure and income on electric vehicle adoption</w:t>
      </w:r>
    </w:p>
    <w:p>
      <w:pPr>
        <w:spacing w:before="0" w:after="120"/>
      </w:pPr>
      <w:r>
        <w:rPr>
          <w:b/>
        </w:rPr>
        <w:t xml:space="preserve">Source: </w:t>
      </w:r>
      <w:r>
        <w:t>ScienceDirect Publication: Energy Policy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5">
        <w:r>
          <w:rPr>
            <w:color w:val="1155CC"/>
            <w:u w:val="single"/>
          </w:rPr>
          <w:t>生物智能的新视野:促进智能机器人技术探索和突破的合成装置</w:t>
        </w:r>
      </w:hyperlink>
    </w:p>
    <w:p>
      <w:pPr>
        <w:spacing w:before="0" w:after="80"/>
      </w:pPr>
      <w:r>
        <w:rPr>
          <w:i/>
          <w:sz w:val="20"/>
        </w:rPr>
        <w:t>EN: New horizons of bionic intelligence: synaptic devices facilitating the exploration and breakthroughs in smart robot technology</w:t>
      </w:r>
    </w:p>
    <w:p>
      <w:pPr>
        <w:spacing w:before="0" w:after="120"/>
      </w:pPr>
      <w:r>
        <w:rPr>
          <w:b/>
        </w:rPr>
        <w:t xml:space="preserve">Source: </w:t>
      </w:r>
      <w:r>
        <w:t>ScienceDirect Publication: Materials Today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6">
        <w:r>
          <w:rPr>
            <w:color w:val="1155CC"/>
            <w:u w:val="single"/>
          </w:rPr>
          <w:t>缠绕诱导频率敏感测距调查</w:t>
        </w:r>
      </w:hyperlink>
    </w:p>
    <w:p>
      <w:pPr>
        <w:spacing w:before="0" w:after="80"/>
      </w:pPr>
      <w:r>
        <w:rPr>
          <w:i/>
          <w:sz w:val="20"/>
        </w:rPr>
        <w:t>EN: Entanglement-inspired frequency-agile rangefinding</w:t>
      </w:r>
    </w:p>
    <w:p>
      <w:pPr>
        <w:spacing w:before="0" w:after="120"/>
      </w:pPr>
      <w:r>
        <w:rPr>
          <w:b/>
        </w:rPr>
        <w:t xml:space="preserve">Source: </w:t>
      </w:r>
      <w:r>
        <w:t>Nature Communications</w:t>
      </w:r>
      <w:r>
        <w:t xml:space="preserve">    </w:t>
      </w:r>
      <w:r>
        <w:rPr>
          <w:b/>
        </w:rPr>
        <w:t xml:space="preserve">Pub date: </w:t>
      </w:r>
      <w:r>
        <w:t>2026-01-24 00:00:00+00:00</w:t>
      </w:r>
    </w:p>
    <w:p>
      <w:pPr>
        <w:spacing w:before="0" w:after="120"/>
      </w:pPr>
      <w:r>
        <w:rPr>
          <w:b/>
        </w:rPr>
        <w:t xml:space="preserve">Notes: </w:t>
      </w:r>
      <w:r>
        <w:t>abstract_source=nature_html</w:t>
      </w:r>
    </w:p>
    <w:p>
      <w:pPr>
        <w:spacing w:before="0" w:after="80" w:lineRule="auto" w:line="276"/>
      </w:pPr>
      <w:r>
        <w:rPr>
          <w:b/>
        </w:rPr>
        <w:t xml:space="preserve">摘要（ZH）: </w:t>
      </w:r>
      <w:r>
        <w:t>量子力学的关键特征之一,即缠绕,因其非古典的关联性而得到承认,这些关联性已证明在单个磷射程调查和通信中具有很强的抗噪音阻力。我们从能源时间缠绕的优势中得到灵感,根据古典激光开发了能源时间相关源,它保持了典型的量子光化大量减少噪音的典型特征,同时超过了量子亮度的六级以上,使量子亮度的极限超过六级以上,因此非常适合实用的遥感应用。通过使用电子光电强度调制解导器的纤维色谱分散和脉冲刻刻,实现了频率合成随机源。在微弱传输功率为48微瓦的微弱传输功率下运行,距离为48微瓦。</w:t>
      </w:r>
    </w:p>
    <w:p>
      <w:pPr>
        <w:spacing w:before="0" w:after="200" w:lineRule="auto" w:line="276"/>
      </w:pPr>
      <w:r>
        <w:rPr>
          <w:b/>
        </w:rPr>
        <w:t xml:space="preserve">Abstract (EN): </w:t>
      </w:r>
      <w:r>
        <w:t>Entanglement, a key feature of quantum mechanics, is recognized for its non-classical correlations which have been shown to provide significant noise resistance in single-photon rangefinding and communications. Drawing inspiration from the advantage given by energy-time entanglement, we developed an energy-time correlated source based on a classical laser that preserves the substantial noise reduction typical of quantum illumination while surpassing the quantum brightness limitation by over six orders of magnitude, making it highly suitable for practical remote sensing applications. A frequency-agile pseudo-random source is realized through fiber chromatic dispersion and pulse carving using an electro-optic intensity modulator. Operating at a faint transmission power of 48 μW, the distance between two buildings 154.8182 m apart can be measured with a precision better than 0.1 mm, under varying solar background levels and weather conditions with an integration time of only 100 ms. These trials verified the predicted noise reduction of this system, demonstrating advantages over quantum illumination-based rangefinding and highlighting its potential for practical remote sensing applications.</w:t>
      </w:r>
    </w:p>
    <w:p>
      <w:pPr>
        <w:spacing w:before="120" w:after="120"/>
      </w:pPr>
      <w:r>
        <w:rPr>
          <w:sz w:val="18"/>
        </w:rPr>
        <w:t>——————————————————————————————————————————————————————————————————————</w:t>
      </w:r>
    </w:p>
    <w:p>
      <w:pPr>
        <w:spacing w:before="160" w:after="40" w:line="240" w:lineRule="auto"/>
      </w:pPr>
      <w:r>
        <w:rPr>
          <w:b/>
        </w:rPr>
        <w:t xml:space="preserve">[27] </w:t>
      </w:r>
      <w:hyperlink r:id="rId37">
        <w:r>
          <w:rPr>
            <w:color w:val="1155CC"/>
            <w:u w:val="single"/>
          </w:rPr>
          <w:t>通过技术服务业务模式和以碳交易奖励措施实现双级优化,促进广泛参与CCUS系统</w:t>
        </w:r>
      </w:hyperlink>
    </w:p>
    <w:p>
      <w:pPr>
        <w:spacing w:before="0" w:after="80"/>
      </w:pPr>
      <w:r>
        <w:rPr>
          <w:i/>
          <w:sz w:val="20"/>
        </w:rPr>
        <w:t>EN: Promoting broad participation in CCUS system via a technical service business model and bi-level optimization with carbon trading incentives</w:t>
      </w:r>
    </w:p>
    <w:p>
      <w:pPr>
        <w:spacing w:before="0" w:after="120"/>
      </w:pPr>
      <w:r>
        <w:rPr>
          <w:b/>
        </w:rPr>
        <w:t xml:space="preserve">Source: </w:t>
      </w:r>
      <w:r>
        <w:t>ScienceDirect Publication: Energy Policy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38">
        <w:r>
          <w:rPr>
            <w:color w:val="1155CC"/>
            <w:u w:val="single"/>
          </w:rPr>
          <w:t>高指数、高指数、面面面高的高有机植物合金原子层,配有量身定制的活点,以提高催化性能</w:t>
        </w:r>
      </w:hyperlink>
    </w:p>
    <w:p>
      <w:pPr>
        <w:spacing w:before="0" w:after="80"/>
      </w:pPr>
      <w:r>
        <w:rPr>
          <w:i/>
          <w:sz w:val="20"/>
        </w:rPr>
        <w:t>EN: High-index faceted high-entropy-alloy atomic layers with tailored active sites for enhanced catalytic performance</w:t>
      </w:r>
    </w:p>
    <w:p>
      <w:pPr>
        <w:spacing w:before="0" w:after="120"/>
      </w:pPr>
      <w:r>
        <w:rPr>
          <w:b/>
        </w:rPr>
        <w:t xml:space="preserve">Source: </w:t>
      </w:r>
      <w:r>
        <w:t>ScienceDirect Publication: Materials Today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39">
        <w:r>
          <w:rPr>
            <w:color w:val="1155CC"/>
            <w:u w:val="single"/>
          </w:rPr>
          <w:t>iDigntGPT通过大型语文模式代理工作流程加强概念设计</w:t>
        </w:r>
      </w:hyperlink>
    </w:p>
    <w:p>
      <w:pPr>
        <w:spacing w:before="0" w:after="80"/>
      </w:pPr>
      <w:r>
        <w:rPr>
          <w:i/>
          <w:sz w:val="20"/>
        </w:rPr>
        <w:t>EN: iDesignGPT enhances conceptual design via large language model agentic workflows</w:t>
      </w:r>
    </w:p>
    <w:p>
      <w:pPr>
        <w:spacing w:before="0" w:after="120"/>
      </w:pPr>
      <w:r>
        <w:rPr>
          <w:b/>
        </w:rPr>
        <w:t xml:space="preserve">Source: </w:t>
      </w:r>
      <w:r>
        <w:t>Nature Communications</w:t>
      </w:r>
      <w:r>
        <w:t xml:space="preserve">    </w:t>
      </w:r>
      <w:r>
        <w:rPr>
          <w:b/>
        </w:rPr>
        <w:t xml:space="preserve">Pub date: </w:t>
      </w:r>
      <w:r>
        <w:t>2026-01-24 00:00:00+00:00</w:t>
      </w:r>
    </w:p>
    <w:p>
      <w:pPr>
        <w:spacing w:before="0" w:after="120"/>
      </w:pPr>
      <w:r>
        <w:rPr>
          <w:b/>
        </w:rPr>
        <w:t xml:space="preserve">Notes: </w:t>
      </w:r>
      <w:r>
        <w:t>abstract_source=nature_html</w:t>
      </w:r>
    </w:p>
    <w:p>
      <w:pPr>
        <w:spacing w:before="0" w:after="80" w:lineRule="auto" w:line="276"/>
      </w:pPr>
      <w:r>
        <w:rPr>
          <w:b/>
        </w:rPr>
        <w:t xml:space="preserve">摘要（ZH）: </w:t>
      </w:r>
      <w:r>
        <w:t>iDignGPT是一个框架,将大型语言模型与既定的设计方法相结合,以便能够在改进问题、收集信息、设计空间探索和评价方面进行动态多机构协作,从而在改进问题、收集信息、设计空间探索和评价方面进行动态的多机构协作。iDignGPT采用诸如覆盖范围、多样性和新颖性等设计指标,为早期概念设计提供定量见解。 6个公共设计挑战的绩效评估显示,iDignGPT取得了与GPT-4零弹、GPT-4-思维链和Deepseek-r1相比的竞争性新颖性和一贯更高的原创性和模块性。</w:t>
      </w:r>
    </w:p>
    <w:p>
      <w:pPr>
        <w:spacing w:before="0" w:after="200" w:lineRule="auto" w:line="276"/>
      </w:pPr>
      <w:r>
        <w:rPr>
          <w:b/>
        </w:rPr>
        <w:t xml:space="preserve">Abstract (EN): </w:t>
      </w:r>
      <w:r>
        <w:t>Conceptual engineering system design faces challenges from traditional methods and emerging AI tools to fully address its inherently complex, dynamic, and creativity-driven demands. iDesignGPT is a framework that integrates large language models with established design methodologies to enable dynamic multi-agent collaboration for problem refinement, information gathering, design space exploration, and evaluation. By incorporating design metrics such as coverage, diversity, and novelty, iDesignGPT provides quantitative insights for early-stage conceptual design. Performance evaluations across six public design challenges show that iDesignGPT achieves competitive novelty and consistently higher originality and modularity than GPT-4o zero-shot, GPT-4o chain-of-thought and Deepseek-r1, based on metrics and expert assessments. Two controlled user studies show positive reception across profiles and, for novice designers, lower mental demand than human-only design and clearer design flow with iDesignGPT. These results establish iDesignGPT as a practical framework for integrating language-model agents with established engineering design methods, enabling metrics-driven support for conceptual design by both expert and novice designers.</w:t>
      </w:r>
    </w:p>
    <w:p>
      <w:pPr>
        <w:spacing w:before="120" w:after="120"/>
      </w:pPr>
      <w:r>
        <w:rPr>
          <w:sz w:val="18"/>
        </w:rPr>
        <w:t>——————————————————————————————————————————————————————————————————————</w:t>
      </w:r>
    </w:p>
    <w:p>
      <w:pPr>
        <w:spacing w:before="160" w:after="40" w:line="240" w:lineRule="auto"/>
      </w:pPr>
      <w:r>
        <w:rPr>
          <w:b/>
        </w:rPr>
        <w:t xml:space="preserve">[30] </w:t>
      </w:r>
      <w:hyperlink r:id="rId40">
        <w:r>
          <w:rPr>
            <w:color w:val="1155CC"/>
            <w:u w:val="single"/>
          </w:rPr>
          <w:t>BIG-SCAPE 2.0和BIG-SLICE 2.0:代谢基因组群可扩展、准确和互动的序列组合</w:t>
        </w:r>
      </w:hyperlink>
    </w:p>
    <w:p>
      <w:pPr>
        <w:spacing w:before="0" w:after="80"/>
      </w:pPr>
      <w:r>
        <w:rPr>
          <w:i/>
          <w:sz w:val="20"/>
        </w:rPr>
        <w:t>EN: BiG-SCAPE 2.0 and BiG-SLiCE 2.0: scalable, accurate and interactive sequence clustering of metabolic gene clusters</w:t>
      </w:r>
    </w:p>
    <w:p>
      <w:pPr>
        <w:spacing w:before="0" w:after="120"/>
      </w:pPr>
      <w:r>
        <w:rPr>
          <w:b/>
        </w:rPr>
        <w:t xml:space="preserve">Source: </w:t>
      </w:r>
      <w:r>
        <w:t>Nature Communications</w:t>
      </w:r>
      <w:r>
        <w:t xml:space="preserve">    </w:t>
      </w:r>
      <w:r>
        <w:rPr>
          <w:b/>
        </w:rPr>
        <w:t xml:space="preserve">Pub date: </w:t>
      </w:r>
      <w:r>
        <w:t>2026-01-24 00:00:00+00:00</w:t>
      </w:r>
    </w:p>
    <w:p>
      <w:pPr>
        <w:spacing w:before="0" w:after="120"/>
      </w:pPr>
      <w:r>
        <w:rPr>
          <w:b/>
        </w:rPr>
        <w:t xml:space="preserve">Notes: </w:t>
      </w:r>
      <w:r>
        <w:t>abstract_source=nature_html</w:t>
      </w:r>
    </w:p>
    <w:p>
      <w:pPr>
        <w:spacing w:before="0" w:after="80" w:lineRule="auto" w:line="276"/>
      </w:pPr>
      <w:r>
        <w:rPr>
          <w:b/>
        </w:rPr>
        <w:t xml:space="preserve">摘要（ZH）: </w:t>
      </w:r>
      <w:r>
        <w:t>BIG-SAPE 和 BIG-SAPE 2.0, 新一代方法, 有助于可缩放、准确和互动的基因集群分析。 BIG-SCAPE 2.0 更新其分类、调整方法和可视化,以便能够进行更准确的分析,加快运行时间达8x倍,将记忆要求减半。 BIG-SLiCE 2.0 更新其距离指标、pHMM数据库和分类逻辑,导致接近BIG-SAPE的敏感度提高。</w:t>
      </w:r>
    </w:p>
    <w:p>
      <w:pPr>
        <w:spacing w:before="0" w:after="200" w:lineRule="auto" w:line="276"/>
      </w:pPr>
      <w:r>
        <w:rPr>
          <w:b/>
        </w:rPr>
        <w:t xml:space="preserve">Abstract (EN): </w:t>
      </w:r>
      <w:r>
        <w:t>Microbial metabolic gene clusters encode the biosynthesis or catabolism of metabolites that facilitate ecological specialization, mediate microbiome interactions and constitute a major source of medicines and crop protection agents. Here, we present BiG-SCAPE and BiG-SLiCE 2.0, next-generation methods that facilitate scalable, accurate and interactive gene cluster analyses. BiG-SCAPE 2.0 updates its classification, alignment methods, and visualizations, enabling more accurate analysis, up to 8x faster runtimes and halved memory requirements. BiG-SLiCE 2.0 updates its distance metric, pHMM database, and classification logic, resulting in increased sensitivity nearing that of BiG-SCAPE. Analysis of 260,630 biosynthetic gene clusters from publicly available genomes reveals that both tools generate concurring estimates of gene cluster diversity, thus providing significantly extended methodological support for recent evidence indicating that the vast majority of natural product diversity remains unexplored. Together, these updates will facilitate global genome mining efforts for natural product discovery and microbiome analyses scalable with current data sizes.</w:t>
      </w:r>
    </w:p>
    <w:p>
      <w:pPr>
        <w:spacing w:before="120" w:after="120"/>
      </w:pPr>
      <w:r>
        <w:rPr>
          <w:sz w:val="18"/>
        </w:rPr>
        <w:t>——————————————————————————————————————————————————————————————————————</w:t>
      </w:r>
    </w:p>
    <w:p>
      <w:pPr>
        <w:spacing w:before="160" w:after="40" w:line="240" w:lineRule="auto"/>
      </w:pPr>
      <w:r>
        <w:rPr>
          <w:b/>
        </w:rPr>
        <w:t xml:space="preserve">[31] </w:t>
      </w:r>
      <w:hyperlink r:id="rId41">
        <w:r>
          <w:rPr>
            <w:color w:val="1155CC"/>
            <w:u w:val="single"/>
          </w:rPr>
          <w:t>分子对甲状腺素的辨识</w:t>
        </w:r>
      </w:hyperlink>
    </w:p>
    <w:p>
      <w:pPr>
        <w:spacing w:before="0" w:after="80"/>
      </w:pPr>
      <w:r>
        <w:rPr>
          <w:i/>
          <w:sz w:val="20"/>
        </w:rPr>
        <w:t>EN: Molecular recognition of thyroglobulin by sortilin</w:t>
      </w:r>
    </w:p>
    <w:p>
      <w:pPr>
        <w:spacing w:before="0" w:after="120"/>
      </w:pPr>
      <w:r>
        <w:rPr>
          <w:b/>
        </w:rPr>
        <w:t xml:space="preserve">Source: </w:t>
      </w:r>
      <w:r>
        <w:t>Nature Communications</w:t>
      </w:r>
      <w:r>
        <w:t xml:space="preserve">    </w:t>
      </w:r>
      <w:r>
        <w:rPr>
          <w:b/>
        </w:rPr>
        <w:t xml:space="preserve">Pub date: </w:t>
      </w:r>
      <w:r>
        <w:t>2026-01-24 00:00:00+00:00</w:t>
      </w:r>
    </w:p>
    <w:p>
      <w:pPr>
        <w:spacing w:before="0" w:after="120"/>
      </w:pPr>
      <w:r>
        <w:rPr>
          <w:b/>
        </w:rPr>
        <w:t xml:space="preserve">Notes: </w:t>
      </w:r>
      <w:r>
        <w:t>abstract_source=nature_html</w:t>
      </w:r>
    </w:p>
    <w:p>
      <w:pPr>
        <w:spacing w:before="0" w:after="80" w:lineRule="auto" w:line="276"/>
      </w:pPr>
      <w:r>
        <w:rPr>
          <w:b/>
        </w:rPr>
        <w:t xml:space="preserve">摘要（ZH）: </w:t>
      </w:r>
      <w:r>
        <w:t>索氏素是一种无处不在的膜内膜受体, 介于蛋白质货物的贩运中。 在甲状腺中, 类丁在内分泌过程中结合了胸腺罗格布林( TG ), 这是甲状腺内分泌中的一个关键过程。 虽然提议了类丁承认高度碘化的TG, 但这种相互作用的分子细节仍然未知。 在这项工作中, 我们采用综合结构生物学方法, 发现类丁结合了一种没有结构的 TG C 定義颗粒, 并表现出一种强烈的偏好单一的TG 而不是常见的角状体。 我们发现类丁- TG 的相互作用独立于TG 的观测状态, 而是依赖将其转换为单体状态, 可能由细胞退化所推动。 此外, 我们使用 AlphaPurdown 和序列分析, 我们使用 AlphaPulld 和 Asqourdown,</w:t>
      </w:r>
    </w:p>
    <w:p>
      <w:pPr>
        <w:spacing w:before="0" w:after="200" w:lineRule="auto" w:line="276"/>
      </w:pPr>
      <w:r>
        <w:rPr>
          <w:b/>
        </w:rPr>
        <w:t xml:space="preserve">Abstract (EN): </w:t>
      </w:r>
      <w:r>
        <w:t>Sortilin is a ubiquitous membrane receptor mediating trafficking of protein cargoes. In the thyroid, sortilin binds thyroglobulin (TG) during its endocytosis, a key process in thyroid homeostasis. Although sortilin has been proposed to recognise highly iodinated TG, the molecular details of this interaction remain unknown. In this work, using an integrative structural biology approach, we reveal that sortilin binds an unstructured TG C-terminal peptide and exhibits a strong preference for the monomeric TG over the commonly known dimeric form. We find that sortilin-TG interaction is independent of the iodination state of TG and instead relies on the conversion to its monomeric state, presumably promoted by extracellular degradation. Furthermore, using AlphaPulldown and sequence analysis, we show that recognition of other reported ligands by sortilin likely relies on similar unstructured peptide motifs, which are not constrained to a single binding orientation within the receptor cavity. Overall, this study reveals the TG-sortilin binding interface and provides insights into the recognition mechanism of other cargoes by sortilin.</w:t>
      </w:r>
    </w:p>
    <w:p>
      <w:pPr>
        <w:spacing w:before="120" w:after="120"/>
      </w:pPr>
      <w:r>
        <w:rPr>
          <w:sz w:val="18"/>
        </w:rPr>
        <w:t>——————————————————————————————————————————————————————————————————————</w:t>
      </w:r>
    </w:p>
    <w:p>
      <w:pPr>
        <w:spacing w:before="160" w:after="40" w:line="240" w:lineRule="auto"/>
      </w:pPr>
      <w:r>
        <w:rPr>
          <w:b/>
        </w:rPr>
        <w:t xml:space="preserve">[32] </w:t>
      </w:r>
      <w:hyperlink r:id="rId42">
        <w:r>
          <w:rPr>
            <w:color w:val="1155CC"/>
            <w:u w:val="single"/>
          </w:rPr>
          <w:t>目标减贫是否促进采用清洁烹饪燃料?</w:t>
        </w:r>
      </w:hyperlink>
    </w:p>
    <w:p>
      <w:pPr>
        <w:spacing w:before="0" w:after="80"/>
      </w:pPr>
      <w:r>
        <w:rPr>
          <w:i/>
          <w:sz w:val="20"/>
        </w:rPr>
        <w:t>EN: Does targeted poverty alleviation promote the adoption of clean cooking fuels? Evidence from a quasi-experimental study in China</w:t>
      </w:r>
    </w:p>
    <w:p>
      <w:pPr>
        <w:spacing w:before="0" w:after="120"/>
      </w:pPr>
      <w:r>
        <w:rPr>
          <w:b/>
        </w:rPr>
        <w:t xml:space="preserve">Source: </w:t>
      </w:r>
      <w:r>
        <w:t>ScienceDirect Publication: Energy Policy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3">
        <w:r>
          <w:rPr>
            <w:color w:val="1155CC"/>
            <w:u w:val="single"/>
          </w:rPr>
          <w:t>通过高有机氧化物钠离子电池阴极的配置式酶设计,对晶体实地稳定能进行调制</w:t>
        </w:r>
      </w:hyperlink>
    </w:p>
    <w:p>
      <w:pPr>
        <w:spacing w:before="0" w:after="80"/>
      </w:pPr>
      <w:r>
        <w:rPr>
          <w:i/>
          <w:sz w:val="20"/>
        </w:rPr>
        <w:t>EN: Tuning crystal field stabilization energy through configurational entropy design in high-entropy oxide sodium-ion battery cathodes</w:t>
      </w:r>
    </w:p>
    <w:p>
      <w:pPr>
        <w:spacing w:before="0" w:after="120"/>
      </w:pPr>
      <w:r>
        <w:rPr>
          <w:b/>
        </w:rPr>
        <w:t xml:space="preserve">Source: </w:t>
      </w:r>
      <w:r>
        <w:t>ScienceDirect Publication: Materials Today</w:t>
      </w:r>
      <w:r>
        <w:t xml:space="preserve">    </w:t>
      </w:r>
      <w:r>
        <w:rPr>
          <w:b/>
        </w:rPr>
        <w:t xml:space="preserve">Pub date: </w:t>
      </w:r>
      <w:r>
        <w:t>2026-01-24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44">
        <w:r>
          <w:rPr>
            <w:color w:val="1155CC"/>
            <w:u w:val="single"/>
          </w:rPr>
          <w:t>[ASAP] 地卡宾斯和奥利芬斯之间反应中的普赛多周期性过渡国家[ASAP]安比莫达尔(2+1)/(4+1)/(4+1)</w:t>
        </w:r>
      </w:hyperlink>
    </w:p>
    <w:p>
      <w:pPr>
        <w:spacing w:before="0" w:after="80"/>
      </w:pPr>
      <w:r>
        <w:rPr>
          <w:i/>
          <w:sz w:val="20"/>
        </w:rPr>
        <w:t>EN: [ASAP] Ambimodal (2 + 1)/(4 + 1) Pseudopericyclic Transition States in Reactions between Dihalocarbenes and Olefins</w:t>
      </w:r>
    </w:p>
    <w:p>
      <w:pPr>
        <w:spacing w:before="0" w:after="120"/>
      </w:pPr>
      <w:r>
        <w:rPr>
          <w:b/>
        </w:rPr>
        <w:t xml:space="preserve">Source: </w:t>
      </w:r>
      <w:r>
        <w:t>Journal of the American Chemical Society: Latest Articles (ACS Publications)</w:t>
      </w:r>
      <w:r>
        <w:t xml:space="preserve">    </w:t>
      </w:r>
      <w:r>
        <w:rPr>
          <w:b/>
        </w:rPr>
        <w:t xml:space="preserve">Pub date: </w:t>
      </w:r>
      <w:r>
        <w:t>2026-01-24 14:24:00+00:00</w:t>
      </w:r>
      <w:r>
        <w:t xml:space="preserve">    </w:t>
      </w:r>
      <w:r>
        <w:rPr>
          <w:b/>
        </w:rPr>
        <w:t xml:space="preserve">DOI: </w:t>
      </w:r>
      <w:hyperlink r:id="rId45">
        <w:r>
          <w:rPr>
            <w:color w:val="1155CC"/>
            <w:u w:val="single"/>
          </w:rPr>
          <w:t>10.1021/jacs.5c13906</w:t>
        </w:r>
      </w:hyperlink>
    </w:p>
    <w:p>
      <w:pPr>
        <w:spacing w:before="0" w:after="120"/>
      </w:pPr>
      <w:r>
        <w:rPr>
          <w:b/>
        </w:rPr>
        <w:t xml:space="preserve">Notes: </w:t>
      </w:r>
      <w:r>
        <w:t>abstract_source=openalex</w:t>
      </w:r>
    </w:p>
    <w:p>
      <w:pPr>
        <w:spacing w:before="0" w:after="80" w:lineRule="auto" w:line="276"/>
      </w:pPr>
      <w:r>
        <w:rPr>
          <w:b/>
        </w:rPr>
        <w:t xml:space="preserve">摘要（ZH）: </w:t>
      </w:r>
      <w:r>
        <w:t>我们报告在二卤碳苯和单烯之间反应中的双模式(2+1)/(4+1)/(4+1)伪周期性转变状态的第一个例子。二溴碳苯和双氯环己烷之间模型反应模型模拟的“准古典分子动态模拟”显示了一种单一的双模式TS,它与实验观测的(2+1)和(4+1)产品相联。 Intrinc 债券轨道轨道(IBO)和主要互动轨道分析将这种矛盾性归因于二溴碳苯的两极性:其空的p型轨道轨道与死胡莫人接触,而其两对夫妇与死胡莫的C2和C4叶相相互作用。由此形成的双轨过渡结构在相互竞争的联结长度方面有很大差异,与确定的关联性相对而言,两者的距离很大。</w:t>
      </w:r>
    </w:p>
    <w:p>
      <w:pPr>
        <w:spacing w:before="0" w:after="200" w:lineRule="auto" w:line="276"/>
      </w:pPr>
      <w:r>
        <w:rPr>
          <w:b/>
        </w:rPr>
        <w:t xml:space="preserve">Abstract (EN): </w:t>
      </w:r>
      <w:r>
        <w:t>We report the first example of ambimodal (2 + 1)/(4 + 1) pseudopericyclic transition states (TSs) in reactions between dihalocarbenes and olefins. Quasi-classical molecular dynamics simulations of the model reaction between dibromocarbene and 1,2-bis(methylene)cycloheptane reveal a single ambimodal TS that bifurcates to the experimentally observed (2 + 1) and (4 + 1) products. Intrinsic bond orbital (IBO) and principal interacting orbital (PIO) analyses attribute this ambimodality to the amphiphilicity of dibromocarbene: its empty p-type orbital engages the diene HOMO, while its σ-lone pair interacts with both the C2 and C4 lobes of the diene LUMO. The resulting ambimodal transition structure displays a large disparity in competing bond lengths─an outlier relative to established correlations between bond length differences and ambimodal selectivity. Entropic path sampling reveals a pronounced entropic trap along the (2 + 1) pathway, giving rise to a post-transition-state dynamical intermediate that promotes extensive roaming rather than immediate product formation. This dynamic window allows the weaker (4 + 1) interaction to develop and compete, thereby enabling ambimodality despite the substantial bond length difference. An analogous ambimodal (2 + 1)/(4 + 1) cycloaddition is identified between nucleophilic dimethoxycarbene and alkenyl aldehyde relevant to natural product synthesis, underscoring the generality and synthetic utility of this manifold. Together, these findings reveal how structure, orbital interactions, and post-transition-state dynamics cooperatively govern ambimodal selectivity in this previously unrecognized carbene reaction manifold and provide a foundation for developing new strategies to tune reaction selectivity.</w:t>
      </w:r>
    </w:p>
    <w:p>
      <w:pPr>
        <w:spacing w:before="120" w:after="120"/>
      </w:pPr>
      <w:r>
        <w:rPr>
          <w:sz w:val="18"/>
        </w:rPr>
        <w:t>——————————————————————————————————————————————————————————————————————</w:t>
      </w:r>
    </w:p>
    <w:p>
      <w:pPr>
        <w:spacing w:before="160" w:after="40" w:line="240" w:lineRule="auto"/>
      </w:pPr>
      <w:r>
        <w:rPr>
          <w:b/>
        </w:rPr>
        <w:t xml:space="preserve">[35] </w:t>
      </w:r>
      <w:hyperlink r:id="rId46">
        <w:r>
          <w:rPr>
            <w:color w:val="1155CC"/>
            <w:u w:val="single"/>
          </w:rPr>
          <w:t>[ASAP] 水锌-电离电池无定形电解材料的最近进展</w:t>
        </w:r>
      </w:hyperlink>
    </w:p>
    <w:p>
      <w:pPr>
        <w:spacing w:before="0" w:after="80"/>
      </w:pPr>
      <w:r>
        <w:rPr>
          <w:i/>
          <w:sz w:val="20"/>
        </w:rPr>
        <w:t>EN: [ASAP] Recent Advances in Amorphous Electrode Materials for Aqueous Zinc-Ion Batteries</w:t>
      </w:r>
    </w:p>
    <w:p>
      <w:pPr>
        <w:spacing w:before="0" w:after="120"/>
      </w:pPr>
      <w:r>
        <w:rPr>
          <w:b/>
        </w:rPr>
        <w:t xml:space="preserve">Source: </w:t>
      </w:r>
      <w:r>
        <w:t>ACS Energy Letters: Latest Articles (ACS Publications)</w:t>
      </w:r>
      <w:r>
        <w:t xml:space="preserve">    </w:t>
      </w:r>
      <w:r>
        <w:rPr>
          <w:b/>
        </w:rPr>
        <w:t xml:space="preserve">Pub date: </w:t>
      </w:r>
      <w:r>
        <w:t>2026-01-24 14:32:28+00:00</w:t>
      </w:r>
      <w:r>
        <w:t xml:space="preserve">    </w:t>
      </w:r>
      <w:r>
        <w:rPr>
          <w:b/>
        </w:rPr>
        <w:t xml:space="preserve">DOI: </w:t>
      </w:r>
      <w:hyperlink r:id="rId47">
        <w:r>
          <w:rPr>
            <w:color w:val="1155CC"/>
            <w:u w:val="single"/>
          </w:rPr>
          <w:t>10.1021/acsenergylett.5c03711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48">
        <w:r>
          <w:rPr>
            <w:color w:val="1155CC"/>
            <w:u w:val="single"/>
          </w:rPr>
          <w:t>[ASAP]更正为“在卤化核仁化生物合成中,用铁(II)-和2-Oxoglutarate-依赖-2-Oxoglutarate-Dependent Halgency 进行静脉和立体选择性选择性卤化”</w:t>
        </w:r>
      </w:hyperlink>
    </w:p>
    <w:p>
      <w:pPr>
        <w:spacing w:before="0" w:after="80"/>
      </w:pPr>
      <w:r>
        <w:rPr>
          <w:i/>
          <w:sz w:val="20"/>
        </w:rPr>
        <w:t>EN: [ASAP] Correction to “Regio- and Stereoselective Halogenation by an Iron(II)- and 2-Oxoglutarate-Dependent Halogenase in the Biosynthesis of Halogenated Nucleosides”</w:t>
      </w:r>
    </w:p>
    <w:p>
      <w:pPr>
        <w:spacing w:before="0" w:after="120"/>
      </w:pPr>
      <w:r>
        <w:rPr>
          <w:b/>
        </w:rPr>
        <w:t xml:space="preserve">Source: </w:t>
      </w:r>
      <w:r>
        <w:t>Journal of the American Chemical Society: Latest Articles (ACS Publications)</w:t>
      </w:r>
      <w:r>
        <w:t xml:space="preserve">    </w:t>
      </w:r>
      <w:r>
        <w:rPr>
          <w:b/>
        </w:rPr>
        <w:t xml:space="preserve">Pub date: </w:t>
      </w:r>
      <w:r>
        <w:t>2026-01-24 19:59:08+00:00</w:t>
      </w:r>
      <w:r>
        <w:t xml:space="preserve">    </w:t>
      </w:r>
      <w:r>
        <w:rPr>
          <w:b/>
        </w:rPr>
        <w:t xml:space="preserve">DOI: </w:t>
      </w:r>
      <w:hyperlink r:id="rId49">
        <w:r>
          <w:rPr>
            <w:color w:val="1155CC"/>
            <w:u w:val="single"/>
          </w:rPr>
          <w:t>10.1021/jacs.5c23050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50">
        <w:r>
          <w:rPr>
            <w:color w:val="1155CC"/>
            <w:u w:val="single"/>
          </w:rPr>
          <w:t>工业光电池装载系统联合优化能源成本和需求收费的离线反向强化学习</w:t>
        </w:r>
      </w:hyperlink>
    </w:p>
    <w:p>
      <w:pPr>
        <w:spacing w:before="0" w:after="80"/>
      </w:pPr>
      <w:r>
        <w:rPr>
          <w:i/>
          <w:sz w:val="20"/>
        </w:rPr>
        <w:t>EN: Offline inverse reinforcement learning for joint optimization of energy costs and demand charge in industrial PV-battery load systems</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51">
        <w:r>
          <w:rPr>
            <w:color w:val="1155CC"/>
            <w:u w:val="single"/>
          </w:rPr>
          <w:t>自然氢技术经济学和估价</w:t>
        </w:r>
      </w:hyperlink>
    </w:p>
    <w:p>
      <w:pPr>
        <w:spacing w:before="0" w:after="80"/>
      </w:pPr>
      <w:r>
        <w:rPr>
          <w:i/>
          <w:sz w:val="20"/>
        </w:rPr>
        <w:t>EN: Natural hydrogen techno-economics and valuation</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52">
        <w:r>
          <w:rPr>
            <w:color w:val="1155CC"/>
            <w:u w:val="single"/>
          </w:rPr>
          <w:t>以造票人为基础的能源社区动态适应模型预测控制模型预测控制</w:t>
        </w:r>
      </w:hyperlink>
    </w:p>
    <w:p>
      <w:pPr>
        <w:spacing w:before="0" w:after="80"/>
      </w:pPr>
      <w:r>
        <w:rPr>
          <w:i/>
          <w:sz w:val="20"/>
        </w:rPr>
        <w:t>EN: Dynamic adaptive model predictive control for prosumers-based energy communities</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53">
        <w:r>
          <w:rPr>
            <w:color w:val="1155CC"/>
            <w:u w:val="single"/>
          </w:rPr>
          <w:t>利用基于多变量高萨和Chebyshev绘图的不断演变的模糊系统进行实时风力预报</w:t>
        </w:r>
      </w:hyperlink>
    </w:p>
    <w:p>
      <w:pPr>
        <w:spacing w:before="0" w:after="80"/>
      </w:pPr>
      <w:r>
        <w:rPr>
          <w:i/>
          <w:sz w:val="20"/>
        </w:rPr>
        <w:t>EN: Real-time wind power forecasting using an evolving fuzzy system based on Multivariate Gaussian and Chebyshev mapping</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54">
        <w:r>
          <w:rPr>
            <w:color w:val="1155CC"/>
            <w:u w:val="single"/>
          </w:rPr>
          <w:t>在混合能源系统中具有宝贵的操作灵活性:汉密尔顿-贾科比-贝尔曼等式的神经解决方案</w:t>
        </w:r>
      </w:hyperlink>
    </w:p>
    <w:p>
      <w:pPr>
        <w:spacing w:before="0" w:after="80"/>
      </w:pPr>
      <w:r>
        <w:rPr>
          <w:i/>
          <w:sz w:val="20"/>
        </w:rPr>
        <w:t>EN: Valuing operational flexibility in hybrid energy systems: A neural solution to the Hamilton–jacobi–bellman equation</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55">
        <w:r>
          <w:rPr>
            <w:color w:val="1155CC"/>
            <w:u w:val="single"/>
          </w:rPr>
          <w:t>风力农场电力优化的Cyclic yaw控制:路管号的作用、农场配置和动荡强度</w:t>
        </w:r>
      </w:hyperlink>
    </w:p>
    <w:p>
      <w:pPr>
        <w:spacing w:before="0" w:after="80"/>
      </w:pPr>
      <w:r>
        <w:rPr>
          <w:i/>
          <w:sz w:val="20"/>
        </w:rPr>
        <w:t>EN: Cyclic yaw control for wind farm power optimization: The role of strouhal number, farm configuration, and turbulence intensity</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56">
        <w:r>
          <w:rPr>
            <w:color w:val="1155CC"/>
            <w:u w:val="single"/>
          </w:rPr>
          <w:t>采用混合数据模型驱动方法,对各种分布式分布式能源资源进行时间分离的电力灵活度综合组合</w:t>
        </w:r>
      </w:hyperlink>
    </w:p>
    <w:p>
      <w:pPr>
        <w:spacing w:before="0" w:after="80"/>
      </w:pPr>
      <w:r>
        <w:rPr>
          <w:i/>
          <w:sz w:val="20"/>
        </w:rPr>
        <w:t>EN: A hybrid data-model driven approach for time-decoupled power flexibility aggregation of heterogeneous distributed energy resources</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57">
        <w:r>
          <w:rPr>
            <w:color w:val="1155CC"/>
            <w:u w:val="single"/>
          </w:rPr>
          <w:t>协同操作和维护,使沿海风能的利用机会管理具有生命周期意识的离岸风能</w:t>
        </w:r>
      </w:hyperlink>
    </w:p>
    <w:p>
      <w:pPr>
        <w:spacing w:before="0" w:after="80"/>
      </w:pPr>
      <w:r>
        <w:rPr>
          <w:i/>
          <w:sz w:val="20"/>
        </w:rPr>
        <w:t>EN: Synergistic operation and maintenance enabling lifecycle-aware opportunistic management of offshore wind energy</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58">
        <w:r>
          <w:rPr>
            <w:color w:val="1155CC"/>
            <w:u w:val="single"/>
          </w:rPr>
          <w:t>在超高排放条件下使用物理知情神经网络对锂离电池进行内部温度感测</w:t>
        </w:r>
      </w:hyperlink>
    </w:p>
    <w:p>
      <w:pPr>
        <w:spacing w:before="0" w:after="80"/>
      </w:pPr>
      <w:r>
        <w:rPr>
          <w:i/>
          <w:sz w:val="20"/>
        </w:rPr>
        <w:t>EN: Internal temperature sensing for lithium-ion battery under ultrahigh-rate discharge conditions using physics-informed neural network</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59">
        <w:r>
          <w:rPr>
            <w:color w:val="1155CC"/>
            <w:u w:val="single"/>
          </w:rPr>
          <w:t>所有道路是否通向罗马? 评估能源公正治理战略的有效性</w:t>
        </w:r>
      </w:hyperlink>
    </w:p>
    <w:p>
      <w:pPr>
        <w:spacing w:before="0" w:after="80"/>
      </w:pPr>
      <w:r>
        <w:rPr>
          <w:i/>
          <w:sz w:val="20"/>
        </w:rPr>
        <w:t>EN: Do all roads lead to Rome? Assessing the effectiveness of governance strategies for energy justice</w:t>
      </w:r>
    </w:p>
    <w:p>
      <w:pPr>
        <w:spacing w:before="0" w:after="120"/>
      </w:pPr>
      <w:r>
        <w:rPr>
          <w:b/>
        </w:rPr>
        <w:t xml:space="preserve">Source: </w:t>
      </w:r>
      <w:r>
        <w:t>ScienceDirect Publication: Energy Policy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60">
        <w:r>
          <w:rPr>
            <w:color w:val="1155CC"/>
            <w:u w:val="single"/>
          </w:rPr>
          <w:t>具有减少光伏不确定性的混合泵泵式存储存储机的级联水力发电的深强化学习实时派送办法</w:t>
        </w:r>
      </w:hyperlink>
    </w:p>
    <w:p>
      <w:pPr>
        <w:spacing w:before="0" w:after="80"/>
      </w:pPr>
      <w:r>
        <w:rPr>
          <w:i/>
          <w:sz w:val="20"/>
        </w:rPr>
        <w:t>EN: Deep reinforcement learning real-time dispatch approach for cascade hydropower with hybrid pumped-storage mitigating photovoltaic uncertainties</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61">
        <w:r>
          <w:rPr>
            <w:color w:val="1155CC"/>
            <w:u w:val="single"/>
          </w:rPr>
          <w:t>通过等级多尺度建模,最佳设计兆瓦质子交换膜水电解模块</w:t>
        </w:r>
      </w:hyperlink>
    </w:p>
    <w:p>
      <w:pPr>
        <w:spacing w:before="0" w:after="80"/>
      </w:pPr>
      <w:r>
        <w:rPr>
          <w:i/>
          <w:sz w:val="20"/>
        </w:rPr>
        <w:t>EN: Optimal design of megawatt-scale proton exchange membrane water electrolysis module by hierarchical multi-scale modeling</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62">
        <w:r>
          <w:rPr>
            <w:color w:val="1155CC"/>
            <w:u w:val="single"/>
          </w:rPr>
          <w:t>根据N/P比率控制锂离子电池组的锂电镀机制调查</w:t>
        </w:r>
      </w:hyperlink>
    </w:p>
    <w:p>
      <w:pPr>
        <w:spacing w:before="0" w:after="80"/>
      </w:pPr>
      <w:r>
        <w:rPr>
          <w:i/>
          <w:sz w:val="20"/>
        </w:rPr>
        <w:t>EN: Investigation of lithium plating mechanism based on N/P ratio controlled lithium-ion batteries</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63">
        <w:r>
          <w:rPr>
            <w:color w:val="1155CC"/>
            <w:u w:val="single"/>
          </w:rPr>
          <w:t>利用PGS-hub平台,采用综合基准、单一和多种族、多种族、多元多源得分方法</w:t>
        </w:r>
      </w:hyperlink>
    </w:p>
    <w:p>
      <w:pPr>
        <w:spacing w:before="0" w:after="80"/>
      </w:pPr>
      <w:r>
        <w:rPr>
          <w:i/>
          <w:sz w:val="20"/>
        </w:rPr>
        <w:t>EN: Comprehensive benchmarking single and multi ancestry polygenic score methods with the PGS-hub platform</w:t>
      </w:r>
    </w:p>
    <w:p>
      <w:pPr>
        <w:spacing w:before="0" w:after="120"/>
      </w:pPr>
      <w:r>
        <w:rPr>
          <w:b/>
        </w:rPr>
        <w:t xml:space="preserve">Source: </w:t>
      </w:r>
      <w:r>
        <w:t>Nature Communications</w:t>
      </w:r>
      <w:r>
        <w:t xml:space="preserve">    </w:t>
      </w:r>
      <w:r>
        <w:rPr>
          <w:b/>
        </w:rPr>
        <w:t xml:space="preserve">Pub date: </w:t>
      </w:r>
      <w:r>
        <w:t>2026-01-25 00:00:00+00:00</w:t>
      </w:r>
    </w:p>
    <w:p>
      <w:pPr>
        <w:spacing w:before="0" w:after="120"/>
      </w:pPr>
      <w:r>
        <w:rPr>
          <w:b/>
        </w:rPr>
        <w:t xml:space="preserve">Notes: </w:t>
      </w:r>
      <w:r>
        <w:t>abstract_source=nature_html</w:t>
      </w:r>
    </w:p>
    <w:p>
      <w:pPr>
        <w:spacing w:before="0" w:after="80" w:lineRule="auto" w:line="276"/>
      </w:pPr>
      <w:r>
        <w:rPr>
          <w:b/>
        </w:rPr>
        <w:t xml:space="preserve">摘要（ZH）: </w:t>
      </w:r>
      <w:r>
        <w:t>将基因贡献量化为复杂特性的多因谱分数(PGS),但现有的单一和多种族方法缺乏统一框架内的多维评价。在这里,我们参照了联合王国生物库欧洲和非洲样本中36个特性的13种最先进的PGS方法。预测性能、计算效率、变异数以及不同联系不均分参考大小的影响,对每种方法都进行了彻底评估。单世方法的结果表明,LDPred2在准确性和计算效率方面在一系列广泛的复杂特性方面表现优异;然而,其他方法对于具体特性仍然很有价值。对于多种族方法而言,PRS-CSx和X-Wing具有可比性能。</w:t>
      </w:r>
    </w:p>
    <w:p>
      <w:pPr>
        <w:spacing w:before="0" w:after="200" w:lineRule="auto" w:line="276"/>
      </w:pPr>
      <w:r>
        <w:rPr>
          <w:b/>
        </w:rPr>
        <w:t xml:space="preserve">Abstract (EN): </w:t>
      </w:r>
      <w:r>
        <w:t>Polygenic scores (PGS) quantify genetic contributions to complex traits, yet existing single- and multi-ancestry methods lack multi-dimensional evaluation within a unified framework. Here, we benchmarked 13 state-of-the-art PGS methods across 36 traits in UK Biobank European and African samples. The prediction performance, computational efficiency, the number of variants, and the impact of different linkage disequilibrium (LD) reference sizes were thoroughly assessed for each method. Results of single-ancestry methods demonstrate that LDpred2 has superior performance across a broad spectrum of complex traits in terms of accuracy and computational efficiency; however, other methods remain valuable for specific traits. For multi-ancestry methods, PRS-CSx and X-Wing have comparable performance, whereas LDpred2-multi outperforms both. Notably, we find that increasing the panel size of the LD reference significantly elevates PGS performance for sample sizes below 1,000, and it reaches a plateau when it exceeds 5,000 samples. Furthermore, implementing PGS calculation methods requires considerable technical effort and resource allocation. To support easy use of these PGS methods, we developed a user-friendly online computing platform, PGS-hub, that integrates all evaluated methods and is pre-configured with ancestry-stratified LD panels. This resource enables a scalable and harmonized PGS computation platform for the PGS community.</w:t>
      </w:r>
    </w:p>
    <w:p>
      <w:pPr>
        <w:spacing w:before="120" w:after="120"/>
      </w:pPr>
      <w:r>
        <w:rPr>
          <w:sz w:val="18"/>
        </w:rPr>
        <w:t>——————————————————————————————————————————————————————————————————————</w:t>
      </w:r>
    </w:p>
    <w:p>
      <w:pPr>
        <w:spacing w:before="160" w:after="40" w:line="240" w:lineRule="auto"/>
      </w:pPr>
      <w:r>
        <w:rPr>
          <w:b/>
        </w:rPr>
        <w:t xml:space="preserve">[51] </w:t>
      </w:r>
      <w:hyperlink r:id="rId64">
        <w:r>
          <w:rPr>
            <w:color w:val="1155CC"/>
            <w:u w:val="single"/>
          </w:rPr>
          <w:t>相关不确定因素下社区多能源系统风险反多风险多时间规模的多时间随机集成框架</w:t>
        </w:r>
      </w:hyperlink>
    </w:p>
    <w:p>
      <w:pPr>
        <w:spacing w:before="0" w:after="80"/>
      </w:pPr>
      <w:r>
        <w:rPr>
          <w:i/>
          <w:sz w:val="20"/>
        </w:rPr>
        <w:t>EN: A risk-averse multi-timescale stochastic integration framework for a community multi-energy system under correlated uncertainties</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65">
        <w:r>
          <w:rPr>
            <w:color w:val="1155CC"/>
            <w:u w:val="single"/>
          </w:rPr>
          <w:t>电动车辆微型电网充电负荷的预测规划</w:t>
        </w:r>
      </w:hyperlink>
    </w:p>
    <w:p>
      <w:pPr>
        <w:spacing w:before="0" w:after="80"/>
      </w:pPr>
      <w:r>
        <w:rPr>
          <w:i/>
          <w:sz w:val="20"/>
        </w:rPr>
        <w:t>EN: Edge-cloud collaboration-driven predictive planning of electric vehicle charging load for microgrids</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66">
        <w:r>
          <w:rPr>
            <w:color w:val="1155CC"/>
            <w:u w:val="single"/>
          </w:rPr>
          <w:t>经合组织国家中的善政和能源安全:环境政策严格性发挥的调解作用</w:t>
        </w:r>
      </w:hyperlink>
    </w:p>
    <w:p>
      <w:pPr>
        <w:spacing w:before="0" w:after="80"/>
      </w:pPr>
      <w:r>
        <w:rPr>
          <w:i/>
          <w:sz w:val="20"/>
        </w:rPr>
        <w:t>EN: Good governance and energy security in OECD countries: The mediating role of environmental policy stringency</w:t>
      </w:r>
    </w:p>
    <w:p>
      <w:pPr>
        <w:spacing w:before="0" w:after="120"/>
      </w:pPr>
      <w:r>
        <w:rPr>
          <w:b/>
        </w:rPr>
        <w:t xml:space="preserve">Source: </w:t>
      </w:r>
      <w:r>
        <w:t>ScienceDirect Publication: Energy Policy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67">
        <w:r>
          <w:rPr>
            <w:color w:val="1155CC"/>
            <w:u w:val="single"/>
          </w:rPr>
          <w:t>可延展材料显示,超软组织具有很强的裂开阻力</w:t>
        </w:r>
      </w:hyperlink>
    </w:p>
    <w:p>
      <w:pPr>
        <w:spacing w:before="0" w:after="80"/>
      </w:pPr>
      <w:r>
        <w:rPr>
          <w:i/>
          <w:sz w:val="20"/>
        </w:rPr>
        <w:t>EN: Stretchable materials show high crack-initiation resistance that exceeds soft tissues</w:t>
      </w:r>
    </w:p>
    <w:p>
      <w:pPr>
        <w:spacing w:before="0" w:after="120"/>
      </w:pPr>
      <w:r>
        <w:rPr>
          <w:b/>
        </w:rPr>
        <w:t xml:space="preserve">Source: </w:t>
      </w:r>
      <w:r>
        <w:t>ScienceDirect Publication: Materials Today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68">
        <w:r>
          <w:rPr>
            <w:color w:val="1155CC"/>
            <w:u w:val="single"/>
          </w:rPr>
          <w:t>根据双型模型合用和网上错误更正对光伏发电的适应性预测</w:t>
        </w:r>
      </w:hyperlink>
    </w:p>
    <w:p>
      <w:pPr>
        <w:spacing w:before="0" w:after="80"/>
      </w:pPr>
      <w:r>
        <w:rPr>
          <w:i/>
          <w:sz w:val="20"/>
        </w:rPr>
        <w:t>EN: Adaptive forecasting of photovoltaic power based on dual-type models’ ensemble and online error correction</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69">
        <w:r>
          <w:rPr>
            <w:color w:val="1155CC"/>
            <w:u w:val="single"/>
          </w:rPr>
          <w:t>能源补贴改革的多种影响:蒙古能源补贴目标不明确的性质</w:t>
        </w:r>
      </w:hyperlink>
    </w:p>
    <w:p>
      <w:pPr>
        <w:spacing w:before="0" w:after="80"/>
      </w:pPr>
      <w:r>
        <w:rPr>
          <w:i/>
          <w:sz w:val="20"/>
        </w:rPr>
        <w:t>EN: The heterogeneous impact of energy subsidy reform: The ill-targeted nature of energy subsidies in Mongolia</w:t>
      </w:r>
    </w:p>
    <w:p>
      <w:pPr>
        <w:spacing w:before="0" w:after="120"/>
      </w:pPr>
      <w:r>
        <w:rPr>
          <w:b/>
        </w:rPr>
        <w:t xml:space="preserve">Source: </w:t>
      </w:r>
      <w:r>
        <w:t>ScienceDirect Publication: Energy Policy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70">
        <w:r>
          <w:rPr>
            <w:color w:val="1155CC"/>
            <w:u w:val="single"/>
          </w:rPr>
          <w:t>通过以热电联结为基础的废物热利用,促进电网互动数据数据中心-脱盐协调</w:t>
        </w:r>
      </w:hyperlink>
    </w:p>
    <w:p>
      <w:pPr>
        <w:spacing w:before="0" w:after="80"/>
      </w:pPr>
      <w:r>
        <w:rPr>
          <w:i/>
          <w:sz w:val="20"/>
        </w:rPr>
        <w:t>EN: Enabling grid-interactive data center-desalination coordination through thermo-electric coupling-based waste heat utilization</w:t>
      </w:r>
    </w:p>
    <w:p>
      <w:pPr>
        <w:spacing w:before="0" w:after="120"/>
      </w:pPr>
      <w:r>
        <w:rPr>
          <w:b/>
        </w:rPr>
        <w:t xml:space="preserve">Source: </w:t>
      </w:r>
      <w:r>
        <w:t>ScienceDirect Publication: Applied Energy</w:t>
      </w:r>
      <w:r>
        <w:t xml:space="preserve">    </w:t>
      </w:r>
      <w:r>
        <w:rPr>
          <w:b/>
        </w:rPr>
        <w:t xml:space="preserve">Pub date: </w:t>
      </w:r>
      <w:r>
        <w:t>2026-01-25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71">
        <w:r>
          <w:rPr>
            <w:color w:val="1155CC"/>
            <w:u w:val="single"/>
          </w:rPr>
          <w:t>由催化亚化硅化氢聚乙烯形成自燃器制造的分子</w:t>
        </w:r>
      </w:hyperlink>
    </w:p>
    <w:p>
      <w:pPr>
        <w:spacing w:before="0" w:after="80"/>
      </w:pPr>
      <w:r>
        <w:rPr>
          <w:i/>
          <w:sz w:val="20"/>
        </w:rPr>
        <w:t>EN: Building Molecules by a Self‐Replicator That Catalyzes Acyl Hydrazone Formation</w:t>
      </w:r>
    </w:p>
    <w:p>
      <w:pPr>
        <w:spacing w:before="0" w:after="120"/>
      </w:pPr>
      <w:r>
        <w:rPr>
          <w:b/>
        </w:rPr>
        <w:t xml:space="preserve">Source: </w:t>
      </w:r>
      <w:r>
        <w:t>Wiley: Angewandte Chemie International Edition: Table of Contents</w:t>
      </w:r>
      <w:r>
        <w:t xml:space="preserve">    </w:t>
      </w:r>
      <w:r>
        <w:rPr>
          <w:b/>
        </w:rPr>
        <w:t xml:space="preserve">Pub date: </w:t>
      </w:r>
      <w:r>
        <w:t>2026-01-25 06:44:43+00:00</w:t>
      </w:r>
      <w:r>
        <w:t xml:space="preserve">    </w:t>
      </w:r>
      <w:r>
        <w:rPr>
          <w:b/>
        </w:rPr>
        <w:t xml:space="preserve">DOI: </w:t>
      </w:r>
      <w:hyperlink r:id="rId72">
        <w:r>
          <w:rPr>
            <w:color w:val="1155CC"/>
            <w:u w:val="single"/>
          </w:rPr>
          <w:t>10.1002/anie.202506986</w:t>
        </w:r>
      </w:hyperlink>
    </w:p>
    <w:p>
      <w:pPr>
        <w:spacing w:before="0" w:after="120"/>
      </w:pPr>
      <w:r>
        <w:rPr>
          <w:b/>
        </w:rPr>
        <w:t xml:space="preserve">Notes: </w:t>
      </w:r>
      <w:r>
        <w:t>abstract_source=crossref</w:t>
      </w:r>
    </w:p>
    <w:p>
      <w:pPr>
        <w:spacing w:before="0" w:after="80" w:lineRule="auto" w:line="276"/>
      </w:pPr>
      <w:r>
        <w:rPr>
          <w:b/>
        </w:rPr>
        <w:t xml:space="preserve">摘要（ZH）: </w:t>
      </w:r>
      <w:r>
        <w:t>结合反应的抽象催化是发展类似生命的化学系统的关键,因为它能够形成新的材料,增加分子复杂性和多样性。将催化与生命的其他特性结合,例如自我复制,是从化学向生命过渡的重要进展。我们以前曾表明,催化作用可以通过超分子组装形成合成自愈合体。然而,有机解解析反应迄今只是断合而已。我们现在报告,这些系统的催化性交错性成功地扩展为联结反应。我们显示,自复制体能有效催化不同氢化物和藻类之间的碳氢化物形成。</w:t>
      </w:r>
    </w:p>
    <w:p>
      <w:pPr>
        <w:spacing w:before="0" w:after="200" w:lineRule="auto" w:line="276"/>
      </w:pPr>
      <w:r>
        <w:rPr>
          <w:b/>
        </w:rPr>
        <w:t xml:space="preserve">Abstract (EN): </w:t>
      </w:r>
      <w:r>
        <w:t>Catalysis of bond‐forming reactions is key to the development of life‐like chemical systems as it allows to build up new material, increasing molecular complexity and diversity. Integrating catalysis with other characteristic properties of life, like self‐replication, represents an important advance in the transition from chemistry to life. We have previously shown that catalysis can emerge in synthetic self‐replicators that form through supramolecular assembly. However, the organocatalyzed reactions were solely bond‐breaking so far. We now report the successful expansion of the catalytic promiscuity of these systems to bond‐forming reactions. We show that a self‐replicator efficiently catalyzes acyl hydrazone formation between different hydrazides and aldehydes. This marks an important step towards the further development of evolvable systems that combine metabolic activity with self‐replication.</w:t>
      </w:r>
    </w:p>
    <w:p>
      <w:pPr>
        <w:spacing w:before="120" w:after="120"/>
      </w:pPr>
      <w:r>
        <w:rPr>
          <w:sz w:val="18"/>
        </w:rPr>
        <w:t>——————————————————————————————————————————————————————————————————————</w:t>
      </w:r>
    </w:p>
    <w:p>
      <w:pPr>
        <w:spacing w:before="160" w:after="40" w:line="240" w:lineRule="auto"/>
      </w:pPr>
      <w:r>
        <w:rPr>
          <w:b/>
        </w:rPr>
        <w:t xml:space="preserve">[59] </w:t>
      </w:r>
      <w:hyperlink r:id="rId73">
        <w:r>
          <w:rPr>
            <w:color w:val="1155CC"/>
            <w:u w:val="single"/>
          </w:rPr>
          <w:t>电流极极极低金属电池高温SEI导出高温SEI</w:t>
        </w:r>
      </w:hyperlink>
    </w:p>
    <w:p>
      <w:pPr>
        <w:spacing w:before="0" w:after="80"/>
      </w:pPr>
      <w:r>
        <w:rPr>
          <w:i/>
          <w:sz w:val="20"/>
        </w:rPr>
        <w:t>EN: Double‐Coordination Additives Induced High‐Entropy SEI for Stable Anode‐Less Sodium Metal Batteries</w:t>
      </w:r>
    </w:p>
    <w:p>
      <w:pPr>
        <w:spacing w:before="0" w:after="120"/>
      </w:pPr>
      <w:r>
        <w:rPr>
          <w:b/>
        </w:rPr>
        <w:t xml:space="preserve">Source: </w:t>
      </w:r>
      <w:r>
        <w:t>Wiley: Advanced Energy Materials: Table of Contents</w:t>
      </w:r>
      <w:r>
        <w:t xml:space="preserve">    </w:t>
      </w:r>
      <w:r>
        <w:rPr>
          <w:b/>
        </w:rPr>
        <w:t xml:space="preserve">Pub date: </w:t>
      </w:r>
      <w:r>
        <w:t>2026-01-25 06:44:53+00:00</w:t>
      </w:r>
      <w:r>
        <w:t xml:space="preserve">    </w:t>
      </w:r>
      <w:r>
        <w:rPr>
          <w:b/>
        </w:rPr>
        <w:t xml:space="preserve">DOI: </w:t>
      </w:r>
      <w:hyperlink r:id="rId74">
        <w:r>
          <w:rPr>
            <w:color w:val="1155CC"/>
            <w:u w:val="single"/>
          </w:rPr>
          <w:t>10.1002/aenm.202506756</w:t>
        </w:r>
      </w:hyperlink>
    </w:p>
    <w:p>
      <w:pPr>
        <w:spacing w:before="0" w:after="120"/>
      </w:pPr>
      <w:r>
        <w:rPr>
          <w:b/>
        </w:rPr>
        <w:t xml:space="preserve">Notes: </w:t>
      </w:r>
      <w:r>
        <w:t>abstract_source=crossref</w:t>
      </w:r>
    </w:p>
    <w:p>
      <w:pPr>
        <w:spacing w:before="0" w:after="80" w:lineRule="auto" w:line="276"/>
      </w:pPr>
      <w:r>
        <w:rPr>
          <w:b/>
        </w:rPr>
        <w:t xml:space="preserve">摘要（ZH）: </w:t>
      </w:r>
      <w:r>
        <w:t>具有丰富资源和成本效益的ABSTRACT Sodium-Zion电池具有丰富的资源和成本效益,是能源储存的有希望的候选条件,然而,它们的能源密度不足阻碍了能源密集型应用的部署。无阳性配置通过消除初始阳极宿主,在面临不可逆电镀钠/脱压的重大挑战的同时,通过消除初始阳极宿主体,使能源密度最大化。在这里,我们介绍了双电解协调电解添加剂benzimidazole(BZ)和锌三氟乙烷硫酸盐(ZF),以解决这些内在限制。极极极ZF将溶剂从初级溶液堆中拔出,用于 Na + diffusivity 改善。同时,ZFBZ复合物优先吸附和脱腐。</w:t>
      </w:r>
    </w:p>
    <w:p>
      <w:pPr>
        <w:spacing w:before="0" w:after="200" w:lineRule="auto" w:line="276"/>
      </w:pPr>
      <w:r>
        <w:rPr>
          <w:b/>
        </w:rPr>
        <w:t xml:space="preserve">Abstract (EN): </w:t>
      </w:r>
      <w:r>
        <w:t>Sodium‐ion batteries with abundant resources and cost‐effectiveness are promising candidates for energy storage. However, their insufficient energy density impedes deployment in energy‐intensive applications. Anode‐free configurations maximize energy density by eliminating the initial anode host, while facing critical challenges of irreversible sodium plating/stripping. Here, we present double‐coordination electrolyte additives‐benzimidazole (BZ) and zinc trifluoromethanesulfonate (ZF) to address these intrinsic limitations. The highly polar ZF pulls out the solvents in the primary solvation sheath for Na</w:t>
      </w:r>
      <w:r>
        <w:t xml:space="preserve"> </w:t>
      </w:r>
      <w:r>
        <w:t>+</w:t>
      </w:r>
      <w:r>
        <w:t xml:space="preserve"> </w:t>
      </w:r>
      <w:r>
        <w:t>diffusivity improving. Simultaneously, the ZF‐BZ complexes preferentially adsorb and decompose on the Cu foil surface, in situ forming a high‐entropy solid electrolyte interphase (ZnF</w:t>
      </w:r>
      <w:r>
        <w:t xml:space="preserve"> </w:t>
      </w:r>
      <w:r>
        <w:t>2,</w:t>
      </w:r>
      <w:r>
        <w:t xml:space="preserve"> </w:t>
      </w:r>
      <w:r>
        <w:t>NaF, Na</w:t>
      </w:r>
      <w:r>
        <w:rPr>
          <w:vertAlign w:val="subscript"/>
        </w:rPr>
        <w:t>2</w:t>
      </w:r>
      <w:r>
        <w:t>O, Na</w:t>
      </w:r>
      <w:r>
        <w:rPr>
          <w:vertAlign w:val="subscript"/>
        </w:rPr>
        <w:t>2</w:t>
      </w:r>
      <w:r>
        <w:t>CO</w:t>
      </w:r>
      <w:r>
        <w:t xml:space="preserve"> </w:t>
      </w:r>
      <w:r>
        <w:t>3,</w:t>
      </w:r>
      <w:r>
        <w:t xml:space="preserve"> </w:t>
      </w:r>
      <w:r>
        <w:t>and Na</w:t>
      </w:r>
      <w:r>
        <w:rPr>
          <w:vertAlign w:val="subscript"/>
        </w:rPr>
        <w:t>3</w:t>
      </w:r>
      <w:r>
        <w:t>N). This ultrathin interphase (3.7 nm) features superior mechanical toughness and a lowered nucleation barrier, thereby facilitating rapid, uniform, and highly reversible sodium plating/stripping. Consequently, the Na||Cu cell using 1</w:t>
      </w:r>
      <w:r>
        <w:t xml:space="preserve"> </w:t>
      </w:r>
      <w:r>
        <w:t>m</w:t>
      </w:r>
      <w:r>
        <w:t xml:space="preserve"> </w:t>
      </w:r>
      <w:r>
        <w:t>NaPF</w:t>
      </w:r>
      <w:r>
        <w:t xml:space="preserve"> </w:t>
      </w:r>
      <w:r>
        <w:t>6–</w:t>
      </w:r>
      <w:r>
        <w:t xml:space="preserve"> </w:t>
      </w:r>
      <w:r>
        <w:t>diethylene glycol dimethyl–BZ/ZF electrolyte achieved an average Coulombic efficiency of 99.58% for 432 cycles at 3 mA cm</w:t>
      </w:r>
      <w:r>
        <w:t xml:space="preserve"> </w:t>
      </w:r>
      <w:r>
        <w:t>−2</w:t>
      </w:r>
      <w:r>
        <w:t xml:space="preserve"> </w:t>
      </w:r>
      <w:r>
        <w:t>/3 mAh cm</w:t>
      </w:r>
      <w:r>
        <w:t xml:space="preserve"> </w:t>
      </w:r>
      <w:r>
        <w:t>−2</w:t>
      </w:r>
      <w:r>
        <w:t xml:space="preserve"> </w:t>
      </w:r>
      <w:r>
        <w:t>and stable cycling stability for 800 h in Na||Na cell. The assembled anode‐less cell delivers a high energy‐density of 327.54 Wh kg</w:t>
      </w:r>
      <w:r>
        <w:t xml:space="preserve"> </w:t>
      </w:r>
      <w:r>
        <w:t>−1</w:t>
      </w:r>
      <w:r>
        <w:t xml:space="preserve"> </w:t>
      </w:r>
      <w:r>
        <w:t>.</w:t>
      </w:r>
    </w:p>
    <w:p>
      <w:pPr>
        <w:spacing w:before="120" w:after="120"/>
      </w:pPr>
      <w:r>
        <w:rPr>
          <w:sz w:val="18"/>
        </w:rPr>
        <w:t>——————————————————————————————————————————————————————————————————————</w:t>
      </w:r>
    </w:p>
    <w:p>
      <w:pPr>
        <w:spacing w:before="160" w:after="40" w:line="240" w:lineRule="auto"/>
      </w:pPr>
      <w:r>
        <w:rPr>
          <w:b/>
        </w:rPr>
        <w:t xml:space="preserve">[60] </w:t>
      </w:r>
      <w:hyperlink r:id="rId75">
        <w:r>
          <w:rPr>
            <w:color w:val="1155CC"/>
            <w:u w:val="single"/>
          </w:rPr>
          <w:t>使用Alkenyl-Straped Diaryryboryl 装置的逆冒 Umpolung</w:t>
        </w:r>
      </w:hyperlink>
    </w:p>
    <w:p>
      <w:pPr>
        <w:spacing w:before="0" w:after="80"/>
      </w:pPr>
      <w:r>
        <w:rPr>
          <w:i/>
          <w:sz w:val="20"/>
        </w:rPr>
        <w:t>EN: Temperature‐Responsive Near‐Infrared Emission Enabled by Reversible π‐Umpolung with an Alkenyl‐Strapped Diarylboryl Unit</w:t>
      </w:r>
    </w:p>
    <w:p>
      <w:pPr>
        <w:spacing w:before="0" w:after="120"/>
      </w:pPr>
      <w:r>
        <w:rPr>
          <w:b/>
        </w:rPr>
        <w:t xml:space="preserve">Source: </w:t>
      </w:r>
      <w:r>
        <w:t>Wiley: Angewandte Chemie International Edition: Table of Contents</w:t>
      </w:r>
      <w:r>
        <w:t xml:space="preserve">    </w:t>
      </w:r>
      <w:r>
        <w:rPr>
          <w:b/>
        </w:rPr>
        <w:t xml:space="preserve">Pub date: </w:t>
      </w:r>
      <w:r>
        <w:t>2026-01-25 06:51:02+00:00</w:t>
      </w:r>
      <w:r>
        <w:t xml:space="preserve">    </w:t>
      </w:r>
      <w:r>
        <w:rPr>
          <w:b/>
        </w:rPr>
        <w:t xml:space="preserve">DOI: </w:t>
      </w:r>
      <w:hyperlink r:id="rId76">
        <w:r>
          <w:rPr>
            <w:color w:val="1155CC"/>
            <w:u w:val="single"/>
          </w:rPr>
          <w:t>10.1002/anie.202523338</w:t>
        </w:r>
      </w:hyperlink>
    </w:p>
    <w:p>
      <w:pPr>
        <w:spacing w:before="0" w:after="120"/>
      </w:pPr>
      <w:r>
        <w:rPr>
          <w:b/>
        </w:rPr>
        <w:t xml:space="preserve">Notes: </w:t>
      </w:r>
      <w:r>
        <w:t>abstract_source=crossref</w:t>
      </w:r>
    </w:p>
    <w:p>
      <w:pPr>
        <w:spacing w:before="0" w:after="80" w:lineRule="auto" w:line="276"/>
      </w:pPr>
      <w:r>
        <w:rPr>
          <w:b/>
        </w:rPr>
        <w:t xml:space="preserve">摘要（ZH）: </w:t>
      </w:r>
      <w:r>
        <w:t>刘易斯基地的抽象协调为三相坐标的正辛基组生成了一种四相系物种,从而将正辛基替代体的电子特性从电子接受转换为电子捐赠。 利用这个 umbolung 战略,我们报告在近红外区域排放的温度- 反应性氟磷。 为了实现可逆的 umbolung, 我们设计了一个日记圆基组, 该日志组中两个圆环由高温链接连接器系系系。 这个正辛醇- 丁烷基顶顶顶的松鼠头从事一种微弱的olef- borane 互动, 并且对刘易斯双( FLP) 类型进行挫败, 即使与大中性刘易斯基, 如三环- 磷( PCy 3) 。 当两处都安装了恒星组时, 我们设计了一个日冕基组。</w:t>
      </w:r>
    </w:p>
    <w:p>
      <w:pPr>
        <w:spacing w:before="0" w:after="200" w:lineRule="auto" w:line="276"/>
      </w:pPr>
      <w:r>
        <w:rPr>
          <w:b/>
        </w:rPr>
        <w:t xml:space="preserve">Abstract (EN): </w:t>
      </w:r>
      <w:r>
        <w:t>Coordination of a Lewis base to a tricoordinate boryl group generates a tetracoordinate species, thereby inverting the electronic character of the boryl substituents from electron‐accepting to electron‐donating. Utilizing this π‐umpolung strategy, we report temperature‐responsive fluorophores that emit in the near‐infrared (NIR) region. To achieve reversible π‐umpolung, we designed a diarylboryl unit in which two aryl rings are tethered by an alkenyl linker. This alkenyl‐strapped scaffold engages in a weak olefin–borane interaction and undergoes frustrated Lewis pair (FLP)‐type addition even with bulky neutral Lewis bases such as tricyclohexylphosphine (PCy</w:t>
      </w:r>
      <w:r>
        <w:rPr>
          <w:vertAlign w:val="subscript"/>
        </w:rPr>
        <w:t>3</w:t>
      </w:r>
      <w:r>
        <w:t>). When boryl groups are installed at both termini of 4,7‐di(2‐thienyl)‐2,1,3‐benzothiadiazole, coordination of PCy</w:t>
      </w:r>
      <w:r>
        <w:rPr>
          <w:vertAlign w:val="subscript"/>
        </w:rPr>
        <w:t>3</w:t>
      </w:r>
      <w:r>
        <w:t>induces pronounced red‐shifts in the emission spectra. In polar acetonitrile, the emission maximum reaches 732 nm, entering the NIR region. This red shift arises from the strong σ‐donating character of the resulting tetracoordinate boron centers, which enhance intramolecular charge transfer (ICT) character in the excited state. Unlike conventional dimesitylborane–fluoride complexes, the FLP‐type adducts exhibit reversible, temperature‐dependent shifts in the dissociation/association equilibrium. Although the solvent polarity influences the equilibrium, modulation of phosphine Lewis basicity enables reversible dissociation even in polar media, allowing this system to display large emission changes spanning the visible to NIR region.</w:t>
      </w:r>
    </w:p>
    <w:p>
      <w:pPr>
        <w:spacing w:before="120" w:after="120"/>
      </w:pPr>
      <w:r>
        <w:rPr>
          <w:sz w:val="18"/>
        </w:rPr>
        <w:t>——————————————————————————————————————————————————————————————————————</w:t>
      </w:r>
    </w:p>
    <w:p>
      <w:pPr>
        <w:spacing w:before="160" w:after="40" w:line="240" w:lineRule="auto"/>
      </w:pPr>
      <w:r>
        <w:rPr>
          <w:b/>
        </w:rPr>
        <w:t xml:space="preserve">[61] </w:t>
      </w:r>
      <w:hyperlink r:id="rId77">
        <w:r>
          <w:rPr>
            <w:color w:val="1155CC"/>
            <w:u w:val="single"/>
          </w:rPr>
          <w:t>以宽带散散散光伏下反应, 实现米子超速增长</w:t>
        </w:r>
      </w:hyperlink>
    </w:p>
    <w:p>
      <w:pPr>
        <w:spacing w:before="0" w:after="80"/>
      </w:pPr>
      <w:r>
        <w:rPr>
          <w:i/>
          <w:sz w:val="20"/>
        </w:rPr>
        <w:t>EN: Sub‐5‐Min Ultrafast Growth of Millimeter‐Scale‐Length Tellurium Nanowires With Broadband Bulk Photovoltaic Response</w:t>
      </w:r>
    </w:p>
    <w:p>
      <w:pPr>
        <w:spacing w:before="0" w:after="120"/>
      </w:pPr>
      <w:r>
        <w:rPr>
          <w:b/>
        </w:rPr>
        <w:t xml:space="preserve">Source: </w:t>
      </w:r>
      <w:r>
        <w:t>Wiley: Advanced Materials: Table of Contents</w:t>
      </w:r>
      <w:r>
        <w:t xml:space="preserve">    </w:t>
      </w:r>
      <w:r>
        <w:rPr>
          <w:b/>
        </w:rPr>
        <w:t xml:space="preserve">Pub date: </w:t>
      </w:r>
      <w:r>
        <w:t>2026-01-25 06:51:35+00:00</w:t>
      </w:r>
      <w:r>
        <w:t xml:space="preserve">    </w:t>
      </w:r>
      <w:r>
        <w:rPr>
          <w:b/>
        </w:rPr>
        <w:t xml:space="preserve">DOI: </w:t>
      </w:r>
      <w:hyperlink r:id="rId78">
        <w:r>
          <w:rPr>
            <w:color w:val="1155CC"/>
            <w:u w:val="single"/>
          </w:rPr>
          <w:t>10.1002/adma.202517882</w:t>
        </w:r>
      </w:hyperlink>
    </w:p>
    <w:p>
      <w:pPr>
        <w:spacing w:before="0" w:after="120"/>
      </w:pPr>
      <w:r>
        <w:rPr>
          <w:b/>
        </w:rPr>
        <w:t xml:space="preserve">Notes: </w:t>
      </w:r>
      <w:r>
        <w:t>abstract_source=crossref</w:t>
      </w:r>
    </w:p>
    <w:p>
      <w:pPr>
        <w:spacing w:before="0" w:after="80" w:lineRule="auto" w:line="276"/>
      </w:pPr>
      <w:r>
        <w:rPr>
          <w:b/>
        </w:rPr>
        <w:t xml:space="preserve">摘要（ZH）: </w:t>
      </w:r>
      <w:r>
        <w:t>以零外部偏差的偏离依赖光反光反应为特征的ABSTACT 散散光效应(BBVVE)在零外部偏差下呈现的两极独立光反光反应中显示出利用下一代光测器的巨大潜力,然而,BPVE主要在宽带式铁电和复合范德华(VdW)外壳结构中有限,在窄带宽幅幅幅形VdW半导体中几乎没有表现出来。 我们在这里制定了一种表面自我限制扩散驱动增长战略,以迅速合成超低自我限制扩散和H2的核屏障。</w:t>
      </w:r>
    </w:p>
    <w:p>
      <w:pPr>
        <w:spacing w:before="0" w:after="200" w:lineRule="auto" w:line="276"/>
      </w:pPr>
      <w:r>
        <w:rPr>
          <w:b/>
        </w:rPr>
        <w:t xml:space="preserve">Abstract (EN): </w:t>
      </w:r>
      <w:r>
        <w:t>Bulk photovoltaic effect (BPVE) featured by polarization‐dependent photoresponse at zero external bias exhibits huge potential for exploiting next‐generation photodetectors. However, the BPVE is mainly limited in the wide‐bandgap ferroelectrics and complex van der Waals (vdW) heterostructures and scarcely demonstrated in narrow‐bandgap vdW semiconductors. Here we develop a surface self‐limiting diffusion driven growth strategy to rapidly synthesize millimeter‐scale‐length narrow‐bandgap tellurium (Te) single‐crystal nanowires with highly uniform non‐centrosymmetric structure. The sub‐5‐min ultrafast growth‐a feat not realized in prior Te synthesis arises from ultralow self‐limiting diffusion and nucleation barriers of H</w:t>
      </w:r>
      <w:r>
        <w:rPr>
          <w:vertAlign w:val="subscript"/>
        </w:rPr>
        <w:t>2</w:t>
      </w:r>
      <w:r>
        <w:t>Te precursors in a hydrogen‐assisted space‐confined environment. The fabricated photodetectors show broadband BPVE response from 520 nm to 4.6 µm, ultrahigh peak responsibility of 220 A/W and blackbody responsivity of 2.3 A/W, which are far superior to the state‐of‐the‐art self‐powered vdW devices. Furthermore, we demonstrate high‐resolution polarization imaging and BPVE detector arrays in a single Te nanowire. This work opens perspectives of ultralong Te nanowires with robust BPVE for the development of high‐performance on‐chip integrated multidimensional photodetection systems.</w:t>
      </w:r>
    </w:p>
    <w:p>
      <w:pPr>
        <w:spacing w:before="120" w:after="120"/>
      </w:pPr>
      <w:r>
        <w:rPr>
          <w:sz w:val="18"/>
        </w:rPr>
        <w:t>——————————————————————————————————————————————————————————————————————</w:t>
      </w:r>
    </w:p>
    <w:p>
      <w:pPr>
        <w:spacing w:before="160" w:after="40" w:line="240" w:lineRule="auto"/>
      </w:pPr>
      <w:r>
        <w:rPr>
          <w:b/>
        </w:rPr>
        <w:t xml:space="preserve">[62] </w:t>
      </w:r>
      <w:hyperlink r:id="rId79">
        <w:r>
          <w:rPr>
            <w:color w:val="1155CC"/>
            <w:u w:val="single"/>
          </w:rPr>
          <w:t>低分子湿重放大器控制超模分子组别和引导人类中子微粒细胞生长的分子表图</w:t>
        </w:r>
      </w:hyperlink>
    </w:p>
    <w:p>
      <w:pPr>
        <w:spacing w:before="0" w:after="80"/>
      </w:pPr>
      <w:r>
        <w:rPr>
          <w:i/>
          <w:sz w:val="20"/>
        </w:rPr>
        <w:t>EN: Molecular‐Scale Tuning of Low‐Molecular‐Weight Gelators Controls Supramolecular Assembly and Directs Human Mesenchymal Stem Cell Growth</w:t>
      </w:r>
    </w:p>
    <w:p>
      <w:pPr>
        <w:spacing w:before="0" w:after="120"/>
      </w:pPr>
      <w:r>
        <w:rPr>
          <w:b/>
        </w:rPr>
        <w:t xml:space="preserve">Source: </w:t>
      </w:r>
      <w:r>
        <w:t>Wiley: Angewandte Chemie International Edition: Table of Contents</w:t>
      </w:r>
      <w:r>
        <w:t xml:space="preserve">    </w:t>
      </w:r>
      <w:r>
        <w:rPr>
          <w:b/>
        </w:rPr>
        <w:t xml:space="preserve">Pub date: </w:t>
      </w:r>
      <w:r>
        <w:t>2026-01-25 06:52:22+00:00</w:t>
      </w:r>
      <w:r>
        <w:t xml:space="preserve">    </w:t>
      </w:r>
      <w:r>
        <w:rPr>
          <w:b/>
        </w:rPr>
        <w:t xml:space="preserve">DOI: </w:t>
      </w:r>
      <w:hyperlink r:id="rId80">
        <w:r>
          <w:rPr>
            <w:color w:val="1155CC"/>
            <w:u w:val="single"/>
          </w:rPr>
          <w:t>10.1002/anie.202523454</w:t>
        </w:r>
      </w:hyperlink>
    </w:p>
    <w:p>
      <w:pPr>
        <w:spacing w:before="0" w:after="120"/>
      </w:pPr>
      <w:r>
        <w:rPr>
          <w:b/>
        </w:rPr>
        <w:t xml:space="preserve">Notes: </w:t>
      </w:r>
      <w:r>
        <w:t>abstract_source=crossref</w:t>
      </w:r>
    </w:p>
    <w:p>
      <w:pPr>
        <w:spacing w:before="0" w:after="80" w:lineRule="auto" w:line="276"/>
      </w:pPr>
      <w:r>
        <w:rPr>
          <w:b/>
        </w:rPr>
        <w:t xml:space="preserve">摘要（ZH）: </w:t>
      </w:r>
      <w:r>
        <w:t>我们根据1,3:2,4dbenzylidenesrogyol scarffold(DBSCH 2 OH),对一个简单的酒精-功能化低分子量的低分子量凝胶(LMWG)进行了合成和定性,并探索其自组与二二二二二二二二二二二二二二二二二二二(DBSCH 2)相比,它形成一种硬性、高度有组织、不那么溶解的自组合体凝胶,具有不同的组装模式和更高程度的分解酶/元素。关于混合,LMWG可结合成热力与二二二二(DBSCOHNH 2)相似的凝胶纳米纤维。</w:t>
      </w:r>
    </w:p>
    <w:p>
      <w:pPr>
        <w:spacing w:before="0" w:after="200" w:lineRule="auto" w:line="276"/>
      </w:pPr>
      <w:r>
        <w:rPr>
          <w:b/>
        </w:rPr>
        <w:t xml:space="preserve">Abstract (EN): </w:t>
      </w:r>
      <w:r>
        <w:t>We report the synthesis and characterization of a simple alcohol‐functionalized low‐molecular‐weight gelator (LMWG) based on a 1,3:2,4‐dibenzylidenesorbitol scaffold (DBS‐CH</w:t>
      </w:r>
      <w:r>
        <w:rPr>
          <w:vertAlign w:val="subscript"/>
        </w:rPr>
        <w:t>2</w:t>
      </w:r>
      <w:r>
        <w:t>OH) and explore its self‐assembly in comparison to acylhydrazide‐functionalized DBS‐CONHNH</w:t>
      </w:r>
      <w:r>
        <w:rPr>
          <w:vertAlign w:val="subscript"/>
        </w:rPr>
        <w:t>2</w:t>
      </w:r>
      <w:r>
        <w:t>. DBS‐CH</w:t>
      </w:r>
      <w:r>
        <w:rPr>
          <w:vertAlign w:val="subscript"/>
        </w:rPr>
        <w:t>2</w:t>
      </w:r>
      <w:r>
        <w:t>OH forms a stiffer, highly organized, less‐soluble self‐assembled hydrogel, with a different assembly mode and much higher entropy/enthalpy of dissociation. On mixing, the LMWGs co‐assemble into gel nanofibers with similar thermodynamics to DBS‐CONHNH</w:t>
      </w:r>
      <w:r>
        <w:rPr>
          <w:vertAlign w:val="subscript"/>
        </w:rPr>
        <w:t>2</w:t>
      </w:r>
      <w:r>
        <w:t>. DBS‐CH</w:t>
      </w:r>
      <w:r>
        <w:rPr>
          <w:vertAlign w:val="subscript"/>
        </w:rPr>
        <w:t>2</w:t>
      </w:r>
      <w:r>
        <w:t>OH is an excellent scaffold for the growth of human mesenchymal stem cells (hMSCs), which exhibit extended spread‐shaped morphologies on the gel surface. In contrast, for DBS‐CONHNH</w:t>
      </w:r>
      <w:r>
        <w:rPr>
          <w:vertAlign w:val="subscript"/>
        </w:rPr>
        <w:t>2</w:t>
      </w:r>
      <w:r>
        <w:t>, hMSCs have a rounded morphology and penetrate into the softer gel. A simple functional group change on the LMWG, therefore, leads to a remarkable change in cell growth outcomes. When hMSCs are grown on the co‐assembled gel, they have the rounded morphology characteristic of DBS‐CONHNH</w:t>
      </w:r>
      <w:r>
        <w:rPr>
          <w:vertAlign w:val="subscript"/>
        </w:rPr>
        <w:t>2</w:t>
      </w:r>
      <w:r>
        <w:t>but remain on the gel surface, like DBS‐CH</w:t>
      </w:r>
      <w:r>
        <w:rPr>
          <w:vertAlign w:val="subscript"/>
        </w:rPr>
        <w:t>2</w:t>
      </w:r>
      <w:r>
        <w:t>OH. The multi‐component gel thus shares characteristics of the individual LMWGs, with hMSC growth being controlled by factors like structure, stiffness, and dynamics. This work demonstrates how chemical manipulation of gels based on deceptively simple LMWGs can have profound impacts in biomaterials engineering.</w:t>
      </w:r>
    </w:p>
    <w:p>
      <w:pPr>
        <w:spacing w:before="120" w:after="120"/>
      </w:pPr>
      <w:r>
        <w:rPr>
          <w:sz w:val="18"/>
        </w:rPr>
        <w:t>——————————————————————————————————————————————————————————————————————</w:t>
      </w:r>
    </w:p>
    <w:p>
      <w:pPr>
        <w:spacing w:before="160" w:after="40" w:line="240" w:lineRule="auto"/>
      </w:pPr>
      <w:r>
        <w:rPr>
          <w:b/>
        </w:rPr>
        <w:t xml:space="preserve">[63] </w:t>
      </w:r>
      <w:hyperlink r:id="rId81">
        <w:r>
          <w:rPr>
            <w:color w:val="1155CC"/>
            <w:u w:val="single"/>
          </w:rPr>
          <w:t>通过受管制p/n//混合结合产生的碳基碳基可功能性氮磷-基于多种恢复的多排放物</w:t>
        </w:r>
      </w:hyperlink>
    </w:p>
    <w:p>
      <w:pPr>
        <w:spacing w:before="0" w:after="80"/>
      </w:pPr>
      <w:r>
        <w:rPr>
          <w:i/>
          <w:sz w:val="20"/>
        </w:rPr>
        <w:t>EN: Carbonyl Functionalized Azaphosphinine‐Based Multiple‐Resonance Emitters via Regulated p/n/σ–π Hybrid Conjugation</w:t>
      </w:r>
    </w:p>
    <w:p>
      <w:pPr>
        <w:spacing w:before="0" w:after="120"/>
      </w:pPr>
      <w:r>
        <w:rPr>
          <w:b/>
        </w:rPr>
        <w:t xml:space="preserve">Source: </w:t>
      </w:r>
      <w:r>
        <w:t>Wiley: Angewandte Chemie International Edition: Table of Contents</w:t>
      </w:r>
      <w:r>
        <w:t xml:space="preserve">    </w:t>
      </w:r>
      <w:r>
        <w:rPr>
          <w:b/>
        </w:rPr>
        <w:t xml:space="preserve">Pub date: </w:t>
      </w:r>
      <w:r>
        <w:t>2026-01-25 06:53:14+00:00</w:t>
      </w:r>
      <w:r>
        <w:t xml:space="preserve">    </w:t>
      </w:r>
      <w:r>
        <w:rPr>
          <w:b/>
        </w:rPr>
        <w:t xml:space="preserve">DOI: </w:t>
      </w:r>
      <w:hyperlink r:id="rId82">
        <w:r>
          <w:rPr>
            <w:color w:val="1155CC"/>
            <w:u w:val="single"/>
          </w:rPr>
          <w:t>10.1002/anie.202525404</w:t>
        </w:r>
      </w:hyperlink>
    </w:p>
    <w:p>
      <w:pPr>
        <w:spacing w:before="0" w:after="120"/>
      </w:pPr>
      <w:r>
        <w:rPr>
          <w:b/>
        </w:rPr>
        <w:t xml:space="preserve">Notes: </w:t>
      </w:r>
      <w:r>
        <w:t>abstract_source=crossref</w:t>
      </w:r>
    </w:p>
    <w:p>
      <w:pPr>
        <w:spacing w:before="0" w:after="80" w:lineRule="auto" w:line="276"/>
      </w:pPr>
      <w:r>
        <w:rPr>
          <w:b/>
        </w:rPr>
        <w:t xml:space="preserve">摘要（ZH）: </w:t>
      </w:r>
      <w:r>
        <w:t>含有非典型电子连接的抽象外形解剖为微调有机聚变分子(OCMs)的化学结构和光电子特性提供了极好的机会。在这里,我们报告了通过模块协议的混合COPN多子共振(MR)热活性延迟荧光(TADF)发射物的第一个实例。与传统BN/CON有共振的MRN发射物相比,新的COPN MREIMTER通过Penter保持了各种n/ 12/ 超共化。与CO集团合作,PQADR(lp、O、S和Me+)超共和保持了对TDF特性的强烈影响,如FWHM、ISC/RISC和PLQY。</w:t>
      </w:r>
    </w:p>
    <w:p>
      <w:pPr>
        <w:spacing w:before="0" w:after="200" w:lineRule="auto" w:line="276"/>
      </w:pPr>
      <w:r>
        <w:rPr>
          <w:b/>
        </w:rPr>
        <w:t xml:space="preserve">Abstract (EN): </w:t>
      </w:r>
      <w:r>
        <w:t>Doping heteroatoms with non‐typical electronic couplings offered the great opportunity to fine‐tune chemical structures and optoelectronic properties of organic π‐conjugated molecules (OCMs). Herein, we reported the first example of hybrid COPN multiple‐resonance (MR) thermally activated delayed fluorescence (TADF) emitters via the modular protocols. Compared with the classical BN/CON MR‐emitters having p–π conjugation, new COPN MR‐emitters maintained the various n/σ/σ*–π* hyperconjugation via the P‐center. Collaboratively with CO group, the P‐regulated (lp, O, S, and Me</w:t>
      </w:r>
      <w:r>
        <w:t xml:space="preserve"> </w:t>
      </w:r>
      <w:r>
        <w:t>+</w:t>
      </w:r>
      <w:r>
        <w:t xml:space="preserve"> </w:t>
      </w:r>
      <w:r>
        <w:t>) hyperconjugation maintained the strong impacts on the TADF properties, such as FWHM, ISC/RISC, and PLQY. The dominating short‐range (SR) N➞CO charge‐transfer (CT) character suggested the CON‐type MR structure in the PO‐derivative. The strong long‐range (LR) P➞CO CT character suggested the COP‐type MR structure in the P(III)‐derivative. Leveraging on the self‐amplified PO‐hyperconjugation, the double‐PO derivative exhibited the dominating PON‐type MR‐TADF involving the SR N➞PO CT. The increased PLQYs (54%) and narrowed emission (FWHM: 13 nm) are among the best CON‐type MR‐emitters in the literature. As a proof of concept, the 1</w:t>
      </w:r>
      <w:r>
        <w:t xml:space="preserve"> </w:t>
      </w:r>
      <w:r>
        <w:t>st</w:t>
      </w:r>
      <w:r>
        <w:t xml:space="preserve"> </w:t>
      </w:r>
      <w:r>
        <w:t>generation hybrid MR‐emitters were applied as the light‐emitting materials in organic lighting‐emitting diodes that showed the narrow‐band blue (FWHM: 26 nm) and cyan emission (FWHM: 17 nm) with EQE as high as 7.3% and 22.8%, respectively. The current study revealed that installing the new hybrid conjugation, namely p/n/σ–π coupling into OCMs holds a great promise for designing new types of MR‐emitters with excellent TADF characters.</w:t>
      </w:r>
    </w:p>
    <w:p>
      <w:pPr>
        <w:spacing w:before="120" w:after="120"/>
      </w:pPr>
      <w:r>
        <w:rPr>
          <w:sz w:val="18"/>
        </w:rPr>
        <w:t>——————————————————————————————————————————————————————————————————————</w:t>
      </w:r>
    </w:p>
    <w:p>
      <w:pPr>
        <w:spacing w:before="160" w:after="40" w:line="240" w:lineRule="auto"/>
      </w:pPr>
      <w:r>
        <w:rPr>
          <w:b/>
        </w:rPr>
        <w:t xml:space="preserve">[64] </w:t>
      </w:r>
      <w:hyperlink r:id="rId83">
        <w:r>
          <w:rPr>
            <w:color w:val="1155CC"/>
            <w:u w:val="single"/>
          </w:rPr>
          <w:t>通过双-死亡和免疫聚合,可逆金属协调开关通过双-死亡和免疫聚合,使活性可动的索诺动力学治疗得以实现</w:t>
        </w:r>
      </w:hyperlink>
    </w:p>
    <w:p>
      <w:pPr>
        <w:spacing w:before="0" w:after="80"/>
      </w:pPr>
      <w:r>
        <w:rPr>
          <w:i/>
          <w:sz w:val="20"/>
        </w:rPr>
        <w:t>EN: Reversible Metal Coordination Switch Enables Activatable Sonodynamic Therapy via Dual‐Death and Immune Synergy</w:t>
      </w:r>
    </w:p>
    <w:p>
      <w:pPr>
        <w:spacing w:before="0" w:after="120"/>
      </w:pPr>
      <w:r>
        <w:rPr>
          <w:b/>
        </w:rPr>
        <w:t xml:space="preserve">Source: </w:t>
      </w:r>
      <w:r>
        <w:t>Wiley: Advanced Materials: Table of Contents</w:t>
      </w:r>
      <w:r>
        <w:t xml:space="preserve">    </w:t>
      </w:r>
      <w:r>
        <w:rPr>
          <w:b/>
        </w:rPr>
        <w:t xml:space="preserve">Pub date: </w:t>
      </w:r>
      <w:r>
        <w:t>2026-01-25 07:00:17+00:00</w:t>
      </w:r>
      <w:r>
        <w:t xml:space="preserve">    </w:t>
      </w:r>
      <w:r>
        <w:rPr>
          <w:b/>
        </w:rPr>
        <w:t xml:space="preserve">DOI: </w:t>
      </w:r>
      <w:hyperlink r:id="rId84">
        <w:r>
          <w:rPr>
            <w:color w:val="1155CC"/>
            <w:u w:val="single"/>
          </w:rPr>
          <w:t>10.1002/adma.202521565</w:t>
        </w:r>
      </w:hyperlink>
    </w:p>
    <w:p>
      <w:pPr>
        <w:spacing w:before="0" w:after="120"/>
      </w:pPr>
      <w:r>
        <w:rPr>
          <w:b/>
        </w:rPr>
        <w:t xml:space="preserve">Notes: </w:t>
      </w:r>
      <w:r>
        <w:t>abstract_source=crossref</w:t>
      </w:r>
    </w:p>
    <w:p>
      <w:pPr>
        <w:spacing w:before="0" w:after="80" w:lineRule="auto" w:line="276"/>
      </w:pPr>
      <w:r>
        <w:rPr>
          <w:b/>
        </w:rPr>
        <w:t xml:space="preserve">摘要（ZH）: </w:t>
      </w:r>
      <w:r>
        <w:t>Sono动力学疗法(SDT)具有巨大的疾病治疗潜力,但其效力却受到成因反应氧物种(ROS)的生成和低选择性的限制。 我们在此报告了一项使用可逆金属协调以调节半导体聚合物(SPs)的声动活性的一般战略。 一种基于敌顶天花血球(DPP)的聚合物(SPC)起到协调脚架的作用,与过渡性金属离子(Cu 2+,Co 2+,Zn 2+,Fe 3+)结合,重新分配电子密度,并增加单三角能量差距()。</w:t>
      </w:r>
    </w:p>
    <w:p>
      <w:pPr>
        <w:spacing w:before="0" w:after="200" w:lineRule="auto" w:line="276"/>
      </w:pPr>
      <w:r>
        <w:rPr>
          <w:b/>
        </w:rPr>
        <w:t xml:space="preserve">Abstract (EN): </w:t>
      </w:r>
      <w:r>
        <w:t>Sonodynamic therapy (SDT) holds great potential for disease treatment, yet its efficacy is limited by constitutive reactive oxygen species (ROS) generation and poor selectivity. Herein, we report a generalizable strategy using reversible metal‐ion coordination to regulate the sonodynamic activity of semiconducting polymers (SPs). A diketopyrrolopyrrole (DPP)‐based polymer (SPC) serves as the coordination scaffold, where binding with transition metal ions (Cu</w:t>
      </w:r>
      <w:r>
        <w:t xml:space="preserve"> </w:t>
      </w:r>
      <w:r>
        <w:t>2+</w:t>
      </w:r>
      <w:r>
        <w:t xml:space="preserve"> </w:t>
      </w:r>
      <w:r>
        <w:t>, Co</w:t>
      </w:r>
      <w:r>
        <w:t xml:space="preserve"> </w:t>
      </w:r>
      <w:r>
        <w:t>2+</w:t>
      </w:r>
      <w:r>
        <w:t xml:space="preserve"> </w:t>
      </w:r>
      <w:r>
        <w:t>, Zn</w:t>
      </w:r>
      <w:r>
        <w:t xml:space="preserve"> </w:t>
      </w:r>
      <w:r>
        <w:t>2+</w:t>
      </w:r>
      <w:r>
        <w:t xml:space="preserve"> </w:t>
      </w:r>
      <w:r>
        <w:t>, Fe</w:t>
      </w:r>
      <w:r>
        <w:t xml:space="preserve"> </w:t>
      </w:r>
      <w:r>
        <w:t>3+</w:t>
      </w:r>
      <w:r>
        <w:t xml:space="preserve"> </w:t>
      </w:r>
      <w:r>
        <w:t>) redistributes electron density and increases the singlet–triplet energy gap (Δ</w:t>
      </w:r>
      <w:r>
        <w:t xml:space="preserve"> </w:t>
      </w:r>
      <w:r>
        <w:t>E</w:t>
      </w:r>
      <w:r>
        <w:t xml:space="preserve"> </w:t>
      </w:r>
      <w:r>
        <w:t>ST</w:t>
      </w:r>
      <w:r>
        <w:t xml:space="preserve"> </w:t>
      </w:r>
      <w:r>
        <w:t>), thereby effectively suppressing ROS generation. Among them, Cu</w:t>
      </w:r>
      <w:r>
        <w:t xml:space="preserve"> </w:t>
      </w:r>
      <w:r>
        <w:t>2+</w:t>
      </w:r>
      <w:r>
        <w:t xml:space="preserve"> </w:t>
      </w:r>
      <w:r>
        <w:t>is selected as a model ion due to its reductive responsiveness to glutathione (GSH) in the tumor microenvironment (TME). This enables SPCu to remain inactive during systemic circulation and become selectively reactivated within the TME. Released copper further induces mitochondrial dysfunction and cuproptosis, synergizing with ultrasound‐triggered ROS‐driven PANoptosis. Together, this dual‐death mechanism elicits robust tumor ablation, immunogenic cell death, and immune cell activation, leading to systemic antitumor immunity. Collectively, this study presents a reversible, metal coordination–based platform for constructing activatable organic sonosensitizers, offering precise SDT with immuno‐therapeutic synergy.</w:t>
      </w:r>
    </w:p>
    <w:p>
      <w:pPr>
        <w:spacing w:before="120" w:after="120"/>
      </w:pPr>
      <w:r>
        <w:rPr>
          <w:sz w:val="18"/>
        </w:rPr>
        <w:t>——————————————————————————————————————————————————————————————————————</w:t>
      </w:r>
    </w:p>
    <w:p>
      <w:pPr>
        <w:spacing w:before="160" w:after="40" w:line="240" w:lineRule="auto"/>
      </w:pPr>
      <w:r>
        <w:rPr>
          <w:b/>
        </w:rPr>
        <w:t xml:space="preserve">[65] </w:t>
      </w:r>
      <w:hyperlink r:id="rId85">
        <w:r>
          <w:rPr>
            <w:color w:val="1155CC"/>
            <w:u w:val="single"/>
          </w:rPr>
          <w:t>单石化电热电熔质量,用于蒸汽神经地貌核心集成</w:t>
        </w:r>
      </w:hyperlink>
    </w:p>
    <w:p>
      <w:pPr>
        <w:spacing w:before="0" w:after="80"/>
      </w:pPr>
      <w:r>
        <w:rPr>
          <w:i/>
          <w:sz w:val="20"/>
        </w:rPr>
        <w:t>EN: A Monolithic Ferroelectric‐Ionic Duality for Stochastic‐Neuromorphic Core Integration</w:t>
      </w:r>
    </w:p>
    <w:p>
      <w:pPr>
        <w:spacing w:before="0" w:after="120"/>
      </w:pPr>
      <w:r>
        <w:rPr>
          <w:b/>
        </w:rPr>
        <w:t xml:space="preserve">Source: </w:t>
      </w:r>
      <w:r>
        <w:t>Wiley: Advanced Materials: Table of Contents</w:t>
      </w:r>
      <w:r>
        <w:t xml:space="preserve">    </w:t>
      </w:r>
      <w:r>
        <w:rPr>
          <w:b/>
        </w:rPr>
        <w:t xml:space="preserve">Pub date: </w:t>
      </w:r>
      <w:r>
        <w:t>2026-01-25 07:01:22+00:00</w:t>
      </w:r>
      <w:r>
        <w:t xml:space="preserve">    </w:t>
      </w:r>
      <w:r>
        <w:rPr>
          <w:b/>
        </w:rPr>
        <w:t xml:space="preserve">DOI: </w:t>
      </w:r>
      <w:hyperlink r:id="rId86">
        <w:r>
          <w:rPr>
            <w:color w:val="1155CC"/>
            <w:u w:val="single"/>
          </w:rPr>
          <w:t>10.1002/adma.202517440</w:t>
        </w:r>
      </w:hyperlink>
    </w:p>
    <w:p>
      <w:pPr>
        <w:spacing w:before="0" w:after="120"/>
      </w:pPr>
      <w:r>
        <w:rPr>
          <w:b/>
        </w:rPr>
        <w:t xml:space="preserve">Notes: </w:t>
      </w:r>
      <w:r>
        <w:t>abstract_source=crossref</w:t>
      </w:r>
    </w:p>
    <w:p>
      <w:pPr>
        <w:spacing w:before="0" w:after="80" w:lineRule="auto" w:line="276"/>
      </w:pPr>
      <w:r>
        <w:rPr>
          <w:b/>
        </w:rPr>
        <w:t xml:space="preserve">摘要（ZH）: </w:t>
      </w:r>
      <w:r>
        <w:t>在数据密集的人工智能应用中,不确定性中的ABSTACT学习变得日益重要,这要求计算机系统能够统一确定性和概率功能。 将稳定的记忆与金枪鱼易碎的随机性相结合的硬件对于这些系统至关重要,但是,由于精确的记忆保留和可控的随机变异之间存在内在冲突,在微型结构中实现这种整合仍然具有巨大的挑战性。 在这里,我们显示了一种基于氧基的铁电电离双重性,它把随机编码和合成记忆结合到一个装置中。</w:t>
      </w:r>
    </w:p>
    <w:p>
      <w:pPr>
        <w:spacing w:before="0" w:after="200" w:lineRule="auto" w:line="276"/>
      </w:pPr>
      <w:r>
        <w:rPr>
          <w:b/>
        </w:rPr>
        <w:t xml:space="preserve">Abstract (EN): </w:t>
      </w:r>
      <w:r>
        <w:t>Learning under uncertainty has become increasingly critical in data‐intensive artificial intelligence applications, requiring computing systems that unify deterministic and probabilistic functions. Hardware that combines stable memory with tunable stochasticity is essential for such systems, but achieving this integration within a miniaturized architecture remains significantly challenging due to intrinsic conflicts between precise memory retention and controllable stochastic variability. Here we demonstrate a hafnia‐based ferroelectric‐ionic duality that integrates stochastic encoding and synaptic memory within a single device. By deliberately engineering the ferroelectric interface to repurpose oxygen vacancies—traditionally regarded as defects that degrade reliability in hafnia ferroelectrics—we exploit these vacancies as functional ionic components that dynamically modulate device behavior. The resulting ferroelectric‐ionic dual‐mode switching introduces voltage‐tunable stochasticity and enhances synaptic behavior within a single device architecture. Crucially, this ferroelectric‐ionic duality exhibits full complementary metal‐oxide‐semiconductor (CMOS) compatibility and scalability to very‐large scale integration (VLSI) system, enabled by wafer‐scale atomic layer deposition‐based growth of hafnia. These results establish a novel device paradigm that unifies memory, randomness, and learning capabilities within a single ferroelectric platform.</w:t>
      </w:r>
    </w:p>
    <w:p>
      <w:pPr>
        <w:spacing w:before="120" w:after="120"/>
      </w:pPr>
      <w:r>
        <w:rPr>
          <w:sz w:val="18"/>
        </w:rPr>
        <w:t>——————————————————————————————————————————————————————————————————————</w:t>
      </w:r>
    </w:p>
    <w:p>
      <w:pPr>
        <w:spacing w:before="160" w:after="40" w:line="240" w:lineRule="auto"/>
      </w:pPr>
      <w:r>
        <w:rPr>
          <w:b/>
        </w:rPr>
        <w:t xml:space="preserve">[66] </w:t>
      </w:r>
      <w:hyperlink r:id="rId87">
        <w:r>
          <w:rPr>
            <w:color w:val="1155CC"/>
            <w:u w:val="single"/>
          </w:rPr>
          <w:t>通过近红外光探测和实时运动识别的 红外光探测和实时识别的 红外光探测和机 机 机 机 机 机 电 热 结构的相互作用</w:t>
        </w:r>
      </w:hyperlink>
    </w:p>
    <w:p>
      <w:pPr>
        <w:spacing w:before="0" w:after="80"/>
      </w:pPr>
      <w:r>
        <w:rPr>
          <w:i/>
          <w:sz w:val="20"/>
        </w:rPr>
        <w:t>EN: Interlayer Coupling in Organic‐Inorganic Heterostructures via Interfacial F···S Interactions for Near‐Infrared Photodetection and Real‐Time Motion Recognition</w:t>
      </w:r>
    </w:p>
    <w:p>
      <w:pPr>
        <w:spacing w:before="0" w:after="120"/>
      </w:pPr>
      <w:r>
        <w:rPr>
          <w:b/>
        </w:rPr>
        <w:t xml:space="preserve">Source: </w:t>
      </w:r>
      <w:r>
        <w:t>Wiley: Advanced Materials: Table of Contents</w:t>
      </w:r>
      <w:r>
        <w:t xml:space="preserve">    </w:t>
      </w:r>
      <w:r>
        <w:rPr>
          <w:b/>
        </w:rPr>
        <w:t xml:space="preserve">Pub date: </w:t>
      </w:r>
      <w:r>
        <w:t>2026-01-25 07:02:30+00:00</w:t>
      </w:r>
      <w:r>
        <w:t xml:space="preserve">    </w:t>
      </w:r>
      <w:r>
        <w:rPr>
          <w:b/>
        </w:rPr>
        <w:t xml:space="preserve">DOI: </w:t>
      </w:r>
      <w:hyperlink r:id="rId88">
        <w:r>
          <w:rPr>
            <w:color w:val="1155CC"/>
            <w:u w:val="single"/>
          </w:rPr>
          <w:t>10.1002/adma.202518146</w:t>
        </w:r>
      </w:hyperlink>
    </w:p>
    <w:p>
      <w:pPr>
        <w:spacing w:before="0" w:after="120"/>
      </w:pPr>
      <w:r>
        <w:rPr>
          <w:b/>
        </w:rPr>
        <w:t xml:space="preserve">Notes: </w:t>
      </w:r>
      <w:r>
        <w:t>abstract_source=crossref</w:t>
      </w:r>
    </w:p>
    <w:p>
      <w:pPr>
        <w:spacing w:before="0" w:after="80" w:lineRule="auto" w:line="276"/>
      </w:pPr>
      <w:r>
        <w:rPr>
          <w:b/>
        </w:rPr>
        <w:t xml:space="preserve">摘要（ZH）: </w:t>
      </w:r>
      <w:r>
        <w:t>尽管有机和无机半导体的结合使得多功能的光电子应用得以应用,但有机无机电子结构中的跨层结合仍然受到内在物质差异的限制,如衬里匹配和堆叠顺序等。在这里,我们展示了由分子5,5'-双(2------------------------------------------------------------------------------------------------------------------------------------------------------------------------------------------------</w:t>
      </w:r>
    </w:p>
    <w:p>
      <w:pPr>
        <w:spacing w:before="0" w:after="200" w:lineRule="auto" w:line="276"/>
      </w:pPr>
      <w:r>
        <w:rPr>
          <w:b/>
        </w:rPr>
        <w:t xml:space="preserve">Abstract (EN): </w:t>
      </w:r>
      <w:r>
        <w:t>Interlayer coupling serves as a powerful strategy for manipulating the optoelectronic characteristics of van der Waals heterostructures. Although the combination of organic and inorganic semiconductors has enabled versatile optoelectronic applications, interlayer coupling in organic–inorganic heterostructures is still limited by inherent material discrepancies such as lattice matching and stacking order. Herein, we demonstrate an interlayer–coupled organic–inorganic heterojunction achieved by interfacial noncovalent F···S interactions, which is composed of molecular 5,5''‐bis(2‐fluorophenyl)‐2,2':5',2''‐terthiophene (oF‐PTTTP) and 2D molybdenum disulfide (MoS</w:t>
      </w:r>
      <w:r>
        <w:rPr>
          <w:vertAlign w:val="subscript"/>
        </w:rPr>
        <w:t>2</w:t>
      </w:r>
      <w:r>
        <w:t>). By leveraging the conformational flexibility afforded by the full C─C single bonds in its backbone, the oF‐PTTTP molecules can self‐adjust their conformations upon thermal activation. The fluorine atoms on the side chains of oF‐PTTTP engage in noncovalent interactions with the sulfur atoms of MoS</w:t>
      </w:r>
      <w:r>
        <w:rPr>
          <w:vertAlign w:val="subscript"/>
        </w:rPr>
        <w:t>2</w:t>
      </w:r>
      <w:r>
        <w:t>at the heterointerface, inducing a pronounced interlayer coupling effect accompanied by lattice strain. This coupling enables near‐infrared (NIR) photodetection in a spectral range inaccessible to each individual component, yielding a specific detectivity of 1.8 × 10</w:t>
      </w:r>
      <w:r>
        <w:rPr>
          <w:vertAlign w:val="subscript"/>
        </w:rPr>
        <w:t>14</w:t>
      </w:r>
      <w:r>
        <w:t>Jones at 808 nm, which is one of the highest values reported for organic–inorganic heterostructures. Furthermore, the device exhibits gate‐tunable positive and negative photoresponses at 808 nm, allowing real‐time motion imaging in the NIR spectrum.</w:t>
      </w:r>
    </w:p>
    <w:p>
      <w:pPr>
        <w:spacing w:before="120" w:after="120"/>
      </w:pPr>
      <w:r>
        <w:rPr>
          <w:sz w:val="18"/>
        </w:rPr>
        <w:t>——————————————————————————————————————————————————————————————————————</w:t>
      </w:r>
    </w:p>
    <w:p>
      <w:pPr>
        <w:spacing w:before="160" w:after="40" w:line="240" w:lineRule="auto"/>
      </w:pPr>
      <w:r>
        <w:rPr>
          <w:b/>
        </w:rPr>
        <w:t xml:space="preserve">[67] </w:t>
      </w:r>
      <w:hyperlink r:id="rId89">
        <w:r>
          <w:rPr>
            <w:color w:val="1155CC"/>
            <w:u w:val="single"/>
          </w:rPr>
          <w:t>地形薄膜中超导导异体结构的非破坏性激光纳米散射</w:t>
        </w:r>
      </w:hyperlink>
    </w:p>
    <w:p>
      <w:pPr>
        <w:spacing w:before="0" w:after="80"/>
      </w:pPr>
      <w:r>
        <w:rPr>
          <w:i/>
          <w:sz w:val="20"/>
        </w:rPr>
        <w:t>EN: Non‐Destructive Laser Nanopatterning of Superconducting Heterostructures in Topological Sn Thin Films</w:t>
      </w:r>
    </w:p>
    <w:p>
      <w:pPr>
        <w:spacing w:before="0" w:after="120"/>
      </w:pPr>
      <w:r>
        <w:rPr>
          <w:b/>
        </w:rPr>
        <w:t xml:space="preserve">Source: </w:t>
      </w:r>
      <w:r>
        <w:t>Wiley: Advanced Materials: Table of Contents</w:t>
      </w:r>
      <w:r>
        <w:t xml:space="preserve">    </w:t>
      </w:r>
      <w:r>
        <w:rPr>
          <w:b/>
        </w:rPr>
        <w:t xml:space="preserve">Pub date: </w:t>
      </w:r>
      <w:r>
        <w:t>2026-01-25 07:04:59+00:00</w:t>
      </w:r>
      <w:r>
        <w:t xml:space="preserve">    </w:t>
      </w:r>
      <w:r>
        <w:rPr>
          <w:b/>
        </w:rPr>
        <w:t xml:space="preserve">DOI: </w:t>
      </w:r>
      <w:hyperlink r:id="rId90">
        <w:r>
          <w:rPr>
            <w:color w:val="1155CC"/>
            <w:u w:val="single"/>
          </w:rPr>
          <w:t>10.1002/adma.202512571</w:t>
        </w:r>
      </w:hyperlink>
    </w:p>
    <w:p>
      <w:pPr>
        <w:spacing w:before="0" w:after="120"/>
      </w:pPr>
      <w:r>
        <w:rPr>
          <w:b/>
        </w:rPr>
        <w:t xml:space="preserve">Notes: </w:t>
      </w:r>
      <w:r>
        <w:t>abstract_source=crossref</w:t>
      </w:r>
    </w:p>
    <w:p>
      <w:pPr>
        <w:spacing w:before="0" w:after="80" w:lineRule="auto" w:line="276"/>
      </w:pPr>
      <w:r>
        <w:rPr>
          <w:b/>
        </w:rPr>
        <w:t xml:space="preserve">摘要（ZH）: </w:t>
      </w:r>
      <w:r>
        <w:t>由超导体和地形材料组成的ABSTRACT的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乙型六氯环己烷。</w:t>
      </w:r>
    </w:p>
    <w:p>
      <w:pPr>
        <w:spacing w:before="0" w:after="200" w:lineRule="auto" w:line="276"/>
      </w:pPr>
      <w:r>
        <w:rPr>
          <w:b/>
        </w:rPr>
        <w:t xml:space="preserve">Abstract (EN): </w:t>
      </w:r>
      <w:r>
        <w:t>Heterostructures composed of superconductors and topological materials have emerged as compelling platforms for realizing topological superconductivity and fault‐tolerant quantum computation. A critical bottleneck, however, lies in achieving atomically clean and structurally coherent interfaces between dissimilar materials. Here, we report the fabrication of high‐quality planar heterostructures composed of the topological Dirac semimetal (TDS) α‐Sn and the superconducting β‐Sn phase, achieved by focused laser irradiation on α‐Sn thin films. The irradiated regions undergo a phase transition from α‐Sn to β‐Sn, exhibiting atomically smooth surfaces with a root mean square (RMS) roughness of just 0.75 nm. The laser‐induced β‐Sn demonstrates superconductivity with a critical temperature of 3.7 K and a Ginzburg–Landau coherence length (</w:t>
      </w:r>
      <w:r>
        <w:t xml:space="preserve"> </w:t>
      </w:r>
      <w:r>
        <w:t>ξ</w:t>
      </w:r>
      <w:r>
        <w:t xml:space="preserve"> </w:t>
      </w:r>
      <w:r>
        <w:t>GL</w:t>
      </w:r>
      <w:r>
        <w:t xml:space="preserve"> </w:t>
      </w:r>
      <w:r>
        <w:t>) of 68.2 nm. Notably, β‐Sn nanowires patterned through this method exhibit a pronounced superconducting diode effect, reaching a maximum rectification ratio (</w:t>
      </w:r>
      <w:r>
        <w:t xml:space="preserve"> </w:t>
      </w:r>
      <w:r>
        <w:t>η</w:t>
      </w:r>
      <w:r>
        <w:t xml:space="preserve"> </w:t>
      </w:r>
      <w:r>
        <w:t>) of 10.8%. These findings establish laser irradiation as a versatile, non‐destructive, and scalable approach for fabricating high‐quality α‐Sn/β‐Sn heterostructures, offering a promising route toward next‐generation superconducting quantum devices.</w:t>
      </w:r>
    </w:p>
    <w:p>
      <w:pPr>
        <w:spacing w:before="120" w:after="120"/>
      </w:pPr>
      <w:r>
        <w:rPr>
          <w:sz w:val="18"/>
        </w:rPr>
        <w:t>——————————————————————————————————————————————————————————————————————</w:t>
      </w:r>
    </w:p>
    <w:p>
      <w:pPr>
        <w:spacing w:before="160" w:after="40" w:line="240" w:lineRule="auto"/>
      </w:pPr>
      <w:r>
        <w:rPr>
          <w:b/>
        </w:rPr>
        <w:t xml:space="preserve">[68] </w:t>
      </w:r>
      <w:hyperlink r:id="rId91">
        <w:r>
          <w:rPr>
            <w:color w:val="1155CC"/>
            <w:u w:val="single"/>
          </w:rPr>
          <w:t>用于强化肿瘤穿透和免疫性索诺疗法的自组露天复合体</w:t>
        </w:r>
      </w:hyperlink>
    </w:p>
    <w:p>
      <w:pPr>
        <w:spacing w:before="0" w:after="80"/>
      </w:pPr>
      <w:r>
        <w:rPr>
          <w:i/>
          <w:sz w:val="20"/>
        </w:rPr>
        <w:t>EN: Self‐Assembled Ruthenium Complexes With Sonobleaching Ligand for Enhanced Tumor Penetration and Immunogenic Sonotherapy</w:t>
      </w:r>
    </w:p>
    <w:p>
      <w:pPr>
        <w:spacing w:before="0" w:after="120"/>
      </w:pPr>
      <w:r>
        <w:rPr>
          <w:b/>
        </w:rPr>
        <w:t xml:space="preserve">Source: </w:t>
      </w:r>
      <w:r>
        <w:t>Wiley: Advanced Materials: Table of Contents</w:t>
      </w:r>
      <w:r>
        <w:t xml:space="preserve">    </w:t>
      </w:r>
      <w:r>
        <w:rPr>
          <w:b/>
        </w:rPr>
        <w:t xml:space="preserve">Pub date: </w:t>
      </w:r>
      <w:r>
        <w:t>2026-01-25 07:06:02+00:00</w:t>
      </w:r>
      <w:r>
        <w:t xml:space="preserve">    </w:t>
      </w:r>
      <w:r>
        <w:rPr>
          <w:b/>
        </w:rPr>
        <w:t xml:space="preserve">DOI: </w:t>
      </w:r>
      <w:hyperlink r:id="rId92">
        <w:r>
          <w:rPr>
            <w:color w:val="1155CC"/>
            <w:u w:val="single"/>
          </w:rPr>
          <w:t>10.1002/adma.202523608</w:t>
        </w:r>
      </w:hyperlink>
    </w:p>
    <w:p>
      <w:pPr>
        <w:spacing w:before="0" w:after="120"/>
      </w:pPr>
      <w:r>
        <w:rPr>
          <w:b/>
        </w:rPr>
        <w:t xml:space="preserve">Notes: </w:t>
      </w:r>
      <w:r>
        <w:t>abstract_source=crossref</w:t>
      </w:r>
    </w:p>
    <w:p>
      <w:pPr>
        <w:spacing w:before="0" w:after="80" w:lineRule="auto" w:line="276"/>
      </w:pPr>
      <w:r>
        <w:rPr>
          <w:b/>
        </w:rPr>
        <w:t xml:space="preserve">摘要（ZH）: </w:t>
      </w:r>
      <w:r>
        <w:t>露天露天综合体可以通过精确的光度(光度)诱导时空控制来激活,被确认为有希望的癌症治疗对象,然而,肿瘤的不适当渗透和对光活性的依赖,对更深入的临床应用提出了挑战。在此,我们引入了充电战略,以提高RuIR783的肿瘤渗透和细胞吸收率,一种由超声波引发的自组合金属蛋白药物,从而能够进行深度组织渗透。RuIR783通过协调一个Ru(II)聚丙烯基化合物综合体,并配有含有两个水生物质组的七氯丁二烯染料。氰酸染色成分既是超声天线,又是自我组装的模型。RuIR783自我组装成大型纳米部分。RuIR783</w:t>
      </w:r>
    </w:p>
    <w:p>
      <w:pPr>
        <w:spacing w:before="0" w:after="200" w:lineRule="auto" w:line="276"/>
      </w:pPr>
      <w:r>
        <w:rPr>
          <w:b/>
        </w:rPr>
        <w:t xml:space="preserve">Abstract (EN): </w:t>
      </w:r>
      <w:r>
        <w:t>Ruthenium complexes, which can be activated with precise light‐induced spatiotemporal control, are recognized as promising candidates for cancer therapy. However, the inadequate tumor penetration and their dependence on light activation present challenges to deeper clinical application. Herein, we introduce a charge‐reversal strategy to enhance tumor penetration and cellular uptake of RuIR783, a self‐assembled metalloprodrug activated by ultrasound, thereby enabling deep tissue penetration. RuIR783 is synthesized by coordinating a Ru(II) polypyridyl complex with a heptamethine cyanine dye bearing two hydrophilic sulfonic groups. The cyanine dye component serves as both the ultrasound antenna and the self‐assembly motif. RuIR783 self‐assembles into large nanoparticles with negatively charged surfaces, facilitating their circulation in the bloodstream and accumulation at tumor sites. Upon ultrasound irradiation, the cyanine scaffold within the accumulated RuIR783 nanoparticles undergoes rapid sonobleaching, resulting in their transformation into smaller nanofragments with cationic surface charges. This transformation enhanced tumor penetration by 6.5‐fold and cellular internalization by 4.2‐fold. The generation of singlet oxygen and monocationic anticancer Ru complexes enhances the efficacy of immunogenic cell death through mitochondrial damage, achieving a 90.5% tumor inhibition rate. This study demonstrates the first ultrasound‐mediated activation of metalloprodrugs for immunogenic tumor treatment through morphological transformation and charge reversal.</w:t>
      </w:r>
    </w:p>
    <w:p>
      <w:pPr>
        <w:spacing w:before="120" w:after="120"/>
      </w:pPr>
      <w:r>
        <w:rPr>
          <w:sz w:val="18"/>
        </w:rPr>
        <w:t>——————————————————————————————————————————————————————————————————————</w:t>
      </w:r>
    </w:p>
    <w:p>
      <w:pPr>
        <w:spacing w:before="160" w:after="40" w:line="240" w:lineRule="auto"/>
      </w:pPr>
      <w:r>
        <w:rPr>
          <w:b/>
        </w:rPr>
        <w:t xml:space="preserve">[69] </w:t>
      </w:r>
      <w:hyperlink r:id="rId93">
        <w:r>
          <w:rPr>
            <w:color w:val="1155CC"/>
            <w:u w:val="single"/>
          </w:rPr>
          <w:t>用于增强金属锂电池稳定性的较远电解解设计</w:t>
        </w:r>
      </w:hyperlink>
    </w:p>
    <w:p>
      <w:pPr>
        <w:spacing w:before="0" w:after="80"/>
      </w:pPr>
      <w:r>
        <w:rPr>
          <w:i/>
          <w:sz w:val="20"/>
        </w:rPr>
        <w:t>EN: Fluorine‐Free Corrosion‐Resistant Electrolyte Design for Enhanced Stability in Lithium Metal Batteries</w:t>
      </w:r>
    </w:p>
    <w:p>
      <w:pPr>
        <w:spacing w:before="0" w:after="120"/>
      </w:pPr>
      <w:r>
        <w:rPr>
          <w:b/>
        </w:rPr>
        <w:t xml:space="preserve">Source: </w:t>
      </w:r>
      <w:r>
        <w:t>Wiley: Advanced Materials: Table of Contents</w:t>
      </w:r>
      <w:r>
        <w:t xml:space="preserve">    </w:t>
      </w:r>
      <w:r>
        <w:rPr>
          <w:b/>
        </w:rPr>
        <w:t xml:space="preserve">Pub date: </w:t>
      </w:r>
      <w:r>
        <w:t>2026-01-25 07:06:44+00:00</w:t>
      </w:r>
      <w:r>
        <w:t xml:space="preserve">    </w:t>
      </w:r>
      <w:r>
        <w:rPr>
          <w:b/>
        </w:rPr>
        <w:t xml:space="preserve">DOI: </w:t>
      </w:r>
      <w:hyperlink r:id="rId94">
        <w:r>
          <w:rPr>
            <w:color w:val="1155CC"/>
            <w:u w:val="single"/>
          </w:rPr>
          <w:t>10.1002/adma.202522875</w:t>
        </w:r>
      </w:hyperlink>
    </w:p>
    <w:p>
      <w:pPr>
        <w:spacing w:before="0" w:after="120"/>
      </w:pPr>
      <w:r>
        <w:rPr>
          <w:b/>
        </w:rPr>
        <w:t xml:space="preserve">Notes: </w:t>
      </w:r>
      <w:r>
        <w:t>abstract_source=crossref</w:t>
      </w:r>
    </w:p>
    <w:p>
      <w:pPr>
        <w:spacing w:before="0" w:after="80" w:lineRule="auto" w:line="276"/>
      </w:pPr>
      <w:r>
        <w:rPr>
          <w:b/>
        </w:rPr>
        <w:t xml:space="preserve">摘要（ZH）: </w:t>
      </w:r>
      <w:r>
        <w:t>推进液体电解液解液设计对于克服当前电池技术的性能限制和促成下一代能源储存系统至关重要,在最近的发展动态中,局部高浓度电解液(LHCEs)显示出显著的循环稳定性,然而,它们依赖与锂金属高度反应的氟化二溶液,这不可避免地导致严重的自发腐蚀。本研究采用了无氟、可腐蚀性抗二溶剂(CRD)战略,将苯作为CRD,作为CRD与主要溶剂氨基丁基甲基醚结合使用。这种电解剂设计通过促进电离子为主的溶化结构,同时延长周期和日历寿命,而二则同时使用苯作为CRD。</w:t>
      </w:r>
    </w:p>
    <w:p>
      <w:pPr>
        <w:spacing w:before="0" w:after="200" w:lineRule="auto" w:line="276"/>
      </w:pPr>
      <w:r>
        <w:rPr>
          <w:b/>
        </w:rPr>
        <w:t xml:space="preserve">Abstract (EN): </w:t>
      </w:r>
      <w:r>
        <w:t>Advancing liquid electrolyte design is crucial for overcoming the performance limitations of current battery technologies and enabling next‐generation energy storage systems. Among recent developments, localized high‐concentration electrolytes (LHCEs) have demonstrated remarkable cycling stability. However, their reliance on fluorinated diluents, which are highly reactive with lithium metal, inevitably leads to severe spontaneous corrosion. This study introduces a fluorine‐free, corrosion‐resistant diluent (CRD) strategy, employing benzene as the CRD in combination with amphiphilic butyl methyl ether as the primary solvent. This electrolyte design simultaneously extends both cycle and calendar life by promoting an anion‐dominated solvation structure, while the diluent effectively suppresses lithium metal corrosion. As a result, the CRD‐based electrolyte exhibits outstanding durability and stability compared to conventional LHCEs. Moreover, the fluorine‐free and cost‐effective electrolyte–diluent system offers strong advantages for practical applications. Overall, this study demonstrates the potential of the CRD strategy to achieve stable electrode–electrolyte interfaces and provides broader insights for diverse battery chemistries.</w:t>
      </w:r>
    </w:p>
    <w:p>
      <w:pPr>
        <w:spacing w:before="120" w:after="120"/>
      </w:pPr>
      <w:r>
        <w:rPr>
          <w:sz w:val="18"/>
        </w:rPr>
        <w:t>——————————————————————————————————————————————————————————————————————</w:t>
      </w:r>
    </w:p>
    <w:p>
      <w:pPr>
        <w:spacing w:before="160" w:after="40" w:line="240" w:lineRule="auto"/>
      </w:pPr>
      <w:r>
        <w:rPr>
          <w:b/>
        </w:rPr>
        <w:t xml:space="preserve">[70] </w:t>
      </w:r>
      <w:hyperlink r:id="rId95">
        <w:r>
          <w:rPr>
            <w:color w:val="1155CC"/>
            <w:u w:val="single"/>
          </w:rPr>
          <w:t>纳米集束-西里卡元材料的机械和光学特性</w:t>
        </w:r>
      </w:hyperlink>
    </w:p>
    <w:p>
      <w:pPr>
        <w:spacing w:before="0" w:after="80"/>
      </w:pPr>
      <w:r>
        <w:rPr>
          <w:i/>
          <w:sz w:val="20"/>
        </w:rPr>
        <w:t>EN: Mechanical and Optical Properties of Nanocluster‐Silica Metamaterials</w:t>
      </w:r>
    </w:p>
    <w:p>
      <w:pPr>
        <w:spacing w:before="0" w:after="120"/>
      </w:pPr>
      <w:r>
        <w:rPr>
          <w:b/>
        </w:rPr>
        <w:t xml:space="preserve">Source: </w:t>
      </w:r>
      <w:r>
        <w:t>Wiley: Advanced Materials: Table of Contents</w:t>
      </w:r>
      <w:r>
        <w:t xml:space="preserve">    </w:t>
      </w:r>
      <w:r>
        <w:rPr>
          <w:b/>
        </w:rPr>
        <w:t xml:space="preserve">Pub date: </w:t>
      </w:r>
      <w:r>
        <w:t>2026-01-25 07:10:13+00:00</w:t>
      </w:r>
      <w:r>
        <w:t xml:space="preserve">    </w:t>
      </w:r>
      <w:r>
        <w:rPr>
          <w:b/>
        </w:rPr>
        <w:t xml:space="preserve">DOI: </w:t>
      </w:r>
      <w:hyperlink r:id="rId96">
        <w:r>
          <w:rPr>
            <w:color w:val="1155CC"/>
            <w:u w:val="single"/>
          </w:rPr>
          <w:t>10.1002/adma.202521526</w:t>
        </w:r>
      </w:hyperlink>
    </w:p>
    <w:p>
      <w:pPr>
        <w:spacing w:before="0" w:after="120"/>
      </w:pPr>
      <w:r>
        <w:rPr>
          <w:b/>
        </w:rPr>
        <w:t xml:space="preserve">Notes: </w:t>
      </w:r>
      <w:r>
        <w:t>abstract_source=crossref</w:t>
      </w:r>
    </w:p>
    <w:p>
      <w:pPr>
        <w:spacing w:before="0" w:after="80" w:lineRule="auto" w:line="276"/>
      </w:pPr>
      <w:r>
        <w:rPr>
          <w:b/>
        </w:rPr>
        <w:t xml:space="preserve">摘要（ZH）: </w:t>
      </w:r>
      <w:r>
        <w:t>具有复杂 3D 聚合物基体的纳米结构化元材料可以使用 2 和 光子照相仪制成,但通常限于现有光阻分子提供的具体材料。 这里, 我们开发了 2 和 光学活性 机能材料制成的 2 和 光学活性 元材料制成的光学光学成像仪。 这个光阻学成像器由 银纳米聚集光学光学器组成, 在一个多面性皮质硅氧聚合物基体(POSS) 矩阵中。 印刷的纳米复合体显示弹性模量增加了216 %, 与 POSS 制成的结构相比, 能量吸收量增加了166%, 同时保留了 96% 的弹性恢复。 纳米复合体毛状纳米拉特体在衰竭时达到 80% 。 纳米拉特能吸收量在轻质纳米质纳米材料中是最高的。 Therm 。</w:t>
      </w:r>
    </w:p>
    <w:p>
      <w:pPr>
        <w:spacing w:before="0" w:after="200" w:lineRule="auto" w:line="276"/>
      </w:pPr>
      <w:r>
        <w:rPr>
          <w:b/>
        </w:rPr>
        <w:t xml:space="preserve">Abstract (EN): </w:t>
      </w:r>
      <w:r>
        <w:t>Nanostructured metamaterials with complex 3D geometries can be fabricated using two‐photon lithography but are typically limited to specific materials by the available photoresists. Here, we develop a two‐photon lithography photoresist for fabricating mechanically robust and optically active metamaterials. This photoresist consists of silver nanocluster photointiators in a polyhedral oligomeric silsequioxane (POSS) polymer matrix. Printed nanocomposites show a 216% increase in elastic modulus and 166% increase in energy absorption compared to structures made of POSS, while retaining 96% elastic recovery. Nanocomposite gyroid nanolattices reach 80% strain at failure. The nanolattice energy absorption is among the highest for lightweight nanoporous materials. Thermal annealing is used to convert the printed nanocomposites to nanoparticle‐embedded glass with 54% higher energy absorption than fused silica. The annealed gyroid nanolattices contain silver nanoparticles and exhibit plasmonic activity. Right and left‐handed chiral nanolattices result in different transmission spectra under linearly polarized light.</w:t>
      </w:r>
    </w:p>
    <w:p>
      <w:pPr>
        <w:spacing w:before="120" w:after="120"/>
      </w:pPr>
      <w:r>
        <w:rPr>
          <w:sz w:val="18"/>
        </w:rPr>
        <w:t>——————————————————————————————————————————————————————————————————————</w:t>
      </w:r>
    </w:p>
    <w:p>
      <w:pPr>
        <w:spacing w:before="160" w:after="40" w:line="240" w:lineRule="auto"/>
      </w:pPr>
      <w:r>
        <w:rPr>
          <w:b/>
        </w:rPr>
        <w:t xml:space="preserve">[71] </w:t>
      </w:r>
      <w:hyperlink r:id="rId97">
        <w:r>
          <w:rPr>
            <w:color w:val="1155CC"/>
            <w:u w:val="single"/>
          </w:rPr>
          <w:t>在Situ光电化学绝热方案中,为增强水氧化性而减少影响和抗应协调微环境</w:t>
        </w:r>
      </w:hyperlink>
    </w:p>
    <w:p>
      <w:pPr>
        <w:spacing w:before="0" w:after="80"/>
      </w:pPr>
      <w:r>
        <w:rPr>
          <w:i/>
          <w:sz w:val="20"/>
        </w:rPr>
        <w:t>EN: In Situ Photoelectrochemical Chelation Programs Defect‐Resilient Coordination Microenvironments for Enhanced Water Oxidation</w:t>
      </w:r>
    </w:p>
    <w:p>
      <w:pPr>
        <w:spacing w:before="0" w:after="120"/>
      </w:pPr>
      <w:r>
        <w:rPr>
          <w:b/>
        </w:rPr>
        <w:t xml:space="preserve">Source: </w:t>
      </w:r>
      <w:r>
        <w:t>Wiley: Advanced Materials: Table of Contents</w:t>
      </w:r>
      <w:r>
        <w:t xml:space="preserve">    </w:t>
      </w:r>
      <w:r>
        <w:rPr>
          <w:b/>
        </w:rPr>
        <w:t xml:space="preserve">Pub date: </w:t>
      </w:r>
      <w:r>
        <w:t>2026-01-25 07:11:53+00:00</w:t>
      </w:r>
      <w:r>
        <w:t xml:space="preserve">    </w:t>
      </w:r>
      <w:r>
        <w:rPr>
          <w:b/>
        </w:rPr>
        <w:t xml:space="preserve">DOI: </w:t>
      </w:r>
      <w:hyperlink r:id="rId98">
        <w:r>
          <w:rPr>
            <w:color w:val="1155CC"/>
            <w:u w:val="single"/>
          </w:rPr>
          <w:t>10.1002/adma.202522149</w:t>
        </w:r>
      </w:hyperlink>
    </w:p>
    <w:p>
      <w:pPr>
        <w:spacing w:before="0" w:after="120"/>
      </w:pPr>
      <w:r>
        <w:rPr>
          <w:b/>
        </w:rPr>
        <w:t xml:space="preserve">Notes: </w:t>
      </w:r>
      <w:r>
        <w:t>abstract_source=crossref</w:t>
      </w:r>
    </w:p>
    <w:p>
      <w:pPr>
        <w:spacing w:before="0" w:after="80" w:lineRule="auto" w:line="276"/>
      </w:pPr>
      <w:r>
        <w:rPr>
          <w:b/>
        </w:rPr>
        <w:t xml:space="preserve">摘要（ZH）: </w:t>
      </w:r>
      <w:r>
        <w:t>ABSTACT 深层缺陷功能是作为非放射性再组合中心的非放射性再组合中心,它们可以加速氧进化反应(OER)动动能。 常规、静态和前沉降的钝化层在操作过程中常常失败,从创建和持续维护具有催化功能的场所中切断了缺陷抑制。 在这里,我们用光电化学驱动微环境战略来解决这一限制,这种战略有选择地操纵ZnIn 2 S 4 上的地表 Zn 协调壳。 在现场光电化学电化电化电化电化电热过程下,氢氧乙基二磷酸在Zn-O-P motifs上写下了扭曲Zn-S框架和Zn-S框架的强力 Zn-O-P motififs。</w:t>
      </w:r>
    </w:p>
    <w:p>
      <w:pPr>
        <w:spacing w:before="0" w:after="200" w:lineRule="auto" w:line="276"/>
      </w:pPr>
      <w:r>
        <w:rPr>
          <w:b/>
        </w:rPr>
        <w:t xml:space="preserve">Abstract (EN): </w:t>
      </w:r>
      <w:r>
        <w:t>Deep‐level defects function as non‐radiative recombination centers that throttle oxygen evolution reaction (OER) kinetics. Conventionally, static and pre‐deposited passivation layers often fail during operation, disconnecting defect suppression from the creation and sustained maintenance of catalytically competent sites. Here, we address this limitation with a photoelectrochemically‐driven microenvironment strategy that selectively manipulates the first coordination shell of surface Zn on ZnIn</w:t>
      </w:r>
      <w:r>
        <w:rPr>
          <w:vertAlign w:val="subscript"/>
        </w:rPr>
        <w:t>2</w:t>
      </w:r>
      <w:r>
        <w:t>S</w:t>
      </w:r>
      <w:r>
        <w:rPr>
          <w:vertAlign w:val="subscript"/>
        </w:rPr>
        <w:t>4</w:t>
      </w:r>
      <w:r>
        <w:t>. Under the in situ photoelectrochemical chelation process, hydroxyethylidene diphosphonic acid writes robust Zn–O–P motifs that subtly distort the Zn–S framework and convert deep traps into shallow states, thereby accelerating charge transfer while suppressing recombination. Density functional theory suggests that Zn–O–P lowers the OER overpotential and switches the rate‐determining step from O</w:t>
      </w:r>
      <w:r>
        <w:t xml:space="preserve"> </w:t>
      </w:r>
      <w:r>
        <w:t>*</w:t>
      </w:r>
      <w:r>
        <w:t xml:space="preserve"> </w:t>
      </w:r>
      <w:r>
        <w:t>→OOH</w:t>
      </w:r>
      <w:r>
        <w:t xml:space="preserve"> </w:t>
      </w:r>
      <w:r>
        <w:t>*</w:t>
      </w:r>
      <w:r>
        <w:t xml:space="preserve"> </w:t>
      </w:r>
      <w:r>
        <w:t>to OOH</w:t>
      </w:r>
      <w:r>
        <w:t xml:space="preserve"> </w:t>
      </w:r>
      <w:r>
        <w:t>*</w:t>
      </w:r>
      <w:r>
        <w:t xml:space="preserve"> </w:t>
      </w:r>
      <w:r>
        <w:t>→O</w:t>
      </w:r>
      <w:r>
        <w:rPr>
          <w:vertAlign w:val="subscript"/>
        </w:rPr>
        <w:t>2</w:t>
      </w:r>
      <w:r>
        <w:t>via stabilized</w:t>
      </w:r>
      <w:r>
        <w:t xml:space="preserve"> </w:t>
      </w:r>
      <w:r>
        <w:t>*</w:t>
      </w:r>
      <w:r>
        <w:t xml:space="preserve"> </w:t>
      </w:r>
      <w:r>
        <w:t>OOH intermediates. The optimized photoanode delivers a photocurrent density of 5.38 mA cm</w:t>
      </w:r>
      <w:r>
        <w:t xml:space="preserve"> </w:t>
      </w:r>
      <w:r>
        <w:t>−2</w:t>
      </w:r>
      <w:r>
        <w:t xml:space="preserve"> </w:t>
      </w:r>
      <w:r>
        <w:t>at 1.23 V</w:t>
      </w:r>
      <w:r>
        <w:t xml:space="preserve"> </w:t>
      </w:r>
      <w:r>
        <w:t>RHE</w:t>
      </w:r>
      <w:r>
        <w:t xml:space="preserve"> </w:t>
      </w:r>
      <w:r>
        <w:t>, surpassing previously reported ZnIn</w:t>
      </w:r>
      <w:r>
        <w:rPr>
          <w:vertAlign w:val="subscript"/>
        </w:rPr>
        <w:t>2</w:t>
      </w:r>
      <w:r>
        <w:t>S</w:t>
      </w:r>
      <w:r>
        <w:rPr>
          <w:vertAlign w:val="subscript"/>
        </w:rPr>
        <w:t>4</w:t>
      </w:r>
      <w:r>
        <w:t>‐based photoanodes. By unifying in situ deep‐trap management and active site construction along a single chemical pathway, this work establishes a modular and general route for dynamic defect engineering and active site reconfiguration, advancing defect‐tolerant innovations in energy conversion and storage.</w:t>
      </w:r>
    </w:p>
    <w:p>
      <w:pPr>
        <w:spacing w:before="120" w:after="120"/>
      </w:pPr>
      <w:r>
        <w:rPr>
          <w:sz w:val="18"/>
        </w:rPr>
        <w:t>——————————————————————————————————————————————————————————————————————</w:t>
      </w:r>
    </w:p>
    <w:p>
      <w:pPr>
        <w:spacing w:before="160" w:after="40" w:line="240" w:lineRule="auto"/>
      </w:pPr>
      <w:r>
        <w:rPr>
          <w:b/>
        </w:rPr>
        <w:t xml:space="preserve">[72] </w:t>
      </w:r>
      <w:hyperlink r:id="rId99">
        <w:r>
          <w:rPr>
            <w:color w:val="1155CC"/>
            <w:u w:val="single"/>
          </w:rPr>
          <w:t>处理的灵活玻璃像抗活性纳米复合材料拼贴板</w:t>
        </w:r>
      </w:hyperlink>
    </w:p>
    <w:p>
      <w:pPr>
        <w:spacing w:before="0" w:after="80"/>
      </w:pPr>
      <w:r>
        <w:rPr>
          <w:i/>
          <w:sz w:val="20"/>
        </w:rPr>
        <w:t>EN: Solution‐Processed Flexible Glass‐Like Antibacterial Nanocomposite Coatings</w:t>
      </w:r>
    </w:p>
    <w:p>
      <w:pPr>
        <w:spacing w:before="0" w:after="120"/>
      </w:pPr>
      <w:r>
        <w:rPr>
          <w:b/>
        </w:rPr>
        <w:t xml:space="preserve">Source: </w:t>
      </w:r>
      <w:r>
        <w:t>Wiley: Advanced Materials: Table of Contents</w:t>
      </w:r>
      <w:r>
        <w:t xml:space="preserve">    </w:t>
      </w:r>
      <w:r>
        <w:rPr>
          <w:b/>
        </w:rPr>
        <w:t xml:space="preserve">Pub date: </w:t>
      </w:r>
      <w:r>
        <w:t>2026-01-25 07:12:55+00:00</w:t>
      </w:r>
      <w:r>
        <w:t xml:space="preserve">    </w:t>
      </w:r>
      <w:r>
        <w:rPr>
          <w:b/>
        </w:rPr>
        <w:t xml:space="preserve">DOI: </w:t>
      </w:r>
      <w:hyperlink r:id="rId100">
        <w:r>
          <w:rPr>
            <w:color w:val="1155CC"/>
            <w:u w:val="single"/>
          </w:rPr>
          <w:t>10.1002/adma.202519048</w:t>
        </w:r>
      </w:hyperlink>
    </w:p>
    <w:p>
      <w:pPr>
        <w:spacing w:before="0" w:after="120"/>
      </w:pPr>
      <w:r>
        <w:rPr>
          <w:b/>
        </w:rPr>
        <w:t xml:space="preserve">Notes: </w:t>
      </w:r>
      <w:r>
        <w:t>abstract_source=crossref</w:t>
      </w:r>
    </w:p>
    <w:p>
      <w:pPr>
        <w:spacing w:before="0" w:after="80" w:lineRule="auto" w:line="276"/>
      </w:pPr>
      <w:r>
        <w:rPr>
          <w:b/>
        </w:rPr>
        <w:t xml:space="preserve">摘要（ZH）: </w:t>
      </w:r>
      <w:r>
        <w:t>高触地电子显示器是致病性污染的一个重要来源,因此迫切需要保护涂层,将抗菌功效和机械坚固性结合起来。然而,为新兴灵活显示器开发保护涂层面临一个艰巨的挑战,因为它们必须同时满足一系列经常相互冲突的地产要求:强大的抗菌活动、高度的生物兼容性、极透明、强健的机械耐久性和内在灵活性。因此,开发一种将所有所需功能结合起来的单一涂层仍是一个高度预期的目标。</w:t>
      </w:r>
    </w:p>
    <w:p>
      <w:pPr>
        <w:spacing w:before="0" w:after="200" w:lineRule="auto" w:line="276"/>
      </w:pPr>
      <w:r>
        <w:rPr>
          <w:b/>
        </w:rPr>
        <w:t xml:space="preserve">Abstract (EN): </w:t>
      </w:r>
      <w:r>
        <w:t>High‐touch electronic displays represent a significant source of pathogenic contamination, creating an urgent need for protective coatings that combine antibacterial efficacy and mechanical robustness. However, developing protective coatings for emerging flexible displays faces a formidable challenge, as they must simultaneously satisfy a series of often‐conflicting property requirements: potent antibacterial activity, high biocompatibility, excellent transparency, robust mechanical durability, as well as intrinsic flexibility. Developing a single coating that integrates all the required functionalities therefore remains a highly anticipated goal. Herein, we resolve this challenge through an “all‐in‐one” precursor strategy involving the incorporation of the bifunctional coupling agent, 3‐mercaptopropyltrimethoxysilane, into a perhydropolysilazane‐Ag</w:t>
      </w:r>
      <w:r>
        <w:t xml:space="preserve"> </w:t>
      </w:r>
      <w:r>
        <w:t>+</w:t>
      </w:r>
      <w:r>
        <w:t xml:space="preserve"> </w:t>
      </w:r>
      <w:r>
        <w:t>system. This multicomponent design enables a synergistic chemical cascade that controls the in situ formation, stabilization, and subsequent covalent anchoring of silver nanoparticles within a dense SiO</w:t>
      </w:r>
      <w:r>
        <w:t xml:space="preserve"> </w:t>
      </w:r>
      <w:r>
        <w:t>x</w:t>
      </w:r>
      <w:r>
        <w:t xml:space="preserve"> </w:t>
      </w:r>
      <w:r>
        <w:t>matrix during a mild curing process. The resulting coating demonstrates a seamless integration of multiple high‐performance properties: potent and durable antibacterial activity (&amp;gt;99.99%), excellent biocompatibility, polymer‐like flexibility, glass‐like damage tolerance, and high transparency. This work provides a reliable and scalable approach for fabricating robust, multifunctional protective surfaces, making it highly promising for next‐generation flexible electronics where both durability and hygiene are paramount.</w:t>
      </w:r>
    </w:p>
    <w:p>
      <w:pPr>
        <w:spacing w:before="120" w:after="120"/>
      </w:pPr>
      <w:r>
        <w:rPr>
          <w:sz w:val="18"/>
        </w:rPr>
        <w:t>——————————————————————————————————————————————————————————————————————</w:t>
      </w:r>
    </w:p>
    <w:p>
      <w:pPr>
        <w:spacing w:before="160" w:after="40" w:line="240" w:lineRule="auto"/>
      </w:pPr>
      <w:r>
        <w:rPr>
          <w:b/>
        </w:rPr>
        <w:t xml:space="preserve">[73] </w:t>
      </w:r>
      <w:hyperlink r:id="rId101">
        <w:r>
          <w:rPr>
            <w:color w:val="1155CC"/>
            <w:u w:val="single"/>
          </w:rPr>
          <w:t>基于2D半导体的电电电2D半导体,用于感知精度,内地神经形态远景,可重新配置的垂直光电区</w:t>
        </w:r>
      </w:hyperlink>
    </w:p>
    <w:p>
      <w:pPr>
        <w:spacing w:before="0" w:after="80"/>
      </w:pPr>
      <w:r>
        <w:rPr>
          <w:i/>
          <w:sz w:val="20"/>
        </w:rPr>
        <w:t>EN: Reconfigurable Vertical Schottky Photodiodes Based on Ferroelectric 2D Semiconductors for Perceptual‐Precision, Context‐Aware Neuromorphic Vision</w:t>
      </w:r>
    </w:p>
    <w:p>
      <w:pPr>
        <w:spacing w:before="0" w:after="120"/>
      </w:pPr>
      <w:r>
        <w:rPr>
          <w:b/>
        </w:rPr>
        <w:t xml:space="preserve">Source: </w:t>
      </w:r>
      <w:r>
        <w:t>Wiley: Advanced Materials: Table of Contents</w:t>
      </w:r>
      <w:r>
        <w:t xml:space="preserve">    </w:t>
      </w:r>
      <w:r>
        <w:rPr>
          <w:b/>
        </w:rPr>
        <w:t xml:space="preserve">Pub date: </w:t>
      </w:r>
      <w:r>
        <w:t>2026-01-25 07:13:26+00:00</w:t>
      </w:r>
      <w:r>
        <w:t xml:space="preserve">    </w:t>
      </w:r>
      <w:r>
        <w:rPr>
          <w:b/>
        </w:rPr>
        <w:t xml:space="preserve">DOI: </w:t>
      </w:r>
      <w:hyperlink r:id="rId102">
        <w:r>
          <w:rPr>
            <w:color w:val="1155CC"/>
            <w:u w:val="single"/>
          </w:rPr>
          <w:t>10.1002/adma.202521243</w:t>
        </w:r>
      </w:hyperlink>
    </w:p>
    <w:p>
      <w:pPr>
        <w:spacing w:before="0" w:after="120"/>
      </w:pPr>
      <w:r>
        <w:rPr>
          <w:b/>
        </w:rPr>
        <w:t xml:space="preserve">Notes: </w:t>
      </w:r>
      <w:r>
        <w:t>abstract_source=crossref</w:t>
      </w:r>
    </w:p>
    <w:p>
      <w:pPr>
        <w:spacing w:before="0" w:after="80" w:lineRule="auto" w:line="276"/>
      </w:pPr>
      <w:r>
        <w:rPr>
          <w:b/>
        </w:rPr>
        <w:t xml:space="preserve">摘要（ZH）: </w:t>
      </w:r>
      <w:r>
        <w:t>为实现模拟遥感和计算平台,必须在一个单一装置中整合遥感、计算和记忆功能,使能量和高感知精准的具有时间效率的视觉系统能够实现能量和时间高效;然而,在紧凑装置结构中实现这种多功能处理能力仍是一项重大挑战。在这里,提出了基于“%2 Se 3”的可重建的垂直光电管,一个2D半导体。通过部分改变“%2”的平板两极分化,在顶部和底部Schottky交界处对建筑电场进行渐进和可逆的调节。</w:t>
      </w:r>
    </w:p>
    <w:p>
      <w:pPr>
        <w:spacing w:before="0" w:after="200" w:lineRule="auto" w:line="276"/>
      </w:pPr>
      <w:r>
        <w:rPr>
          <w:b/>
        </w:rPr>
        <w:t xml:space="preserve">Abstract (EN): </w:t>
      </w:r>
      <w:r>
        <w:t>To realize in‐memory sensing and computing platforms, it is essential to integrate sensing, computation, and memory functionalities within a single device, enabling energy‐ and time‐efficient vision systems with high perceptual precision. However, achieving such multi‐functional processing capability within a compact device structure remains a major challenge. Here, a reconfigurable vertical photodiode based on α‐In</w:t>
      </w:r>
      <w:r>
        <w:rPr>
          <w:vertAlign w:val="subscript"/>
        </w:rPr>
        <w:t>2</w:t>
      </w:r>
      <w:r>
        <w:t>Se</w:t>
      </w:r>
      <w:r>
        <w:rPr>
          <w:vertAlign w:val="subscript"/>
        </w:rPr>
        <w:t>3</w:t>
      </w:r>
      <w:r>
        <w:t>is presented, a ferroelectric 2D semiconductor. Gradual and reversible modulation of built‐in electric fields at the top and bottom Schottky junctions is achieved through partial out‐of‐plane polarization switching of α‐In</w:t>
      </w:r>
      <w:r>
        <w:rPr>
          <w:vertAlign w:val="subscript"/>
        </w:rPr>
        <w:t>2</w:t>
      </w:r>
      <w:r>
        <w:t>Se</w:t>
      </w:r>
      <w:r>
        <w:rPr>
          <w:vertAlign w:val="subscript"/>
        </w:rPr>
        <w:t>3</w:t>
      </w:r>
      <w:r>
        <w:t>, enabling multi‐level, non‐volatile, and polarity‐tunable photoresponsivity. This allows analog programmability with a high degree of freedom in processing within a two‐terminal metal‐ferroelectric semiconductor‐metal (MFsM) structure, effectively resolving trade‐off between structural compactness and computing versatility. Leveraging these intrinsic characteristics, we demonstrate a versatile sensor‐level perceptual processing framework using a reconfigurable photodiode crossbar array. By exploiting the high‐density spatial integration capability, the system adaptively configures its spatial support to prioritize either suppressing environmental noise for robust feature extraction or preserving fine‐grained details for precise classification, depending on the task requirements. These results lay the foundation for highly scalable and energy‐efficient neuromorphic vision system with high perceptual precision.</w:t>
      </w:r>
    </w:p>
    <w:p>
      <w:pPr>
        <w:spacing w:before="120" w:after="120"/>
      </w:pPr>
      <w:r>
        <w:rPr>
          <w:sz w:val="18"/>
        </w:rPr>
        <w:t>——————————————————————————————————————————————————————————————————————</w:t>
      </w:r>
    </w:p>
    <w:p>
      <w:pPr>
        <w:spacing w:before="160" w:after="40" w:line="240" w:lineRule="auto"/>
      </w:pPr>
      <w:r>
        <w:rPr>
          <w:b/>
        </w:rPr>
        <w:t xml:space="preserve">[74] </w:t>
      </w:r>
      <w:hyperlink r:id="rId103">
        <w:r>
          <w:rPr>
            <w:color w:val="1155CC"/>
            <w:u w:val="single"/>
          </w:rPr>
          <w:t>用于固态电解解器快速里+运输的电子辐射效应</w:t>
        </w:r>
      </w:hyperlink>
    </w:p>
    <w:p>
      <w:pPr>
        <w:spacing w:before="0" w:after="80"/>
      </w:pPr>
      <w:r>
        <w:rPr>
          <w:i/>
          <w:sz w:val="20"/>
        </w:rPr>
        <w:t>EN: Engineering Electronic Radial Effects for Fast Li+ Transport in Solid‐State Electrolytes</w:t>
      </w:r>
    </w:p>
    <w:p>
      <w:pPr>
        <w:spacing w:before="0" w:after="120"/>
      </w:pPr>
      <w:r>
        <w:rPr>
          <w:b/>
        </w:rPr>
        <w:t xml:space="preserve">Source: </w:t>
      </w:r>
      <w:r>
        <w:t>Wiley: Advanced Materials: Table of Contents</w:t>
      </w:r>
      <w:r>
        <w:t xml:space="preserve">    </w:t>
      </w:r>
      <w:r>
        <w:rPr>
          <w:b/>
        </w:rPr>
        <w:t xml:space="preserve">Pub date: </w:t>
      </w:r>
      <w:r>
        <w:t>2026-01-25 07:14:29+00:00</w:t>
      </w:r>
      <w:r>
        <w:t xml:space="preserve">    </w:t>
      </w:r>
      <w:r>
        <w:rPr>
          <w:b/>
        </w:rPr>
        <w:t xml:space="preserve">DOI: </w:t>
      </w:r>
      <w:hyperlink r:id="rId104">
        <w:r>
          <w:rPr>
            <w:color w:val="1155CC"/>
            <w:u w:val="single"/>
          </w:rPr>
          <w:t>10.1002/adma.202520337</w:t>
        </w:r>
      </w:hyperlink>
    </w:p>
    <w:p>
      <w:pPr>
        <w:spacing w:before="0" w:after="120"/>
      </w:pPr>
      <w:r>
        <w:rPr>
          <w:b/>
        </w:rPr>
        <w:t xml:space="preserve">Notes: </w:t>
      </w:r>
      <w:r>
        <w:t>abstract_source=crossref</w:t>
      </w:r>
    </w:p>
    <w:p>
      <w:pPr>
        <w:spacing w:before="0" w:after="80" w:lineRule="auto" w:line="276"/>
      </w:pPr>
      <w:r>
        <w:rPr>
          <w:b/>
        </w:rPr>
        <w:t xml:space="preserve">摘要（ZH）: </w:t>
      </w:r>
      <w:r>
        <w:t>ABSTACT 实现高李+传导性、 接近统一转移数以及固态电解层中稳定的界面仍然是锂金属电池的一大挑战。 在这里,我们引入了放射性效应设计原则:相对扩张和旋转 — — 5个轨道轨道的轨道联动会增强s - d/ p - d 混合化,削弱利阿尼翁的相互作用和较低的迁移屏障。 基于 entropy的描述器,Sd,经过培训和验证的机器在 &amp; gt;10,000个氧化物之间学习,S s。</w:t>
      </w:r>
    </w:p>
    <w:p>
      <w:pPr>
        <w:spacing w:before="0" w:after="200" w:lineRule="auto" w:line="276"/>
      </w:pPr>
      <w:r>
        <w:rPr>
          <w:b/>
        </w:rPr>
        <w:t xml:space="preserve">Abstract (EN): </w:t>
      </w:r>
      <w:r>
        <w:t>Achieving high Li</w:t>
      </w:r>
      <w:r>
        <w:t xml:space="preserve"> </w:t>
      </w:r>
      <w:r>
        <w:t>+</w:t>
      </w:r>
      <w:r>
        <w:t xml:space="preserve"> </w:t>
      </w:r>
      <w:r>
        <w:t>conductivity, near‐unity transference numbers, and stable interfaces in solid‐state electrolytes remains a major challenge for lithium‐metal batteries. Here we introduce a radial‐effect design principle: relativistic expansion and spin–orbit coupling of 5</w:t>
      </w:r>
      <w:r>
        <w:t xml:space="preserve"> </w:t>
      </w:r>
      <w:r>
        <w:t>d</w:t>
      </w:r>
      <w:r>
        <w:t xml:space="preserve"> </w:t>
      </w:r>
      <w:r>
        <w:t>orbitals enhance</w:t>
      </w:r>
      <w:r>
        <w:t xml:space="preserve"> </w:t>
      </w:r>
      <w:r>
        <w:t>s–d</w:t>
      </w:r>
      <w:r>
        <w:t xml:space="preserve"> </w:t>
      </w:r>
      <w:r>
        <w:t>/</w:t>
      </w:r>
      <w:r>
        <w:t>p–d</w:t>
      </w:r>
      <w:r>
        <w:t xml:space="preserve"> </w:t>
      </w:r>
      <w:r>
        <w:t>hybridization, weaken Li–anion interactions, and lower migration barriers. An entropy‐based descriptor,</w:t>
      </w:r>
      <w:r>
        <w:t xml:space="preserve"> </w:t>
      </w:r>
      <w:r>
        <w:t>S</w:t>
      </w:r>
      <w:r>
        <w:t xml:space="preserve"> </w:t>
      </w:r>
      <w:r>
        <w:t>d</w:t>
      </w:r>
      <w:r>
        <w:t xml:space="preserve"> </w:t>
      </w:r>
      <w:r>
        <w:t>, trained and validated with machine learning across &amp;gt;10,000 oxides, sulfides, and halides captures this effect. Machine‐learning‐guided high‐throughput screening flags monoclinic HfO</w:t>
      </w:r>
      <w:r>
        <w:rPr>
          <w:vertAlign w:val="subscript"/>
        </w:rPr>
        <w:t>2</w:t>
      </w:r>
      <w:r>
        <w:t>, whose 5</w:t>
      </w:r>
      <w:r>
        <w:t xml:space="preserve"> </w:t>
      </w:r>
      <w:r>
        <w:t>d</w:t>
      </w:r>
      <w:r>
        <w:rPr>
          <w:vertAlign w:val="subscript"/>
        </w:rPr>
        <w:t>2</w:t>
      </w:r>
      <w:r>
        <w:t>radial expansion lowers migration barriers by ∼45% vs Sc</w:t>
      </w:r>
      <w:r>
        <w:rPr>
          <w:vertAlign w:val="subscript"/>
        </w:rPr>
        <w:t>2</w:t>
      </w:r>
      <w:r>
        <w:t>O</w:t>
      </w:r>
      <w:r>
        <w:rPr>
          <w:vertAlign w:val="subscript"/>
        </w:rPr>
        <w:t>3</w:t>
      </w:r>
      <w:r>
        <w:t>or Y</w:t>
      </w:r>
      <w:r>
        <w:rPr>
          <w:vertAlign w:val="subscript"/>
        </w:rPr>
        <w:t>2</w:t>
      </w:r>
      <w:r>
        <w:t>O</w:t>
      </w:r>
      <w:r>
        <w:rPr>
          <w:vertAlign w:val="subscript"/>
        </w:rPr>
        <w:t>3</w:t>
      </w:r>
      <w:r>
        <w:t>. Guided by this insight, we employ millisecond flash‐Joule heating to convert HfO</w:t>
      </w:r>
      <w:r>
        <w:rPr>
          <w:vertAlign w:val="subscript"/>
        </w:rPr>
        <w:t>2</w:t>
      </w:r>
      <w:r>
        <w:t>into nanosized single crystals, then embed them in a Li‐conductive binder to create sc‐HfO</w:t>
      </w:r>
      <w:r>
        <w:rPr>
          <w:vertAlign w:val="subscript"/>
        </w:rPr>
        <w:t>2</w:t>
      </w:r>
      <w:r>
        <w:t>@LCB, whose radial coupling yields interconnected Li</w:t>
      </w:r>
      <w:r>
        <w:t xml:space="preserve"> </w:t>
      </w:r>
      <w:r>
        <w:t>+</w:t>
      </w:r>
      <w:r>
        <w:t xml:space="preserve"> </w:t>
      </w:r>
      <w:r>
        <w:t>pathways (1.23 mS cm</w:t>
      </w:r>
      <w:r>
        <w:t xml:space="preserve"> </w:t>
      </w:r>
      <w:r>
        <w:t>−1</w:t>
      </w:r>
      <w:r>
        <w:t xml:space="preserve"> </w:t>
      </w:r>
      <w:r>
        <w:t>, 30°C;</w:t>
      </w:r>
      <w:r>
        <w:t xml:space="preserve"> </w:t>
      </w:r>
      <w:r>
        <w:t>t</w:t>
      </w:r>
      <w:r>
        <w:t xml:space="preserve"> </w:t>
      </w:r>
      <w:r>
        <w:t>Li</w:t>
      </w:r>
      <w:r>
        <w:t xml:space="preserve"> </w:t>
      </w:r>
      <w:r>
        <w:t>+</w:t>
      </w:r>
      <w:r>
        <w:t xml:space="preserve"> </w:t>
      </w:r>
      <w:r>
        <w:t>= 0.82, 25°C) and a 4.8 V electrochemical window. Operando Raman/XANES confirms faster Li</w:t>
      </w:r>
      <w:r>
        <w:t xml:space="preserve"> </w:t>
      </w:r>
      <w:r>
        <w:t>+</w:t>
      </w:r>
      <w:r>
        <w:t xml:space="preserve"> </w:t>
      </w:r>
      <w:r>
        <w:t>transport. Consequently, 2 Ah LiNi</w:t>
      </w:r>
      <w:r>
        <w:t xml:space="preserve"> </w:t>
      </w:r>
      <w:r>
        <w:t>0.9</w:t>
      </w:r>
      <w:r>
        <w:t xml:space="preserve"> </w:t>
      </w:r>
      <w:r>
        <w:t>Co</w:t>
      </w:r>
      <w:r>
        <w:t xml:space="preserve"> </w:t>
      </w:r>
      <w:r>
        <w:t>0.05</w:t>
      </w:r>
      <w:r>
        <w:t xml:space="preserve"> </w:t>
      </w:r>
      <w:r>
        <w:t>Mn</w:t>
      </w:r>
      <w:r>
        <w:t xml:space="preserve"> </w:t>
      </w:r>
      <w:r>
        <w:t>0.05</w:t>
      </w:r>
      <w:r>
        <w:t xml:space="preserve"> </w:t>
      </w:r>
      <w:r>
        <w:t>O</w:t>
      </w:r>
      <w:r>
        <w:rPr>
          <w:vertAlign w:val="subscript"/>
        </w:rPr>
        <w:t>2</w:t>
      </w:r>
      <w:r>
        <w:t>‖Li pouch cells deliver ∼472 Wh kg</w:t>
      </w:r>
      <w:r>
        <w:t xml:space="preserve"> </w:t>
      </w:r>
      <w:r>
        <w:t>−1</w:t>
      </w:r>
      <w:r>
        <w:t xml:space="preserve"> </w:t>
      </w:r>
      <w:r>
        <w:t>(stack‐level), maintain superior rate capability over hundreds of cycles, and survive 150°C hot‐plate tests. These results establish radial‐effect engineering as a sophisticated strategy for high‐performance, thermally resilient solid‐state batteries.</w:t>
      </w:r>
    </w:p>
    <w:p>
      <w:pPr>
        <w:spacing w:before="120" w:after="120"/>
      </w:pPr>
      <w:r>
        <w:rPr>
          <w:sz w:val="18"/>
        </w:rPr>
        <w:t>——————————————————————————————————————————————————————————————————————</w:t>
      </w:r>
    </w:p>
    <w:p>
      <w:pPr>
        <w:spacing w:before="160" w:after="40" w:line="240" w:lineRule="auto"/>
      </w:pPr>
      <w:r>
        <w:rPr>
          <w:b/>
        </w:rPr>
        <w:t xml:space="preserve">[75] </w:t>
      </w:r>
      <w:hyperlink r:id="rId105">
        <w:r>
          <w:rPr>
            <w:color w:val="1155CC"/>
            <w:u w:val="single"/>
          </w:rPr>
          <w:t>人类唾液中神经蛋白质变形动态的指纹</w:t>
        </w:r>
      </w:hyperlink>
    </w:p>
    <w:p>
      <w:pPr>
        <w:spacing w:before="0" w:after="80"/>
      </w:pPr>
      <w:r>
        <w:rPr>
          <w:i/>
          <w:sz w:val="20"/>
        </w:rPr>
        <w:t>EN: Label‐Free SERS Fingerprinting of Neuroprotein Conformational Dynamics in Human Saliva</w:t>
      </w:r>
    </w:p>
    <w:p>
      <w:pPr>
        <w:spacing w:before="0" w:after="120"/>
      </w:pPr>
      <w:r>
        <w:rPr>
          <w:b/>
        </w:rPr>
        <w:t xml:space="preserve">Source: </w:t>
      </w:r>
      <w:r>
        <w:t>Wiley: Advanced Materials: Table of Contents</w:t>
      </w:r>
      <w:r>
        <w:t xml:space="preserve">    </w:t>
      </w:r>
      <w:r>
        <w:rPr>
          <w:b/>
        </w:rPr>
        <w:t xml:space="preserve">Pub date: </w:t>
      </w:r>
      <w:r>
        <w:t>2026-01-25 07:16:32+00:00</w:t>
      </w:r>
      <w:r>
        <w:t xml:space="preserve">    </w:t>
      </w:r>
      <w:r>
        <w:rPr>
          <w:b/>
        </w:rPr>
        <w:t xml:space="preserve">DOI: </w:t>
      </w:r>
      <w:hyperlink r:id="rId106">
        <w:r>
          <w:rPr>
            <w:color w:val="1155CC"/>
            <w:u w:val="single"/>
          </w:rPr>
          <w:t>10.1002/adma.202513500</w:t>
        </w:r>
      </w:hyperlink>
    </w:p>
    <w:p>
      <w:pPr>
        <w:spacing w:before="0" w:after="120"/>
      </w:pPr>
      <w:r>
        <w:rPr>
          <w:b/>
        </w:rPr>
        <w:t xml:space="preserve">Notes: </w:t>
      </w:r>
      <w:r>
        <w:t>abstract_source=crossref</w:t>
      </w:r>
    </w:p>
    <w:p>
      <w:pPr>
        <w:spacing w:before="0" w:after="80" w:lineRule="auto" w:line="276"/>
      </w:pPr>
      <w:r>
        <w:rPr>
          <w:b/>
        </w:rPr>
        <w:t xml:space="preserve">摘要（ZH）: </w:t>
      </w:r>
      <w:r>
        <w:t>神经蛋白质的抽象构造转变与神经神经系统紊乱密切相关,是诊断和疾病监测的关键生物标志。检测和跟踪这些结构变化的可靠和无标签的无标签方法对于有效的临床应用至关重要。在这项工作中,提出了与表层增强的拉曼散射(SERS)相结合的战略,以进行神经蛋白的本地化和无标签检测。这一方法结合了原地Au表面生长的加热替代,以便能够在目标分析仪周围直接形成精确的分子诱捕和质谱热点。这种空间隔离优化了电磁场内的反射定位,从而强化了电磁场内的反射定位。</w:t>
      </w:r>
    </w:p>
    <w:p>
      <w:pPr>
        <w:spacing w:before="0" w:after="200" w:lineRule="auto" w:line="276"/>
      </w:pPr>
      <w:r>
        <w:rPr>
          <w:b/>
        </w:rPr>
        <w:t xml:space="preserve">Abstract (EN): </w:t>
      </w:r>
      <w:r>
        <w:t>Conformational transitions of neuroproteins are closely associated with neurological disorders and represent key biomarkers for diagnosis and disease monitoring. A reliable and label‐free method for detecting and tracking these structural changes is critical for effective clinical application. In this work, a galvanic molecular entrapment (GME) strategy is presented to combine with surface‐enhanced Raman scattering (SERS) for localization and label‐free detection of neuroproteins. This approach integrates galvanic replacement with in situ Au surface growth to enable precise molecular entrapment and plasmonic hotspot formation directly around target analytes. Such spatial confinement optimizes analyte positioning within the electromagnetic field, thereby enhancing SERS signal intensity and overcoming geometric mismatches that typically limit sensitivity. The GME method successfully profiled neuroprotein conformational states and demonstrated strong potential for proteomic analysis. A logistic regression model applied to the spectral dataset enabled accurate classification of saliva samples from individuals with epilepsy, schizophrenia, Parkinson's disease, and healthy controls, achieving high sensitivity, specificity, and diagnostic accuracy. This integrated platform offers a non‐invasive tool for neurological diagnostics and holds significant promise for advancing personalized healthcare in the management of neurological disorders.</w:t>
      </w:r>
    </w:p>
    <w:p>
      <w:pPr>
        <w:spacing w:before="120" w:after="120"/>
      </w:pPr>
      <w:r>
        <w:rPr>
          <w:sz w:val="18"/>
        </w:rPr>
        <w:t>——————————————————————————————————————————————————————————————————————</w:t>
      </w:r>
    </w:p>
    <w:p>
      <w:pPr>
        <w:spacing w:before="160" w:after="40" w:line="240" w:lineRule="auto"/>
      </w:pPr>
      <w:r>
        <w:rPr>
          <w:b/>
        </w:rPr>
        <w:t xml:space="preserve">[76] </w:t>
      </w:r>
      <w:hyperlink r:id="rId107">
        <w:r>
          <w:rPr>
            <w:color w:val="1155CC"/>
            <w:u w:val="single"/>
          </w:rPr>
          <w:t>大型2D型材料的单层单向单向单向单向单向直向</w:t>
        </w:r>
      </w:hyperlink>
    </w:p>
    <w:p>
      <w:pPr>
        <w:spacing w:before="0" w:after="80"/>
      </w:pPr>
      <w:r>
        <w:rPr>
          <w:i/>
          <w:sz w:val="20"/>
        </w:rPr>
        <w:t>EN: Single‐Site‐Directed Unidirectional Epitaxy of Large‐Scale 2D Materials</w:t>
      </w:r>
    </w:p>
    <w:p>
      <w:pPr>
        <w:spacing w:before="0" w:after="120"/>
      </w:pPr>
      <w:r>
        <w:rPr>
          <w:b/>
        </w:rPr>
        <w:t xml:space="preserve">Source: </w:t>
      </w:r>
      <w:r>
        <w:t>Wiley: Advanced Materials: Table of Contents</w:t>
      </w:r>
      <w:r>
        <w:t xml:space="preserve">    </w:t>
      </w:r>
      <w:r>
        <w:rPr>
          <w:b/>
        </w:rPr>
        <w:t xml:space="preserve">Pub date: </w:t>
      </w:r>
      <w:r>
        <w:t>2026-01-25 07:16:35+00:00</w:t>
      </w:r>
      <w:r>
        <w:t xml:space="preserve">    </w:t>
      </w:r>
      <w:r>
        <w:rPr>
          <w:b/>
        </w:rPr>
        <w:t xml:space="preserve">DOI: </w:t>
      </w:r>
      <w:hyperlink r:id="rId108">
        <w:r>
          <w:rPr>
            <w:color w:val="1155CC"/>
            <w:u w:val="single"/>
          </w:rPr>
          <w:t>10.1002/adma.202520837</w:t>
        </w:r>
      </w:hyperlink>
    </w:p>
    <w:p>
      <w:pPr>
        <w:spacing w:before="0" w:after="120"/>
      </w:pPr>
      <w:r>
        <w:rPr>
          <w:b/>
        </w:rPr>
        <w:t xml:space="preserve">Notes: </w:t>
      </w:r>
      <w:r>
        <w:t>abstract_source=crossref</w:t>
      </w:r>
    </w:p>
    <w:p>
      <w:pPr>
        <w:spacing w:before="0" w:after="80" w:lineRule="auto" w:line="276"/>
      </w:pPr>
      <w:r>
        <w:rPr>
          <w:b/>
        </w:rPr>
        <w:t xml:space="preserve">摘要（ZH）: </w:t>
      </w:r>
      <w:r>
        <w:t>ABSTACT 范德华(VdW)层2D材料大规模合成,对于将其纳入高性能电子学和光电子学来说,仍然是一项重大挑战。虽然多子煤炭法为大面积增长提供了一条有希望的道路,但其成功的关键取决于在所有圆形领域实现统一的晶体取向,这个挑战尚未完全解决。在这里,我们提出了一个有效的战略,通过在平坦的梯田中控制地引入单活点,实现2D材料的单向上层增长。我们利用Au(111)的MOSe 2的超偏差作为模型系统,将分子束轴与第一原则的积分结合起来。</w:t>
      </w:r>
    </w:p>
    <w:p>
      <w:pPr>
        <w:spacing w:before="0" w:after="200" w:lineRule="auto" w:line="276"/>
      </w:pPr>
      <w:r>
        <w:rPr>
          <w:b/>
        </w:rPr>
        <w:t xml:space="preserve">Abstract (EN): </w:t>
      </w:r>
      <w:r>
        <w:t>Large‐scale synthesis of van der Waals (vdW) layered 2D materials remain a major challenge for their integration into high‐performance electronics and optoelectronics. Although the multi‐grain coalescence method provides a promising route to large‐area growth, its success critically depends on achieving uniform crystallographic orientation across all nucleated domains, a challenge that has not yet been fully resolved. Here, we present an effective strategy for realizing unidirectional epitaxial growth of 2D materials by controllably introducing single active sites on flat terraces. Using the heteroepitaxy of MoSe</w:t>
      </w:r>
      <w:r>
        <w:rPr>
          <w:vertAlign w:val="subscript"/>
        </w:rPr>
        <w:t>2</w:t>
      </w:r>
      <w:r>
        <w:t>on Au(111) as a model system, we combine molecular beam epitaxy with first‐principles calculations to validate this mechanism. We show that Se adsorption disrupts the intrinsic herringbone reconstruction of Au(111), releasing surface Au atoms that aggregate into stable dimers. These dimers act as symmetry‐breaking nucleation centers, guiding the unidirectional alignment of MoSe</w:t>
      </w:r>
      <w:r>
        <w:rPr>
          <w:vertAlign w:val="subscript"/>
        </w:rPr>
        <w:t>2</w:t>
      </w:r>
      <w:r>
        <w:t>domains. From the perspective of interfacial interactions, we further clarify how substrate surface activation enhances the epitaxial quality of 2D materials. This work establishes a scalable pathway toward large‐scale single‐crystal 2D films and provides a conceptual framework for advancing the epitaxial growth of 2D materials.</w:t>
      </w:r>
    </w:p>
    <w:p>
      <w:pPr>
        <w:spacing w:before="120" w:after="120"/>
      </w:pPr>
      <w:r>
        <w:rPr>
          <w:sz w:val="18"/>
        </w:rPr>
        <w:t>——————————————————————————————————————————————————————————————————————</w:t>
      </w:r>
    </w:p>
    <w:p>
      <w:pPr>
        <w:spacing w:before="160" w:after="40" w:line="240" w:lineRule="auto"/>
      </w:pPr>
      <w:r>
        <w:rPr>
          <w:b/>
        </w:rPr>
        <w:t xml:space="preserve">[77] </w:t>
      </w:r>
      <w:hyperlink r:id="rId109">
        <w:r>
          <w:rPr>
            <w:color w:val="1155CC"/>
            <w:u w:val="single"/>
          </w:rPr>
          <w:t>通过LiFçLess Cathode-Eectrolyte Cathode-电极间隙,高载MnRich Li[Mn1xFex]PO4高载载MnRich Li[Mn1xFex]Cathodes的快速快速捕捉性能增强</w:t>
        </w:r>
      </w:hyperlink>
    </w:p>
    <w:p>
      <w:pPr>
        <w:spacing w:before="0" w:after="80"/>
      </w:pPr>
      <w:r>
        <w:rPr>
          <w:i/>
          <w:sz w:val="20"/>
        </w:rPr>
        <w:t>EN: Enhanced Fast‐Charging Performance of High‐Mass‐Loading Mn‐Rich Li[Mn1‐xFex]PO4 Cathodes via LiF‐Less Cathode–Electrolyte Interphase</w:t>
      </w:r>
    </w:p>
    <w:p>
      <w:pPr>
        <w:spacing w:before="0" w:after="120"/>
      </w:pPr>
      <w:r>
        <w:rPr>
          <w:b/>
        </w:rPr>
        <w:t xml:space="preserve">Source: </w:t>
      </w:r>
      <w:r>
        <w:t>Wiley: Advanced Energy Materials: Table of Contents</w:t>
      </w:r>
      <w:r>
        <w:t xml:space="preserve">    </w:t>
      </w:r>
      <w:r>
        <w:rPr>
          <w:b/>
        </w:rPr>
        <w:t xml:space="preserve">Pub date: </w:t>
      </w:r>
      <w:r>
        <w:t>2026-01-25 07:17:03+00:00</w:t>
      </w:r>
      <w:r>
        <w:t xml:space="preserve">    </w:t>
      </w:r>
      <w:r>
        <w:rPr>
          <w:b/>
        </w:rPr>
        <w:t xml:space="preserve">DOI: </w:t>
      </w:r>
      <w:hyperlink r:id="rId110">
        <w:r>
          <w:rPr>
            <w:color w:val="1155CC"/>
            <w:u w:val="single"/>
          </w:rPr>
          <w:t>10.1002/aenm.202506130</w:t>
        </w:r>
      </w:hyperlink>
    </w:p>
    <w:p>
      <w:pPr>
        <w:spacing w:before="0" w:after="120"/>
      </w:pPr>
      <w:r>
        <w:rPr>
          <w:b/>
        </w:rPr>
        <w:t xml:space="preserve">Notes: </w:t>
      </w:r>
      <w:r>
        <w:t>abstract_source=crossref</w:t>
      </w:r>
    </w:p>
    <w:p>
      <w:pPr>
        <w:spacing w:before="0" w:after="80" w:lineRule="auto" w:line="276"/>
      </w:pPr>
      <w:r>
        <w:rPr>
          <w:b/>
        </w:rPr>
        <w:t xml:space="preserve">摘要（ZH）: </w:t>
      </w:r>
      <w:r>
        <w:t>ABSTACT Mnürich Li[Mn 1 xx Fe x ]PO 4 (LMFP) 4 (LMFP) cithodes由于其结构稳定性和成本效益,是下一代锂电池有前途的候选产品,然而,在工业相关高质量装载条件下,这些电池仍然严重性能退化,特别是在快速充电期间。</w:t>
      </w:r>
    </w:p>
    <w:p>
      <w:pPr>
        <w:spacing w:before="0" w:after="200" w:lineRule="auto" w:line="276"/>
      </w:pPr>
      <w:r>
        <w:rPr>
          <w:b/>
        </w:rPr>
        <w:t xml:space="preserve">Abstract (EN): </w:t>
      </w:r>
      <w:r>
        <w:t>Mn‐rich Li[Mn</w:t>
      </w:r>
      <w:r>
        <w:t xml:space="preserve"> </w:t>
      </w:r>
      <w:r>
        <w:t>1‐</w:t>
      </w:r>
      <w:r>
        <w:t xml:space="preserve"> </w:t>
      </w:r>
      <w:r>
        <w:t>x</w:t>
      </w:r>
      <w:r>
        <w:t xml:space="preserve"> </w:t>
      </w:r>
      <w:r>
        <w:t>Fe</w:t>
      </w:r>
      <w:r>
        <w:t xml:space="preserve"> </w:t>
      </w:r>
      <w:r>
        <w:t>x</w:t>
      </w:r>
      <w:r>
        <w:t xml:space="preserve"> </w:t>
      </w:r>
      <w:r>
        <w:t>]PO</w:t>
      </w:r>
      <w:r>
        <w:rPr>
          <w:vertAlign w:val="subscript"/>
        </w:rPr>
        <w:t>4</w:t>
      </w:r>
      <w:r>
        <w:t>(LMFP) cathodes are promising candidates for next‐generation lithium‐ion batteries due to their structural stability and cost‐effectiveness. However, under industrially relevant high‐mass‐loading conditions, they still suffer from severe performance degradation, particularly during fast charging. In this study, we systematically demonstrate that charge‐transfer resistance, rather than bulk Li</w:t>
      </w:r>
      <w:r>
        <w:t xml:space="preserve"> </w:t>
      </w:r>
      <w:r>
        <w:t>+</w:t>
      </w:r>
      <w:r>
        <w:t xml:space="preserve"> </w:t>
      </w:r>
      <w:r>
        <w:t>diffusivity, governs the kinetic limitations of LMFP electrodes with an areal capacity of ∼3.5 mAh cm</w:t>
      </w:r>
      <w:r>
        <w:t xml:space="preserve"> </w:t>
      </w:r>
      <w:r>
        <w:t>−2</w:t>
      </w:r>
      <w:r>
        <w:t xml:space="preserve"> </w:t>
      </w:r>
      <w:r>
        <w:t>(∼23 mg cm</w:t>
      </w:r>
      <w:r>
        <w:t xml:space="preserve"> </w:t>
      </w:r>
      <w:r>
        <w:t>−2</w:t>
      </w:r>
      <w:r>
        <w:t xml:space="preserve"> </w:t>
      </w:r>
      <w:r>
        <w:t>mass loading). Surface analyses reveal that the buildup of electronically and ionically insulating LiF at the cathode–electrolyte interphase (CEI) is the primary cause of sluggish charge transfer, highlighting a previously overlooked detrimental role of LiF. Guided by this insight, we implement an interfacial engineering strategy that suppresses LiF formation at the CEI. Remarkably, the resulting high‐mass‐loading LMFP cathodes deliver a 1.6‐fold increase in capacity at 5C and retain ∼87% of their initial capacity after 100 cycles at 2C. Moreover,</w:t>
      </w:r>
      <w:r>
        <w:t xml:space="preserve"> </w:t>
      </w:r>
      <w:r>
        <w:t>operando</w:t>
      </w:r>
      <w:r>
        <w:t xml:space="preserve"> </w:t>
      </w:r>
      <w:r>
        <w:t>structural analysis reveals that electrodes with LiF‐suppressed CEI maintain a robust single‐phase transition during fast cycling, directly linking interfacial LiF suppression to significantly enhanced charge‐transfer kinetics. This work highlights the critical importance of CEI engineering in enabling fast‐charging Mn‐rich olivine cathodes under practical, high‐mass‐loading conditions.</w:t>
      </w:r>
    </w:p>
    <w:p>
      <w:pPr>
        <w:spacing w:before="120" w:after="120"/>
      </w:pPr>
      <w:r>
        <w:rPr>
          <w:sz w:val="18"/>
        </w:rPr>
        <w:t>——————————————————————————————————————————————————————————————————————</w:t>
      </w:r>
    </w:p>
    <w:p>
      <w:pPr>
        <w:spacing w:before="160" w:after="40" w:line="240" w:lineRule="auto"/>
      </w:pPr>
      <w:r>
        <w:rPr>
          <w:b/>
        </w:rPr>
        <w:t xml:space="preserve">[78] </w:t>
      </w:r>
      <w:hyperlink r:id="rId111">
        <w:r>
          <w:rPr>
            <w:color w:val="1155CC"/>
            <w:u w:val="single"/>
          </w:rPr>
          <w:t>设定 Enantioseparection 的地方: 用于非对称氢原子转移的机械化框架</w:t>
        </w:r>
      </w:hyperlink>
    </w:p>
    <w:p>
      <w:pPr>
        <w:spacing w:before="0" w:after="80"/>
      </w:pPr>
      <w:r>
        <w:rPr>
          <w:i/>
          <w:sz w:val="20"/>
        </w:rPr>
        <w:t>EN: Where Enantioselection is Set: A Mechanistic Framework for Asymmetric Hydrogen‐Atom Transfer</w:t>
      </w:r>
    </w:p>
    <w:p>
      <w:pPr>
        <w:spacing w:before="0" w:after="120"/>
      </w:pPr>
      <w:r>
        <w:rPr>
          <w:b/>
        </w:rPr>
        <w:t xml:space="preserve">Source: </w:t>
      </w:r>
      <w:r>
        <w:t>Wiley: Angewandte Chemie International Edition: Table of Contents</w:t>
      </w:r>
      <w:r>
        <w:t xml:space="preserve">    </w:t>
      </w:r>
      <w:r>
        <w:rPr>
          <w:b/>
        </w:rPr>
        <w:t xml:space="preserve">Pub date: </w:t>
      </w:r>
      <w:r>
        <w:t>2026-01-25 07:17:11+00:00</w:t>
      </w:r>
      <w:r>
        <w:t xml:space="preserve">    </w:t>
      </w:r>
      <w:r>
        <w:rPr>
          <w:b/>
        </w:rPr>
        <w:t xml:space="preserve">DOI: </w:t>
      </w:r>
      <w:hyperlink r:id="rId112">
        <w:r>
          <w:rPr>
            <w:color w:val="1155CC"/>
            <w:u w:val="single"/>
          </w:rPr>
          <w:t>10.1002/anie.202526135</w:t>
        </w:r>
      </w:hyperlink>
    </w:p>
    <w:p>
      <w:pPr>
        <w:spacing w:before="0" w:after="120"/>
      </w:pPr>
      <w:r>
        <w:rPr>
          <w:b/>
        </w:rPr>
        <w:t xml:space="preserve">Notes: </w:t>
      </w:r>
      <w:r>
        <w:t>abstract_source=crossref</w:t>
      </w:r>
    </w:p>
    <w:p>
      <w:pPr>
        <w:spacing w:before="0" w:after="80" w:lineRule="auto" w:line="276"/>
      </w:pPr>
      <w:r>
        <w:rPr>
          <w:b/>
        </w:rPr>
        <w:t xml:space="preserve">摘要（ZH）: </w:t>
      </w:r>
      <w:r>
        <w:t>抽象氢原子转移(HAT)是激进化学的核心,但不对称的HAT一直很困难,因为激进分子的高度回弹性往往迫使HAT通过早期、组织不力的转型国家,产生小QG,并允许快速的种族背景途径进行竞争。 最近在小分子、金属、合作、peptide和酶催化方面的进展表明,当催化剂在设定配置的HQ转移步骤时被设计来实施立体控制时,高对等选择性是可以实现的。 在本次小型审查中,我们将不对称HAT组织成五个制度——捐赠控制终止、激进控制、抽象控制......c</w:t>
      </w:r>
    </w:p>
    <w:p>
      <w:pPr>
        <w:spacing w:before="0" w:after="200" w:lineRule="auto" w:line="276"/>
      </w:pPr>
      <w:r>
        <w:rPr>
          <w:b/>
        </w:rPr>
        <w:t xml:space="preserve">Abstract (EN): </w:t>
      </w:r>
      <w:r>
        <w:t>Hydrogen‐atom transfer (HAT) lies at the heart of radical chemistry, yet asymmetric HAT has been difficult because the high reactivity of radicals often forces H‐transfer to proceed through early, weakly organized transition states, yielding small ΔΔG</w:t>
      </w:r>
      <w:r>
        <w:t xml:space="preserve"> </w:t>
      </w:r>
      <w:r>
        <w:t>‡</w:t>
      </w:r>
      <w:r>
        <w:t xml:space="preserve"> </w:t>
      </w:r>
      <w:r>
        <w:t>and allowing rapid racemic background pathways to compete. Recent advances across small‐molecule, metalloradical, cooperative, peptide, and enzymatic catalysis show that high enantioselectivity is attainable when the catalyst is engineered to exert stereocontrol precisely at the H‐transfer step that sets configuration. In this minireview, we organize asymmetric HAT into five regimes—donation‐controlled termination, radical‐centered control, abstraction‐controlled HAT, cooperative bimetallic catalysis, and enzyme‐mediated HAT—each specified by where chiral information is introduced during H‐transfer. Through representative cases, we illustrate how catalysts achieve enantioselection by defining radical geometry, guiding H‐delivery, enforcing selective hydrogen abstraction, or confining donor–acceptor pairs within organized chiral environments. This mechanistic framework provides a unified lens spanning synthetic and biocatalytic systems, clarifies the distinct stereochemical logics in each regime, and highlights emerging opportunities for expanding asymmetric radical chemistry through precisely orchestrated H‐atom transfer.</w:t>
      </w:r>
    </w:p>
    <w:p>
      <w:pPr>
        <w:spacing w:before="120" w:after="120"/>
      </w:pPr>
      <w:r>
        <w:rPr>
          <w:sz w:val="18"/>
        </w:rPr>
        <w:t>——————————————————————————————————————————————————————————————————————</w:t>
      </w:r>
    </w:p>
    <w:p>
      <w:pPr>
        <w:spacing w:before="160" w:after="40" w:line="240" w:lineRule="auto"/>
      </w:pPr>
      <w:r>
        <w:rPr>
          <w:b/>
        </w:rPr>
        <w:t xml:space="preserve">[79] </w:t>
      </w:r>
      <w:hyperlink r:id="rId113">
        <w:r>
          <w:rPr>
            <w:color w:val="1155CC"/>
            <w:u w:val="single"/>
          </w:rPr>
          <w:t>通过 Strain Gradient 有效操纵天体</w:t>
        </w:r>
      </w:hyperlink>
    </w:p>
    <w:p>
      <w:pPr>
        <w:spacing w:before="0" w:after="80"/>
      </w:pPr>
      <w:r>
        <w:rPr>
          <w:i/>
          <w:sz w:val="20"/>
        </w:rPr>
        <w:t>EN: Effective Manipulation of Skyrmions via Strain Gradient</w:t>
      </w:r>
    </w:p>
    <w:p>
      <w:pPr>
        <w:spacing w:before="0" w:after="120"/>
      </w:pPr>
      <w:r>
        <w:rPr>
          <w:b/>
        </w:rPr>
        <w:t xml:space="preserve">Source: </w:t>
      </w:r>
      <w:r>
        <w:t>Wiley: Advanced Materials: Table of Contents</w:t>
      </w:r>
      <w:r>
        <w:t xml:space="preserve">    </w:t>
      </w:r>
      <w:r>
        <w:rPr>
          <w:b/>
        </w:rPr>
        <w:t xml:space="preserve">Pub date: </w:t>
      </w:r>
      <w:r>
        <w:t>2026-01-25 07:18:55+00:00</w:t>
      </w:r>
      <w:r>
        <w:t xml:space="preserve">    </w:t>
      </w:r>
      <w:r>
        <w:rPr>
          <w:b/>
        </w:rPr>
        <w:t xml:space="preserve">DOI: </w:t>
      </w:r>
      <w:hyperlink r:id="rId114">
        <w:r>
          <w:rPr>
            <w:color w:val="1155CC"/>
            <w:u w:val="single"/>
          </w:rPr>
          <w:t>10.1002/adma.202518161</w:t>
        </w:r>
      </w:hyperlink>
    </w:p>
    <w:p>
      <w:pPr>
        <w:spacing w:before="0" w:after="120"/>
      </w:pPr>
      <w:r>
        <w:rPr>
          <w:b/>
        </w:rPr>
        <w:t xml:space="preserve">Notes: </w:t>
      </w:r>
      <w:r>
        <w:t>abstract_source=crossref</w:t>
      </w:r>
    </w:p>
    <w:p>
      <w:pPr>
        <w:spacing w:before="0" w:after="80" w:lineRule="auto" w:line="276"/>
      </w:pPr>
      <w:r>
        <w:rPr>
          <w:b/>
        </w:rPr>
        <w:t xml:space="preserve">摘要（ZH）: </w:t>
      </w:r>
      <w:r>
        <w:t>Skyrmion 天基设备具有相当的记忆、逻辑和感测应用潜力,对天体密度和大小的精确控制是必不可少的。尽管菌株工程提供了一种节能的调节这些特性的节能途径,但过量的菌株可能会在磁胶片中诱发塑料变形或导致裂变,从而损害以电流为媒介的云层控制的可靠性。在这里,我们展示了菌株梯度,作为磁性多层中的有效附加控制参数。通过在飞溅的Pt/Co/Ta多层中引入微尺度的周期性皱纹结构,产生了不同大小和方向的压力梯度。磁力显微分析显示,天体密度和大小都与内层同步变化。</w:t>
      </w:r>
    </w:p>
    <w:p>
      <w:pPr>
        <w:spacing w:before="0" w:after="200" w:lineRule="auto" w:line="276"/>
      </w:pPr>
      <w:r>
        <w:rPr>
          <w:b/>
        </w:rPr>
        <w:t xml:space="preserve">Abstract (EN): </w:t>
      </w:r>
      <w:r>
        <w:t>Skyrmion‐based devices hold considerable potential for memory, logic, and sensing applications, where precise control over skyrmion density and size is essential. While strain engineering offers an energy‐efficient route to tune these properties, excessive strain can induce plastic deformation in magnetic films or lead to cracking, compromising the reliability of strain‐mediated skyrmion control. Here, we demonstrate strain gradients as an effective additional control parameter in magnetic multilayers. By introducing microscale periodic wrinkled structures in sputtered Pt/Co/Ta multilayers, strain gradients with varying magnitudes and directions are generated. Magnetic force microscopy reveals that both skyrmion density and size vary synchronously with the in‐plane strain gradient, enabling broader tunability than uniform strain approaches. Micromagnetic simulations confirm that these effects arise from strain and strain gradient modulation of the Dzyaloshinskii‐Moriya interaction and magnetic anisotropy. Moreover, this control strategy is reversible, cyclable, and transferable across different magnetic multilayers, providing a practical avenue for precise skyrmion engineering. This approach offers significant promise for advancing flexible spintronics, skyrmion‐based memory, and neuromorphic computing architectures.</w:t>
      </w:r>
    </w:p>
    <w:p>
      <w:pPr>
        <w:spacing w:before="120" w:after="120"/>
      </w:pPr>
      <w:r>
        <w:rPr>
          <w:sz w:val="18"/>
        </w:rPr>
        <w:t>——————————————————————————————————————————————————————————————————————</w:t>
      </w:r>
    </w:p>
    <w:p>
      <w:pPr>
        <w:spacing w:before="160" w:after="40" w:line="240" w:lineRule="auto"/>
      </w:pPr>
      <w:r>
        <w:rPr>
          <w:b/>
        </w:rPr>
        <w:t xml:space="preserve">[80] </w:t>
      </w:r>
      <w:hyperlink r:id="rId115">
        <w:r>
          <w:rPr>
            <w:color w:val="1155CC"/>
            <w:u w:val="single"/>
          </w:rPr>
          <w:t>用于自由无水无水锌-溴电池的 " 准固态液态 " 离子混合电解器</w:t>
        </w:r>
      </w:hyperlink>
    </w:p>
    <w:p>
      <w:pPr>
        <w:spacing w:before="0" w:after="80"/>
      </w:pPr>
      <w:r>
        <w:rPr>
          <w:i/>
          <w:sz w:val="20"/>
        </w:rPr>
        <w:t>EN: A Quasi‐Solid Ionic Liquid‐Polymer Hybrid Electrolyte for Shuttle‐Free and Dendrite‐Free Aqueous Zinc─Bromine Batteries</w:t>
      </w:r>
    </w:p>
    <w:p>
      <w:pPr>
        <w:spacing w:before="0" w:after="120"/>
      </w:pPr>
      <w:r>
        <w:rPr>
          <w:b/>
        </w:rPr>
        <w:t xml:space="preserve">Source: </w:t>
      </w:r>
      <w:r>
        <w:t>Wiley: Advanced Materials: Table of Contents</w:t>
      </w:r>
      <w:r>
        <w:t xml:space="preserve">    </w:t>
      </w:r>
      <w:r>
        <w:rPr>
          <w:b/>
        </w:rPr>
        <w:t xml:space="preserve">Pub date: </w:t>
      </w:r>
      <w:r>
        <w:t>2026-01-25 07:19:33+00:00</w:t>
      </w:r>
      <w:r>
        <w:t xml:space="preserve">    </w:t>
      </w:r>
      <w:r>
        <w:rPr>
          <w:b/>
        </w:rPr>
        <w:t xml:space="preserve">DOI: </w:t>
      </w:r>
      <w:hyperlink r:id="rId116">
        <w:r>
          <w:rPr>
            <w:color w:val="1155CC"/>
            <w:u w:val="single"/>
          </w:rPr>
          <w:t>10.1002/adma.202519357</w:t>
        </w:r>
      </w:hyperlink>
    </w:p>
    <w:p>
      <w:pPr>
        <w:spacing w:before="0" w:after="120"/>
      </w:pPr>
      <w:r>
        <w:rPr>
          <w:b/>
        </w:rPr>
        <w:t xml:space="preserve">Notes: </w:t>
      </w:r>
      <w:r>
        <w:t>abstract_source=crossref</w:t>
      </w:r>
    </w:p>
    <w:p>
      <w:pPr>
        <w:spacing w:before="0" w:after="80" w:lineRule="auto" w:line="276"/>
      </w:pPr>
      <w:r>
        <w:rPr>
          <w:b/>
        </w:rPr>
        <w:t xml:space="preserve">摘要（ZH）: </w:t>
      </w:r>
      <w:r>
        <w:t>ABSTACT 水态静态锌-溴(Zn-Br) 电池预示着电网级能源储存的前景,但依然受到严重的多溴化物阻塞和贫乏的Zn-Br的可逆性的影响。在这里,我们开发了一种准固态液态聚合物混合电解剂,将全氟辛烷磺酸聚合物矩阵与1-丁基3-甲基二酰二氮基(BMI +) cations结合,固定的-SO 3-组建造高度Zn 2+选择性导导管,而BMI +组形成与聚合物的强大电静层互动,产生有效捕捉聚溴化物的固定的离子-液流域。</w:t>
      </w:r>
    </w:p>
    <w:p>
      <w:pPr>
        <w:spacing w:before="0" w:after="200" w:lineRule="auto" w:line="276"/>
      </w:pPr>
      <w:r>
        <w:rPr>
          <w:b/>
        </w:rPr>
        <w:t xml:space="preserve">Abstract (EN): </w:t>
      </w:r>
      <w:r>
        <w:t>Aqueous static zinc─bromine (Zn─Br) batteries hold promise for grid‐scale energy storage but still suffer from severe polybromide shuttling and poor Zn reversibility. Here, we develop a quasi‐solid ionic liquid‐polymer hybrid electrolyte by integrating a sulfonated polymer matrix with anchored 1‐butyl‐3‐methylimidazolium (BMI</w:t>
      </w:r>
      <w:r>
        <w:t xml:space="preserve"> </w:t>
      </w:r>
      <w:r>
        <w:t>+</w:t>
      </w:r>
      <w:r>
        <w:t xml:space="preserve"> </w:t>
      </w:r>
      <w:r>
        <w:t>) cations. The fixed −SO</w:t>
      </w:r>
      <w:r>
        <w:rPr>
          <w:vertAlign w:val="subscript"/>
        </w:rPr>
        <w:t>3</w:t>
      </w:r>
      <w:r>
        <w:t>−</w:t>
      </w:r>
      <w:r>
        <w:t>groups construct highly Zn</w:t>
      </w:r>
      <w:r>
        <w:t xml:space="preserve"> </w:t>
      </w:r>
      <w:r>
        <w:t>2+</w:t>
      </w:r>
      <w:r>
        <w:t xml:space="preserve"> </w:t>
      </w:r>
      <w:r>
        <w:t>selective conduction channels, while BMI</w:t>
      </w:r>
      <w:r>
        <w:t xml:space="preserve"> </w:t>
      </w:r>
      <w:r>
        <w:t>+</w:t>
      </w:r>
      <w:r>
        <w:t xml:space="preserve"> </w:t>
      </w:r>
      <w:r>
        <w:t>forms strong electrostatic interactions with the polymer, generating immobilized ionic‐liquid domains that effectively capture polybromides. This hybrid design transforms BMI</w:t>
      </w:r>
      <w:r>
        <w:t xml:space="preserve"> </w:t>
      </w:r>
      <w:r>
        <w:t>+</w:t>
      </w:r>
      <w:r>
        <w:t xml:space="preserve"> </w:t>
      </w:r>
      <w:r>
        <w:t>from a soluble additive into a structural component of the quasi‐solid framework, thereby enabling simultaneous dendrite‐free Zn plating/stripping and shuttle suppression. With this multifunctional regulation, the Zn─Br batteries achieve a high initial capacity of 162.7 mAh g</w:t>
      </w:r>
      <w:r>
        <w:t xml:space="preserve"> </w:t>
      </w:r>
      <w:r>
        <w:t>−1</w:t>
      </w:r>
      <w:r>
        <w:t xml:space="preserve"> </w:t>
      </w:r>
      <w:r>
        <w:t>, a discharge plateau of ∼1.78 V, and 25 000‐cycle durability at 20 C. Moreover, the pouch cell with high‐loading Br cathodes (∼14 mg</w:t>
      </w:r>
      <w:r>
        <w:t xml:space="preserve"> </w:t>
      </w:r>
      <w:r>
        <w:t>KBr</w:t>
      </w:r>
      <w:r>
        <w:t xml:space="preserve"> </w:t>
      </w:r>
      <w:r>
        <w:t>cm</w:t>
      </w:r>
      <w:r>
        <w:t xml:space="preserve"> </w:t>
      </w:r>
      <w:r>
        <w:t>−2</w:t>
      </w:r>
      <w:r>
        <w:t xml:space="preserve"> </w:t>
      </w:r>
      <w:r>
        <w:t>) retains 90.9% capacity after 1500 cycles. This work demonstrates that quasi‐solid ionic liquid‐polymer hybrid electrolytes can deliver shuttle‐free, long‐lasting Zn─Br batteries, pointing to a promising pathway for scalable and reliable aqueous energy storage.</w:t>
      </w:r>
    </w:p>
    <w:p>
      <w:pPr>
        <w:spacing w:before="120" w:after="120"/>
      </w:pPr>
      <w:r>
        <w:rPr>
          <w:sz w:val="18"/>
        </w:rPr>
        <w:t>——————————————————————————————————————————————————————————————————————</w:t>
      </w:r>
    </w:p>
    <w:p>
      <w:pPr>
        <w:spacing w:before="160" w:after="40" w:line="240" w:lineRule="auto"/>
      </w:pPr>
      <w:r>
        <w:rPr>
          <w:b/>
        </w:rPr>
        <w:t xml:space="preserve">[81] </w:t>
      </w:r>
      <w:hyperlink r:id="rId117">
        <w:r>
          <w:rPr>
            <w:color w:val="1155CC"/>
            <w:u w:val="single"/>
          </w:rPr>
          <w:t>金属物种和FeNiPolly(七氮化物)含量对其作为ZincAir电池电催化剂的特性的影响</w:t>
        </w:r>
      </w:hyperlink>
    </w:p>
    <w:p>
      <w:pPr>
        <w:spacing w:before="0" w:after="80"/>
      </w:pPr>
      <w:r>
        <w:rPr>
          <w:i/>
          <w:sz w:val="20"/>
        </w:rPr>
        <w:t>EN: Influence of Metal Species and Content of Fe‐Ni‐Poly(heptazine imides) on their Properties as Electrocatalysts for Zinc‐Air Batteries</w:t>
      </w:r>
    </w:p>
    <w:p>
      <w:pPr>
        <w:spacing w:before="0" w:after="120"/>
      </w:pPr>
      <w:r>
        <w:rPr>
          <w:b/>
        </w:rPr>
        <w:t xml:space="preserve">Source: </w:t>
      </w:r>
      <w:r>
        <w:t>Wiley: Advanced Energy Materials: Table of Contents</w:t>
      </w:r>
      <w:r>
        <w:t xml:space="preserve">    </w:t>
      </w:r>
      <w:r>
        <w:rPr>
          <w:b/>
        </w:rPr>
        <w:t xml:space="preserve">Pub date: </w:t>
      </w:r>
      <w:r>
        <w:t>2026-01-25 07:20:41+00:00</w:t>
      </w:r>
      <w:r>
        <w:t xml:space="preserve">    </w:t>
      </w:r>
      <w:r>
        <w:rPr>
          <w:b/>
        </w:rPr>
        <w:t xml:space="preserve">DOI: </w:t>
      </w:r>
      <w:hyperlink r:id="rId118">
        <w:r>
          <w:rPr>
            <w:color w:val="1155CC"/>
            <w:u w:val="single"/>
          </w:rPr>
          <w:t>10.1002/aenm.202506308</w:t>
        </w:r>
      </w:hyperlink>
    </w:p>
    <w:p>
      <w:pPr>
        <w:spacing w:before="0" w:after="120"/>
      </w:pPr>
      <w:r>
        <w:rPr>
          <w:b/>
        </w:rPr>
        <w:t xml:space="preserve">Notes: </w:t>
      </w:r>
      <w:r>
        <w:t>abstract_source=crossref</w:t>
      </w:r>
    </w:p>
    <w:p>
      <w:pPr>
        <w:spacing w:before="0" w:after="80" w:lineRule="auto" w:line="276"/>
      </w:pPr>
      <w:r>
        <w:rPr>
          <w:b/>
        </w:rPr>
        <w:t xml:space="preserve">摘要（ZH）: </w:t>
      </w:r>
      <w:r>
        <w:t>近年来,ABSTRACT Alkaline Alkapair 锌电池(ZABs)因其高理论能量密度和使用低成本、丰富的锌金属作为阳极而引起兴趣,为了克服氧气减少反应(ORR)和氧气进化反应(OER)的活性能源障碍,通常使用惰性金属,在这项工作中,将过渡性金属-功能化聚苯乙烯(HIPS)作为一种替代的、更丰富的电催化剂进行研究,因为它们提供了定购结构内金属同质固定的电催化剂,将Fe和Ni引入PHI网络,使得形成单一和混合过渡性金属PHIs,表明ORR和OER的过度潜力减少。</w:t>
      </w:r>
    </w:p>
    <w:p>
      <w:pPr>
        <w:spacing w:before="0" w:after="200" w:lineRule="auto" w:line="276"/>
      </w:pPr>
      <w:r>
        <w:rPr>
          <w:b/>
        </w:rPr>
        <w:t xml:space="preserve">Abstract (EN): </w:t>
      </w:r>
      <w:r>
        <w:t>Alkaline zinc‐air batteries (ZABs) have attracted interest in recent years for their high theoretical energy density and use of low‐cost, abundant zinc metal as the anode. In order to overcome the activation energy barrier of the oxygen reduction reaction (ORR) and oxygen evolution reaction (OER), noble metals are commonly used. Within this work, transition metal‐functionalized Poly(heptazine imide)s (PHIs) are studied as an alternative and more abundant electrocatalyst, as they offer the homogenous immobilization of metals within their ordered structure. Introducing Fe and Ni into the PHI network enables the formation of single and mixed transition metal PHIs, which show reduced overpotentials for ORR and OER. The formation of Ni single atoms even induces outstanding catalytic activity for the OER during charging of ZAB full cells with performance comparable to that of RuO</w:t>
      </w:r>
      <w:r>
        <w:rPr>
          <w:vertAlign w:val="subscript"/>
        </w:rPr>
        <w:t>2</w:t>
      </w:r>
      <w:r>
        <w:t>. Furthermore, full cell tests show excellent stability over the course of 250 discharge‐charge cycles, making it a promising system for sustainable energy storage. This work paves the way for the molecular design of a novel material class as an electrocatalyst for ZAB.</w:t>
      </w:r>
    </w:p>
    <w:p>
      <w:pPr>
        <w:spacing w:before="120" w:after="120"/>
      </w:pPr>
      <w:r>
        <w:rPr>
          <w:sz w:val="18"/>
        </w:rPr>
        <w:t>——————————————————————————————————————————————————————————————————————</w:t>
      </w:r>
    </w:p>
    <w:p>
      <w:pPr>
        <w:spacing w:before="160" w:after="40" w:line="240" w:lineRule="auto"/>
      </w:pPr>
      <w:r>
        <w:rPr>
          <w:b/>
        </w:rPr>
        <w:t xml:space="preserve">[82] </w:t>
      </w:r>
      <w:hyperlink r:id="rId119">
        <w:r>
          <w:rPr>
            <w:color w:val="1155CC"/>
            <w:u w:val="single"/>
          </w:rPr>
          <w:t>通过Situ SN2替代光开源环境的Situ SN2替代标准,超小型CsPPBI3量图点的大型工程。 2020年 纯Red Perovskite LED 和特殊当前效率</w:t>
        </w:r>
      </w:hyperlink>
    </w:p>
    <w:p>
      <w:pPr>
        <w:spacing w:before="0" w:after="80"/>
      </w:pPr>
      <w:r>
        <w:rPr>
          <w:i/>
          <w:sz w:val="20"/>
        </w:rPr>
        <w:t>EN: Ligand Engineering of Ultrasmall CsPbI3 Quantum Dots via In Situ SN2 Substitution Enables Bright Rec. 2020 Pure‐Red Perovskite LEDs with Exceptional Current Efficiency</w:t>
      </w:r>
    </w:p>
    <w:p>
      <w:pPr>
        <w:spacing w:before="0" w:after="120"/>
      </w:pPr>
      <w:r>
        <w:rPr>
          <w:b/>
        </w:rPr>
        <w:t xml:space="preserve">Source: </w:t>
      </w:r>
      <w:r>
        <w:t>Wiley: Advanced Materials: Table of Contents</w:t>
      </w:r>
      <w:r>
        <w:t xml:space="preserve">    </w:t>
      </w:r>
      <w:r>
        <w:rPr>
          <w:b/>
        </w:rPr>
        <w:t xml:space="preserve">Pub date: </w:t>
      </w:r>
      <w:r>
        <w:t>2026-01-25 07:24:53+00:00</w:t>
      </w:r>
      <w:r>
        <w:t xml:space="preserve">    </w:t>
      </w:r>
      <w:r>
        <w:rPr>
          <w:b/>
        </w:rPr>
        <w:t xml:space="preserve">DOI: </w:t>
      </w:r>
      <w:hyperlink r:id="rId120">
        <w:r>
          <w:rPr>
            <w:color w:val="1155CC"/>
            <w:u w:val="single"/>
          </w:rPr>
          <w:t>10.1002/adma.202519475</w:t>
        </w:r>
      </w:hyperlink>
    </w:p>
    <w:p>
      <w:pPr>
        <w:spacing w:before="0" w:after="120"/>
      </w:pPr>
      <w:r>
        <w:rPr>
          <w:b/>
        </w:rPr>
        <w:t xml:space="preserve">Notes: </w:t>
      </w:r>
      <w:r>
        <w:t>abstract_source=crossref</w:t>
      </w:r>
    </w:p>
    <w:p>
      <w:pPr>
        <w:spacing w:before="0" w:after="80" w:lineRule="auto" w:line="276"/>
      </w:pPr>
      <w:r>
        <w:rPr>
          <w:b/>
        </w:rPr>
        <w:t xml:space="preserve">摘要（ZH）: </w:t>
      </w:r>
      <w:r>
        <w:t>ABSTACT 超小型类铅碘化(CsPBI 3)量点(CsPBI 3) 量点(QDs)是实现符合2020年建议标准、但相应的装置很难达到令人满意的外部量量量效率(EQE)、当前效率(CE)以及同时发光,因为使用基本上过度隔绝的长链锁和超小型CsPBI 3 QDs的缺陷控制的额外困难。</w:t>
      </w:r>
    </w:p>
    <w:p>
      <w:pPr>
        <w:spacing w:before="0" w:after="200" w:lineRule="auto" w:line="276"/>
      </w:pPr>
      <w:r>
        <w:rPr>
          <w:b/>
        </w:rPr>
        <w:t xml:space="preserve">Abstract (EN): </w:t>
      </w:r>
      <w:r>
        <w:t>Ultrasmall‐sized cesium lead iodide (CsPbI</w:t>
      </w:r>
      <w:r>
        <w:rPr>
          <w:vertAlign w:val="subscript"/>
        </w:rPr>
        <w:t>3</w:t>
      </w:r>
      <w:r>
        <w:t>) quantum dots (QDs) are promising candidates for achieving spectrally stable pure‐red perovskite light‐emitting diodes (PeLEDs) meeting Rec. 2020 standards. However, the corresponding devices hardly achieve satisfactory external quantum efficiency (EQE), current efficiency (CE), and luminance simultaneously because of the use of largely excessive insulating long‐chain ligands and additional difficulties in the defect control of ultrasmall CsPbI</w:t>
      </w:r>
      <w:r>
        <w:rPr>
          <w:vertAlign w:val="subscript"/>
        </w:rPr>
        <w:t>3</w:t>
      </w:r>
      <w:r>
        <w:t>QDs. Herein, we develop an alkyl iodide‐assisted ligand modulation strategy for CsPbI</w:t>
      </w:r>
      <w:r>
        <w:rPr>
          <w:vertAlign w:val="subscript"/>
        </w:rPr>
        <w:t>3</w:t>
      </w:r>
      <w:r>
        <w:t>QDs toward high‐efficiency and bright pure‐red PeLEDs. We elucidate an in‐situ nucleophilic bimolecular (S</w:t>
      </w:r>
      <w:r>
        <w:t xml:space="preserve"> </w:t>
      </w:r>
      <w:r>
        <w:t>N</w:t>
      </w:r>
      <w:r>
        <w:t xml:space="preserve"> </w:t>
      </w:r>
      <w:r>
        <w:t>2) substitution reaction between the oleylamine and additionally incorporated short‐chain 1‐iodooctane (IO) molecules during the materials synthesis. The reaction‐generated hydriodic acid (HI) induces non‐destructive surface etching of QDs, enabling exceptional luminescent properties of the strongly confined products. In addition, the S</w:t>
      </w:r>
      <w:r>
        <w:t xml:space="preserve"> </w:t>
      </w:r>
      <w:r>
        <w:t>N</w:t>
      </w:r>
      <w:r>
        <w:t xml:space="preserve"> </w:t>
      </w:r>
      <w:r>
        <w:t>2 reaction‐derived secondary amine strongly adsorbs at the surface of QDs, which stabilizes the products with a reduced ligand density, simultaneously enhancing photoluminescence stability and electrical properties of the assembled emissive layers. The resultant devices emitting at 632 nm demonstrate a peak EQE of 21.56%, an impressive luminance of 13,132 cd m</w:t>
      </w:r>
      <w:r>
        <w:t xml:space="preserve"> </w:t>
      </w:r>
      <w:r>
        <w:t>−2</w:t>
      </w:r>
      <w:r>
        <w:t xml:space="preserve"> </w:t>
      </w:r>
      <w:r>
        <w:t>, and an exceptional CE of 20.73 cd A</w:t>
      </w:r>
      <w:r>
        <w:t xml:space="preserve"> </w:t>
      </w:r>
      <w:r>
        <w:t>−1</w:t>
      </w:r>
      <w:r>
        <w:t xml:space="preserve"> </w:t>
      </w:r>
      <w:r>
        <w:t>, which outperforms state‐of‐the‐art Rec. 2020 pure‐red PeLEDs utilizing ultrasmall‐sized colloidal CsPbI</w:t>
      </w:r>
      <w:r>
        <w:rPr>
          <w:vertAlign w:val="subscript"/>
        </w:rPr>
        <w:t>3</w:t>
      </w:r>
      <w:r>
        <w:t>QDs.</w:t>
      </w:r>
    </w:p>
    <w:p>
      <w:pPr>
        <w:spacing w:before="120" w:after="120"/>
      </w:pPr>
      <w:r>
        <w:rPr>
          <w:sz w:val="18"/>
        </w:rPr>
        <w:t>——————————————————————————————————————————————————————————————————————</w:t>
      </w:r>
    </w:p>
    <w:p>
      <w:pPr>
        <w:spacing w:before="160" w:after="40" w:line="240" w:lineRule="auto"/>
      </w:pPr>
      <w:r>
        <w:rPr>
          <w:b/>
        </w:rPr>
        <w:t xml:space="preserve">[83] </w:t>
      </w:r>
      <w:hyperlink r:id="rId121">
        <w:r>
          <w:rPr>
            <w:color w:val="1155CC"/>
            <w:u w:val="single"/>
          </w:rPr>
          <w:t>有机半导体,带有用于敏感短距紫外红外探测和成像的卤化虚拟终端</w:t>
        </w:r>
      </w:hyperlink>
    </w:p>
    <w:p>
      <w:pPr>
        <w:spacing w:before="0" w:after="80"/>
      </w:pPr>
      <w:r>
        <w:rPr>
          <w:i/>
          <w:sz w:val="20"/>
        </w:rPr>
        <w:t>EN: Organic Semiconductors with Halogenated Quinoid Terminals for Sensitive Short‐Wave Infrared Detection and Imaging</w:t>
      </w:r>
    </w:p>
    <w:p>
      <w:pPr>
        <w:spacing w:before="0" w:after="120"/>
      </w:pPr>
      <w:r>
        <w:rPr>
          <w:b/>
        </w:rPr>
        <w:t xml:space="preserve">Source: </w:t>
      </w:r>
      <w:r>
        <w:t>Wiley: Advanced Materials: Table of Contents</w:t>
      </w:r>
      <w:r>
        <w:t xml:space="preserve">    </w:t>
      </w:r>
      <w:r>
        <w:rPr>
          <w:b/>
        </w:rPr>
        <w:t xml:space="preserve">Pub date: </w:t>
      </w:r>
      <w:r>
        <w:t>2026-01-25 07:26:21+00:00</w:t>
      </w:r>
      <w:r>
        <w:t xml:space="preserve">    </w:t>
      </w:r>
      <w:r>
        <w:rPr>
          <w:b/>
        </w:rPr>
        <w:t xml:space="preserve">DOI: </w:t>
      </w:r>
      <w:hyperlink r:id="rId122">
        <w:r>
          <w:rPr>
            <w:color w:val="1155CC"/>
            <w:u w:val="single"/>
          </w:rPr>
          <w:t>10.1002/adma.202522336</w:t>
        </w:r>
      </w:hyperlink>
    </w:p>
    <w:p>
      <w:pPr>
        <w:spacing w:before="0" w:after="120"/>
      </w:pPr>
      <w:r>
        <w:rPr>
          <w:b/>
        </w:rPr>
        <w:t xml:space="preserve">Notes: </w:t>
      </w:r>
      <w:r>
        <w:t>abstract_source=crossref</w:t>
      </w:r>
    </w:p>
    <w:p>
      <w:pPr>
        <w:spacing w:before="0" w:after="80" w:lineRule="auto" w:line="276"/>
      </w:pPr>
      <w:r>
        <w:rPr>
          <w:b/>
        </w:rPr>
        <w:t xml:space="preserve">摘要（ZH）: </w:t>
      </w:r>
      <w:r>
        <w:t>短波红外线(SWIR)探测和成像对于光电而言至关重要,溶液处理有机半导体为开发大面积、高成本效益的SWIR传感器阵列铺平通过不显性模式处理与读出集成电路兼容,但受能量差距法的限制,分子骨骼振动,特别是高频伸展模式,如C-H 键,在SWIR分子中诱发加速的非辐照性衰变,使SWIR有机光学检测器的性能,特别是在长波长区域,仍然落后于商业无机对应方。</w:t>
      </w:r>
    </w:p>
    <w:p>
      <w:pPr>
        <w:spacing w:before="0" w:after="200" w:lineRule="auto" w:line="276"/>
      </w:pPr>
      <w:r>
        <w:rPr>
          <w:b/>
        </w:rPr>
        <w:t xml:space="preserve">Abstract (EN): </w:t>
      </w:r>
      <w:r>
        <w:t>Short‐wave infrared (SWIR) detection and imaging is vital for optoelectronics, and solution‐processed organic semiconductors pave the way for developing large‐area, cost‐effective SWIR sensor arrays compatible with readout integrated circuits through facile pattern‐free processing. However, limited by the energy gap law, molecular skeleton vibrations, especially high‐frequency stretching modes like C─H bonds, induce accelerated non‐radiative decay in SWIR molecules, making the performance of SWIR organic photodetectors (OPDs), particularly in the long‐wavelength region, still lag behind that of commercial inorganic counterparts. Here we develop an efficient molecular engineering strategy to construct vibration‐suppressed SWIR molecules by employing halogenated quinoid terminals. Relative to their analogs with H atoms, halogenated semiconductors show attenuated exciton‐vibration coupling, decreased conformation and energy disorder, as well as enhanced intramolecular charge transfer, resulting in nearly doubled exciton lifetimes and reduced energy disorder from 103 to 66–83 meV, accompanied by 0.1–0.15 eV optical bandgap narrowing. The optimized SWIR OPDs achieve broadband photoresponse (0.3–1.6 µm) and high specific detectivities up to 2.11 × 10</w:t>
      </w:r>
      <w:r>
        <w:rPr>
          <w:vertAlign w:val="subscript"/>
        </w:rPr>
        <w:t>11</w:t>
      </w:r>
      <w:r>
        <w:t>Jones at 1.03 µm, overwhelming all reported OPDs with &amp;gt;1.4 µm response and comparable to Ge photodetectors in 0.9–1.4 µm range. Furthermore, we demonstrate an advanced active‐matrix OPD‐based SWIR imaging system prototype, showcasing applicability in diverse SWIR scenarios.</w:t>
      </w:r>
    </w:p>
    <w:p>
      <w:pPr>
        <w:spacing w:before="120" w:after="120"/>
      </w:pPr>
      <w:r>
        <w:rPr>
          <w:sz w:val="18"/>
        </w:rPr>
        <w:t>——————————————————————————————————————————————————————————————————————</w:t>
      </w:r>
    </w:p>
    <w:p>
      <w:pPr>
        <w:spacing w:before="160" w:after="40" w:line="240" w:lineRule="auto"/>
      </w:pPr>
      <w:r>
        <w:rPr>
          <w:b/>
        </w:rPr>
        <w:t xml:space="preserve">[84] </w:t>
      </w:r>
      <w:hyperlink r:id="rId123">
        <w:r>
          <w:rPr>
            <w:color w:val="1155CC"/>
            <w:u w:val="single"/>
          </w:rPr>
          <w:t>[ASAP] C-H 插入多氯乙烯聚醚聚二烯-聚丙烯酯腐化的聚烯二烯的功能化</w:t>
        </w:r>
      </w:hyperlink>
    </w:p>
    <w:p>
      <w:pPr>
        <w:spacing w:before="0" w:after="80"/>
      </w:pPr>
      <w:r>
        <w:rPr>
          <w:i/>
          <w:sz w:val="20"/>
        </w:rPr>
        <w:t>EN: [ASAP] C–H Insertion Functionalization of Polyolefins for Versatile Polyolefin-Polyester Compatibilization</w:t>
      </w:r>
    </w:p>
    <w:p>
      <w:pPr>
        <w:spacing w:before="0" w:after="120"/>
      </w:pPr>
      <w:r>
        <w:rPr>
          <w:b/>
        </w:rPr>
        <w:t xml:space="preserve">Source: </w:t>
      </w:r>
      <w:r>
        <w:t>Journal of the American Chemical Society: Latest Articles (ACS Publications)</w:t>
      </w:r>
      <w:r>
        <w:t xml:space="preserve">    </w:t>
      </w:r>
      <w:r>
        <w:rPr>
          <w:b/>
        </w:rPr>
        <w:t xml:space="preserve">Pub date: </w:t>
      </w:r>
      <w:r>
        <w:t>2026-01-25 13:00:14+00:00</w:t>
      </w:r>
      <w:r>
        <w:t xml:space="preserve">    </w:t>
      </w:r>
      <w:r>
        <w:rPr>
          <w:b/>
        </w:rPr>
        <w:t xml:space="preserve">DOI: </w:t>
      </w:r>
      <w:hyperlink r:id="rId124">
        <w:r>
          <w:rPr>
            <w:color w:val="1155CC"/>
            <w:u w:val="single"/>
          </w:rPr>
          <w:t>10.1021/jacs.5c20245</w:t>
        </w:r>
      </w:hyperlink>
    </w:p>
    <w:p>
      <w:pPr>
        <w:spacing w:before="0" w:after="120"/>
      </w:pPr>
      <w:r>
        <w:rPr>
          <w:b/>
        </w:rPr>
        <w:t xml:space="preserve">Notes: </w:t>
      </w:r>
      <w:r>
        <w:t>abstract_source=pubmed</w:t>
      </w:r>
    </w:p>
    <w:p>
      <w:pPr>
        <w:spacing w:before="0" w:after="80" w:lineRule="auto" w:line="276"/>
      </w:pPr>
      <w:r>
        <w:rPr>
          <w:b/>
        </w:rPr>
        <w:t xml:space="preserve">摘要（ZH）: </w:t>
      </w:r>
      <w:r>
        <w:t>混合塑料混合物的有效循环利用仍然是一个重大挑战,因为聚乙烯、聚乙烯、聚乙烯、聚乙烯、聚乙烯、聚乙烯、异聚乙烯、异聚丙烯等常用聚合物与聚烯,包括高密度或低密度聚乙烯、异聚丙烯等聚烯(iPP)不相干。这种不相干导致混合物中的聚合物分阶段分离,损害这些混合物的机械特性。在此,我们报告了一项灵活而有力的战略,通过从原存在的聚合物中插入C-H合成极聚组聚烯,合成极聚组聚苯乙烯,这种聚氯乙烯随后可以作为聚乙烯与不同聚乙烯混合的配料。在将PET与HDPE、LDPE或iP的混合中增加0.5-1.0 wt%的功用多元烯大大改进了断裂时的延长。</w:t>
      </w:r>
    </w:p>
    <w:p>
      <w:pPr>
        <w:spacing w:before="0" w:after="200" w:lineRule="auto" w:line="276"/>
      </w:pPr>
      <w:r>
        <w:rPr>
          <w:b/>
        </w:rPr>
        <w:t xml:space="preserve">Abstract (EN): </w:t>
      </w:r>
      <w:r>
        <w:t>The effective recycling of commingled plastic waste blends remains a major challenge due to the immiscibility of commonly used polymers like polyethylene terephthalate (PET) with polyolefins, including high- or low-density polyethylene (HDPE, LDPE) and isotactic polypropylene (iPP). This immiscibility causes phase separation of the polymers in the blend, compromising the mechanical properties of these mixtures. Herein, we report a versatile and robust strategy to synthesize polar-group pendant polyolefins via C-H insertion from preexisting polymers, which can subsequently act as compatibilizers for blends of PET with different polyolefins. The addition of 0.5-1.0 wt % of these functionalized polyolefins to blends of PET with HDPE, LDPE, or iPP significantly improved the elongation at break, effectively restoring their material properties. This approach can be applied to prepare a compatibilizer from postconsumer HDPE bottlecaps. The waste derived compatibilizer effectively compatibilized postconsumer PET/HDPE blends, demonstrating the versatility of this method as a low-cost, efficient, and adaptable solution for restoring PET/polyolefin blend properties.</w:t>
      </w:r>
    </w:p>
    <w:p>
      <w:pPr>
        <w:spacing w:before="120" w:after="120"/>
      </w:pPr>
      <w:r>
        <w:rPr>
          <w:sz w:val="18"/>
        </w:rPr>
        <w:t>——————————————————————————————————————————————————————————————————————</w:t>
      </w:r>
    </w:p>
    <w:p>
      <w:pPr>
        <w:spacing w:before="160" w:after="40" w:line="240" w:lineRule="auto"/>
      </w:pPr>
      <w:r>
        <w:rPr>
          <w:b/>
        </w:rPr>
        <w:t xml:space="preserve">[85] </w:t>
      </w:r>
      <w:hyperlink r:id="rId125">
        <w:r>
          <w:rPr>
            <w:color w:val="1155CC"/>
            <w:u w:val="single"/>
          </w:rPr>
          <w:t>[ASAP] T-Cell “再生”Nannovaccine:通过Telomere扩展加强免疫记忆和抗逆转录酶反应</w:t>
        </w:r>
      </w:hyperlink>
    </w:p>
    <w:p>
      <w:pPr>
        <w:spacing w:before="0" w:after="80"/>
      </w:pPr>
      <w:r>
        <w:rPr>
          <w:i/>
          <w:sz w:val="20"/>
        </w:rPr>
        <w:t>EN: [ASAP] T-Cell “Rejuvenation” Nanovaccine: Enhancing Immunological Memory and Antitumor Responses through Telomere Extension</w:t>
      </w:r>
    </w:p>
    <w:p>
      <w:pPr>
        <w:spacing w:before="0" w:after="120"/>
      </w:pPr>
      <w:r>
        <w:rPr>
          <w:b/>
        </w:rPr>
        <w:t xml:space="preserve">Source: </w:t>
      </w:r>
      <w:r>
        <w:t>Journal of the American Chemical Society: Latest Articles (ACS Publications)</w:t>
      </w:r>
      <w:r>
        <w:t xml:space="preserve">    </w:t>
      </w:r>
      <w:r>
        <w:rPr>
          <w:b/>
        </w:rPr>
        <w:t xml:space="preserve">Pub date: </w:t>
      </w:r>
      <w:r>
        <w:t>2026-01-25 18:07:25+00:00</w:t>
      </w:r>
      <w:r>
        <w:t xml:space="preserve">    </w:t>
      </w:r>
      <w:r>
        <w:rPr>
          <w:b/>
        </w:rPr>
        <w:t xml:space="preserve">DOI: </w:t>
      </w:r>
      <w:hyperlink r:id="rId126">
        <w:r>
          <w:rPr>
            <w:color w:val="1155CC"/>
            <w:u w:val="single"/>
          </w:rPr>
          <w:t>10.1021/jacs.5c21977</w:t>
        </w:r>
      </w:hyperlink>
    </w:p>
    <w:p>
      <w:pPr>
        <w:spacing w:before="0" w:after="120"/>
      </w:pPr>
      <w:r>
        <w:rPr>
          <w:b/>
        </w:rPr>
        <w:t xml:space="preserve">Notes: </w:t>
      </w:r>
      <w:r>
        <w:t>abstract_source=pubmed</w:t>
      </w:r>
    </w:p>
    <w:p>
      <w:pPr>
        <w:spacing w:before="0" w:after="80" w:lineRule="auto" w:line="276"/>
      </w:pPr>
      <w:r>
        <w:rPr>
          <w:b/>
        </w:rPr>
        <w:t xml:space="preserve">摘要（ZH）: </w:t>
      </w:r>
      <w:r>
        <w:t>研究显示,含有调聚物化合物的骨髓派生坦丁二酸细胞(BMDCs)的外细胞卵囊(EVs)能够通过调聚物转移促进调聚酶独立T细胞调聚物的延伸。基于这一机制,我们设计了长期记忆T细胞疫苗(LMT/OT-II),由携带Ovalbumin peptide OT-II的BMDCs的EV组成。这种疫苗不仅能增强抗原的展示,而且还能延长T细胞调聚物的长度,提高T细胞的活力,恢复青春特性。为了进一步增强抗扰动效应,我们采用了免疫粘性聚苯乙烯(I:C)来激活T细胞。</w:t>
      </w:r>
    </w:p>
    <w:p>
      <w:pPr>
        <w:spacing w:before="0" w:after="200" w:lineRule="auto" w:line="276"/>
      </w:pPr>
      <w:r>
        <w:rPr>
          <w:b/>
        </w:rPr>
        <w:t xml:space="preserve">Abstract (EN): </w:t>
      </w:r>
      <w:r>
        <w:t>Replicative senescence in immune cells undermines vaccine efficacy, with telomere attrition recognized as a key factor to cellular senescence. Studies have shown that the extracellular vesicles (EVs) of bone marrow-derived dendritic cells (BMDCs), which contain the telomeric compounds, can promote telomerase-independent T-cell telomere extension via telomere transfer. Based on this mechanism, we designed a long-term memory T-cell vaccine (LMT/OT-II), which is composed of EVs from BMDCs carrying the ovalbumin peptide OT-II. This vaccine not only enhances antigen presentation but also extends T-cell telomere length, enhancing T-cell vitality and restoring youthful characteristics. To further enhance the antitumor effects, we incorporated the immune adjuvant Poly(I:C) to activate T cells. In both young and aged mouse models, the LMT/OT-II + Poly(I:C) effectively suppressed the growth of B16-OVA melanoma and significantly prolonged the survival of the mouse models. We further developed the LMT/Adpgk + Poly(I:C) vaccine based on mouse colon cancer cell (MC38) neoantigen peptide, which also showed promising results in mice. Through telomere transfer to restore T-cell function and enhance immune memory, our study provides a novel and universal strategy for developing more effective and durable T-cell vaccines, particularly for diseases associated with immunosenescence.</w:t>
      </w:r>
    </w:p>
    <w:p>
      <w:pPr>
        <w:spacing w:before="120" w:after="120"/>
      </w:pPr>
      <w:r>
        <w:rPr>
          <w:sz w:val="18"/>
        </w:rPr>
        <w:t>——————————————————————————————————————————————————————————————————————</w:t>
      </w:r>
    </w:p>
    <w:p>
      <w:pPr>
        <w:spacing w:before="160" w:after="40" w:line="240" w:lineRule="auto"/>
      </w:pPr>
      <w:r>
        <w:rPr>
          <w:b/>
        </w:rPr>
        <w:t xml:space="preserve">[86] </w:t>
      </w:r>
      <w:hyperlink r:id="rId127">
        <w:r>
          <w:rPr>
            <w:color w:val="1155CC"/>
            <w:u w:val="single"/>
          </w:rPr>
          <w:t>每日简报:鲜花蜜蜂圈蜜蜂,鲜花香味</w:t>
        </w:r>
      </w:hyperlink>
    </w:p>
    <w:p>
      <w:pPr>
        <w:spacing w:before="0" w:after="80"/>
      </w:pPr>
      <w:r>
        <w:rPr>
          <w:i/>
          <w:sz w:val="20"/>
        </w:rPr>
        <w:t>EN: Daily briefing: Blister beetles hoodwink bees with floral smells</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[87] </w:t>
      </w:r>
      <w:hyperlink r:id="rId128">
        <w:r>
          <w:rPr>
            <w:color w:val="1155CC"/>
            <w:u w:val="single"/>
          </w:rPr>
          <w:t>利用农场规模空间建模和觉醒效应,大幅度降低对中国近海风力潜力的估算值</w:t>
        </w:r>
      </w:hyperlink>
    </w:p>
    <w:p>
      <w:pPr>
        <w:spacing w:before="0" w:after="80"/>
      </w:pPr>
      <w:r>
        <w:rPr>
          <w:i/>
          <w:sz w:val="20"/>
        </w:rPr>
        <w:t>EN: Substantially lower estimates in China’s offshore wind potential using farm-scale spatial modeling and wake effects</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可再生能源对于解决全球气候变化至关重要,准确评估其潜力是决策和规划的关键。 这项研究对中国的离岸风能潜力进行了详细的农场一级的详细评估,包括了遥感数据、测走损失模型和未来气候假设情景中产生的现实的涡轮机布局。 我们的研究结果表明,农业级细节的计算导致中国的离岸风力潜力为2.5-4.2 PWhyr-1,大大低于先前的估算值,而先前的估算值通常超过5.6 PWhyr-1。 通过对风力农场的后醒损失效应进行模拟,研究显示,后醒损失高于先前研究的假设。 此外,研究还强调了巨大的经济和技术潜力。</w:t>
      </w:r>
    </w:p>
    <w:p>
      <w:pPr>
        <w:spacing w:before="0" w:after="200" w:lineRule="auto" w:line="276"/>
      </w:pPr>
      <w:r>
        <w:rPr>
          <w:b/>
        </w:rPr>
        <w:t xml:space="preserve">Abstract (EN): </w:t>
      </w:r>
      <w:r>
        <w:t>Renewable energy is critical for addressing global climate change, and accurate assessments of its potential are key for decision making and planning. This study provides a detailed, farm-level evaluation of offshore wind power potential in China, incorporating realistic turbine layouts derived from remote sensing data, wake loss modeling, and future climate scenarios. Our findings show that accounting for the farm-level details results in a China’s offshore wind potential of 2.5–4.2 PWh yr−1 which is significantly lower than previous estimates, which often exceeded 5.6 PWh yr−1. Through modeling the wake loss effects within wind farms, the study reveals that wake losses are higher than previously assumed in earlier research. Additionally, the study highlights substantial economic and technical disparities between nearshore bottom-fixed and deep-water floating wind farms, with the latter offering higher potential density but at greater costs. Our results provide a more realistic foundation for setting energy targets, optimizing regional strategies, and promoting floating wind technologies to harness deep-water resources, thereby supporting China’s transition to a sustainable energy future.</w:t>
      </w:r>
    </w:p>
    <w:p>
      <w:pPr>
        <w:spacing w:before="120" w:after="120"/>
      </w:pPr>
      <w:r>
        <w:rPr>
          <w:sz w:val="18"/>
        </w:rPr>
        <w:t>——————————————————————————————————————————————————————————————————————</w:t>
      </w:r>
    </w:p>
    <w:p>
      <w:pPr>
        <w:spacing w:before="160" w:after="40" w:line="240" w:lineRule="auto"/>
      </w:pPr>
      <w:r>
        <w:rPr>
          <w:b/>
        </w:rPr>
        <w:t xml:space="preserve">[88] </w:t>
      </w:r>
      <w:hyperlink r:id="rId129">
        <w:r>
          <w:rPr>
            <w:color w:val="1155CC"/>
            <w:u w:val="single"/>
          </w:rPr>
          <w:t>以微RNA为媒介的 mRNA 交付,可以进行高不忠基础编辑,以治疗性扭转遗传性强血糖肿症。</w:t>
        </w:r>
      </w:hyperlink>
    </w:p>
    <w:p>
      <w:pPr>
        <w:spacing w:before="0" w:after="80"/>
      </w:pPr>
      <w:r>
        <w:rPr>
          <w:i/>
          <w:sz w:val="20"/>
        </w:rPr>
        <w:t>EN: Fluorinated lipid nanoparticle-mediated mRNA delivery enables high-fidelity base editing for therapeutic reversal of hereditary tyrosinemia</w:t>
      </w:r>
    </w:p>
    <w:p>
      <w:pPr>
        <w:spacing w:before="0" w:after="120"/>
      </w:pPr>
      <w:r>
        <w:rPr>
          <w:b/>
        </w:rPr>
        <w:t xml:space="preserve">Source: </w:t>
      </w:r>
      <w:r>
        <w:t>ScienceDirect Publication: Materials Today</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 </w:t>
      </w:r>
      <w:hyperlink r:id="rId130">
        <w:r>
          <w:rPr>
            <w:color w:val="1155CC"/>
            <w:u w:val="single"/>
          </w:rPr>
          <w:t>单维装置内金属绝热器转换的电气控制</w:t>
        </w:r>
      </w:hyperlink>
    </w:p>
    <w:p>
      <w:pPr>
        <w:spacing w:before="0" w:after="80"/>
      </w:pPr>
      <w:r>
        <w:rPr>
          <w:i/>
          <w:sz w:val="20"/>
        </w:rPr>
        <w:t>EN: Electrical control of the metal-insulator transition in a one dimensional device</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利用外部物理参数控制纳米尺度的低能量频谱已成为量子装置的重要资源。能源差距的出现是这样一个关键特征之一,它与减少量子信息处理所需的不一致性相关联。事实上,高能无节制刺激的有害影响只有在某些特定的调试点才能普遍得到纠正。实现能源差距是将不协调的应对措施扩展到有限的参数空间区域的一种自然方式。鉴于最近努力以自上而下的方式建立超导的表层链,这将特别有用。在这项工作中,我们通过空间调节悬浮碳纳米管的局部潜力,从而展示出巨大的能源差距。</w:t>
      </w:r>
    </w:p>
    <w:p>
      <w:pPr>
        <w:spacing w:before="0" w:after="200" w:lineRule="auto" w:line="276"/>
      </w:pPr>
      <w:r>
        <w:rPr>
          <w:b/>
        </w:rPr>
        <w:t xml:space="preserve">Abstract (EN): </w:t>
      </w:r>
      <w:r>
        <w:t>Controlling the low energy spectrum at the nanoscale with an external physical parameter has become an important resource for quantum devices. The emergence of an energy gap is one such key feature, linked to the mitigation of decoherence needed for quantum information processing. Indeed, the detrimental effects of high-energy uncontrolled excitations can only be cured at some specific tuning points in general. Achieving an energy gap is a natural way to extend decoherence countermeasures over a finite region of parameter space. This would be particularly useful in view of the recent efforts to build superconducting topological chains in a top-down approach. In this work, we demonstrate a large energy gap by spatially modulating the local potential of a suspended carbon nanotube, exploiting an analogy with condensed matter systems. This gap is homogeneous on the nanotube and tunable by about two orders of magnitude, bringing the electronic system from an insulating state to a near-metallic state at low temperatures.</w:t>
      </w:r>
    </w:p>
    <w:p>
      <w:pPr>
        <w:spacing w:before="120" w:after="120"/>
      </w:pPr>
      <w:r>
        <w:rPr>
          <w:sz w:val="18"/>
        </w:rPr>
        <w:t>——————————————————————————————————————————————————————————————————————</w:t>
      </w:r>
    </w:p>
    <w:p>
      <w:pPr>
        <w:spacing w:before="160" w:after="40" w:line="240" w:lineRule="auto"/>
      </w:pPr>
      <w:r>
        <w:rPr>
          <w:b/>
        </w:rPr>
        <w:t xml:space="preserve">[90] </w:t>
      </w:r>
      <w:hyperlink r:id="rId131">
        <w:r>
          <w:rPr>
            <w:color w:val="1155CC"/>
            <w:u w:val="single"/>
          </w:rPr>
          <w:t>为什么像我这样的女人 被诊断为ADHD迟到?</w:t>
        </w:r>
      </w:hyperlink>
    </w:p>
    <w:p>
      <w:pPr>
        <w:spacing w:before="0" w:after="80"/>
      </w:pPr>
      <w:r>
        <w:rPr>
          <w:i/>
          <w:sz w:val="20"/>
        </w:rPr>
        <w:t>EN: Why do women like me get diagnosed with ADHD late?</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 </w:t>
      </w:r>
      <w:hyperlink r:id="rId132">
        <w:r>
          <w:rPr>
            <w:color w:val="1155CC"/>
            <w:u w:val="single"/>
          </w:rPr>
          <w:t>听音长读作: " 我很少出户 ",科学家在AI时代放弃实地工作。</w:t>
        </w:r>
      </w:hyperlink>
    </w:p>
    <w:p>
      <w:pPr>
        <w:spacing w:before="0" w:after="80"/>
      </w:pPr>
      <w:r>
        <w:rPr>
          <w:i/>
          <w:sz w:val="20"/>
        </w:rPr>
        <w:t>EN: Audio long read: ‘I rarely get outside’ — scientists ditch fieldwork in the age of AI</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 </w:t>
      </w:r>
      <w:hyperlink r:id="rId133">
        <w:r>
          <w:rPr>
            <w:color w:val="1155CC"/>
            <w:u w:val="single"/>
          </w:rPr>
          <w:t>用于纳米电子学的自下而上合成的石墨纳米纤维箱</w:t>
        </w:r>
      </w:hyperlink>
    </w:p>
    <w:p>
      <w:pPr>
        <w:spacing w:before="0" w:after="80"/>
      </w:pPr>
      <w:r>
        <w:rPr>
          <w:i/>
          <w:sz w:val="20"/>
        </w:rPr>
        <w:t>EN: Bottom–up-synthesized graphene nanoribbons for nanoelectronics</w:t>
      </w:r>
    </w:p>
    <w:p>
      <w:pPr>
        <w:spacing w:before="0" w:after="120"/>
      </w:pPr>
      <w:r>
        <w:rPr>
          <w:b/>
        </w:rPr>
        <w:t xml:space="preserve">Source: </w:t>
      </w:r>
      <w:r>
        <w:t>Nature Reviews Materials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数字纳米核素(GNRs)对于下一代纳米电子具有非凡的希望,因为它们具有高度的载体流动性、金枪鱼的带宽和可定制的电子结构。 下至上合成可以进行原子精确的制造,产生量子悬浮、旋极边缘状态和对量子技术至关重要的地貌特征。 然而,将这些纳米级材料转化为功能性设备面临着巨大的障碍,包括精确的定性、清洁的传输、可靠的电路接触和有效的静电控制。 本审查突出介绍了在将底至上合成的GNRs整合到设备中的最新进展。 它首先概述了量子技术的内在物质特性。</w:t>
      </w:r>
    </w:p>
    <w:p>
      <w:pPr>
        <w:spacing w:before="0" w:after="200" w:lineRule="auto" w:line="276"/>
      </w:pPr>
      <w:r>
        <w:rPr>
          <w:b/>
        </w:rPr>
        <w:t xml:space="preserve">Abstract (EN): </w:t>
      </w:r>
      <w:r>
        <w:t>Graphene nanoribbons (GNRs) hold exceptional promise for next-generation nanoelectronics owing to their high carrier mobility, tunable bandgaps and customizable electronic structures. Bottom–up synthesis enables atomically precise fabrication, yielding tailored widths and edges that unlock remarkable properties such as sizable bandgaps, spin-polarized edge states and topological states crucial for quantum technologies. However, translating these nanoscale materials into functional devices faces substantial hurdles, including precise characterization, clean transfer, reliable electrical contacts and effective electrostatic control. This Review highlights recent progress in integrating bottom–up-synthesized GNRs into devices. It begins with an overview of the intrinsic material properties of GNRs and the most common synthesis methods, including on-surface synthesis, solution-phase synthesis and chemical vapour deposition techniques. It then explores device integration strategies by examining various device geometries used for incorporating GNRs into field-effect transistors and quantum-dot transistors. Particular attention is given to quantum transport phenomena observed in these devices, such as single-electron tunnelling, vibrational excitation effects, Franck–Condon blockade, and phase-coherent transport. Finally, we address persistent integration challenges, propose strategies to overcome them, and outline future research directions essential for advancing GNR-based nanoelectronics, spintronics and quantum information technologies.</w:t>
      </w:r>
    </w:p>
    <w:p>
      <w:pPr>
        <w:spacing w:before="120" w:after="120"/>
      </w:pPr>
      <w:r>
        <w:rPr>
          <w:sz w:val="18"/>
        </w:rPr>
        <w:t>——————————————————————————————————————————————————————————————————————</w:t>
      </w:r>
    </w:p>
    <w:p>
      <w:pPr>
        <w:spacing w:before="160" w:after="40" w:line="240" w:lineRule="auto"/>
      </w:pPr>
      <w:r>
        <w:rPr>
          <w:b/>
        </w:rPr>
        <w:t xml:space="preserve">[93] </w:t>
      </w:r>
      <w:hyperlink r:id="rId134">
        <w:r>
          <w:rPr>
            <w:color w:val="1155CC"/>
            <w:u w:val="single"/>
          </w:rPr>
          <w:t>长期微地震显露出隐秘的地震触发的液体活动,可促进卡路德拉火山爆发。</w:t>
        </w:r>
      </w:hyperlink>
    </w:p>
    <w:p>
      <w:pPr>
        <w:spacing w:before="0" w:after="80"/>
      </w:pPr>
      <w:r>
        <w:rPr>
          <w:i/>
          <w:sz w:val="20"/>
        </w:rPr>
        <w:t>EN: Long-period microseismicity reveals cryptic earthquake-triggered fluid activity can facilitate caldera eruptions</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中度至大地震和火山爆发之间的时空关联表明,地震引起的应激变化可能引发火山爆发。震动很少是瞬间发生的,其过程取决于时间,以将岩浆介介入地表,如骨折传播或液体加压。虽然提出了各种进程,但特定触发机制的观测限制仍然有限。我们在此结合了地震目录,该目录由机学和模板匹配技术生成,用于加强微震探测,并结合了大地测量数据,以显示2018年加拉帕戈斯群岛内格拉伏尔卡诺山爆发的地震是由液的活动的冰冷阶段促成的。</w:t>
      </w:r>
    </w:p>
    <w:p>
      <w:pPr>
        <w:spacing w:before="0" w:after="200" w:lineRule="auto" w:line="276"/>
      </w:pPr>
      <w:r>
        <w:rPr>
          <w:b/>
        </w:rPr>
        <w:t xml:space="preserve">Abstract (EN): </w:t>
      </w:r>
      <w:r>
        <w:t>Spatiotemporal correlations between moderate-to-large earthquakes and volcanic eruptions indicate that earthquake-induced stress changes can trigger eruptions. Triggering is rarely instantaneous, with time-dependent processes inferred to mediate magma ascent to the surface, such as fracture propagation or fluid pressurization. While various processes have been proposed, observational constraints on the specific triggering mechanisms remain limited. Here we integrate an earthquake catalogue, generated by machine-learning and template-matching techniques to enhance microseismicity detections, with geodetic data to show that seismic triggering of the 2018 eruption of Sierra Negra Volcano, Galápagos Islands, was facilitated by a cryptic phase of fluid activity. Following 13 years of near-continuous magmatic inflation, totalling &gt; 6.5 m, stress changes induced by a moment magnitude 5.4 intra-caldera earthquake on 26 June 2018 did not immediately trigger magma release from the pressurized magma reservoir. Instead, long-period earthquake swarms revealed post-seismic fluid activity along reservoir-bounding faults in the northwestern caldera, locally promoting edifice failure and facilitating magma intrusion that initiated 8 hours later. These observations demonstrate that even when a pressurized reservoir experiences significant stress perturbation, cascading processes could potentially be essential to initiate volcanic eruptions.</w:t>
      </w:r>
    </w:p>
    <w:p>
      <w:pPr>
        <w:spacing w:before="120" w:after="120"/>
      </w:pPr>
      <w:r>
        <w:rPr>
          <w:sz w:val="18"/>
        </w:rPr>
        <w:t>——————————————————————————————————————————————————————————————————————</w:t>
      </w:r>
    </w:p>
    <w:p>
      <w:pPr>
        <w:spacing w:before="160" w:after="40" w:line="240" w:lineRule="auto"/>
      </w:pPr>
      <w:r>
        <w:rPr>
          <w:b/>
        </w:rPr>
        <w:t xml:space="preserve">[94] </w:t>
      </w:r>
      <w:hyperlink r:id="rId135">
        <w:r>
          <w:rPr>
            <w:color w:val="1155CC"/>
            <w:u w:val="single"/>
          </w:rPr>
          <w:t>东南亚生活质量和多重长期条件:系统审查和元分析</w:t>
        </w:r>
      </w:hyperlink>
    </w:p>
    <w:p>
      <w:pPr>
        <w:spacing w:before="0" w:after="80"/>
      </w:pPr>
      <w:r>
        <w:rPr>
          <w:i/>
          <w:sz w:val="20"/>
        </w:rPr>
        <w:t>EN: Quality of life and multiple long-term conditions in Southeast Asia: a systematic review and meta-analysis</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这项审查系统地综合了东南亚地区具有多种长期条件的人的生活质量衡量和结果的证据,综合了各种方法、对三个或三个以上组群报告生活品质相同的研究报告的元分析以及叙述性叙述性综合,分析了结果,共包括34项研究,其中包括11 876名参与者,其中14项包括在叙述性综合中,在元分析中包括了其中的34项研究,使用的最常见生活品质工具包括WHOQOL-BREF(n = 8)和EQ-5D-5L(n = 3),合并平均价值分别为70.47(95% CI:62.71至78.24)和0.76(95% CI:0.67至0.84),表明生活品质下降,但质量良好。</w:t>
      </w:r>
    </w:p>
    <w:p>
      <w:pPr>
        <w:spacing w:before="0" w:after="200" w:lineRule="auto" w:line="276"/>
      </w:pPr>
      <w:r>
        <w:rPr>
          <w:b/>
        </w:rPr>
        <w:t xml:space="preserve">Abstract (EN): </w:t>
      </w:r>
      <w:r>
        <w:t>This review systematically synthesised the evidence on quality of life measures and outcomes for people living with multiple long-term conditions in the Southeast Asia region. Results were analysed using a combination of methods, meta-analysis for studies where the same quality of life score was reported across three or more cohorts, and descriptive narrative synthesis. In total, 34 studies comprising 11,876 participants were included in the narrative synthesis and 14 of these were included in meta-analysis. The most common quality of life tools used included WHOQOL-BREF (n = 8) and EQ-5D-5L (n = 3) with pooled mean values of 70.47 (95% CI: 62.71 to 78.24) and 0.76 (95% CI: 0.67 to 0.84) respectively, indicating reduced but good quality of life. As healthcare systems adapt to the evolving challenges associated with multiple long-term conditions, understanding the tools and measures used to assess quality of life in different contexts becomes imperative to account for disease combinations and cultural nuances.</w:t>
      </w:r>
    </w:p>
    <w:p>
      <w:pPr>
        <w:spacing w:before="120" w:after="120"/>
      </w:pPr>
      <w:r>
        <w:rPr>
          <w:sz w:val="18"/>
        </w:rPr>
        <w:t>——————————————————————————————————————————————————————————————————————</w:t>
      </w:r>
    </w:p>
    <w:p>
      <w:pPr>
        <w:spacing w:before="160" w:after="40" w:line="240" w:lineRule="auto"/>
      </w:pPr>
      <w:r>
        <w:rPr>
          <w:b/>
        </w:rPr>
        <w:t xml:space="preserve">[95] </w:t>
      </w:r>
      <w:hyperlink r:id="rId136">
        <w:r>
          <w:rPr>
            <w:color w:val="1155CC"/>
            <w:u w:val="single"/>
          </w:rPr>
          <w:t>中国页岩气价值链地质负排放碳固碳</w:t>
        </w:r>
      </w:hyperlink>
    </w:p>
    <w:p>
      <w:pPr>
        <w:spacing w:before="0" w:after="80"/>
      </w:pPr>
      <w:r>
        <w:rPr>
          <w:i/>
          <w:sz w:val="20"/>
        </w:rPr>
        <w:t>EN: Carbon sequestration for geological negative emissions of the shale gas value chain in China</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页岩气操作中的碳固存是实现地质负排放的关键途径,对于全球1.5°C目标至关重要。然而,中国页岩气价值链中这一方法的减排潜力和经济可行性仍然不明确。 这项研究量化了中国页岩气价值链从排放源向碳汇转变的潜力,同时揭示了经济可行性的空间差异性。 研究结果表明,以二氧化碳为基础的技术协同部署可以在整个价值链实现地质负排放,国家碳汇潜力达到660亿吨二氧化碳当量,页岩气产量增加45,180亿立方米。</w:t>
      </w:r>
    </w:p>
    <w:p>
      <w:pPr>
        <w:spacing w:before="0" w:after="200" w:lineRule="auto" w:line="276"/>
      </w:pPr>
      <w:r>
        <w:rPr>
          <w:b/>
        </w:rPr>
        <w:t xml:space="preserve">Abstract (EN): </w:t>
      </w:r>
      <w:r>
        <w:t>Carbon sequestration in shale gas operations represents a crucial pathway to achieve Geological Negative Emissions, which is essential for global 1.5 °C targets. However, the emissions reduction potential and economic viability of this approach in China’s shale gas value chain remain unclear. This study quantifies the potential for transforming China’s shale gas value chain from an emission source to a carbon sink, while revealing spatial heterogeneity in economic feasibility. Results demonstrate that synergistic deployment of CO2-based technologies can achieve Geological Negative Emissions across the value chain, with national carbon sink potential reaching 66 billion tonnes of CO2-equivalents and shale gas production increasing by 4,518 billion cubic meters. Multi-scenario economic assessments reveal that marine shale in the Sichuan Basin exhibits inherent profitability, whereas continental reservoirs require carbon credit integration or optimized production. Current Chinese carbon market prices provide insufficient incentives, implementing region-specific subsidies and enhancing carbon pricing frameworks could unlock this potential, thereby contributing to national carbon neutrality goals and multiple Sustainable Development Goals.</w:t>
      </w:r>
    </w:p>
    <w:p>
      <w:pPr>
        <w:spacing w:before="120" w:after="120"/>
      </w:pPr>
      <w:r>
        <w:rPr>
          <w:sz w:val="18"/>
        </w:rPr>
        <w:t>——————————————————————————————————————————————————————————————————————</w:t>
      </w:r>
    </w:p>
    <w:p>
      <w:pPr>
        <w:spacing w:before="160" w:after="40" w:line="240" w:lineRule="auto"/>
      </w:pPr>
      <w:r>
        <w:rPr>
          <w:b/>
        </w:rPr>
        <w:t xml:space="preserve">[96] </w:t>
      </w:r>
      <w:hyperlink r:id="rId137">
        <w:r>
          <w:rPr>
            <w:color w:val="1155CC"/>
            <w:u w:val="single"/>
          </w:rPr>
          <w:t>保护濒危树木免受气候变化和饥饿的山羊的危害</w:t>
        </w:r>
      </w:hyperlink>
    </w:p>
    <w:p>
      <w:pPr>
        <w:spacing w:before="0" w:after="80"/>
      </w:pPr>
      <w:r>
        <w:rPr>
          <w:i/>
          <w:sz w:val="20"/>
        </w:rPr>
        <w:t>EN: Defending endangered trees against climate change and hungry goats</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 </w:t>
      </w:r>
      <w:hyperlink r:id="rId138">
        <w:r>
          <w:rPr>
            <w:color w:val="1155CC"/>
            <w:u w:val="single"/>
          </w:rPr>
          <w:t>BaxSr1-xTAO2N 固溶解光解光解催化器,太阳能驱动水分分的缺陷浓度低的单晶晶线BaxSr1-xTAO2N固体溶解光阻燃剂</w:t>
        </w:r>
      </w:hyperlink>
    </w:p>
    <w:p>
      <w:pPr>
        <w:spacing w:before="0" w:after="80"/>
      </w:pPr>
      <w:r>
        <w:rPr>
          <w:i/>
          <w:sz w:val="20"/>
        </w:rPr>
        <w:t>EN: Single-crystalline BaxSr1-xTaO2N solid-solution photocatalyst with low defect concentrations for solar-driven water splitting</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Perovskite类基于氧硝酸盐的潮湿光催化师由于其合适的波段位置和超过600纳米的光吸收度,是分水的有希望的候选者。然而,他们相关的光催化活动和量量的产量仍然相对较低。在这里,我们表明,纳米尺寸的单晶晶体BaxSr1-xTaO2N固态溶液透透光催化剂在不同的氧气和氢进化半反应中表现出最先进的活动。性能的改善是由于纳米尺度粒子大小,以及使用由TAS2和TA3N5组成的混合前体而减少的缺陷密度。 半反应活动可以通过采用合成后高温处理来调节。</w:t>
      </w:r>
    </w:p>
    <w:p>
      <w:pPr>
        <w:spacing w:before="0" w:after="200" w:lineRule="auto" w:line="276"/>
      </w:pPr>
      <w:r>
        <w:rPr>
          <w:b/>
        </w:rPr>
        <w:t xml:space="preserve">Abstract (EN): </w:t>
      </w:r>
      <w:r>
        <w:t>Perovskite-type tantalum-based oxynitride photocatalysts are promising candidates for water splitting due to their suitable band positions and extended light absorption beyond 600 nm. However, their associated photocatalytic activities and quantum yields remain relatively low. Here, we show that a nano-sized single-crystalline BaxSr1-xTaO2N solid-solution perovskite photocatalyst exhibits state-of-the-art activity in separate oxygen and hydrogen evolution half-reactions. The improved performance is attributed to the nanoscale particle sizes, as well as the reduced defect densities achieved by using a mixed precursor comprising TaS2 and Ta3N5. The half-reaction activities can be modulated by applying a post-synthetic high-temperature treatment. Assessments of charge carrier dynamics, in conjunction with a mechanistic kinetic model, reveal that exponential-tail trap states are formed during this post-treatment. Such trap states, present on the photocatalyst surface, facilitate participation of holes during the oxygen evolution reaction. The development of such solid-solution photocatalysts broadens the range of potential materials for solar-driven hydrogen production. In addition, the present findings are expected to enable the selective tuning of bifunctional photocatalysts for either the hydrogen or oxygen evolution reaction.</w:t>
      </w:r>
    </w:p>
    <w:p>
      <w:pPr>
        <w:spacing w:before="120" w:after="120"/>
      </w:pPr>
      <w:r>
        <w:rPr>
          <w:sz w:val="18"/>
        </w:rPr>
        <w:t>——————————————————————————————————————————————————————————————————————</w:t>
      </w:r>
    </w:p>
    <w:p>
      <w:pPr>
        <w:spacing w:before="160" w:after="40" w:line="240" w:lineRule="auto"/>
      </w:pPr>
      <w:r>
        <w:rPr>
          <w:b/>
        </w:rPr>
        <w:t xml:space="preserve">[98] </w:t>
      </w:r>
      <w:hyperlink r:id="rId139">
        <w:r>
          <w:rPr>
            <w:color w:val="1155CC"/>
            <w:u w:val="single"/>
          </w:rPr>
          <w:t>基于DNA的纳米设备感应器净出力信号,并驱动一个免疫开关,用于解决炎症。</w:t>
        </w:r>
      </w:hyperlink>
    </w:p>
    <w:p>
      <w:pPr>
        <w:spacing w:before="0" w:after="80"/>
      </w:pPr>
      <w:r>
        <w:rPr>
          <w:i/>
          <w:sz w:val="20"/>
        </w:rPr>
        <w:t>EN: A DNA-based nanodevice senses purinergic signaling and drives an immune switch for resolving inflammation</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Purinergic 信号衰竭调节(例如,超过细胞外APT, ExAPTP)在炎症病理学中发挥着关键作用,但目前为阻断纯基受体而开发药物的努力不能令人满意。这里,在天然代谢物感测/信号系统的启发下,我们开发了一种基于DNA的红树基ATP-遥感纳米装置,用于细调净基信号和免疫性软化。这个ND构成一个配有ATP传感器和催化子单元(ENPP1-CD73对)的管状DNA或脂,能够感应到高水平的前丙基受体,然后将催化子单位暴露到甲氧素的代谢前ATP,从而将前ATP代导的活性信号从前ATP代导的阻燃性信号转向代代代导的免疫抑制信号。进一步表面显示ooo 。</w:t>
      </w:r>
    </w:p>
    <w:p>
      <w:pPr>
        <w:spacing w:before="0" w:after="200" w:lineRule="auto" w:line="276"/>
      </w:pPr>
      <w:r>
        <w:rPr>
          <w:b/>
        </w:rPr>
        <w:t xml:space="preserve">Abstract (EN): </w:t>
      </w:r>
      <w:r>
        <w:t>Purinergic signaling dysregulation (e.g., excessive extracellular ATP, exATP) plays a critical role in the pathology of inflammatory disorders, but current efforts in drug development for blocking purinergic receptors are unsatisfactory. Here, inspired by natural metabolite sensing/signaling system, we develop a DNA origami-based ATP-sensing nanodevice (ND) for fine-tuning purinergic signaling and immune homeostasis. This ND composes a tubular DNA origami equipped with ATP sensors and the catalytic subunits (ENPP1-CD73 pairs), which can sense high levels of exATP and then expose the catalytic subunits for metabolizing exATP to adenosine, thereby driving an immune switch from exATP-mediated proinflammatory signals to adenosine-mediated immunosuppressive signals. Further surface displaying of ND on the monocytes (ND@Monos) enables its active inflamed site-targeting to restore immunometabolic hemostasis and reduce inflammation in diverse models in vivo. This study highlights that design of metabolite-sensing NDs is a promising strategy for controlling the homeostasis of cell metabolism and the immune response.</w:t>
      </w:r>
    </w:p>
    <w:p>
      <w:pPr>
        <w:spacing w:before="120" w:after="120"/>
      </w:pPr>
      <w:r>
        <w:rPr>
          <w:sz w:val="18"/>
        </w:rPr>
        <w:t>——————————————————————————————————————————————————————————————————————</w:t>
      </w:r>
    </w:p>
    <w:p>
      <w:pPr>
        <w:spacing w:before="160" w:after="40" w:line="240" w:lineRule="auto"/>
      </w:pPr>
      <w:r>
        <w:rPr>
          <w:b/>
        </w:rPr>
        <w:t xml:space="preserve">[99] </w:t>
      </w:r>
      <w:hyperlink r:id="rId140">
        <w:r>
          <w:rPr>
            <w:color w:val="1155CC"/>
            <w:u w:val="single"/>
          </w:rPr>
          <w:t>交互电解电解结构的悖论</w:t>
        </w:r>
      </w:hyperlink>
    </w:p>
    <w:p>
      <w:pPr>
        <w:spacing w:before="0" w:after="80"/>
      </w:pPr>
      <w:r>
        <w:rPr>
          <w:i/>
          <w:sz w:val="20"/>
        </w:rPr>
        <w:t>EN: The paradoxes of interfacial electrolyte structures</w:t>
      </w:r>
    </w:p>
    <w:p>
      <w:pPr>
        <w:spacing w:before="0" w:after="120"/>
      </w:pPr>
      <w:r>
        <w:rPr>
          <w:b/>
        </w:rPr>
        <w:t xml:space="preserve">Source: </w:t>
      </w:r>
      <w:r>
        <w:t>Nature Materials</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141">
        <w:r>
          <w:rPr>
            <w:color w:val="1155CC"/>
            <w:u w:val="single"/>
          </w:rPr>
          <w:t>电荷阻力如何导致离子订购和表面微相分离</w:t>
        </w:r>
      </w:hyperlink>
    </w:p>
    <w:p>
      <w:pPr>
        <w:spacing w:before="0" w:after="80"/>
      </w:pPr>
      <w:r>
        <w:rPr>
          <w:i/>
          <w:sz w:val="20"/>
        </w:rPr>
        <w:t>EN: How charge frustration causes ion ordering and microphase separation at surfaces</w:t>
      </w:r>
    </w:p>
    <w:p>
      <w:pPr>
        <w:spacing w:before="0" w:after="120"/>
      </w:pPr>
      <w:r>
        <w:rPr>
          <w:b/>
        </w:rPr>
        <w:t xml:space="preserve">Source: </w:t>
      </w:r>
      <w:r>
        <w:t>Nature Materials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电化学、地球化学和生物系统与充电表面的相互作用是电化学、地球化学和生物系统的根本,然而,电压对干涉结构和动态的影响却知之甚少。 我们在这里利用分子溶解原子力显微镜调查多价离子吸附和沉积在微粒上沉积的情况。 虽然二价离子以与古典模型一致的方式形成连续氢氧化单层,但三价离子采用与强压相关的复杂状态,包括定购离子网络、集束阵列和这些模型没有预测的微相分离的胶片。蒙特卡洛模拟显示,当限制排出电源时,这种状态会因排出电阻力而产生阻力。</w:t>
      </w:r>
    </w:p>
    <w:p>
      <w:pPr>
        <w:spacing w:before="0" w:after="200" w:lineRule="auto" w:line="276"/>
      </w:pPr>
      <w:r>
        <w:rPr>
          <w:b/>
        </w:rPr>
        <w:t xml:space="preserve">Abstract (EN): </w:t>
      </w:r>
      <w:r>
        <w:t>Ion interactions with charged surfaces are fundamental to electrochemical, geochemical and biological systems, yet the impact of charging on interfacial structure and dynamics is poorly understood. Here we investigate the adsorption and precipitation of multivalent ions on mica using molecularly resolved atomic force microscopy. Although divalent ions form continuous hydroxide monolayers in a manner consistent with classical models, trivalent ions adopt complex states associated with strong overcharging, including ordered ion networks, cluster arrays and microphase-separated films not predicted by those models. Monte Carlo simulations show that such states emerge from charge frustration arising when restrictions on repelling charges prevent the minimization of electrostatic forces. Due to their universal nature across cation types, the results provide general principles underlying charge-driven nanostructure formation and insights for using electric fields to direct materials synthesis.</w:t>
      </w:r>
    </w:p>
    <w:p>
      <w:pPr>
        <w:spacing w:before="120" w:after="120"/>
      </w:pPr>
      <w:r>
        <w:rPr>
          <w:sz w:val="18"/>
        </w:rPr>
        <w:t>——————————————————————————————————————————————————————————————————————</w:t>
      </w:r>
    </w:p>
    <w:p>
      <w:pPr>
        <w:spacing w:before="160" w:after="40" w:line="240" w:lineRule="auto"/>
      </w:pPr>
      <w:r>
        <w:rPr>
          <w:b/>
        </w:rPr>
        <w:t xml:space="preserve">[101] </w:t>
      </w:r>
      <w:hyperlink r:id="rId142">
        <w:r>
          <w:rPr>
            <w:color w:val="1155CC"/>
            <w:u w:val="single"/>
          </w:rPr>
          <w:t>燃料能源贫穷? 关于毁林在发展中国家的作用的证据</w:t>
        </w:r>
      </w:hyperlink>
    </w:p>
    <w:p>
      <w:pPr>
        <w:spacing w:before="0" w:after="80"/>
      </w:pPr>
      <w:r>
        <w:rPr>
          <w:i/>
          <w:sz w:val="20"/>
        </w:rPr>
        <w:t>EN: Fuelling energy poverty? Evidence on the role of deforestation in developing countries</w:t>
      </w:r>
    </w:p>
    <w:p>
      <w:pPr>
        <w:spacing w:before="0" w:after="120"/>
      </w:pPr>
      <w:r>
        <w:rPr>
          <w:b/>
        </w:rPr>
        <w:t xml:space="preserve">Source: </w:t>
      </w:r>
      <w:r>
        <w:t>ScienceDirect Publication: Energy Policy</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143">
        <w:r>
          <w:rPr>
            <w:color w:val="1155CC"/>
            <w:u w:val="single"/>
          </w:rPr>
          <w:t>通过原子中继推动低温丙烷燃烧</w:t>
        </w:r>
      </w:hyperlink>
    </w:p>
    <w:p>
      <w:pPr>
        <w:spacing w:before="0" w:after="80"/>
      </w:pPr>
      <w:r>
        <w:rPr>
          <w:i/>
          <w:sz w:val="20"/>
        </w:rPr>
        <w:t>EN: Current-assisted dual-atom catalyst sequentially boosts low-temperature propane combustion through atomic relay</w:t>
      </w:r>
    </w:p>
    <w:p>
      <w:pPr>
        <w:spacing w:before="0" w:after="120"/>
      </w:pPr>
      <w:r>
        <w:rPr>
          <w:b/>
        </w:rPr>
        <w:t xml:space="preserve">Source: </w:t>
      </w:r>
      <w:r>
        <w:t>Nature Chemistry</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单原子催化剂最大化了原子利用,但其功能场所的有限多样性在多步燃烧过程中提出了挑战,特别是对于碳-H联系能量高的低碳烷类而言。 在这里,我们利用当前辅助战略,利用微温性丙烷活化和燃烧的氧化硅,合成了一种双原子Pt-Nb催化剂。 这一催化系统在低温条件下实现了完全的丙烷转化(T90-3 s-1 )。 此外,催化剂表现出出色的抗水性,在目前的援助下,贵金属的使用大大减少了80%以上。 进一步的系统现场实验和理论模拟表明,当前辅助的原子接近白蚁原子有利于分离。</w:t>
      </w:r>
    </w:p>
    <w:p>
      <w:pPr>
        <w:spacing w:before="0" w:after="200" w:lineRule="auto" w:line="276"/>
      </w:pPr>
      <w:r>
        <w:rPr>
          <w:b/>
        </w:rPr>
        <w:t xml:space="preserve">Abstract (EN): </w:t>
      </w:r>
      <w:r>
        <w:t>Single-atom catalysts maximize atomic utilization but the limited diversity of their functional sites presents challenges in multistep combustion processes, particularly for low-carbon alkanes with high C–H bond energies. Here we synthesized a dual-atom Pt–Nb catalyst using antimony tin oxide for low-temperature propane activation and combustion using a current-assisted strategy. This catalytic system achieves complete propane conversion at low temperatures (T90 −3 s−1. Moreover, the catalyst exhibits outstanding water resistance and significantly reduces the use of precious metal by over 80% under current assistance. Further systematic in situ experiments and theoretical simulations indicate that the proximity of current-assisted niobium atoms to platinum atoms facilitates the dissociation of C–H bonds in propane and the desorption of carbon dioxide, while the electric current weakens the Pt–O bonds near the niobium side, promoting the activation and release of lattice oxygen. This stepwise-boosting, current-assisted atomic relay mechanism offers a promising strategy for developing next-generation green catalysts.</w:t>
      </w:r>
    </w:p>
    <w:p>
      <w:pPr>
        <w:spacing w:before="120" w:after="120"/>
      </w:pPr>
      <w:r>
        <w:rPr>
          <w:sz w:val="18"/>
        </w:rPr>
        <w:t>——————————————————————————————————————————————————————————————————————</w:t>
      </w:r>
    </w:p>
    <w:p>
      <w:pPr>
        <w:spacing w:before="160" w:after="40" w:line="240" w:lineRule="auto"/>
      </w:pPr>
      <w:r>
        <w:rPr>
          <w:b/>
        </w:rPr>
        <w:t xml:space="preserve">[103] </w:t>
      </w:r>
      <w:hyperlink r:id="rId144">
        <w:r>
          <w:rPr>
            <w:color w:val="1155CC"/>
            <w:u w:val="single"/>
          </w:rPr>
          <w:t>减少PFASS的电化学</w:t>
        </w:r>
      </w:hyperlink>
    </w:p>
    <w:p>
      <w:pPr>
        <w:spacing w:before="0" w:after="80"/>
      </w:pPr>
      <w:r>
        <w:rPr>
          <w:i/>
          <w:sz w:val="20"/>
        </w:rPr>
        <w:t>EN: Electrochemical reduction of PFAS</w:t>
      </w:r>
    </w:p>
    <w:p>
      <w:pPr>
        <w:spacing w:before="0" w:after="120"/>
      </w:pPr>
      <w:r>
        <w:rPr>
          <w:b/>
        </w:rPr>
        <w:t xml:space="preserve">Source: </w:t>
      </w:r>
      <w:r>
        <w:t>Nature Chemistry</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145">
        <w:r>
          <w:rPr>
            <w:color w:val="1155CC"/>
            <w:u w:val="single"/>
          </w:rPr>
          <w:t>通过调整电子结构,在耐腐合合金中实现高抗拉强度和管道性</w:t>
        </w:r>
      </w:hyperlink>
    </w:p>
    <w:p>
      <w:pPr>
        <w:spacing w:before="0" w:after="80"/>
      </w:pPr>
      <w:r>
        <w:rPr>
          <w:i/>
          <w:sz w:val="20"/>
        </w:rPr>
        <w:t>EN: Achieving high tensile strength and ductility in refractory alloys by tuning electronic structure</w:t>
      </w:r>
    </w:p>
    <w:p>
      <w:pPr>
        <w:spacing w:before="0" w:after="120"/>
      </w:pPr>
      <w:r>
        <w:rPr>
          <w:b/>
        </w:rPr>
        <w:t xml:space="preserve">Source: </w:t>
      </w:r>
      <w:r>
        <w:t>Nature Materials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用于发电和推进的热引擎(燃气和蒸汽涡轮机)的能源效率是由热力发电和推进的热引擎(气和蒸汽涡轮)的节能由Carnot循环和具有操作温度的尺度决定的。商业镍和钴基超级金属熔化近1,500°C,机械强度迅速超过1,000°C。 耐腐性金属熔化远超过2,000°C,但固有的制造能力挑战阻碍采用,例如高管道到炉炉炉过渡温度。我们用密度功能理论指导的设计,展示了当地特制的瓦特变形,促进可分、非不均匀的、耐用的聚聚性固体溶液,同时具有高的管道和强度。我们为单级、以体为中心的Nb4TA4V3立立立立立立方立方体展示了这种可铸造性、极好的罗。</w:t>
      </w:r>
    </w:p>
    <w:p>
      <w:pPr>
        <w:spacing w:before="0" w:after="200" w:lineRule="auto" w:line="276"/>
      </w:pPr>
      <w:r>
        <w:rPr>
          <w:b/>
        </w:rPr>
        <w:t xml:space="preserve">Abstract (EN): </w:t>
      </w:r>
      <w:r>
        <w:t>The energy efficiency of heat engines (gas and steam turbines) for electricity production and propulsion is determined by the Carnot cycle and scales with operating temperature. Commercial nickel- and cobalt-based superalloys melt near 1,500 °C and rapidly lose mechanical strength beyond 1,000 °C. Refractory metals melt well above 2,000 °C but have inherent manufacturability challenges that are barriers to adoption, such as high ductile-to-brittle transition temperatures. Using density functional theory-guided design, we demonstrate tailored local lattice distortions that promote phase-stable, non-equiatomic refractory concentrated solid solutions with both high ductility and strength. We exemplify this for single-phase, body-centred cubic Nb4Ta4V3Ti that exhibits castability, excellent room-temperature tensile yield strength (∼1 GPa) and ductility (approaching 20% uniform strain), and exceptional high-temperature tensile strength (500 MPa at 1,000 °C). These findings illustrate a path for designing materials that hold great potential for advancing next-generation technologies such as Generation IV fission reactors, first-generation fusion-plasma reactors, and more efficient gas turbines for electricity generation and propulsion.</w:t>
      </w:r>
    </w:p>
    <w:p>
      <w:pPr>
        <w:spacing w:before="120" w:after="120"/>
      </w:pPr>
      <w:r>
        <w:rPr>
          <w:sz w:val="18"/>
        </w:rPr>
        <w:t>——————————————————————————————————————————————————————————————————————</w:t>
      </w:r>
    </w:p>
    <w:p>
      <w:pPr>
        <w:spacing w:before="160" w:after="40" w:line="240" w:lineRule="auto"/>
      </w:pPr>
      <w:r>
        <w:rPr>
          <w:b/>
        </w:rPr>
        <w:t xml:space="preserve">[105] </w:t>
      </w:r>
      <w:hyperlink r:id="rId146">
        <w:r>
          <w:rPr>
            <w:color w:val="1155CC"/>
            <w:u w:val="single"/>
          </w:rPr>
          <w:t>电动刺激加上机械转换抑制强化神经再生</w:t>
        </w:r>
      </w:hyperlink>
    </w:p>
    <w:p>
      <w:pPr>
        <w:spacing w:before="0" w:after="80"/>
      </w:pPr>
      <w:r>
        <w:rPr>
          <w:i/>
          <w:sz w:val="20"/>
        </w:rPr>
        <w:t>EN: Electroactive stimulation coupled with mechanotransduction inhibition enhance neuroregeneration</w:t>
      </w:r>
    </w:p>
    <w:p>
      <w:pPr>
        <w:spacing w:before="0" w:after="120"/>
      </w:pPr>
      <w:r>
        <w:rPr>
          <w:b/>
        </w:rPr>
        <w:t xml:space="preserve">Source: </w:t>
      </w:r>
      <w:r>
        <w:t>ScienceDirect Publication: Materials Today</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147">
        <w:r>
          <w:rPr>
            <w:color w:val="1155CC"/>
            <w:u w:val="single"/>
          </w:rPr>
          <w:t>国家气候行动可以改善、维持或加剧国际空气污染不平等</w:t>
        </w:r>
      </w:hyperlink>
    </w:p>
    <w:p>
      <w:pPr>
        <w:spacing w:before="0" w:after="80"/>
      </w:pPr>
      <w:r>
        <w:rPr>
          <w:i/>
          <w:sz w:val="20"/>
        </w:rPr>
        <w:t>EN: National climate action can ameliorate, perpetuate, or exacerbate international air pollution inequalities</w:t>
      </w:r>
    </w:p>
    <w:p>
      <w:pPr>
        <w:spacing w:before="0" w:after="120"/>
      </w:pPr>
      <w:r>
        <w:rPr>
          <w:b/>
        </w:rPr>
        <w:t xml:space="preserve">Source: </w:t>
      </w:r>
      <w:r>
        <w:t>Nature Communications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气候行动通过减少有害空气污染物,同时减少温室气体,改善公众健康,但错误的缓解努力可能导致国际边界空气污染交流的不平衡。尽管气候变化行动有可能危及平等,但气候行动对跨界空气污染的影响相对而言没有受到研究。 我们在这里表明,更严格地减缓会增加共同惠益的一小部分,这些惠益来自非洲外部,在实现可持续的共享社会经济途径(SSP1)中增加8%,在分裂(SSP3)中增加53%。 外部产生的共同惠益在发展中国家(SSP1-26中的0.76)比发达国家(0.65)要大,这表明发展中国家更依赖外部行动。</w:t>
      </w:r>
    </w:p>
    <w:p>
      <w:pPr>
        <w:spacing w:before="0" w:after="200" w:lineRule="auto" w:line="276"/>
      </w:pPr>
      <w:r>
        <w:rPr>
          <w:b/>
        </w:rPr>
        <w:t xml:space="preserve">Abstract (EN): </w:t>
      </w:r>
      <w:r>
        <w:t>Climate action ameliorates public health by reducing hazardous air pollutants alongside greenhouse gases, yet misguided mitigation efforts could induce imbalances in air pollution exchange across international borders. Despite its potential to endanger equality, the effects from climate action on transboundary air pollution are relatively unstudied. Here we show that stricter mitigation increases the fraction of co-benefits that originate externally in Africa by +8% in shared socioeconomic pathways (SSP) towards sustainability (SSP1) and by +53% for fragmentation (SSP3). The fraction of externally originating co-benefits is greater in developing countries (0.76 in SSP1-26) than developed (0.65), indicating that developing countries are more dependent on external action. Although co-benefits are maximized in the most ambitious scenario, SSP1-19 (1.32 million deaths avoided), their transboundary exchange between countries varies. These results suggest a need for climate policies that consider how inequalities in transboundary air pollution evolve across distinct socioeconomic trends and mitigation strategies in addition to total co-benefit estimates.</w:t>
      </w:r>
    </w:p>
    <w:p>
      <w:pPr>
        <w:spacing w:before="120" w:after="120"/>
      </w:pPr>
      <w:r>
        <w:rPr>
          <w:sz w:val="18"/>
        </w:rPr>
        <w:t>——————————————————————————————————————————————————————————————————————</w:t>
      </w:r>
    </w:p>
    <w:p>
      <w:pPr>
        <w:spacing w:before="160" w:after="40" w:line="240" w:lineRule="auto"/>
      </w:pPr>
      <w:r>
        <w:rPr>
          <w:b/>
        </w:rPr>
        <w:t xml:space="preserve">[107] </w:t>
      </w:r>
      <w:hyperlink r:id="rId148">
        <w:r>
          <w:rPr>
            <w:color w:val="1155CC"/>
            <w:u w:val="single"/>
          </w:rPr>
          <w:t>当我们突破1.5°C时,我们必须用清洁能源目标取代温度限制</w:t>
        </w:r>
      </w:hyperlink>
    </w:p>
    <w:p>
      <w:pPr>
        <w:spacing w:before="0" w:after="80"/>
      </w:pPr>
      <w:r>
        <w:rPr>
          <w:i/>
          <w:sz w:val="20"/>
        </w:rPr>
        <w:t>EN: As we breach 1.5 °C, we must replace temperature limits with clean-energy targets</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149">
        <w:r>
          <w:rPr>
            <w:color w:val="1155CC"/>
            <w:u w:val="single"/>
          </w:rPr>
          <w:t>超过1.5°C,需要重新思考气候政策中的问责制</w:t>
        </w:r>
      </w:hyperlink>
    </w:p>
    <w:p>
      <w:pPr>
        <w:spacing w:before="0" w:after="80"/>
      </w:pPr>
      <w:r>
        <w:rPr>
          <w:i/>
          <w:sz w:val="20"/>
        </w:rPr>
        <w:t>EN: Exceeding 1.5 °C requires rethinking accountability in climate policy</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150">
        <w:r>
          <w:rPr>
            <w:color w:val="1155CC"/>
            <w:u w:val="single"/>
          </w:rPr>
          <w:t>在硅量子处理器中检测量子错误</w:t>
        </w:r>
      </w:hyperlink>
    </w:p>
    <w:p>
      <w:pPr>
        <w:spacing w:before="0" w:after="80"/>
      </w:pPr>
      <w:r>
        <w:rPr>
          <w:i/>
          <w:sz w:val="20"/>
        </w:rPr>
        <w:t>EN: Quantum error detection in a silicon quantum processor</w:t>
      </w:r>
    </w:p>
    <w:p>
      <w:pPr>
        <w:spacing w:before="0" w:after="120"/>
      </w:pPr>
      <w:r>
        <w:rPr>
          <w:b/>
        </w:rPr>
        <w:t xml:space="preserve">Source: </w:t>
      </w:r>
      <w:r>
        <w:t>Nature Electronics</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量子误差检测对于大规模通用量子计算至关重要,特别是对于量子误差校正而言。 然而,使用硅方位计算误容量量的关键要素,包括用稳定剂检测误差,仍然具有挑战性。 我们在这里报告在以捐赠者为基础的硅量子处理器中检测量子误差,该处理器由4个核旋和1个电子旋转辅助组成。通过在核旋转和产生4个基点格林贝格-霍尼安宁格州之间建立双Q贝尔状态纠缠和生成一个4QGreenberger-Horneelinger州,国家忠于88.5  2.3 % 。我们用4Q方位误差检测线路与稳定者一起检测任意的单位误差,从而验证了这个系统的纠缠能力。 我们回收了4Qet错误检测器与稳定器用来检测单位误差。</w:t>
      </w:r>
    </w:p>
    <w:p>
      <w:pPr>
        <w:spacing w:before="0" w:after="200" w:lineRule="auto" w:line="276"/>
      </w:pPr>
      <w:r>
        <w:rPr>
          <w:b/>
        </w:rPr>
        <w:t xml:space="preserve">Abstract (EN): </w:t>
      </w:r>
      <w:r>
        <w:t>Quantum error detection is essential for large-scale universal quantum computation, particularly for quantum error correction. However, the key elements of fault-tolerant quantum computing with silicon qubits, including error detection with stabilizers, remain challenging. Here we report quantum error detection in a donor-based silicon quantum processor comprising four nuclear spin qubits and one electron spin auxiliary qubit. The entanglement capability of this system is validated through the establishment of two-qubit Bell-state entanglement between the nuclear spins and the generation of a four-qubit Greenberger–Horne–Zeilinger state with a state fidelity of 88.5 ± 2.3%. We use a four-qubit error detection circuit with stabilizers to detect arbitrary single-qubit errors. We recover the encoded Bell-state entanglement information by performing the Pauli frame update via postprocessing; on the basis of the detected errors, we identify strongly biased noise in our system.</w:t>
      </w:r>
    </w:p>
    <w:p>
      <w:pPr>
        <w:spacing w:before="120" w:after="120"/>
      </w:pPr>
      <w:r>
        <w:rPr>
          <w:sz w:val="18"/>
        </w:rPr>
        <w:t>——————————————————————————————————————————————————————————————————————</w:t>
      </w:r>
    </w:p>
    <w:p>
      <w:pPr>
        <w:spacing w:before="160" w:after="40" w:line="240" w:lineRule="auto"/>
      </w:pPr>
      <w:r>
        <w:rPr>
          <w:b/>
        </w:rPr>
        <w:t xml:space="preserve">[110] </w:t>
      </w:r>
      <w:hyperlink r:id="rId151">
        <w:r>
          <w:rPr>
            <w:color w:val="1155CC"/>
            <w:u w:val="single"/>
          </w:rPr>
          <w:t>最近热电向近室温度和高温应用的进展和挑战</w:t>
        </w:r>
      </w:hyperlink>
    </w:p>
    <w:p>
      <w:pPr>
        <w:spacing w:before="0" w:after="80"/>
      </w:pPr>
      <w:r>
        <w:rPr>
          <w:i/>
          <w:sz w:val="20"/>
        </w:rPr>
        <w:t>EN: Recent advances and challenges in thermoelectrics toward near-room-temperature and high-temperature applications</w:t>
      </w:r>
    </w:p>
    <w:p>
      <w:pPr>
        <w:spacing w:before="0" w:after="120"/>
      </w:pPr>
      <w:r>
        <w:rPr>
          <w:b/>
        </w:rPr>
        <w:t xml:space="preserve">Source: </w:t>
      </w:r>
      <w:r>
        <w:t>RSC - Chem. Soc. Rev. latest articles</w:t>
      </w:r>
      <w:r>
        <w:t xml:space="preserve">    </w:t>
      </w:r>
      <w:r>
        <w:rPr>
          <w:b/>
        </w:rPr>
        <w:t xml:space="preserve">Pub date: </w:t>
      </w:r>
      <w:r>
        <w:t>2026-01-26 00:00:00+00:00</w:t>
      </w:r>
    </w:p>
    <w:p>
      <w:pPr>
        <w:spacing w:before="0" w:after="120"/>
      </w:pPr>
      <w:r>
        <w:rPr>
          <w:b/>
        </w:rPr>
        <w:t xml:space="preserve">Notes: </w:t>
      </w:r>
      <w:r>
        <w:t>abstract_source=rsc_html</w:t>
      </w:r>
    </w:p>
    <w:p>
      <w:pPr>
        <w:spacing w:before="0" w:after="80" w:lineRule="auto" w:line="276"/>
      </w:pPr>
      <w:r>
        <w:rPr>
          <w:b/>
        </w:rPr>
        <w:t xml:space="preserve">摘要（ZH）: </w:t>
      </w:r>
      <w:r>
        <w:t>热电(TE)材料为可持续能源转换提供了巨大的潜力。但是,其实际实施受到依赖温度的性能的制约,这决定了它们是否适合特定应用领域。应用通常分为近室温度、中温和高温系统,每个系统都要求不同的物质特征。近年来,研究越来越侧重于两个关键方向:固态冷却和低温低温发电的近室温度系统,以及深海应用等极端环境中发电的高温材料。尽管通过有针对性的方法取得了显著的成绩(zT)。</w:t>
      </w:r>
    </w:p>
    <w:p>
      <w:pPr>
        <w:spacing w:before="0" w:after="200" w:lineRule="auto" w:line="276"/>
      </w:pPr>
      <w:r>
        <w:rPr>
          <w:b/>
        </w:rPr>
        <w:t xml:space="preserve">Abstract (EN): </w:t>
      </w:r>
      <w:r>
        <w:t>Thermoelectric (TE) materials offer significant potential for sustainable energy conversion. Their practical implementation, however, is strongly governed by temperature-dependent performance, which dictates their suitability for specific application domains. The applications are typically categorized into near-room-temperature, mid-temperature, and high-temperature regimes, each demanding distinct material characteristics. In recent years, research has increasingly focused on two key directions: near-room-temperature systems for solid-state cooling and small temperature-gradient power generation, and high-temperature materials for power generation in extreme environments such as deep-space applications. Despite remarkable improvements in the figure of merit (zT) achieved through targeted optimization strategies, critical challenges related to practical applications remain across the entire temperature range, including resource sustainability, thermal stability, and scalable manufacturing. Meanwhile, advances in theoretical calculations are accelerating the integration of theory and practical synthesis, offering new pathways for rational material design. This review provides a timely and comprehensive overview of global progress in TE research over the past five years, with a particular focus on recent advances in near-room-temperature and high-temperature materials. By analyzing the new compositions, new mechanisms, and promising applications for representative systems, it outlines future directions for developing next-generation TE materials toward sustainable energy applications.</w:t>
      </w:r>
    </w:p>
    <w:p>
      <w:pPr>
        <w:spacing w:before="120" w:after="120"/>
      </w:pPr>
      <w:r>
        <w:rPr>
          <w:sz w:val="18"/>
        </w:rPr>
        <w:t>——————————————————————————————————————————————————————————————————————</w:t>
      </w:r>
    </w:p>
    <w:p>
      <w:pPr>
        <w:spacing w:before="160" w:after="40" w:line="240" w:lineRule="auto"/>
      </w:pPr>
      <w:r>
        <w:rPr>
          <w:b/>
        </w:rPr>
        <w:t xml:space="preserve">[111] </w:t>
      </w:r>
      <w:hyperlink r:id="rId152">
        <w:r>
          <w:rPr>
            <w:color w:val="1155CC"/>
            <w:u w:val="single"/>
          </w:rPr>
          <w:t>科技正在改变我们写作的方式,</w:t>
        </w:r>
      </w:hyperlink>
    </w:p>
    <w:p>
      <w:pPr>
        <w:spacing w:before="0" w:after="80"/>
      </w:pPr>
      <w:r>
        <w:rPr>
          <w:i/>
          <w:sz w:val="20"/>
        </w:rPr>
        <w:t>EN: Technology is changing how we write — and how we think about writing</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[112] </w:t>
      </w:r>
      <w:hyperlink r:id="rId153">
        <w:r>
          <w:rPr>
            <w:color w:val="1155CC"/>
            <w:u w:val="single"/>
          </w:rPr>
          <w:t>综合材料创新和皮革替代品的政策挑战</w:t>
        </w:r>
      </w:hyperlink>
    </w:p>
    <w:p>
      <w:pPr>
        <w:spacing w:before="0" w:after="80"/>
      </w:pPr>
      <w:r>
        <w:rPr>
          <w:i/>
          <w:sz w:val="20"/>
        </w:rPr>
        <w:t>EN: Integrating materials innovation and policy challenges for leather alternatives</w:t>
      </w:r>
    </w:p>
    <w:p>
      <w:pPr>
        <w:spacing w:before="0" w:after="120"/>
      </w:pPr>
      <w:r>
        <w:rPr>
          <w:b/>
        </w:rPr>
        <w:t xml:space="preserve">Source: </w:t>
      </w:r>
      <w:r>
        <w:t>Nature Sustainability</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154">
        <w:r>
          <w:rPr>
            <w:color w:val="1155CC"/>
            <w:u w:val="single"/>
          </w:rPr>
          <w:t>气候变化假设情景下的供暖和冷却度日全球网格数据集</w:t>
        </w:r>
      </w:hyperlink>
    </w:p>
    <w:p>
      <w:pPr>
        <w:spacing w:before="0" w:after="80"/>
      </w:pPr>
      <w:r>
        <w:rPr>
          <w:i/>
          <w:sz w:val="20"/>
        </w:rPr>
        <w:t>EN: Global gridded dataset of heating and cooling degree days under climate change scenarios</w:t>
      </w:r>
    </w:p>
    <w:p>
      <w:pPr>
        <w:spacing w:before="0" w:after="120"/>
      </w:pPr>
      <w:r>
        <w:rPr>
          <w:b/>
        </w:rPr>
        <w:t xml:space="preserve">Source: </w:t>
      </w:r>
      <w:r>
        <w:t>Nature Sustainability</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准确预测供暖和冷却需求对于推进可持续发展目标至关重要。这里,我们提供了全球热度日(HDDs)和冷却度日(CDDs)全球数据集,这些数据涉及全球平均温度上升超过工业化前条件的3个水平——1.0°C(2006-2010年)、1.5°C和2.0°C——不论导致这些变暖情景的途径如何。数据集包括30张网格地图(0.883°x0.556°分辨率),通过具有代表性的10年期间每个变量和情景的5个统计指标来说明气候变异性。该数据集显示,HDDs普遍下降,CDDs明显、非线性地上升,而气候强度和适应需求方面最显著的变化是在变暖轨道早期出现的。</w:t>
      </w:r>
    </w:p>
    <w:p>
      <w:pPr>
        <w:spacing w:before="0" w:after="200" w:lineRule="auto" w:line="276"/>
      </w:pPr>
      <w:r>
        <w:rPr>
          <w:b/>
        </w:rPr>
        <w:t xml:space="preserve">Abstract (EN): </w:t>
      </w:r>
      <w:r>
        <w:t>Accurate projections of heating and cooling demands are crucial for advancing towards the sustainable development goals. Here we present a global dataset of heating degree days (HDDs) and cooling degree days (CDDs) for 3 levels of global mean temperature rise above pre-industrial conditions—1.0 °C (2006–2016), 1.5 °C and 2.0 °C—regardless of the pathways leading to these warming scenarios. The dataset comprises 30 gridded maps (0.883° × 0.556° resolution) characterizing climate variability through 5 statistical metrics per variable and scenario over a representative 10-year period. The dataset reveals a widespread decline in HDDs and a pronounced, nonlinear increase in CDDs, with the most significant shifts in climate intensity and adaptation needs emerging early in the warming trajectory. Furthermore, using the ‘middle-of-the-road’ Shared Socioeconomic Pathway 2-4.5 as a reference, the dataset indicates that the population experiencing extreme heat conditions (exceeding 3,000 CDDs) is projected to nearly double if the 2.0 °C threshold is reached, increasing from 23% (1.54 billion people) in 2010 to 41% (3.79 billion) by 2050, with the largest projected populations affected in India, Nigeria, Indonesia, Bangladesh, Pakistan and the Philippines. This HDD–CDD dataset provides a robust foundation for integrating climate information into sustainability planning and development policy.</w:t>
      </w:r>
    </w:p>
    <w:p>
      <w:pPr>
        <w:spacing w:before="120" w:after="120"/>
      </w:pPr>
      <w:r>
        <w:rPr>
          <w:sz w:val="18"/>
        </w:rPr>
        <w:t>——————————————————————————————————————————————————————————————————————</w:t>
      </w:r>
    </w:p>
    <w:p>
      <w:pPr>
        <w:spacing w:before="160" w:after="40" w:line="240" w:lineRule="auto"/>
      </w:pPr>
      <w:r>
        <w:rPr>
          <w:b/>
        </w:rPr>
        <w:t xml:space="preserve">[114] </w:t>
      </w:r>
      <w:hyperlink r:id="rId155">
        <w:r>
          <w:rPr>
            <w:color w:val="1155CC"/>
            <w:u w:val="single"/>
          </w:rPr>
          <w:t>具有超高输出电压和功率密度的热电设备高度一体化的刀片结构</w:t>
        </w:r>
      </w:hyperlink>
    </w:p>
    <w:p>
      <w:pPr>
        <w:spacing w:before="0" w:after="80"/>
      </w:pPr>
      <w:r>
        <w:rPr>
          <w:i/>
          <w:sz w:val="20"/>
        </w:rPr>
        <w:t>EN: A highly integrated blade structure for thermoelectric devices with ultra-high output voltage and power densities</w:t>
      </w:r>
    </w:p>
    <w:p>
      <w:pPr>
        <w:spacing w:before="0" w:after="120"/>
      </w:pPr>
      <w:r>
        <w:rPr>
          <w:b/>
        </w:rPr>
        <w:t xml:space="preserve">Source: </w:t>
      </w:r>
      <w:r>
        <w:t>RSC - Energy Environ. Sci. latest articles</w:t>
      </w:r>
      <w:r>
        <w:t xml:space="preserve">    </w:t>
      </w:r>
      <w:r>
        <w:rPr>
          <w:b/>
        </w:rPr>
        <w:t xml:space="preserve">Pub date: </w:t>
      </w:r>
      <w:r>
        <w:t>2026-01-26 00:00:00+00:00</w:t>
      </w:r>
    </w:p>
    <w:p>
      <w:pPr>
        <w:spacing w:before="0" w:after="120"/>
      </w:pPr>
      <w:r>
        <w:rPr>
          <w:b/>
        </w:rPr>
        <w:t xml:space="preserve">Notes: </w:t>
      </w:r>
      <w:r>
        <w:t>abstract_source=rsc_html</w:t>
      </w:r>
    </w:p>
    <w:p>
      <w:pPr>
        <w:spacing w:before="0" w:after="80" w:lineRule="auto" w:line="276"/>
      </w:pPr>
      <w:r>
        <w:rPr>
          <w:b/>
        </w:rPr>
        <w:t xml:space="preserve">摘要（ZH）: </w:t>
      </w:r>
      <w:r>
        <w:t>热电技术可以将人体热能转换成有用的电力,为开发自力穿戴式电子设备提供了有希望的解决方案,其中迫切需要高输出电压密度和电能密度,但现有的电电电技术设备通常在穿戴状态中具有低电压密度,大大限制了其实际应用。在这项工作中,我们提议建立一个新型的高度集成的刀片结构,可达到超高输出电压和电密度。有限元素模拟为刀片结构提供了TE腿的最佳几何尺寸和集成号。在实验中,我们成功地用最近发现的Ag型无机技术材料与TE腿一起制造了TE片。</w:t>
      </w:r>
    </w:p>
    <w:p>
      <w:pPr>
        <w:spacing w:before="0" w:after="200" w:lineRule="auto" w:line="276"/>
      </w:pPr>
      <w:r>
        <w:rPr>
          <w:b/>
        </w:rPr>
        <w:t xml:space="preserve">Abstract (EN): </w:t>
      </w:r>
      <w:r>
        <w:t>Thermoelectric (TE) technology can convert human body heat into useful electricity, providing a promising solution to develop self-powered wearable electronics, in which both high output voltage density and power density are urgently required. However, the existing TE devices usually possess low voltage density in the wearing condition, greatly limiting their real applications. In this work, we propose a novel highly integrated blade structure, which can achieve ultrahigh output voltage and power densities. The finite element simulation gives the optimal geometric dimensions and integration numbers of the TE legs for the blade structure. In the experiment, we successfully fabricated the blade TE device by using the recently discovered Ag-based ductile inorganic TE materials with the TE leg density and aspect ratio of 300 cm−2 and 1250 cm−1, respectively. Such high values have not been simultaneously achieved for the TE devices reported before. An ultrahigh voltage density of up to 869.6 mV cm−2 is achieved when the blade device is worn on the human body, which is at least one order of magnitude higher than the existing TE devices. Likewise, the blade TE devices also exhibit high power density up to 114.1 µW cm−2, among the highest values reported so far. The electricity converted from body heat by the blade TE device can directly power an electronic watch, showing great potential to be used in real applications.</w:t>
      </w:r>
    </w:p>
    <w:p>
      <w:pPr>
        <w:spacing w:before="120" w:after="120"/>
      </w:pPr>
      <w:r>
        <w:rPr>
          <w:sz w:val="18"/>
        </w:rPr>
        <w:t>——————————————————————————————————————————————————————————————————————</w:t>
      </w:r>
    </w:p>
    <w:p>
      <w:pPr>
        <w:spacing w:before="160" w:after="40" w:line="240" w:lineRule="auto"/>
      </w:pPr>
      <w:r>
        <w:rPr>
          <w:b/>
        </w:rPr>
        <w:t xml:space="preserve">[115] </w:t>
      </w:r>
      <w:hyperlink r:id="rId156">
        <w:r>
          <w:rPr>
            <w:color w:val="1155CC"/>
            <w:u w:val="single"/>
          </w:rPr>
          <w:t>每几个星期可缩放和多维的基因调节动态记录器</w:t>
        </w:r>
      </w:hyperlink>
    </w:p>
    <w:p>
      <w:pPr>
        <w:spacing w:before="0" w:after="80"/>
      </w:pPr>
      <w:r>
        <w:rPr>
          <w:i/>
          <w:sz w:val="20"/>
        </w:rPr>
        <w:t>EN: Scalable and multiplexed recorders of gene regulation dynamics across weeks</w:t>
      </w:r>
    </w:p>
    <w:p>
      <w:pPr>
        <w:spacing w:before="0" w:after="120"/>
      </w:pPr>
      <w:r>
        <w:rPr>
          <w:b/>
        </w:rPr>
        <w:t xml:space="preserve">Source: </w:t>
      </w:r>
      <w:r>
        <w:t>Nature</w:t>
      </w:r>
      <w:r>
        <w:t xml:space="preserve">    </w:t>
      </w:r>
      <w:r>
        <w:rPr>
          <w:b/>
        </w:rPr>
        <w:t xml:space="preserve">Pub date: </w:t>
      </w:r>
      <w:r>
        <w:t>2026-01-26 00:00:00+00:00</w:t>
      </w:r>
    </w:p>
    <w:p>
      <w:pPr>
        <w:spacing w:before="0" w:after="120"/>
      </w:pPr>
      <w:r>
        <w:rPr>
          <w:b/>
        </w:rPr>
        <w:t xml:space="preserve">Notes: </w:t>
      </w:r>
      <w:r>
        <w:t>abstract_source=nature_html</w:t>
      </w:r>
    </w:p>
    <w:p>
      <w:pPr>
        <w:spacing w:before="0" w:after="80" w:lineRule="auto" w:line="276"/>
      </w:pPr>
      <w:r>
        <w:rPr>
          <w:b/>
        </w:rPr>
        <w:t xml:space="preserve">摘要（ZH）: </w:t>
      </w:r>
      <w:r>
        <w:t>基因表达由基因监管网络进行动态调节,这些基因监管网络由多种监管成分组成,以调解细胞功能。1 分析这些过程的理想工具将跟踪多成分动态,同时具有时空分辨率和在同一细胞内可扩缩性,这种能力尚未实现。在这里,我们介绍一个基因编码、模块化蛋白磁带记录器,用于多氧化和随机可扩缩记录基因调节动态,持续三个星期,在生理上兼容,与单细胞、分钟分辨率相容。CytoTape使用一种灵活、线状、长期的细胞内蛋白自组设计,该设计以早期XRI技术为基础。</w:t>
      </w:r>
    </w:p>
    <w:p>
      <w:pPr>
        <w:spacing w:before="0" w:after="200" w:lineRule="auto" w:line="276"/>
      </w:pPr>
      <w:r>
        <w:rPr>
          <w:b/>
        </w:rPr>
        <w:t xml:space="preserve">Abstract (EN): </w:t>
      </w:r>
      <w:r>
        <w:t>Gene expression is dynamically regulated by gene regulatory networks comprising multiple regulatory components to mediate cellular functions1. An ideal tool for analyzing these processes would track multiple-component dynamics with both spatiotemporal resolution and scalability within the same cells, a capability not yet achieved. Here, we present CytoTape, a genetically encoded, modular protein tape recorder for multiplexed and spatiotemporally scalable recording of gene regulation dynamics continuously for up to three weeks, physiologically compatible, with single-cell, minutes-scale resolution. CytoTape employs a flexible, thread-like, elongating intracellular protein self-assembly engineered via computationally assisted rational design, built on earlier XRI technology2. We demonstrated its utility across multiple mammalian cell types, achieving simultaneous recording of five transcription factor activities and gene transcriptional activities. CytoTape reveals that divergent transcriptional trajectories correlate with transcriptional history and signal integration, and that distinct immediate early genes (IEGs) exhibit complex temporal correlations within single cells. We further extended CytoTape into CytoTape-vivo for scalable, spatiotemporally resolved single-cell recording in the living brain, enabling simultaneous weeks-long recording of doxycycline- and IEG promoter-dependent gene expression histories across up to 14,123 neurons spanning multiple brain regions per mouse. Together, the CytoTape toolkit establishes a versatile platform for scalable and multiplexed analysis of cell physiological processes in vitro and in vivo.</w:t>
      </w:r>
    </w:p>
    <w:p>
      <w:pPr>
        <w:spacing w:before="120" w:after="120"/>
      </w:pPr>
      <w:r>
        <w:rPr>
          <w:sz w:val="18"/>
        </w:rPr>
        <w:t>——————————————————————————————————————————————————————————————————————</w:t>
      </w:r>
    </w:p>
    <w:p>
      <w:pPr>
        <w:spacing w:before="160" w:after="40" w:line="240" w:lineRule="auto"/>
      </w:pPr>
      <w:r>
        <w:rPr>
          <w:b/>
        </w:rPr>
        <w:t xml:space="preserve">[116] </w:t>
      </w:r>
      <w:hyperlink r:id="rId157">
        <w:r>
          <w:rPr>
            <w:color w:val="1155CC"/>
            <w:u w:val="single"/>
          </w:rPr>
          <w:t>为高性能水态钠离子电池解开导力-氢益性-溶解性三合体的结晶协同聚合物</w:t>
        </w:r>
      </w:hyperlink>
    </w:p>
    <w:p>
      <w:pPr>
        <w:spacing w:before="0" w:after="80"/>
      </w:pPr>
      <w:r>
        <w:rPr>
          <w:i/>
          <w:sz w:val="20"/>
        </w:rPr>
        <w:t>EN: Cruciform-hinged conjugated polymers unlock the conductivity-hydrophilicity-insolubility triad for high-performance aqueous sodium-ion batteries</w:t>
      </w:r>
    </w:p>
    <w:p>
      <w:pPr>
        <w:spacing w:before="0" w:after="120"/>
      </w:pPr>
      <w:r>
        <w:rPr>
          <w:b/>
        </w:rPr>
        <w:t xml:space="preserve">Source: </w:t>
      </w:r>
      <w:r>
        <w:t>Chem</w:t>
      </w:r>
      <w:r>
        <w:t xml:space="preserve">    </w:t>
      </w:r>
      <w:r>
        <w:rPr>
          <w:b/>
        </w:rPr>
        <w:t xml:space="preserve">Pub date: </w:t>
      </w:r>
      <w:r>
        <w:t>2026-01-26 00:00:00+00:00</w:t>
      </w:r>
    </w:p>
    <w:p>
      <w:pPr>
        <w:spacing w:before="0" w:after="120"/>
      </w:pPr>
      <w:r>
        <w:rPr>
          <w:b/>
        </w:rPr>
        <w:t xml:space="preserve">Notes: </w:t>
      </w:r>
      <w:r>
        <w:t>abstract_source=rss_cell</w:t>
      </w:r>
    </w:p>
    <w:p>
      <w:pPr>
        <w:spacing w:before="0" w:after="80" w:lineRule="auto" w:line="276"/>
      </w:pPr>
      <w:r>
        <w:rPr>
          <w:b/>
        </w:rPr>
        <w:t xml:space="preserve">摘要（ZH）: </w:t>
      </w:r>
      <w:r>
        <w:t>电池的有机材料往往难以同时做到导电、水相容和稳定。 我们设计了一个连成聚合物,并扭曲地结合了“临界链 ” ( crucific lties ), 以最终实现三维效应。 这个分子结构可以使高能、长效水氧化钠电池从零至高温可靠地运行。 我们的工作为创造持久和安全的有机电池以用于真实的可持续能源储存提供了新的蓝图。</w:t>
      </w:r>
    </w:p>
    <w:p>
      <w:pPr>
        <w:spacing w:before="0" w:after="200" w:lineRule="auto" w:line="276"/>
      </w:pPr>
      <w:r>
        <w:rPr>
          <w:b/>
        </w:rPr>
        <w:t xml:space="preserve">Abstract (EN): </w:t>
      </w:r>
      <w:r>
        <w:t>Organic materials for batteries often struggle to be conductive, water compatible, and stable all at once. We designed a conjugated polymer with a twist—the incorporation of “cruciform hinges”—to finally achieve this trifecta. This molecular architecture enables high-power, long-lasting aqueous sodium-ion batteries that perform reliably from sub-zero to high temperatures. Our work provides a new blueprint for creating durable and safe organic batteries for real-world sustainable energy storage.</w:t>
      </w:r>
    </w:p>
    <w:p>
      <w:pPr>
        <w:spacing w:before="120" w:after="120"/>
      </w:pPr>
      <w:r>
        <w:rPr>
          <w:sz w:val="18"/>
        </w:rPr>
        <w:t>——————————————————————————————————————————————————————————————————————</w:t>
      </w:r>
    </w:p>
    <w:p>
      <w:pPr>
        <w:spacing w:before="160" w:after="40" w:line="240" w:lineRule="auto"/>
      </w:pPr>
      <w:r>
        <w:rPr>
          <w:b/>
        </w:rPr>
        <w:t xml:space="preserve">[117] </w:t>
      </w:r>
      <w:hyperlink r:id="rId158">
        <w:r>
          <w:rPr>
            <w:color w:val="1155CC"/>
            <w:u w:val="single"/>
          </w:rPr>
          <w:t>高压锂金属电池的等离子链型侧链型聚硫酮电解解修改和不对称双层结构设计</w:t>
        </w:r>
      </w:hyperlink>
    </w:p>
    <w:p>
      <w:pPr>
        <w:spacing w:before="0" w:after="80"/>
      </w:pPr>
      <w:r>
        <w:rPr>
          <w:i/>
          <w:sz w:val="20"/>
        </w:rPr>
        <w:t>EN: Aliphatic side-chain-type polysulfone electrolyte modification and asymmetric double-layer structure design for high-voltage lithium metal batteries</w:t>
      </w:r>
    </w:p>
    <w:p>
      <w:pPr>
        <w:spacing w:before="0" w:after="120"/>
      </w:pPr>
      <w:r>
        <w:rPr>
          <w:b/>
        </w:rPr>
        <w:t xml:space="preserve">Source: </w:t>
      </w:r>
      <w:r>
        <w:t>ScienceDirect Publication: Materials Today</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[118] </w:t>
      </w:r>
      <w:hyperlink r:id="rId159">
        <w:r>
          <w:rPr>
            <w:color w:val="1155CC"/>
            <w:u w:val="single"/>
          </w:rPr>
          <w:t>采用相分离培养系统促进细胞疗法的免疫细胞活化</w:t>
        </w:r>
      </w:hyperlink>
    </w:p>
    <w:p>
      <w:pPr>
        <w:spacing w:before="0" w:after="80"/>
      </w:pPr>
      <w:r>
        <w:rPr>
          <w:i/>
          <w:sz w:val="20"/>
        </w:rPr>
        <w:t>EN: Boosting immunocyte activation for cell therapy with a phase-separation culture system</w:t>
      </w:r>
    </w:p>
    <w:p>
      <w:pPr>
        <w:spacing w:before="0" w:after="120"/>
      </w:pPr>
      <w:r>
        <w:rPr>
          <w:b/>
        </w:rPr>
        <w:t xml:space="preserve">Source: </w:t>
      </w:r>
      <w:r>
        <w:t>Chem</w:t>
      </w:r>
      <w:r>
        <w:t xml:space="preserve">    </w:t>
      </w:r>
      <w:r>
        <w:rPr>
          <w:b/>
        </w:rPr>
        <w:t xml:space="preserve">Pub date: </w:t>
      </w:r>
      <w:r>
        <w:t>2026-01-26 00:00:00+00:00</w:t>
      </w:r>
    </w:p>
    <w:p>
      <w:pPr>
        <w:spacing w:before="0" w:after="120"/>
      </w:pPr>
      <w:r>
        <w:rPr>
          <w:b/>
        </w:rPr>
        <w:t xml:space="preserve">Notes: </w:t>
      </w:r>
      <w:r>
        <w:t>abstract_source=rss_cell</w:t>
      </w:r>
    </w:p>
    <w:p>
      <w:pPr>
        <w:spacing w:before="0" w:after="80" w:lineRule="auto" w:line="276"/>
      </w:pPr>
      <w:r>
        <w:rPr>
          <w:b/>
        </w:rPr>
        <w:t xml:space="preserve">摘要（ZH）: </w:t>
      </w:r>
      <w:r>
        <w:t>细胞疗法为治疗不同疾病带来了很大希望,但长期的体外活化带来了技术和成本障碍。 细胞生物材料报告、王氏和同事设计了水分两阶段系统,利用液液分期分离加速免疫细胞活化。 这种方法减少了体外处理时间,改善了细胞功能,扩大了细胞疗法的治疗适用性。</w:t>
      </w:r>
    </w:p>
    <w:p>
      <w:pPr>
        <w:spacing w:before="0" w:after="200" w:lineRule="auto" w:line="276"/>
      </w:pPr>
      <w:r>
        <w:rPr>
          <w:b/>
        </w:rPr>
        <w:t xml:space="preserve">Abstract (EN): </w:t>
      </w:r>
      <w:r>
        <w:t>Cell therapy shows considerable promise for treating different diseases, but prolonged ex vivo activation poses technical and cost barriers. Reporting in Cell Biomaterials, Wang and co-workers have designed an aqueous two-phase system that leverages liquid-liquid phase separation for accelerated immunocyte activation. This approach reduces ex vivo processing time and improves cellular functionality, broadening the therapeutic applicability of cell therapies.</w:t>
      </w:r>
    </w:p>
    <w:p>
      <w:pPr>
        <w:spacing w:before="120" w:after="120"/>
      </w:pPr>
      <w:r>
        <w:rPr>
          <w:sz w:val="18"/>
        </w:rPr>
        <w:t>——————————————————————————————————————————————————————————————————————</w:t>
      </w:r>
    </w:p>
    <w:p>
      <w:pPr>
        <w:spacing w:before="160" w:after="40" w:line="240" w:lineRule="auto"/>
      </w:pPr>
      <w:r>
        <w:rPr>
          <w:b/>
        </w:rPr>
        <w:t xml:space="preserve">[119] </w:t>
      </w:r>
      <w:hyperlink r:id="rId160">
        <w:r>
          <w:rPr>
            <w:color w:val="1155CC"/>
            <w:u w:val="single"/>
          </w:rPr>
          <w:t>通过以居心的硬化聚氨酯固定化,稳定α-FAPbI3 perovskite</w:t>
        </w:r>
      </w:hyperlink>
    </w:p>
    <w:p>
      <w:pPr>
        <w:spacing w:before="0" w:after="80"/>
      </w:pPr>
      <w:r>
        <w:rPr>
          <w:i/>
          <w:sz w:val="20"/>
        </w:rPr>
        <w:t>EN: Stabilizing α-FAPbI3 perovskite via centered formamidinium cation immobilization</w:t>
      </w:r>
    </w:p>
    <w:p>
      <w:pPr>
        <w:spacing w:before="0" w:after="120"/>
      </w:pPr>
      <w:r>
        <w:rPr>
          <w:b/>
        </w:rPr>
        <w:t xml:space="preserve">Source: </w:t>
      </w:r>
      <w:r>
        <w:t>Joule</w:t>
      </w:r>
      <w:r>
        <w:t xml:space="preserve">    </w:t>
      </w:r>
      <w:r>
        <w:rPr>
          <w:b/>
        </w:rPr>
        <w:t xml:space="preserve">Pub date: </w:t>
      </w:r>
      <w:r>
        <w:t>2026-01-26 00:00:00+00:00</w:t>
      </w:r>
    </w:p>
    <w:p>
      <w:pPr>
        <w:spacing w:before="0" w:after="120"/>
      </w:pPr>
      <w:r>
        <w:rPr>
          <w:b/>
        </w:rPr>
        <w:t xml:space="preserve">Notes: </w:t>
      </w:r>
      <w:r>
        <w:t>abstract_source=rss_cell</w:t>
      </w:r>
    </w:p>
    <w:p>
      <w:pPr>
        <w:spacing w:before="0" w:after="80" w:lineRule="auto" w:line="276"/>
      </w:pPr>
      <w:r>
        <w:rPr>
          <w:b/>
        </w:rPr>
        <w:t xml:space="preserve">摘要（ZH）: </w:t>
      </w:r>
      <w:r>
        <w:t>固态的α-FAPBI3显示一个统一的聚乙烯地貌,减少了电子-光电联结,便利了高效电荷运输,抑制了过低气压降解。 苯乙烯公司α-FAPBI3保持了光效阶段,电转换效率超过25%,操作稳定性超过3,400小时。</w:t>
      </w:r>
    </w:p>
    <w:p>
      <w:pPr>
        <w:spacing w:before="0" w:after="200" w:lineRule="auto" w:line="276"/>
      </w:pPr>
      <w:r>
        <w:rPr>
          <w:b/>
        </w:rPr>
        <w:t xml:space="preserve">Abstract (EN): </w:t>
      </w:r>
      <w:r>
        <w:t>Pyrene at perovskite grain boundaries immobilizes formamidinium cations, stabilizing the PbI6 cage and rigidifying α-FAPbI3. Rigid α-FAPbI3 exhibited a uniform spatioenergetic landscape, reduced electron-phonon coupling, facilitated efficient charge transport, and suppressed perovskite degradation. Pyrene-incorporated α-FAPbI3 retained its photoactive phase with over 25% power conversion efficiency and operational stability exceeding 3,400 h.</w:t>
      </w:r>
    </w:p>
    <w:p>
      <w:pPr>
        <w:spacing w:before="120" w:after="120"/>
      </w:pPr>
      <w:r>
        <w:rPr>
          <w:sz w:val="18"/>
        </w:rPr>
        <w:t>——————————————————————————————————————————————————————————————————————</w:t>
      </w:r>
    </w:p>
    <w:p>
      <w:pPr>
        <w:spacing w:before="160" w:after="40" w:line="240" w:lineRule="auto"/>
      </w:pPr>
      <w:r>
        <w:rPr>
          <w:b/>
        </w:rPr>
        <w:t xml:space="preserve">[120] </w:t>
      </w:r>
      <w:hyperlink r:id="rId161">
        <w:r>
          <w:rPr>
            <w:color w:val="1155CC"/>
            <w:u w:val="single"/>
          </w:rPr>
          <w:t>高性能有机光伏电池的酒精分散导导聚合物</w:t>
        </w:r>
      </w:hyperlink>
    </w:p>
    <w:p>
      <w:pPr>
        <w:spacing w:before="0" w:after="80"/>
      </w:pPr>
      <w:r>
        <w:rPr>
          <w:i/>
          <w:sz w:val="20"/>
        </w:rPr>
        <w:t>EN: Alcohol-dispersed conductive polymer for high-performance organic photovoltaic cells</w:t>
      </w:r>
    </w:p>
    <w:p>
      <w:pPr>
        <w:spacing w:before="0" w:after="120"/>
      </w:pPr>
      <w:r>
        <w:rPr>
          <w:b/>
        </w:rPr>
        <w:t xml:space="preserve">Source: </w:t>
      </w:r>
      <w:r>
        <w:t>Joule</w:t>
      </w:r>
      <w:r>
        <w:t xml:space="preserve">    </w:t>
      </w:r>
      <w:r>
        <w:rPr>
          <w:b/>
        </w:rPr>
        <w:t xml:space="preserve">Pub date: </w:t>
      </w:r>
      <w:r>
        <w:t>2026-01-26 00:00:00+00:00</w:t>
      </w:r>
    </w:p>
    <w:p>
      <w:pPr>
        <w:spacing w:before="0" w:after="120"/>
      </w:pPr>
      <w:r>
        <w:rPr>
          <w:b/>
        </w:rPr>
        <w:t xml:space="preserve">Notes: </w:t>
      </w:r>
      <w:r>
        <w:t>abstract_source=rss_cell</w:t>
      </w:r>
    </w:p>
    <w:p>
      <w:pPr>
        <w:spacing w:before="0" w:after="80" w:lineRule="auto" w:line="276"/>
      </w:pPr>
      <w:r>
        <w:rPr>
          <w:b/>
        </w:rPr>
        <w:t xml:space="preserve">摘要（ZH）: </w:t>
      </w:r>
      <w:r>
        <w:t>通过定制溶液-溶液相互作用,开发了异丙醇分散的 PEDOT-OH:PSS。 它在疏水软基质上展示了极好的湿性。 它作为传统连线有机光伏电池的一个互连层,可以达到21.7%的效率,是迄今报告的有机光伏领域最高性能。</w:t>
      </w:r>
    </w:p>
    <w:p>
      <w:pPr>
        <w:spacing w:before="0" w:after="200" w:lineRule="auto" w:line="276"/>
      </w:pPr>
      <w:r>
        <w:rPr>
          <w:b/>
        </w:rPr>
        <w:t xml:space="preserve">Abstract (EN): </w:t>
      </w:r>
      <w:r>
        <w:t>By tailoring solute-solvent interactions, the isopropanol-dispersed PEDOT-OH:PSS was developed. It exhibits excellent wettability on hydrophobic flexible substrates. Serving as an interconnecting layer in conventional tandem organic photovoltaic cells, it enables an efficiency of up to 21.7%, representing the highest reported performance in the organic photovoltaic field to date.</w:t>
      </w:r>
    </w:p>
    <w:p>
      <w:pPr>
        <w:spacing w:before="120" w:after="120"/>
      </w:pPr>
      <w:r>
        <w:rPr>
          <w:sz w:val="18"/>
        </w:rPr>
        <w:t>——————————————————————————————————————————————————————————————————————</w:t>
      </w:r>
    </w:p>
    <w:p>
      <w:pPr>
        <w:spacing w:before="160" w:after="40" w:line="240" w:lineRule="auto"/>
      </w:pPr>
      <w:r>
        <w:rPr>
          <w:b/>
        </w:rPr>
        <w:t xml:space="preserve">[121] </w:t>
      </w:r>
      <w:hyperlink r:id="rId162">
        <w:r>
          <w:rPr>
            <w:color w:val="1155CC"/>
            <w:u w:val="single"/>
          </w:rPr>
          <w:t>电化学能够使室温调质的Matteson型同质化,将三氟甲基树脂类同质化,作为木质前体。</w:t>
        </w:r>
      </w:hyperlink>
    </w:p>
    <w:p>
      <w:pPr>
        <w:spacing w:before="0" w:after="80"/>
      </w:pPr>
      <w:r>
        <w:rPr>
          <w:i/>
          <w:sz w:val="20"/>
        </w:rPr>
        <w:t>EN: Electrochemistry enables room-temperature Matteson-type homologation with trifluoromethyl arenes as carbenoid precursors</w:t>
      </w:r>
    </w:p>
    <w:p>
      <w:pPr>
        <w:spacing w:before="0" w:after="120"/>
      </w:pPr>
      <w:r>
        <w:rPr>
          <w:b/>
        </w:rPr>
        <w:t xml:space="preserve">Source: </w:t>
      </w:r>
      <w:r>
        <w:t>Chem</w:t>
      </w:r>
      <w:r>
        <w:t xml:space="preserve">    </w:t>
      </w:r>
      <w:r>
        <w:rPr>
          <w:b/>
        </w:rPr>
        <w:t xml:space="preserve">Pub date: </w:t>
      </w:r>
      <w:r>
        <w:t>2026-01-26 00:00:00+00:00</w:t>
      </w:r>
    </w:p>
    <w:p>
      <w:pPr>
        <w:spacing w:before="0" w:after="120"/>
      </w:pPr>
      <w:r>
        <w:rPr>
          <w:b/>
        </w:rPr>
        <w:t xml:space="preserve">Notes: </w:t>
      </w:r>
      <w:r>
        <w:t>abstract_source=rss_cell</w:t>
      </w:r>
    </w:p>
    <w:p>
      <w:pPr>
        <w:spacing w:before="0" w:after="80" w:lineRule="auto" w:line="276"/>
      </w:pPr>
      <w:r>
        <w:rPr>
          <w:b/>
        </w:rPr>
        <w:t xml:space="preserve">摘要（ZH）: </w:t>
      </w:r>
      <w:r>
        <w:t>经典的Matteson同质法可以精确地将一碳注入有机有机物中,但依赖敏感的有机物试剂和低温条件。 在自然界,Lyu、Quan和同事报告了一项电化学战略,利用三氟甲基元素在室内温度下通过电解脱氟生成碳素核素,从而得以将同质有机体合成成一锅。</w:t>
      </w:r>
    </w:p>
    <w:p>
      <w:pPr>
        <w:spacing w:before="0" w:after="200" w:lineRule="auto" w:line="276"/>
      </w:pPr>
      <w:r>
        <w:rPr>
          <w:b/>
        </w:rPr>
        <w:t xml:space="preserve">Abstract (EN): </w:t>
      </w:r>
      <w:r>
        <w:t>The classic Matteson homologation enables precise one-carbon insertion into organoboranes but relies on sensitive organolithium reagents and cryogenic conditions. In Nature, Lyu, Quan, and co-workers report an electrochemical strategy that utilizes trifluoromethyl arenes to generate carbenoid nucleophiles via electroreductive defluorination at room temperature, enabling one-pot synthesis of homologated organoborons.</w:t>
      </w:r>
    </w:p>
    <w:p>
      <w:pPr>
        <w:spacing w:before="120" w:after="120"/>
      </w:pPr>
      <w:r>
        <w:rPr>
          <w:sz w:val="18"/>
        </w:rPr>
        <w:t>——————————————————————————————————————————————————————————————————————</w:t>
      </w:r>
    </w:p>
    <w:p>
      <w:pPr>
        <w:spacing w:before="160" w:after="40" w:line="240" w:lineRule="auto"/>
      </w:pPr>
      <w:r>
        <w:rPr>
          <w:b/>
        </w:rPr>
        <w:t xml:space="preserve">[122] </w:t>
      </w:r>
      <w:hyperlink r:id="rId163">
        <w:r>
          <w:rPr>
            <w:color w:val="1155CC"/>
            <w:u w:val="single"/>
          </w:rPr>
          <w:t>在悬浮磁铁中观测到的量子旋转效应</w:t>
        </w:r>
      </w:hyperlink>
    </w:p>
    <w:p>
      <w:pPr>
        <w:spacing w:before="0" w:after="80"/>
      </w:pPr>
      <w:r>
        <w:rPr>
          <w:i/>
          <w:sz w:val="20"/>
        </w:rPr>
        <w:t>EN: Quantum spinning effect observed in a levitating magnet</w:t>
      </w:r>
    </w:p>
    <w:p>
      <w:pPr>
        <w:spacing w:before="0" w:after="120"/>
      </w:pPr>
      <w:r>
        <w:rPr>
          <w:b/>
        </w:rPr>
        <w:t xml:space="preserve">Source: </w:t>
      </w:r>
      <w:r>
        <w:t>Nature</w:t>
      </w:r>
      <w:r>
        <w:t xml:space="preserve">    </w:t>
      </w:r>
      <w:r>
        <w:rPr>
          <w:b/>
        </w:rPr>
        <w:t xml:space="preserve">Pub date: </w:t>
      </w:r>
      <w:r>
        <w:t>2026-01-26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164">
        <w:r>
          <w:rPr>
            <w:color w:val="1155CC"/>
            <w:u w:val="single"/>
          </w:rPr>
          <w:t>在Marathousa 1(希腊)发现的最早使用木制手持工具的荷明证据</w:t>
        </w:r>
      </w:hyperlink>
    </w:p>
    <w:p>
      <w:pPr>
        <w:spacing w:before="0" w:after="80"/>
      </w:pPr>
      <w:r>
        <w:rPr>
          <w:i/>
          <w:sz w:val="20"/>
        </w:rPr>
        <w:t>EN: Evidence for the earliest hominin use of wooden handheld tools found at Marathousa 1 (Greece)</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65">
        <w:r>
          <w:rPr>
            <w:color w:val="1155CC"/>
            <w:u w:val="single"/>
          </w:rPr>
          <w:t>10.1073/pnas.2515479123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中晶球(MP, c. 774至129 ka)标志着人类演化的关键时期,其特点是行为复杂性增加,并有植物技术的第一批明确证据。尽管如此,早期木木工具使用的直接证据仍然极为罕见。在这里,我们介绍了最早的手持木制木制木制工具,从Marathousa 1号希腊1号希腊1号希腊1号希腊1号站点的安全环境确定为430 ka(MAIS 12)。 通过对采样木材巨体进行系统的形态学、微观学、水相学和分类分析,有两种样本被安全地确定为由人造改变的:一个小藻类(Alnus sp.)干尾碎片具有与可能用于多功能棒一致的明显工作和使用-湿重痕迹。</w:t>
      </w:r>
    </w:p>
    <w:p>
      <w:pPr>
        <w:spacing w:before="0" w:after="200" w:lineRule="auto" w:line="276"/>
      </w:pPr>
      <w:r>
        <w:rPr>
          <w:b/>
        </w:rPr>
        <w:t xml:space="preserve">Abstract (EN): </w:t>
      </w:r>
      <w:r>
        <w:t>The Middle Pleistocene (MP; ca. 774 to 129 ka) marks a critical period of human evolution, characterized by increasing behavioral complexity and the first unambiguous evidence of plant-based technologies. Despite this, direct evidence for early wooden tool use remains exceptionally rare. Here, we present the earliest handheld wooden tools, identified from secure contexts at the site of Marathousa 1, Greece, dated to ca. 430 ka (MIS12). Through a systematic morphological, microscopic, taphonomic, and taxonomic analysis of the sampled wood macroremains, two specimens were securely identified as modified by hominins: one small alder (</w:t>
      </w:r>
      <w:r>
        <w:t xml:space="preserve"> </w:t>
      </w:r>
      <w:r>
        <w:t>Alnus</w:t>
      </w:r>
      <w:r>
        <w:t xml:space="preserve"> </w:t>
      </w:r>
      <w:r>
        <w:t>sp.) trunk fragment bears clear working and use-wear traces consistent with a multifunctional stick likely used in digging at the paleolakeshore; and one very small willow/poplar (</w:t>
      </w:r>
      <w:r>
        <w:t xml:space="preserve"> </w:t>
      </w:r>
      <w:r>
        <w:t>Salix</w:t>
      </w:r>
      <w:r>
        <w:t xml:space="preserve"> </w:t>
      </w:r>
      <w:r>
        <w:t>sp./</w:t>
      </w:r>
      <w:r>
        <w:t>Populus</w:t>
      </w:r>
      <w:r>
        <w:t xml:space="preserve"> </w:t>
      </w:r>
      <w:r>
        <w:t>sp.) artifact exhibits signs of shaping and potential use-wear. A third specimen, a large alder trunk segment, shows deep, nonanthropogenic striations interpreted here as claw marks from a large carnivoran. The wooden tools were excavated together with butchered elephant remains, small lithic artifacts and debitage, and worked bone, underscoring the diversity of engagement with a variety of different raw materials for technological purposes at Marathousa 1. These finds extend the temporal range of early wooden tools. They represent both the use of expedient larger handheld tools as well as a much smaller, likely finger-held wooden tool, which is uniquely small for the Pleistocene, expanding known functional purposes of early wood technologies. Moreover, they highlight the Megalopolis Basin’s exceptional preservation conditions and its role in understanding the evolution of hominin behavior.</w:t>
      </w:r>
    </w:p>
    <w:p>
      <w:pPr>
        <w:spacing w:before="120" w:after="120"/>
      </w:pPr>
      <w:r>
        <w:rPr>
          <w:sz w:val="18"/>
        </w:rPr>
        <w:t>——————————————————————————————————————————————————————————————————————</w:t>
      </w:r>
    </w:p>
    <w:p>
      <w:pPr>
        <w:spacing w:before="160" w:after="40" w:line="240" w:lineRule="auto"/>
      </w:pPr>
      <w:r>
        <w:rPr>
          <w:b/>
        </w:rPr>
        <w:t xml:space="preserve">[124] </w:t>
      </w:r>
      <w:hyperlink r:id="rId166">
        <w:r>
          <w:rPr>
            <w:color w:val="1155CC"/>
            <w:u w:val="single"/>
          </w:rPr>
          <w:t>协调促进代谢形成细胞器官</w:t>
        </w:r>
      </w:hyperlink>
    </w:p>
    <w:p>
      <w:pPr>
        <w:spacing w:before="0" w:after="80"/>
      </w:pPr>
      <w:r>
        <w:rPr>
          <w:i/>
          <w:sz w:val="20"/>
        </w:rPr>
        <w:t>EN: Coordination of cell organelles to promote metabolon formation</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67">
        <w:r>
          <w:rPr>
            <w:color w:val="1155CC"/>
            <w:u w:val="single"/>
          </w:rPr>
          <w:t>10.1073/pnas.2532504123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细胞器官和代谢酶组件之间的空间协调是保持压力下代谢效率的基本机制。虽然以前的工作表明,膜内有机器官调节代谢活动,而无膜的凝凝凝结体进行代谢反应,但这两个组织之间的协调仍未得到解决。通过使用近距离标签、超分辨率荧光显微谱显微镜和采用同位素追踪法进行代谢物分析,我们调查了这些代谢热点之间的关系。在这里,我们表明,营养缺乏长长的米托肖因里亚和将ER从管状变成类似表状形态学,同时使用增加的线粒体呼吸和氮素5-蛋白磷。</w:t>
      </w:r>
    </w:p>
    <w:p>
      <w:pPr>
        <w:spacing w:before="0" w:after="200" w:lineRule="auto" w:line="276"/>
      </w:pPr>
      <w:r>
        <w:rPr>
          <w:b/>
        </w:rPr>
        <w:t xml:space="preserve">Abstract (EN): </w:t>
      </w:r>
      <w:r>
        <w:t>The spatial coordination between cellular organelles and metabolic enzyme assemblies represents a fundamental mechanism for maintaining metabolic efficiency under stress. While previous work has shown that membrane-bound organelles regulate metabolic activities and that membrane-less condensates conduct metabolic reactions, the coordination between these two organizations remains unaddressed. By using a combination of proximity labeling, superresolution fluorescence microscopy, and metabolite analyses using isotopic tracing, we investigated the relationships between these metabolic hotspots. Here, we show that nutrient deficiency elongates mitochondria and transforms the ER from a tubular to sheet-like morphology, coinciding with increased mitochondrial respiration and inosine 5′-monophosphate levels. These structural changes promote the colocalization of purinosomes with these organelles, enhancing metabolic channeling. Disruption of ER sheet formation via MTM1 knockout destabilizes purinosomes, impairs substrate channeling, and reduces intracellular purine nucleotide pools without altering enzyme expression. Our findings reveal that organelle morphology and interorganelle contacts dynamically regulate the assembly and function of metabolic condensates, providing a structural basis for coordinated metabolic control in response to nutrient availability.</w:t>
      </w:r>
    </w:p>
    <w:p>
      <w:pPr>
        <w:spacing w:before="120" w:after="120"/>
      </w:pPr>
      <w:r>
        <w:rPr>
          <w:sz w:val="18"/>
        </w:rPr>
        <w:t>——————————————————————————————————————————————————————————————————————</w:t>
      </w:r>
    </w:p>
    <w:p>
      <w:pPr>
        <w:spacing w:before="160" w:after="40" w:line="240" w:lineRule="auto"/>
      </w:pPr>
      <w:r>
        <w:rPr>
          <w:b/>
        </w:rPr>
        <w:t xml:space="preserve">[125] </w:t>
      </w:r>
      <w:hyperlink r:id="rId168">
        <w:r>
          <w:rPr>
            <w:color w:val="1155CC"/>
            <w:u w:val="single"/>
          </w:rPr>
          <w:t>通过肌肉组织传播的肌肉组织形成两极分化的信号,在小白鲸求爱期间发出。</w:t>
        </w:r>
      </w:hyperlink>
    </w:p>
    <w:p>
      <w:pPr>
        <w:spacing w:before="0" w:after="80"/>
      </w:pPr>
      <w:r>
        <w:rPr>
          <w:i/>
          <w:sz w:val="20"/>
        </w:rPr>
        <w:t>EN: Transmission through muscle tissue shapes polarization signals during cuttlefish courtship</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69">
        <w:r>
          <w:rPr>
            <w:color w:val="1155CC"/>
            <w:u w:val="single"/>
          </w:rPr>
          <w:t>10.1073/pnas.2517167123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虽然许多研究探索了身体颜色作为一种性信号的机制和功能,但光极化的另一个基本特性的作用基本上尚未探索,具体而言,两极分化信号是否以及如何在性别选择中达到高度显著性的问题,包括它们的可见度及其相关的行为和形态适应,尚待彻底调查。</w:t>
      </w:r>
    </w:p>
    <w:p>
      <w:pPr>
        <w:spacing w:before="0" w:after="200" w:lineRule="auto" w:line="276"/>
      </w:pPr>
      <w:r>
        <w:rPr>
          <w:b/>
        </w:rPr>
        <w:t xml:space="preserve">Abstract (EN): </w:t>
      </w:r>
      <w:r>
        <w:t>Flamboyant sexual ornaments serve as conspicuous visual signals optimized to the visual receptors and perception of potential mates. While numerous studies have explored the mechanisms and functions of body coloration as a sexual signal, the role of another essential property of light—polarization—remains largely unexplored. Specifically, the question of whether and how polarization signals achieve high conspicuousness under sexual selection, including their visibility and associated behavioral and morphological adaptations, has yet to be thoroughly investigated. Here, we identified a strikingly conspicuous polarization signal used specifically during courtship in the cuttlefish</w:t>
      </w:r>
      <w:r>
        <w:t xml:space="preserve"> </w:t>
      </w:r>
      <w:r>
        <w:t>Doratosepion andreanum</w:t>
      </w:r>
      <w:r>
        <w:t xml:space="preserve"> </w:t>
      </w:r>
      <w:r>
        <w:t>and investigated the underlying optical mechanism. The signal consists of a pattern of adjacent horizontally and vertically polarized areas, optimizing signal detectability for cephalopod polarization vision. This pattern is generated by reflective cells called iridophores and transparent muscle: light becomes horizontally polarized when reflected by iridophores, and its angle of polarization is then rotated to vertical when transmitted through a birefringent muscle layer. Our findings show the significant contribution of polarization of light to animal communication and reveal that polarization signals—like colorful sexual ornaments—can achieve high conspicuousness through fundamentally different optical mechanisms.</w:t>
      </w:r>
    </w:p>
    <w:p>
      <w:pPr>
        <w:spacing w:before="120" w:after="120"/>
      </w:pPr>
      <w:r>
        <w:rPr>
          <w:sz w:val="18"/>
        </w:rPr>
        <w:t>——————————————————————————————————————————————————————————————————————</w:t>
      </w:r>
    </w:p>
    <w:p>
      <w:pPr>
        <w:spacing w:before="160" w:after="40" w:line="240" w:lineRule="auto"/>
      </w:pPr>
      <w:r>
        <w:rPr>
          <w:b/>
        </w:rPr>
        <w:t xml:space="preserve">[126] </w:t>
      </w:r>
      <w:hyperlink r:id="rId170">
        <w:r>
          <w:rPr>
            <w:color w:val="1155CC"/>
            <w:u w:val="single"/>
          </w:rPr>
          <w:t>微捕虫器显示,在多翼早期偏禽中,有专门的滑翔能力。</w:t>
        </w:r>
      </w:hyperlink>
    </w:p>
    <w:p>
      <w:pPr>
        <w:spacing w:before="0" w:after="80"/>
      </w:pPr>
      <w:r>
        <w:rPr>
          <w:i/>
          <w:sz w:val="20"/>
        </w:rPr>
        <w:t>EN: Microraptor reveals specialized gliding capabilities in multiwinged early paravians</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71">
        <w:r>
          <w:rPr>
            <w:color w:val="1155CC"/>
            <w:u w:val="single"/>
          </w:rPr>
          <w:t>10.1073/pnas.2518106123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鸟类和昆虫等敏捷而高效的现代传单依赖复杂的空气动力学来提高性能,如领先边缘的浮质、小板、快速投球旋转以及翼翼和翼翼的相互作用等。 但是,它们进化的起源并不为人所知。 早期鸟类及其近亲,如微虫,有着多翼结构,其手臂、腿和尾巴上长羽毛长。 这些早期传单的技巧一直受到辩论,其核心是驱动这种多翼组合演变的动力及其损失的动力,而现代双翼结构则取而代之。 在这方面,微型捕虫的空气动力学和翼翼翼的相互作用是微翼的。</w:t>
      </w:r>
    </w:p>
    <w:p>
      <w:pPr>
        <w:spacing w:before="0" w:after="200" w:lineRule="auto" w:line="276"/>
      </w:pPr>
      <w:r>
        <w:rPr>
          <w:b/>
        </w:rPr>
        <w:t xml:space="preserve">Abstract (EN): </w:t>
      </w:r>
      <w:r>
        <w:t>Agile and efficient modern flyers like birds and insects rely on complex aerodynamics to increase performance such as leading edge vortices, tip vortices, rapid pitch rotations as well as wing–wake and wing–wing interactions. However, their evolutionary origins are poorly understood. Early birds and their closest relatives like</w:t>
      </w:r>
      <w:r>
        <w:t xml:space="preserve"> </w:t>
      </w:r>
      <w:r>
        <w:t>Microraptor</w:t>
      </w:r>
      <w:r>
        <w:t xml:space="preserve"> </w:t>
      </w:r>
      <w:r>
        <w:t>had a multiwinged configuration featuring long pennaceous feathers on their arms, legs, and tail, a configuration not seen today. The skill of these early flyers has been debated, centering around what was driving the evolution of this multiwing configuration and its loss in favor of the modern two-winged configuration. In this context, the aerodynamics and wing–wing interactions of</w:t>
      </w:r>
      <w:r>
        <w:t xml:space="preserve"> </w:t>
      </w:r>
      <w:r>
        <w:t>Microraptor</w:t>
      </w:r>
      <w:r>
        <w:t xml:space="preserve"> </w:t>
      </w:r>
      <w:r>
        <w:t>during gliding flight are investigated. The gliding flight mechanics of</w:t>
      </w:r>
      <w:r>
        <w:t xml:space="preserve"> </w:t>
      </w:r>
      <w:r>
        <w:t>Microraptor</w:t>
      </w:r>
      <w:r>
        <w:t xml:space="preserve"> </w:t>
      </w:r>
      <w:r>
        <w:t>exhibit flow patterns consistent with those observed and quantitatively assessed in volant living animal species. We analyze leading edge vortices on the forewing and hindwing including beneficial wake interactions between them as well as tip vortices on the distinct distally flared hindwing. The latter is unique in</w:t>
      </w:r>
      <w:r>
        <w:t xml:space="preserve"> </w:t>
      </w:r>
      <w:r>
        <w:t>Microraptor</w:t>
      </w:r>
      <w:r>
        <w:t xml:space="preserve"> </w:t>
      </w:r>
      <w:r>
        <w:t>as the hindwing’s characteristic outer span flare provides the necessary surface for the tip vortex to be bound to and thus contribute additional lift. These findings suggest that</w:t>
      </w:r>
      <w:r>
        <w:t xml:space="preserve"> </w:t>
      </w:r>
      <w:r>
        <w:t>Microraptor</w:t>
      </w:r>
      <w:r>
        <w:t xml:space="preserve"> </w:t>
      </w:r>
      <w:r>
        <w:t>evolved toward utilizing leading edge and tip vortices and their aerodynamic interactions. This implies that such utilization was also being exploited by other early multiwinged theropods to differing extents as part of a crucial milestone in early flight evolution.</w:t>
      </w:r>
    </w:p>
    <w:p>
      <w:pPr>
        <w:spacing w:before="120" w:after="120"/>
      </w:pPr>
      <w:r>
        <w:rPr>
          <w:sz w:val="18"/>
        </w:rPr>
        <w:t>——————————————————————————————————————————————————————————————————————</w:t>
      </w:r>
    </w:p>
    <w:p>
      <w:pPr>
        <w:spacing w:before="160" w:after="40" w:line="240" w:lineRule="auto"/>
      </w:pPr>
      <w:r>
        <w:rPr>
          <w:b/>
        </w:rPr>
        <w:t xml:space="preserve">[127] </w:t>
      </w:r>
      <w:hyperlink r:id="rId172">
        <w:r>
          <w:rPr>
            <w:color w:val="1155CC"/>
            <w:u w:val="single"/>
          </w:rPr>
          <w:t>亚细胞质子光谱测定显示蛋白质在非对称分割(青蛙)胚胎干细胞中进行改造。</w:t>
        </w:r>
      </w:hyperlink>
    </w:p>
    <w:p>
      <w:pPr>
        <w:spacing w:before="0" w:after="80"/>
      </w:pPr>
      <w:r>
        <w:rPr>
          <w:i/>
          <w:sz w:val="20"/>
        </w:rPr>
        <w:t>EN: Subcellular mass spectrometry reveals proteome remodeling in an asymmetrically dividing (frog) embryonic stem cell</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73">
        <w:r>
          <w:rPr>
            <w:color w:val="1155CC"/>
            <w:u w:val="single"/>
          </w:rPr>
          <w:t>10.1073/pnas.2518372123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亚细胞蛋白质组在细胞的有限范围内绘制蛋白质定位图,通过扩大可同时剖析的蛋白质数量来补充高分辨率成像,从而补充高分辨率成像,同时扩大可同时剖析的蛋白质数量。从亚细胞输入的深度上实现这一目标仍然具有挑战性。在这里,我们用被困的离子移动光谱测量和数据独立获取(DIAPSEF)推进微蛋白阴极电极电极光谱光谱测量(CE-MS),以量化来自非对称分胚胎胚胎爆炸体对极的一千多个蛋白质。从~200pg的HeLa Emit(大约为细胞的80%)到~200pg的HeLa Emit-技术查明了1 035个蛋白质,在数量上具有较高的可复制性(变化和lt的系数;跨技术的15%)。</w:t>
      </w:r>
    </w:p>
    <w:p>
      <w:pPr>
        <w:spacing w:before="0" w:after="200" w:lineRule="auto" w:line="276"/>
      </w:pPr>
      <w:r>
        <w:rPr>
          <w:b/>
        </w:rPr>
        <w:t xml:space="preserve">Abstract (EN): </w:t>
      </w:r>
      <w:r>
        <w:t>Subcellular proteomics maps protein localization within restricted domains of a cell, complementing high-resolution imaging by expanding the number of proteins that can be profiled at once. Achieving this at depth from subcellular inputs remains challenging. Here, we advance microprobe capillary electrophoresis–mass spectrometry (CE–MS) with trapped ion mobility spectrometry and data-independent acquisition (diaPASEF) to quantify more than a thousand proteins from opposite poles of an asymmetrically dividing embryonic blastomere in live</w:t>
      </w:r>
      <w:r>
        <w:t xml:space="preserve"> </w:t>
      </w:r>
      <w:r>
        <w:t>Xenopus laevis</w:t>
      </w:r>
      <w:r>
        <w:t xml:space="preserve"> </w:t>
      </w:r>
      <w:r>
        <w:t>embryos. From ~200 pg of HeLa digest—approximately 80% of a cell—the technology identified 1,035 proteins with high reproducibility in quantification (coefficient of variation &amp;lt;15% across technical triplicates). With microprobe sampling in vivo, we quantified 808–1,022 proteins from opposite poles of the dorsal–animal (D1) blastomere before division, and we traced how these spatial distributions are retained or remodeled in the descendant D1.1 (neural-fated) and D1.2 (epidermal-destined) cells. To decouple subcellular distributions from dorsal–ventral axis cues, we perturbed patterning by ultraviolet ventralization. These results establish microprobe CE–MS for deep subcellular proteomics in intact embryos and reveal spatially distinct protein distributions during early fate specification. These spatial proteome differences appear consistent with early lineage tendencies yet precede and likely bias, rather than fix, later fate decisions that depend on gastrula-stage inductive signals.</w:t>
      </w:r>
    </w:p>
    <w:p>
      <w:pPr>
        <w:spacing w:before="120" w:after="120"/>
      </w:pPr>
      <w:r>
        <w:rPr>
          <w:sz w:val="18"/>
        </w:rPr>
        <w:t>——————————————————————————————————————————————————————————————————————</w:t>
      </w:r>
    </w:p>
    <w:p>
      <w:pPr>
        <w:spacing w:before="160" w:after="40" w:line="240" w:lineRule="auto"/>
      </w:pPr>
      <w:r>
        <w:rPr>
          <w:b/>
        </w:rPr>
        <w:t xml:space="preserve">[128] </w:t>
      </w:r>
      <w:hyperlink r:id="rId174">
        <w:r>
          <w:rPr>
            <w:color w:val="1155CC"/>
            <w:u w:val="single"/>
          </w:rPr>
          <w:t>祖传和地方适应有助于从青海-青海高原以大黄蜂形式散布出去。</w:t>
        </w:r>
      </w:hyperlink>
    </w:p>
    <w:p>
      <w:pPr>
        <w:spacing w:before="0" w:after="80"/>
      </w:pPr>
      <w:r>
        <w:rPr>
          <w:i/>
          <w:sz w:val="20"/>
        </w:rPr>
        <w:t>EN: Ancestral and local adaptation contribute to dispersal out of the Qinghai–Tibet Plateau in a bumblebee</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75">
        <w:r>
          <w:rPr>
            <w:color w:val="1155CC"/>
            <w:u w:val="single"/>
          </w:rPr>
          <w:t>10.1073/pnas.2513080122</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青海-西藏高原(QTP)地区是全世界社会大黄蜂多样性的最大热点,然而,QTP大黄蜂高度多样性的演变及其在相邻和影响深远地区的多样化贡献如何尚不清楚。在这里,我们利用一个广泛的大黄蜂物种(Bombus pyrosoma)来探讨这一问题。 生理基因分析揭示出QTP的散布历史和物种内部高地上明显分界线的差别。 确定了四种主要的染色体变异变异,其高度频率的变化与分界线差异的模式是一致的。 高地大黄蜂在寒冷的环境中表现出更强的代谢性强力和更好的飞行表现。</w:t>
      </w:r>
    </w:p>
    <w:p>
      <w:pPr>
        <w:spacing w:before="0" w:after="200" w:lineRule="auto" w:line="276"/>
      </w:pPr>
      <w:r>
        <w:rPr>
          <w:b/>
        </w:rPr>
        <w:t xml:space="preserve">Abstract (EN): </w:t>
      </w:r>
      <w:r>
        <w:t>The Qinghai–Tibet Plateau (QTP) region is the greatest hotspot of social bumblebee diversity worldwide. However, how the high diversity of bumblebees in the QTP evolved and contributed to their diversification in adjacent and far-reaching regions remains unclear. Here, we explored this question using a widespread bumblebee species,</w:t>
      </w:r>
      <w:r>
        <w:t xml:space="preserve"> </w:t>
      </w:r>
      <w:r>
        <w:t>Bombus pyrosoma</w:t>
      </w:r>
      <w:r>
        <w:t xml:space="preserve"> </w:t>
      </w:r>
      <w:r>
        <w:t>. Phylogenomic analysis revealed a history of dispersal out of the QTP and distinct lineage divergence along elevations within the species. Four major chromosomal inversion variants were identified, and shifts in their frequency with altitude were consistent with patterns of lineage divergence. The highland bumblebees showed stronger metabolic robustness and better flight performance under cold environments, whereas lowland ones excelled under warm conditions. Forty-one percent of the positively selected genes were located in the inversion regions and were mostly associated with fatty acid metabolism and information processing. Mutation with a strong candidate gene,</w:t>
      </w:r>
      <w:r>
        <w:t xml:space="preserve"> </w:t>
      </w:r>
      <w:r>
        <w:t>elovl6</w:t>
      </w:r>
      <w:r>
        <w:t xml:space="preserve"> </w:t>
      </w:r>
      <w:r>
        <w:t>, possibly modulated long-chain fatty acid elongation, which facilitated bumblebee flight under thermal stress. Finally, genomic inversion analyses across 22 bumblebee species–17 native to the QTP–corroborate the widespread involvement of inversions in the elevational diversification of bumblebees. Overall, our findings revealed that chromosomal inversions play a pivotal role in facilitating local adaptation and dispersal out of the QTP in a bumblebee, providing insights into the genomic underpinnings of bumblebees’ diversification.</w:t>
      </w:r>
    </w:p>
    <w:p>
      <w:pPr>
        <w:spacing w:before="120" w:after="120"/>
      </w:pPr>
      <w:r>
        <w:rPr>
          <w:sz w:val="18"/>
        </w:rPr>
        <w:t>——————————————————————————————————————————————————————————————————————</w:t>
      </w:r>
    </w:p>
    <w:p>
      <w:pPr>
        <w:spacing w:before="160" w:after="40" w:line="240" w:lineRule="auto"/>
      </w:pPr>
      <w:r>
        <w:rPr>
          <w:b/>
        </w:rPr>
        <w:t xml:space="preserve">[129] </w:t>
      </w:r>
      <w:hyperlink r:id="rId176">
        <w:r>
          <w:rPr>
            <w:color w:val="1155CC"/>
            <w:u w:val="single"/>
          </w:rPr>
          <w:t>饮食、占支配地位的等级、以及偷捕性皮炎驱使狼与美洲虎之间不对称的相互作用</w:t>
        </w:r>
      </w:hyperlink>
    </w:p>
    <w:p>
      <w:pPr>
        <w:spacing w:before="0" w:after="80"/>
      </w:pPr>
      <w:r>
        <w:rPr>
          <w:i/>
          <w:sz w:val="20"/>
        </w:rPr>
        <w:t>EN: Diets, dominance hierarchies, and kleptoparasitism drive asymmetrical interactions between wolves and cougars</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77">
        <w:r>
          <w:rPr>
            <w:color w:val="1155CC"/>
            <w:u w:val="single"/>
          </w:rPr>
          <w:t>10.1073/pnas.2511397123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在广泛外延后,养护努力使大型食肉动物恢复到原先部分的食肉动物,此后大量研究侧重于它们通过对食草动物和食肉动物的影响改变生态社区的能力,但关于多种食肉动物之间竞争的原则仍然不明确。虽然食肉动物的食肉动物排泄物的排泄过程“有益处的敌人”的驱动力,但从属的食肉动物很少依赖排泄物。相反,他们巧妙地捕猎占食食食食食食食食肉动物的猎物,从根本上改变了它们相互作用的动态。我们在叶尔使用了9年和9年的同步全球定位系统遥测和3 929个潜在的杀人地点调查,来自一个重新组建的同父狼和古龟群群的3 929个潜在的杀人地点。</w:t>
      </w:r>
    </w:p>
    <w:p>
      <w:pPr>
        <w:spacing w:before="0" w:after="200" w:lineRule="auto" w:line="276"/>
      </w:pPr>
      <w:r>
        <w:rPr>
          <w:b/>
        </w:rPr>
        <w:t xml:space="preserve">Abstract (EN): </w:t>
      </w:r>
      <w:r>
        <w:t>After widespread extirpation, conservation efforts have restored large carnivores to portions of their former range. Substantial research has since focused on their ability to alter ecological communities through effects on herbivores and mesocarnivores, but the principles governing competition among multiple apex carnivores remain unclear. While mesocarnivore scavenging of apex carnivore kills drive “enemies with benefits” dynamics, subordinate apex carnivores seldom rely on scavenging. Instead, they proficiently hunt prey themselves that dominant apex carnivores can steal, fundamentally altering the dynamics of their interactions. We used 9 y of contemporaneous GPS telemetry and 3,929 potential kill site investigations from a reconstituted community of sympatric wolves and cougars in Yellowstone National Park to test whether such apex–apex dynamics instead follow an “enemies without benefits” framework. Wolf movement and resource selection were strongly linked to cougar kills, resulting in carcass theft (i.e., kleptoparasitism) that drove their interactions and led to cougar mortalities. In contrast, cougars avoided wolf kills, were tied to escape terrain, and did not kill wolves, producing an asymmetric dynamic that persisted across distinct seasonal contexts. However, as elk (the shared primary prey) declined longitudinally, cougars shifted their diets to smaller-bodied deer that were kleptoparasitized by wolves at one-sixth the rate of elk kills. Our findings demonstrate that prey diversity and landscape structure are critical for subordinate apex carnivores who experience severe interference competition from their dominant counterparts. This dynamic extends trophic theory and provides a framework for predicting the coexistence outcomes of carnivore restoration and the ongoing recolonization of wolves.</w:t>
      </w:r>
    </w:p>
    <w:p>
      <w:pPr>
        <w:spacing w:before="120" w:after="120"/>
      </w:pPr>
      <w:r>
        <w:rPr>
          <w:sz w:val="18"/>
        </w:rPr>
        <w:t>——————————————————————————————————————————————————————————————————————</w:t>
      </w:r>
    </w:p>
    <w:p>
      <w:pPr>
        <w:spacing w:before="160" w:after="40" w:line="240" w:lineRule="auto"/>
      </w:pPr>
      <w:r>
        <w:rPr>
          <w:b/>
        </w:rPr>
        <w:t xml:space="preserve">[130] </w:t>
      </w:r>
      <w:hyperlink r:id="rId178">
        <w:r>
          <w:rPr>
            <w:color w:val="1155CC"/>
            <w:u w:val="single"/>
          </w:rPr>
          <w:t>有针对性的数字选举数字选举镇压工作可能降低选民投票率</w:t>
        </w:r>
      </w:hyperlink>
    </w:p>
    <w:p>
      <w:pPr>
        <w:spacing w:before="0" w:after="80"/>
      </w:pPr>
      <w:r>
        <w:rPr>
          <w:i/>
          <w:sz w:val="20"/>
        </w:rPr>
        <w:t>EN: Targeted digital voter suppression efforts likely decrease voter turnout</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79">
        <w:r>
          <w:rPr>
            <w:color w:val="1155CC"/>
            <w:u w:val="single"/>
          </w:rPr>
          <w:t>10.1073/pnas.2519944123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鉴于外国对美国总统大选的持续干涉 — — 在美国总统大选中,已经部署了未公开的数字选民压制广告 — — 本研究涉及谁接触这些广告以及这种曝光是否以及如何影响选民投票率的问题。 本研究使用类似于美国投票年龄人口的样本,直接通过用户一级的实时广告跟踪工具衡量每个人的广告曝光率,该工具与同一个人的调查回应相结合,以确定选民镇压内容及其目标选择模式。 通过进一步将个人层面的选民压制广告曝光率与同一个人经核实的选民投票率记录相匹配,本研究估计了选民压制对实际投票率的影响。</w:t>
      </w:r>
    </w:p>
    <w:p>
      <w:pPr>
        <w:spacing w:before="0" w:after="200" w:lineRule="auto" w:line="276"/>
      </w:pPr>
      <w:r>
        <w:rPr>
          <w:b/>
        </w:rPr>
        <w:t xml:space="preserve">Abstract (EN): </w:t>
      </w:r>
      <w:r>
        <w:t>In light of continued foreign interference in the US presidential elections, where undisclosed digital voter suppression advertising has been deployed, this study addresses the questions of who is exposed to these ads and whether and how such exposure influences voter turnout. Using a sample that resembles the US voting-age population, the study directly measures each individual’s ad exposure through a user-level real-time ad tracking tool, which is merged with the same individual’s survey responses to identify voter suppression content and its targeting patterns. By further matching individual-level exposure to voter suppression ads with the same individual’s verified voter turnout records, the study estimates the effects of voter suppression on actual turnout. The study findings from the 2016 US Presidential Election reveal clear geo-racial targeting patterns in voter suppression: non-Whites residing in the racial minority counties of battleground states were exposed to substantially more voter suppression ads than their counterparts. Moreover, exposure to voter suppression ads was associated with decreases in voter turnout at the population level, albeit small. The sharpest declines were observed among non-Whites residing in minority counties of battleground states, suggesting that the intensified turnout suppression among the targeted segments of the electorate may have played a role in shaping turnout.</w:t>
      </w:r>
    </w:p>
    <w:p>
      <w:pPr>
        <w:spacing w:before="120" w:after="120"/>
      </w:pPr>
      <w:r>
        <w:rPr>
          <w:sz w:val="18"/>
        </w:rPr>
        <w:t>——————————————————————————————————————————————————————————————————————</w:t>
      </w:r>
    </w:p>
    <w:p>
      <w:pPr>
        <w:spacing w:before="160" w:after="40" w:line="240" w:lineRule="auto"/>
      </w:pPr>
      <w:r>
        <w:rPr>
          <w:b/>
        </w:rPr>
        <w:t xml:space="preserve">[131] </w:t>
      </w:r>
      <w:hyperlink r:id="rId180">
        <w:r>
          <w:rPr>
            <w:color w:val="1155CC"/>
            <w:u w:val="single"/>
          </w:rPr>
          <w:t>病毒感染后淋巴结的适应性免疫反应时间和空间地图集</w:t>
        </w:r>
      </w:hyperlink>
    </w:p>
    <w:p>
      <w:pPr>
        <w:spacing w:before="0" w:after="80"/>
      </w:pPr>
      <w:r>
        <w:rPr>
          <w:i/>
          <w:sz w:val="20"/>
        </w:rPr>
        <w:t>EN: A temporal and spatial atlas of adaptive immune responses in the lymph node following viral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81">
        <w:r>
          <w:rPr>
            <w:color w:val="1155CC"/>
            <w:u w:val="single"/>
          </w:rPr>
          <w:t>10.1073/pnas.2504742123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淋巴节点内适应性免疫细胞的空间组织对于了解感染和疾病期间的免疫反应至关重要。在这里,我们引入AIR-SPACE,这是一个综合方法,将高分辨率空间记录仪与T和B细胞受体配对、高不洁的长读顺序相结合。这一方法使得能够同时分析细胞记录器和适应性免疫受体(AIR)在其本土空间范围内的分布。我们用AIR-SPACE对接种病毒脚部感染后5个不同时间点的鼠口授精性淋巴结进行了应用,并绘制了发展适应性免疫反应的综合地图。我们的分析揭示了以Interferon-gamma(IFN-Gamma)生产为特征的多种激活点。</w:t>
      </w:r>
    </w:p>
    <w:p>
      <w:pPr>
        <w:spacing w:before="0" w:after="200" w:lineRule="auto" w:line="276"/>
      </w:pPr>
      <w:r>
        <w:rPr>
          <w:b/>
        </w:rPr>
        <w:t xml:space="preserve">Abstract (EN): </w:t>
      </w:r>
      <w:r>
        <w:t>The spatial organization of adaptive immune cells within lymph nodes is critical for understanding immune responses during infection and disease. Here, we introduce AIR-SPACE, an integrative approach that combines high-resolution spatial transcriptomics with paired, high-fidelity long-read sequencing of T and B cell receptors. This method enables the simultaneous analysis of cellular transcriptomes and adaptive immune receptor (AIR) repertoires within their native spatial context. We applied AIR-SPACE to mouse popliteal lymph nodes at five distinct time points after Vaccinia virus footpad infection and constructed a comprehensive map of the developing adaptive immune response. Our analysis revealed heterogeneous activation niches, characterized by Interferon-gamma (IFN-γ) production, during the early stages of infection. At later stages, we delineated subanatomical structures within the germinal center (GC) and observed evidence that antibody-producing plasma cells differentiate and exit the GC through the dark zone. Furthermore, by combining clonotype data with spatial lineage tracing, we demonstrate that B cell clones are shared among multiple GCs within the same lymph node, reinforcing the concept of a dynamic, interconnected network of GCs. Overall, our study demonstrates how AIR-SPACE can be used to gain insight into the spatial dynamics of infection responses within lymphoid organs.</w:t>
      </w:r>
    </w:p>
    <w:p>
      <w:pPr>
        <w:spacing w:before="120" w:after="120"/>
      </w:pPr>
      <w:r>
        <w:rPr>
          <w:sz w:val="18"/>
        </w:rPr>
        <w:t>——————————————————————————————————————————————————————————————————————</w:t>
      </w:r>
    </w:p>
    <w:p>
      <w:pPr>
        <w:spacing w:before="160" w:after="40" w:line="240" w:lineRule="auto"/>
      </w:pPr>
      <w:r>
        <w:rPr>
          <w:b/>
        </w:rPr>
        <w:t xml:space="preserve">[132] </w:t>
      </w:r>
      <w:hyperlink r:id="rId182">
        <w:r>
          <w:rPr>
            <w:color w:val="1155CC"/>
            <w:u w:val="single"/>
          </w:rPr>
          <w:t>能够发展2型型糖尿病的哺乳动物有类似结构结构的β表氨基聚氨酯</w:t>
        </w:r>
      </w:hyperlink>
    </w:p>
    <w:p>
      <w:pPr>
        <w:spacing w:before="0" w:after="80"/>
      </w:pPr>
      <w:r>
        <w:rPr>
          <w:i/>
          <w:sz w:val="20"/>
        </w:rPr>
        <w:t>EN: Mammals that can develop type 2 diabetes have a similarly structured β-sheet amyloid oligomer</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83">
        <w:r>
          <w:rPr>
            <w:color w:val="1155CC"/>
            <w:u w:val="single"/>
          </w:rPr>
          <w:t>10.1073/pnas.2530570123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一些哺乳动物发展了氨基塑料和2型糖尿病,这与人类大相径庭,这取决于其小类类氨基聚酯(APP)的序列。在人类中,IAPP形成一种有毒寡头,在23 FGAIL 28 S. 23 FGAIL 28 S. 的残留物上平行的β表。我们用二维红外红外光分光镜检查了7个不同的哺乳动物,其中5个来自能够发展2型糖尿病的物种(白喉、浣熊、猫、浣熊和人类),3个来自不发展型的物种(仓鼠、老鼠和猪)。G24是同位素标签,用于监测人类IAPP中以前发现的食用β表的存在。对于2型糖尿病的物种,其IAPP具有细胞毒性,G24的β表具有读取性。</w:t>
      </w:r>
    </w:p>
    <w:p>
      <w:pPr>
        <w:spacing w:before="0" w:after="200" w:lineRule="auto" w:line="276"/>
      </w:pPr>
      <w:r>
        <w:rPr>
          <w:b/>
        </w:rPr>
        <w:t xml:space="preserve">Abstract (EN): </w:t>
      </w:r>
      <w:r>
        <w:t>Some mammals develop amyloid plaques and type 2 diabetes, much like humans, depending on the sequence of their islet amyloid polypeptide (IAPP). In humans, IAPP forms a toxic oligomer with a parallel β-sheet across residues</w:t>
      </w:r>
      <w:r>
        <w:rPr>
          <w:vertAlign w:val="subscript"/>
        </w:rPr>
        <w:t>23</w:t>
      </w:r>
      <w:r>
        <w:t>FGAIL</w:t>
      </w:r>
      <w:r>
        <w:rPr>
          <w:vertAlign w:val="subscript"/>
        </w:rPr>
        <w:t>28</w:t>
      </w:r>
      <w:r>
        <w:t>S. Using two-dimensional infrared spectroscopy, we monitor the structure of IAPP from seven different mammals, five of which are from species that can develop type 2 diabetes (ferret, raccoon, cat, baboon, and human) and three from those that do not (hamster, rat, and pig). G24 is isotope labeled to monitor for the presence of the oligomeric β-sheet previously found in human IAPP. For the species that develop type 2 diabetes, their IAPP is cytotoxic, and a β-sheet at G24 is observed during the lag phase prior to fibril formation. In contrast, the species that do not develop type 2 diabetes have nontoxic IAPP, and their IAPP does not form this β-sheet structure. Pig IAPP forms oligomers, but with a different structure that is nontoxic. Thus, an oligomer with a parallel β-sheet at G24 that resembles that of the known human IAPP oligomer correlates with cytotoxicity and propensity for type 2 diabetes. These results indicate that the sequence within the 20 to 29 region of human islet amyloid polypeptide (hIAPP), long known to correlate with type 2 diabetes in mammals, determines the structure and toxicity of an oligomer, supporting the oligomer hypothesis for type 2 diabetes and providing an explanation other than plaque formation for why some mammals develop insulin deficiency in late-stage type 2 diabetes, and others do not.</w:t>
      </w:r>
    </w:p>
    <w:p>
      <w:pPr>
        <w:spacing w:before="120" w:after="120"/>
      </w:pPr>
      <w:r>
        <w:rPr>
          <w:sz w:val="18"/>
        </w:rPr>
        <w:t>——————————————————————————————————————————————————————————————————————</w:t>
      </w:r>
    </w:p>
    <w:p>
      <w:pPr>
        <w:spacing w:before="160" w:after="40" w:line="240" w:lineRule="auto"/>
      </w:pPr>
      <w:r>
        <w:rPr>
          <w:b/>
        </w:rPr>
        <w:t xml:space="preserve">[133] </w:t>
      </w:r>
      <w:hyperlink r:id="rId184">
        <w:r>
          <w:rPr>
            <w:color w:val="1155CC"/>
            <w:u w:val="single"/>
          </w:rPr>
          <w:t>InvE管弦乐队在Salmonella Typhimmenium 中三级蛋白分泌</w:t>
        </w:r>
      </w:hyperlink>
    </w:p>
    <w:p>
      <w:pPr>
        <w:spacing w:before="0" w:after="80"/>
      </w:pPr>
      <w:r>
        <w:rPr>
          <w:i/>
          <w:sz w:val="20"/>
        </w:rPr>
        <w:t>EN: Oligomeric assembly of the gatekeeper InvE orchestrates hierarchical type III protein secretion in Salmonella Typhimurium</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85">
        <w:r>
          <w:rPr>
            <w:color w:val="1155CC"/>
            <w:u w:val="single"/>
          </w:rPr>
          <w:t>10.1073/pnas.2530441123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三型分解系统(T3SS)是许多克格外阴性细菌(Gram-阴性细菌)的关键毒理机,能够对转盘进行等级分解,然后由影响器随附。在Salmonella entica serovar Typhimumrium SPI-1 T3SS中,调节性蛋白 InvE (SctW) 强制执行这一命令。这里,我们显示 InvE 组装成四氧化物和更高级的寡头寡头,而寡头化是功能所必需的。 2.4 冷冻- 电子显微镜(cryo-EM)结构显示作为抗parolcnr的二氧化二氧化物制造的一氧化物。 相交图显示一组残留物与这个四氧化物中的双结层接,而其他地点的交叉连接表明角体在替代登记册中的角体之间横向对接。</w:t>
      </w:r>
    </w:p>
    <w:p>
      <w:pPr>
        <w:spacing w:before="0" w:after="200" w:lineRule="auto" w:line="276"/>
      </w:pPr>
      <w:r>
        <w:rPr>
          <w:b/>
        </w:rPr>
        <w:t xml:space="preserve">Abstract (EN): </w:t>
      </w:r>
      <w:r>
        <w:t>Type III secretion systems (T3SS) are critical virulence machines in many Gram-negative bacteria, enabling hierarchical secretion of translocases followed by effectors. In the</w:t>
      </w:r>
      <w:r>
        <w:t xml:space="preserve"> </w:t>
      </w:r>
      <w:r>
        <w:t>Salmonella enterica</w:t>
      </w:r>
      <w:r>
        <w:t xml:space="preserve"> </w:t>
      </w:r>
      <w:r>
        <w:t>serovar Typhimurium SPI-1 T3SS, the regulatory protein InvE (SctW) enforces this order. Here, we show that InvE assembles into tetramers and higher-order oligomers and that oligomerization is essential for function. A 2.4 Å cryo-electron microscopy (cryo-EM) structure reveals a tetramer built as a dimer of antiparallel dimers. Photocrosslinking maps one set of residues to the interdimer seams in this tetramer, while crosslinks from additional sites suggest lateral docking between dimers in alternative registries in vivo. Blue-native electrophoresis and SEC–MALS detect native high-molecular-weight species consistent with such assemblies. DNA-PAINT superresolution microscopy confirms the presence of higher-order InvE oligomers in vivo. Charge-reversal mutations that disrupt oligomerization collapse InvE to monomers and abolish secretion, effector translocation, invasion, and virulence. Together, these data define an oligomerization-based switch in which InvE reuses the dimeric face to form higher-order contacts that govern the transition from translocase to effector secretion.</w:t>
      </w:r>
    </w:p>
    <w:p>
      <w:pPr>
        <w:spacing w:before="120" w:after="120"/>
      </w:pPr>
      <w:r>
        <w:rPr>
          <w:sz w:val="18"/>
        </w:rPr>
        <w:t>——————————————————————————————————————————————————————————————————————</w:t>
      </w:r>
    </w:p>
    <w:p>
      <w:pPr>
        <w:spacing w:before="160" w:after="40" w:line="240" w:lineRule="auto"/>
      </w:pPr>
      <w:r>
        <w:rPr>
          <w:b/>
        </w:rPr>
        <w:t xml:space="preserve">[134] </w:t>
      </w:r>
      <w:hyperlink r:id="rId186">
        <w:r>
          <w:rPr>
            <w:color w:val="1155CC"/>
            <w:u w:val="single"/>
          </w:rPr>
          <w:t>Baculo病毒劫持了中古特衍生的Tachykinin主机,以管制光学登山行为,促进病毒传播。</w:t>
        </w:r>
      </w:hyperlink>
    </w:p>
    <w:p>
      <w:pPr>
        <w:spacing w:before="0" w:after="80"/>
      </w:pPr>
      <w:r>
        <w:rPr>
          <w:i/>
          <w:sz w:val="20"/>
        </w:rPr>
        <w:t>EN: Baculoviruses hijack host midgut-derived tachykinin to regulate phototactic climbing behavior and promote viral transmission</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87">
        <w:r>
          <w:rPr>
            <w:color w:val="1155CC"/>
            <w:u w:val="single"/>
          </w:rPr>
          <w:t>10.1073/pnas.2524226123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Baculo病毒是主要感染昆虫的大型DNA病毒。在感染期间,中古细胞的病毒性突变以及随后的行为变化导致最终感染的昆虫迁移到植物树枝或树肢的更高高度。然而,驱动这种多活性的神经机制仍然不为人所知。在本研究报告中,我们证明Helicoverpa armiegera幼虫的攀爬行为会加剧Helicoverpa armeziega单核核子球菌体病毒(HearNPV)的传播。我们的调查结果显示,“耳NPV”引发了肠内内分泌细胞的钙反应,导致中古特衍生的Tachykinin(TK)的释放。被释放的传统知识在大脑中激活了它的受体,从而促进了大脑中的吸收器(TKR)的释放。</w:t>
      </w:r>
    </w:p>
    <w:p>
      <w:pPr>
        <w:spacing w:before="0" w:after="200" w:lineRule="auto" w:line="276"/>
      </w:pPr>
      <w:r>
        <w:rPr>
          <w:b/>
        </w:rPr>
        <w:t xml:space="preserve">Abstract (EN): </w:t>
      </w:r>
      <w:r>
        <w:t>Baculoviruses are large DNA viruses that mainly infect insects. During infection, viral egress from midgut cells and subsequent behavior changes lead to terminally infected insects migrating to higher elevations on plant branches or tree limbs. However, the neural mechanisms driving this hyperactivity remain poorly understood. In this study, we demonstrate that the climbing behavior of</w:t>
      </w:r>
      <w:r>
        <w:t xml:space="preserve"> </w:t>
      </w:r>
      <w:r>
        <w:t>Helicoverpa armigera</w:t>
      </w:r>
      <w:r>
        <w:t xml:space="preserve"> </w:t>
      </w:r>
      <w:r>
        <w:t>larvae enhances the dispersal of</w:t>
      </w:r>
      <w:r>
        <w:t xml:space="preserve"> </w:t>
      </w:r>
      <w:r>
        <w:t>Helicoverpa armigera</w:t>
      </w:r>
      <w:r>
        <w:t xml:space="preserve"> </w:t>
      </w:r>
      <w:r>
        <w:t>single nucleopolyhedrovirus (HearNPV). Our findings reveal that HearNPV triggers a calcium response in enteroendocrine cells, leading to the release of midgut-derived tachykinin (TK). Released TK activates its receptor (TKR) in the brain, thereby promoting phototaxis and climbing behavior. Additionally,</w:t>
      </w:r>
      <w:r>
        <w:t xml:space="preserve"> </w:t>
      </w:r>
      <w:r>
        <w:t>HaTTD14</w:t>
      </w:r>
      <w:r>
        <w:t xml:space="preserve"> </w:t>
      </w:r>
      <w:r>
        <w:t>functions as a downstream regulator of the TK–TKR signaling pathway. These results provide insights into the neural and molecular mechanisms driving baculovirus-induced hyperactivity, which aids in viral transmission.</w:t>
      </w:r>
    </w:p>
    <w:p>
      <w:pPr>
        <w:spacing w:before="120" w:after="120"/>
      </w:pPr>
      <w:r>
        <w:rPr>
          <w:sz w:val="18"/>
        </w:rPr>
        <w:t>——————————————————————————————————————————————————————————————————————</w:t>
      </w:r>
    </w:p>
    <w:p>
      <w:pPr>
        <w:spacing w:before="160" w:after="40" w:line="240" w:lineRule="auto"/>
      </w:pPr>
      <w:r>
        <w:rPr>
          <w:b/>
        </w:rPr>
        <w:t xml:space="preserve">[135] </w:t>
      </w:r>
      <w:hyperlink r:id="rId188">
        <w:r>
          <w:rPr>
            <w:color w:val="1155CC"/>
            <w:u w:val="single"/>
          </w:rPr>
          <w:t>蜘蛛丝丝丝丝线行为调节僵硬规避生物材料交换</w:t>
        </w:r>
      </w:hyperlink>
    </w:p>
    <w:p>
      <w:pPr>
        <w:spacing w:before="0" w:after="80"/>
      </w:pPr>
      <w:r>
        <w:rPr>
          <w:i/>
          <w:sz w:val="20"/>
        </w:rPr>
        <w:t>EN: Behavioral tuning of spider silk thread stiffness circumvents biomaterial trade-offs</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89">
        <w:r>
          <w:rPr>
            <w:color w:val="1155CC"/>
            <w:u w:val="single"/>
          </w:rPr>
          <w:t>10.1073/pnas.2529200123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僵硬、坚固和可扩展性:坚硬和僵硬的材料往往是易碎的,而弹性和可伸缩的材料通常缺乏强度。在这里,我们表明,网状蜘蛛(Deinopidae)通过形成混合硅形元体结构克服了这种权衡,这种结构既能产生高弹性畸形,又能产生高负载抗力。这些蜘蛛已经形成了一种独特的捕食策略,在猎物上制造了粘粘丝丝网,使网络的半径线受到的极端菌株,远远超过典型的蜘蛛丝丝纤维所维持的极端菌株。</w:t>
      </w:r>
    </w:p>
    <w:p>
      <w:pPr>
        <w:spacing w:before="0" w:after="200" w:lineRule="auto" w:line="276"/>
      </w:pPr>
      <w:r>
        <w:rPr>
          <w:b/>
        </w:rPr>
        <w:t xml:space="preserve">Abstract (EN): </w:t>
      </w:r>
      <w:r>
        <w:t>Biological polymers often face a trade-off between stiffness, strength, and extensibility: Materials that are strong and stiff tend to be brittle, while those that are elastic and extensible usually lack strength. Here, we show that netcasting spiders (Deinopidae) overcome this trade-off by forming mixed-silk metastructures, which enable both high elastic deformation and load resistance. These spiders have evolved a unique predatory strategy, casting a sticky silk web over prey, which subjects the web radii to extreme strains far exceeding those sustained by typical spider silk fibers. The radii consist of a compound filament with an elastomeric core surrounded by looped bundles of thin fibers. This architecture results in an unusual mechanical profile: The threads are initially compliant and highly extensible, but they stiffen as the fiber loops straighten, enhancing load-bearing capacity. Notably, spiders control this compound architecture through a reel-spinning technique, controlling loop formation and fiber mixture to establish an elasticity gradient across the web—stiff and strong in the main frame lines, yet soft and hyperelastic in the lower radii that undergo the greatest deformation during prey capture. These findings represent a unique case of behavioral modulation of silk processing to circumvent biomaterial trade-offs, enabling extraordinary dynamics and specialization of web architecture. The herein described principle of looped fiber-reinforced elastomers may also be transferred to the design of artificial materials for applications that require both high elasticity and strength.</w:t>
      </w:r>
    </w:p>
    <w:p>
      <w:pPr>
        <w:spacing w:before="120" w:after="120"/>
      </w:pPr>
      <w:r>
        <w:rPr>
          <w:sz w:val="18"/>
        </w:rPr>
        <w:t>——————————————————————————————————————————————————————————————————————</w:t>
      </w:r>
    </w:p>
    <w:p>
      <w:pPr>
        <w:spacing w:before="160" w:after="40" w:line="240" w:lineRule="auto"/>
      </w:pPr>
      <w:r>
        <w:rPr>
          <w:b/>
        </w:rPr>
        <w:t xml:space="preserve">[136] </w:t>
      </w:r>
      <w:hyperlink r:id="rId190">
        <w:r>
          <w:rPr>
            <w:color w:val="1155CC"/>
            <w:u w:val="single"/>
          </w:rPr>
          <w:t>查明恐龙足迹的变异,通过不带偏见、无人监督的机器学习,对有问题的标本进行分类</w:t>
        </w:r>
      </w:hyperlink>
    </w:p>
    <w:p>
      <w:pPr>
        <w:spacing w:before="0" w:after="80"/>
      </w:pPr>
      <w:r>
        <w:rPr>
          <w:i/>
          <w:sz w:val="20"/>
        </w:rPr>
        <w:t>EN: Identifying variation in dinosaur footprints and classifying problematic specimens via unbiased unsupervised machine learning</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91">
        <w:r>
          <w:rPr>
            <w:color w:val="1155CC"/>
            <w:u w:val="single"/>
          </w:rPr>
          <w:t>10.1073/pnas.2527222122</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机器学习对化石的分类和识别有着巨大希望,最近还被派去识别恐龙足迹的追踪者,并解决关于某些恐龙足迹是化石记录中最古老的鸟类还是或或非非非禽类的甲状腺动物(头状食草动物和亲属)的长期辩论。 然而,古生物学的现有方法需要研究人员对培训数据进行监督和事先贴标签,这可能导致偏见。 我们使用一种不受监督的机器学习技术,利用分解的变异自动电解器网络,识别形状数据的内在模式,将1,974条足迹存入一个数据库,覆盖包括现代鸟类在内的各种恐龙的进化史。</w:t>
      </w:r>
    </w:p>
    <w:p>
      <w:pPr>
        <w:spacing w:before="0" w:after="200" w:lineRule="auto" w:line="276"/>
      </w:pPr>
      <w:r>
        <w:rPr>
          <w:b/>
        </w:rPr>
        <w:t xml:space="preserve">Abstract (EN): </w:t>
      </w:r>
      <w:r>
        <w:t>Machine learning holds great promise for classifying and identifying fossils, and has recently been marshaled to identify trackmakers of dinosaur footprints and address long-standing debates over whether some dinosaur tracks are the oldest birds or ornithopods (duck-billed herbivores and kin) in the fossil record, or alternatively were made by nonavian theropods. Existing methods in paleontology, however, require supervision and a priori labeling of training data by researchers, which can lead to bias. We employ an unsupervised machine learning technique for recognizing inherent patterns in shape data, using a disentangled variational autoencoder network, to a database of 1,974 footprints, spanning a diversity of dinosaurs across their evolutionary history, including modern birds. Our neural network identified eight features of shape variation that most differentiate these tracks: overall load and shape (amount of ground contact area), digit spread, digit attachment, heel load, digit and heel emphasis, loading position, heel position, and left–right load. With the unsupervised process finished, we a posteriori labeled each track based on published expert judgments, plotted them into morphospace, and applied distance metrics to group means and nearest neighbors, which showed 80 to 93% agreement with expert identifications. Controversial Late Triassic-Early Jurassic bird-like tracks group with fossil and modern birds and some Middle Jurassic three-toed tracks with ornithopods, supporting an older origin for these groups than recorded by body fossils. We provide an app, DinoTracker, to make this process accessible, and source code that can be adapted to other cases where paleontologists or biologists are studying patterns of shape variation.</w:t>
      </w:r>
    </w:p>
    <w:p>
      <w:pPr>
        <w:spacing w:before="120" w:after="120"/>
      </w:pPr>
      <w:r>
        <w:rPr>
          <w:sz w:val="18"/>
        </w:rPr>
        <w:t>——————————————————————————————————————————————————————————————————————</w:t>
      </w:r>
    </w:p>
    <w:p>
      <w:pPr>
        <w:spacing w:before="160" w:after="40" w:line="240" w:lineRule="auto"/>
      </w:pPr>
      <w:r>
        <w:rPr>
          <w:b/>
        </w:rPr>
        <w:t xml:space="preserve">[137] </w:t>
      </w:r>
      <w:hyperlink r:id="rId192">
        <w:r>
          <w:rPr>
            <w:color w:val="1155CC"/>
            <w:u w:val="single"/>
          </w:rPr>
          <w:t>一种涉及2型糖尿病的有毒氨基聚氨基类寡头动物结构模型</w:t>
        </w:r>
      </w:hyperlink>
    </w:p>
    <w:p>
      <w:pPr>
        <w:spacing w:before="0" w:after="80"/>
      </w:pPr>
      <w:r>
        <w:rPr>
          <w:i/>
          <w:sz w:val="20"/>
        </w:rPr>
        <w:t>EN: A structural model of toxic amyloid oligomers involved in type 2 diabetes</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93">
        <w:r>
          <w:rPr>
            <w:color w:val="1155CC"/>
            <w:u w:val="single"/>
          </w:rPr>
          <w:t>10.1073/pnas.2528103123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人类小粒子氨基聚苯酯(HIAPP)的埃米洛伊德寡头寡头动物是一种可能导致二型糖尿病细胞死亡的细胞毒性物种,但是它们的短暂性质排除了原子层次的结构特征,我们获得了与生理有关的HIAPP寡头动物的高分辨率结构。我们使用2D IR光谱分析,确定了三个替代物,这些替代物为综合2D/3D NMR分析而充分减缓了聚合速度,同时保留了关键的野型结构特征和细胞毒性。结构模型揭示了一种带有N-终点肝炎和直线的圆形组合体,有利于分子间贝表。这块表覆盖了该序列中著名的FGAILS部分,有助于解释特定物种的糖尿病易感性和早期家庭M的来源。</w:t>
      </w:r>
    </w:p>
    <w:p>
      <w:pPr>
        <w:spacing w:before="0" w:after="200" w:lineRule="auto" w:line="276"/>
      </w:pPr>
      <w:r>
        <w:rPr>
          <w:b/>
        </w:rPr>
        <w:t xml:space="preserve">Abstract (EN): </w:t>
      </w:r>
      <w:r>
        <w:t>Amyloid oligomers of the human islet amyloid polypeptide (hIAPP) are a likely cytotoxic species driving β-cell death in type 2 diabetes, but their transient nature has precluded atomic-level structural characterization. We obtained a high-resolution structure of a physiologically relevant hIAPP oligomer. Using 2D IR spectroscopy, we identified three substitutions that slowed aggregation sufficiently for comprehensive 2D/3D NMR analysis while retaining the key wild-type structural features and cytotoxicity. The structural model reveals a dimeric assembly with N-terminal helices and a kink that facilitates an intermolecular β-sheet. The β-sheet spans the famous FGAILS portion of the sequence, helping to explain species-specific diabetes susceptibility and the origin of early-onset familial mutations. The integrated 2D IR/NMR strategy provides a unique approach to obtaining high-resolution structures of amyloid oligomers.</w:t>
      </w:r>
    </w:p>
    <w:p>
      <w:pPr>
        <w:spacing w:before="120" w:after="120"/>
      </w:pPr>
      <w:r>
        <w:rPr>
          <w:sz w:val="18"/>
        </w:rPr>
        <w:t>——————————————————————————————————————————————————————————————————————</w:t>
      </w:r>
    </w:p>
    <w:p>
      <w:pPr>
        <w:spacing w:before="160" w:after="40" w:line="240" w:lineRule="auto"/>
      </w:pPr>
      <w:r>
        <w:rPr>
          <w:b/>
        </w:rPr>
        <w:t xml:space="preserve">[138] </w:t>
      </w:r>
      <w:hyperlink r:id="rId194">
        <w:r>
          <w:rPr>
            <w:color w:val="1155CC"/>
            <w:u w:val="single"/>
          </w:rPr>
          <w:t>通过能高性能和耐久锂提炼的高性能和耐久锂化的英制驱动自组化自组</w:t>
        </w:r>
      </w:hyperlink>
    </w:p>
    <w:p>
      <w:pPr>
        <w:spacing w:before="0" w:after="80"/>
      </w:pPr>
      <w:r>
        <w:rPr>
          <w:i/>
          <w:sz w:val="20"/>
        </w:rPr>
        <w:t>EN: Stress-homogenized spatial architectures via entropy-driven self-assembly enabling high-performance and durable lithium extraction</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95">
        <w:r>
          <w:rPr>
            <w:color w:val="1155CC"/>
            <w:u w:val="single"/>
          </w:rPr>
          <w:t>10.1073/pnas.2525797123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全球向可持续能源的过渡要求高效地从盐水中提取锂。 虽然使用Limn 2 O 4 (LMO)进行电化学锂提炼大有希望,但其实际应用却因厌食性体积变化和循环过程中的压力积累造成的机械退化而受阻。 在这里,我们提出了一个由环球驱动的两栖自体自组战略,即工程师压力混合多层核心 — — 壳体结构,通过调整内部几何结构以优化压力-压力行为来创新地减轻压力积累,从而协同增强离子分布、运输动能学和电化学稳定性。</w:t>
      </w:r>
    </w:p>
    <w:p>
      <w:pPr>
        <w:spacing w:before="0" w:after="200" w:lineRule="auto" w:line="276"/>
      </w:pPr>
      <w:r>
        <w:rPr>
          <w:b/>
        </w:rPr>
        <w:t xml:space="preserve">Abstract (EN): </w:t>
      </w:r>
      <w:r>
        <w:t>The global transition to sustainable energy demands efficient lithium extraction from brines. While electrochemical lithium extraction using LiMn</w:t>
      </w:r>
      <w:r>
        <w:rPr>
          <w:vertAlign w:val="subscript"/>
        </w:rPr>
        <w:t>2</w:t>
      </w:r>
      <w:r>
        <w:t>O</w:t>
      </w:r>
      <w:r>
        <w:rPr>
          <w:vertAlign w:val="subscript"/>
        </w:rPr>
        <w:t>4</w:t>
      </w:r>
      <w:r>
        <w:t>(LMO) holds great promise, its practical application is hindered by mechanical degradation caused by anisotropic volume changes and stress accumulation during cycling. Herein, we present an entropy-driven amphiphilic self-assembly strategy that engineers stress-homogenized multilayer core–shell architectures, which innovatively mitigates stress accumulation by tuning the internal geometric structure to optimize stress–strain behavior, thereby synergistically enhancing ion distribution, transport kinetics, and electrochemical stability. This hierarchical interlayer architecture ensures uniform Li</w:t>
      </w:r>
      <w:r>
        <w:t xml:space="preserve"> </w:t>
      </w:r>
      <w:r>
        <w:t>+</w:t>
      </w:r>
      <w:r>
        <w:t xml:space="preserve"> </w:t>
      </w:r>
      <w:r>
        <w:t>distribution and redistributes internal stresses, mitigating localized stress concentrations and lattice expansion to preserve structural integrity throughout cycling. The optimized LMO establishes a dual benchmark for both capacity and cycling stability in hybrid capacitive deionization, achieving a remarkable lithium extraction capacity of 4.78 mmol g</w:t>
      </w:r>
      <w:r>
        <w:t xml:space="preserve"> </w:t>
      </w:r>
      <w:r>
        <w:t>−1</w:t>
      </w:r>
      <w:r>
        <w:t xml:space="preserve"> </w:t>
      </w:r>
      <w:r>
        <w:t>with 96% retention over 100 cycles, outperforming both its unoptimized counterpart and other reported materials of the same type. Finite element simulations further elucidate a 48% reduction in maximum stress compared to disordered counterparts, underscoring the critical coupling between ion diffusion and stress evolution. This paradigm provides a pathway for developing advanced materials with intrinsically stable architectures for sustainable lithium extraction.</w:t>
      </w:r>
    </w:p>
    <w:p>
      <w:pPr>
        <w:spacing w:before="120" w:after="120"/>
      </w:pPr>
      <w:r>
        <w:rPr>
          <w:sz w:val="18"/>
        </w:rPr>
        <w:t>——————————————————————————————————————————————————————————————————————</w:t>
      </w:r>
    </w:p>
    <w:p>
      <w:pPr>
        <w:spacing w:before="160" w:after="40" w:line="240" w:lineRule="auto"/>
      </w:pPr>
      <w:r>
        <w:rPr>
          <w:b/>
        </w:rPr>
        <w:t xml:space="preserve">[139] </w:t>
      </w:r>
      <w:hyperlink r:id="rId196">
        <w:r>
          <w:rPr>
            <w:color w:val="1155CC"/>
            <w:u w:val="single"/>
          </w:rPr>
          <w:t>亚北极海洋哺乳动物组织显示的有机露菌污染大幅下降</w:t>
        </w:r>
      </w:hyperlink>
    </w:p>
    <w:p>
      <w:pPr>
        <w:spacing w:before="0" w:after="80"/>
      </w:pPr>
      <w:r>
        <w:rPr>
          <w:i/>
          <w:sz w:val="20"/>
        </w:rPr>
        <w:t>EN: Large declines in organofluorine contamination indicated by subarctic marine mammal tissues</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97">
        <w:r>
          <w:rPr>
            <w:color w:val="1155CC"/>
            <w:u w:val="single"/>
          </w:rPr>
          <w:t>10.1073/pnas.2524513123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据认为,海洋是过去几十年来现代商业中广泛使用的全氟和多氟烷基物质(PFAS) -- -- 持久性有机素化物 -- -- 的终点汇水池;工业和管理方案由于对毒性的关切,在2000年代初期淘汰了最大量生产的残余PFAS;然而,自那时以来,海洋已被较短的碳链和 " 新 " 化学替代物所取代;过去的工作假设这些以前无法量化的替代PFAS可能增加。为了解决这一差距,我们测量了过去几十年中中中中上层海底海底实验鲸的存档肝脏和肌肉组织中大量可提取的有机素(EOF),结果显示EOF浓度在2011年达到顶峰,到2023年下降了60%以上。</w:t>
      </w:r>
    </w:p>
    <w:p>
      <w:pPr>
        <w:spacing w:before="0" w:after="200" w:lineRule="auto" w:line="276"/>
      </w:pPr>
      <w:r>
        <w:rPr>
          <w:b/>
        </w:rPr>
        <w:t xml:space="preserve">Abstract (EN): </w:t>
      </w:r>
      <w:r>
        <w:t>The ocean is thought to be the terminal sink for per- and polyfluoroalkyl substances (PFAS), persistent organofluorine chemicals used widely in modern commerce for decades. Industry and stewardship programs phased out the most abundantly produced legacy PFAS in the early 2000s due to toxicity concerns. However, they have since been replaced by shorter carbon chain and “novel” chemistries, and past work hypothesized likely increases in these replacement PFAS that were not previously quantifiable. To address this gap, we measured bulk extractable organofluorine (EOF) in archived liver and muscle tissues from pelagic Subarctic pilot whales over the last several decades. Results show EOF concentrations peaked in 2011 and declined by over 60% by 2023. Among a broad suite of targeted and suspect PFAS measured using high-resolution mass spectrometry, only one was consistently increasing through 2023. Tissue concentrations of four main legacy PFAS that accounted for over 75% of EOF were all decreasing by 2023. The timing of peak concentrations depended primarily on whether they were transported to the subarctic by ocean circulation or atmospheric deposition, with the latter declining much faster. Oceanic transport and bioaccumulation modeling suggests that decadal-scale lags between production and food web bioaccumulation are primarily driven by marine transport processes. Large declines in tissue concentrations in this study reinforce the effectiveness of phase-outs in chemical production. However, other work showing stable or increasing EOF in human serum suggests many emerging PFAS with more neutral physicochemical properties may be preferentially accumulating in terrestrial and nearshore environments compared to legacy PFAS.</w:t>
      </w:r>
    </w:p>
    <w:p>
      <w:pPr>
        <w:spacing w:before="120" w:after="120"/>
      </w:pPr>
      <w:r>
        <w:rPr>
          <w:sz w:val="18"/>
        </w:rPr>
        <w:t>——————————————————————————————————————————————————————————————————————</w:t>
      </w:r>
    </w:p>
    <w:p>
      <w:pPr>
        <w:spacing w:before="160" w:after="40" w:line="240" w:lineRule="auto"/>
      </w:pPr>
      <w:r>
        <w:rPr>
          <w:b/>
        </w:rPr>
        <w:t xml:space="preserve">[140] </w:t>
      </w:r>
      <w:hyperlink r:id="rId198">
        <w:r>
          <w:rPr>
            <w:color w:val="1155CC"/>
            <w:u w:val="single"/>
          </w:rPr>
          <w:t>空气传播的β-丙烯通过长番茄防线阻断了病毒-病媒相互影响。</w:t>
        </w:r>
      </w:hyperlink>
    </w:p>
    <w:p>
      <w:pPr>
        <w:spacing w:before="0" w:after="80"/>
      </w:pPr>
      <w:r>
        <w:rPr>
          <w:i/>
          <w:sz w:val="20"/>
        </w:rPr>
        <w:t>EN: Airborne β-caryophyllene disrupts virus–vector mutualism by priming tomato defenses</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199">
        <w:r>
          <w:rPr>
            <w:color w:val="1155CC"/>
            <w:u w:val="single"/>
          </w:rPr>
          <w:t>10.1073/pnas.2520719123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白苍蝇对全世界的作物构成重大威胁,主要是因为它们传播草虫病毒,并与之发展了错综复杂的相互关系;众所周知,相互性会加剧白蝇入侵,并导致植物病毒的流行;然而,某些植物基因型能够抵抗白苍蝇和病毒,并能够很好地了解基本机制,有助于开发抗药性更强的品种;在这里,我们表明,活性白苍蝇Bemisia Takaci会及早和有力地释放养殖番茄植物中的β-丙烯。这种变化无常的功能作为空气中信号,向邻近强化抗生素病毒(包括番茄呼声)的同源发出信号。</w:t>
      </w:r>
    </w:p>
    <w:p>
      <w:pPr>
        <w:spacing w:before="0" w:after="200" w:lineRule="auto" w:line="276"/>
      </w:pPr>
      <w:r>
        <w:rPr>
          <w:b/>
        </w:rPr>
        <w:t xml:space="preserve">Abstract (EN): </w:t>
      </w:r>
      <w:r>
        <w:t>Whiteflies pose a major threat to crops worldwide, primarily because they transmit begomoviruses with which they have evolved intricate mutualistic relationships. The mutualisms are known to exacerbate whitefly invasions and drive widespread plant virus pandemics. Yet, certain plant genotypes are able to resist both the whiteflies and the viruses and a good understanding of the underlying mechanisms could help to develop more resistant varieties. Here, we show that the viruliferous whitefly</w:t>
      </w:r>
      <w:r>
        <w:t xml:space="preserve"> </w:t>
      </w:r>
      <w:r>
        <w:t>Bemisia tabaci</w:t>
      </w:r>
      <w:r>
        <w:t xml:space="preserve"> </w:t>
      </w:r>
      <w:r>
        <w:t>induces an early and strong release of the sesquiterpene β-caryophyllene in cultivated tomato plants. This volatile functions as an airborne signal that primes neighboring conspecifics for enhanced resistance to begomoviruses, including Tomato yellow leaf curl virus and Papaya leaf curl China virus. These results challenge the view that whitefly-induced volatile emissions primarily benefit the insect vector, suggesting instead that the plant prioritizes antiviral defense over antiherbivore resistance. β-Caryophyllene exposure was also found to enhance the emission of β-Caryophyllene, methyl salicylate and β-myrcene upon whitefly attack, increasing plant attractiveness to the parasitoid</w:t>
      </w:r>
      <w:r>
        <w:t xml:space="preserve"> </w:t>
      </w:r>
      <w:r>
        <w:t>Encarsia formosa</w:t>
      </w:r>
      <w:r>
        <w:t xml:space="preserve"> </w:t>
      </w:r>
      <w:r>
        <w:t>. Using a β-caryophyllene overproducing transgenic tomato line and synthetic β-caryophyllene dispensers, we confirmed that β-caryophyllene exposure primes antipathogen defenses in tomato plants and confers improved plant fitness under sustained infestation by viruliferous whiteflies. Importantly, this defense priming is genotype-specific and limited to certain tomato cultivars, suggesting that β-caryophyllene-mediated resistance can be harnessed through selective breeding. Our findings reveal a volatile-based mechanism by which tomato plants may counteract the virus–vector mutualism, offering promising avenues for integrated pest and disease management.</w:t>
      </w:r>
    </w:p>
    <w:p>
      <w:pPr>
        <w:spacing w:before="120" w:after="120"/>
      </w:pPr>
      <w:r>
        <w:rPr>
          <w:sz w:val="18"/>
        </w:rPr>
        <w:t>——————————————————————————————————————————————————————————————————————</w:t>
      </w:r>
    </w:p>
    <w:p>
      <w:pPr>
        <w:spacing w:before="160" w:after="40" w:line="240" w:lineRule="auto"/>
      </w:pPr>
      <w:r>
        <w:rPr>
          <w:b/>
        </w:rPr>
        <w:t xml:space="preserve">[141] </w:t>
      </w:r>
      <w:hyperlink r:id="rId200">
        <w:r>
          <w:rPr>
            <w:color w:val="1155CC"/>
            <w:u w:val="single"/>
          </w:rPr>
          <w:t>相互交织的细菌生物膜是钙基肾结石的内在内在组成部分。</w:t>
        </w:r>
      </w:hyperlink>
    </w:p>
    <w:p>
      <w:pPr>
        <w:spacing w:before="0" w:after="80"/>
      </w:pPr>
      <w:r>
        <w:rPr>
          <w:i/>
          <w:sz w:val="20"/>
        </w:rPr>
        <w:t>EN: Intercalated bacterial biofilms are intrinsic internal components of calcium-based kidney stones</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201">
        <w:r>
          <w:rPr>
            <w:color w:val="1155CC"/>
            <w:u w:val="single"/>
          </w:rPr>
          <w:t>10.1073/pnas.2517066123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在目前的概念框架中,最初的石块硝化石被认为包括无机晶体的集合,其形成得益于溶解成分浓度的上升。 在这里,我们表明,这种高度流行的石块类型包括一种有机无机多晶体和集成细菌生物胶片的形式。 电子显微镜和荧光显微镜的证据表明,人类病人的肾石内部结构出乎意料,在那里,细菌生物胶片在多晶体矿层之间相互交错,甚至在被确定为临床“非传染性”的石块中也是如此,包括那些没有基本尿道感染的病人。</w:t>
      </w:r>
    </w:p>
    <w:p>
      <w:pPr>
        <w:spacing w:before="0" w:after="200" w:lineRule="auto" w:line="276"/>
      </w:pPr>
      <w:r>
        <w:rPr>
          <w:b/>
        </w:rPr>
        <w:t xml:space="preserve">Abstract (EN): </w:t>
      </w:r>
      <w:r>
        <w:t>Calcium oxalate stones comprise greater than 70% of all kidney stones. In the current conceptual framework, the initial stone nidus is thought to include the aggregation of inorganic crystallites, the formation of which is favored by elevated concentrations of dissolved constituents. Here, we show that this highly prevalent stone type comprises a form of organic–inorganic polycrystalline biocomposite with integrated bacterial biofilms. Evidence from electron microscopy and fluorescence microscopy reveal the unanticipated internal structure of kidney stones from human patients, where bacterial biofilms are intercalated between polycrystalline mineral layers, even in stones identified as “noninfectious” clinically, including those in patients without underlying urinary tract infections. We observe similar bacterial biofilm architectures on the surfaces of stone fragments obtained due to lithotripsy, suggesting that bacteria are intrinsic to the process of nephrolithiasis. Crystallites proximal to biofilm layers exhibit significantly smaller grain sizes, which indicate a larger local concentration of nucleation sites. Staining reveals that biofilm areas of these stones are enriched with bacterial DNA. That bacteria are now observed so broadly in kidney stones (including even in less prevalent struvite stones) may be conceptually salient: Based on the evidence adduced here, we propose a model in which the urine-rich environment of the kidney can impinge on bacterial calcium homeostasis and amplify bacterial production of nucleation templates such as extracellular DNA. The resultant counterion condensation intrinsic to polyelectrolytes charged beyond the Manning criterion (such as DNA) drastically enhances the probability of heterogeneous nucleation, thereby amplifying calcium oxalate stone formation.</w:t>
      </w:r>
    </w:p>
    <w:p>
      <w:pPr>
        <w:spacing w:before="120" w:after="120"/>
      </w:pPr>
      <w:r>
        <w:rPr>
          <w:sz w:val="18"/>
        </w:rPr>
        <w:t>——————————————————————————————————————————————————————————————————————</w:t>
      </w:r>
    </w:p>
    <w:p>
      <w:pPr>
        <w:spacing w:before="160" w:after="40" w:line="240" w:lineRule="auto"/>
      </w:pPr>
      <w:r>
        <w:rPr>
          <w:b/>
        </w:rPr>
        <w:t xml:space="preserve">[142] </w:t>
      </w:r>
      <w:hyperlink r:id="rId202">
        <w:r>
          <w:rPr>
            <w:color w:val="1155CC"/>
            <w:u w:val="single"/>
          </w:rPr>
          <w:t>日本群岛庇护的洞穴狮子, 不是老虎,在晚光时期</w:t>
        </w:r>
      </w:hyperlink>
    </w:p>
    <w:p>
      <w:pPr>
        <w:spacing w:before="0" w:after="80"/>
      </w:pPr>
      <w:r>
        <w:rPr>
          <w:i/>
          <w:sz w:val="20"/>
        </w:rPr>
        <w:t>EN: The Japanese Archipelago sheltered cave lions, not tigers, during the Late Pleistocene</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203">
        <w:r>
          <w:rPr>
            <w:color w:val="1155CC"/>
            <w:u w:val="single"/>
          </w:rPr>
          <w:t>10.1073/pnas.2523901123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狮子和老虎作为占支配地位的顶峰掠食者,在大约100万年前狮子从非洲向欧亚地区扩张(Ma)形成狮子 — — 虎从中东到中亚到俄罗斯远东的过渡带。 在这一地区最东端,日本群岛长期以来一直被认为是“白虎末端 ”, 由传统上属于老虎的大型felid Subfosils(Panthera tigris ) 支持,但它们的分类特征仍未解决。 为了澄清日本的Pleistocene felids的起源、进化史和生物地理学,我们分析了26个以前被认为是老虎的古老物种。 使用甲状腺体和核基因组混合捕捉和捕捉。</w:t>
      </w:r>
    </w:p>
    <w:p>
      <w:pPr>
        <w:spacing w:before="0" w:after="200" w:lineRule="auto" w:line="276"/>
      </w:pPr>
      <w:r>
        <w:rPr>
          <w:b/>
        </w:rPr>
        <w:t xml:space="preserve">Abstract (EN): </w:t>
      </w:r>
      <w:r>
        <w:t>Lions and tigers, as dominant apex predators, likely became competitors when lions expanded from Africa into Eurasia approximately one million years ago (Ma), forming a lion–tiger transition belt from the Middle East through Central Asia to the Russian Far East. At the easternmost edge of this zone, the Japanese Archipelago has long been considered a Late Pleistocene tiger refugium, supported by large felid subfossils traditionally attributed to tigers (</w:t>
      </w:r>
      <w:r>
        <w:t xml:space="preserve"> </w:t>
      </w:r>
      <w:r>
        <w:t>Panthera tigris</w:t>
      </w:r>
      <w:r>
        <w:t xml:space="preserve"> </w:t>
      </w:r>
      <w:r>
        <w:t>), though their taxonomic identity remained unresolved. To clarify the origin, evolutionary history, and biogeography of Japan’s Pleistocene felids, we analyzed 26 ancient specimens previously assumed to be tigers. Using mitochondrial and nuclear genome hybridization capture and sequencing, paleoproteomics, Bayesian molecular dating, and radiocarbon dating, we found that all ancient Japanese “tiger” remains yielding molecular data were, unexpectedly, cave lions (</w:t>
      </w:r>
      <w:r>
        <w:t xml:space="preserve"> </w:t>
      </w:r>
      <w:r>
        <w:t>Panthera spelaea</w:t>
      </w:r>
      <w:r>
        <w:t xml:space="preserve"> </w:t>
      </w:r>
      <w:r>
        <w:t>). One specimen from Yamaguchi Prefecture, western Japan, was radiocarbon dated to 36,000-34,891 cal. BP. These cave lions likely dispersed to the Japanese Archipelago between ~72.7 and 37.5 thousand years ago (ka), when a land bridge connected northern Japan to the mainland during the Last Glacial Period. Our findings challenge the long-held view that tigers once took refuge in Japan, showing instead that cave lions were widespread in northeast Asia during this period and were the</w:t>
      </w:r>
      <w:r>
        <w:t xml:space="preserve"> </w:t>
      </w:r>
      <w:r>
        <w:t>Panthera</w:t>
      </w:r>
      <w:r>
        <w:t xml:space="preserve"> </w:t>
      </w:r>
      <w:r>
        <w:t>lineage that colonized Japan, reaching even its southwestern regions despite habitats previously thought to favor tigers.</w:t>
      </w:r>
    </w:p>
    <w:p>
      <w:pPr>
        <w:spacing w:before="120" w:after="120"/>
      </w:pPr>
      <w:r>
        <w:rPr>
          <w:sz w:val="18"/>
        </w:rPr>
        <w:t>——————————————————————————————————————————————————————————————————————</w:t>
      </w:r>
    </w:p>
    <w:p>
      <w:pPr>
        <w:spacing w:before="160" w:after="40" w:line="240" w:lineRule="auto"/>
      </w:pPr>
      <w:r>
        <w:rPr>
          <w:b/>
        </w:rPr>
        <w:t xml:space="preserve">[143] </w:t>
      </w:r>
      <w:hyperlink r:id="rId204">
        <w:r>
          <w:rPr>
            <w:color w:val="1155CC"/>
            <w:u w:val="single"/>
          </w:rPr>
          <w:t>人类肠内微生物体和大脑进化</w:t>
        </w:r>
      </w:hyperlink>
    </w:p>
    <w:p>
      <w:pPr>
        <w:spacing w:before="0" w:after="80"/>
      </w:pPr>
      <w:r>
        <w:rPr>
          <w:i/>
          <w:sz w:val="20"/>
        </w:rPr>
        <w:t>EN: Human gut microbiota and brain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2026-01-26 08:00:00+00:00</w:t>
      </w:r>
      <w:r>
        <w:t xml:space="preserve">    </w:t>
      </w:r>
      <w:r>
        <w:rPr>
          <w:b/>
        </w:rPr>
        <w:t xml:space="preserve">DOI: </w:t>
      </w:r>
      <w:hyperlink r:id="rId205">
        <w:r>
          <w:rPr>
            <w:color w:val="1155CC"/>
            <w:u w:val="single"/>
          </w:rPr>
          <w:t>10.1073/pnas.2535454123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[144] </w:t>
      </w:r>
      <w:hyperlink r:id="rId206">
        <w:r>
          <w:rPr>
            <w:color w:val="1155CC"/>
            <w:u w:val="single"/>
          </w:rPr>
          <w:t>硬碳钠储存中分离原子电子结构动态和场地占用变化</w:t>
        </w:r>
      </w:hyperlink>
    </w:p>
    <w:p>
      <w:pPr>
        <w:spacing w:before="0" w:after="80"/>
      </w:pPr>
      <w:r>
        <w:rPr>
          <w:i/>
          <w:sz w:val="20"/>
        </w:rPr>
        <w:t>EN: Deciphering Atomic Electronic Structure Dynamics and Site Occupancy Transitions in Dictating Sodium Storage in Hard Carbon</w:t>
      </w:r>
    </w:p>
    <w:p>
      <w:pPr>
        <w:spacing w:before="0" w:after="120"/>
      </w:pPr>
      <w:r>
        <w:rPr>
          <w:b/>
        </w:rPr>
        <w:t xml:space="preserve">Source: </w:t>
      </w:r>
      <w:r>
        <w:t>Wiley: Advanced Materials: Table of Contents</w:t>
      </w:r>
      <w:r>
        <w:t xml:space="preserve">    </w:t>
      </w:r>
      <w:r>
        <w:rPr>
          <w:b/>
        </w:rPr>
        <w:t xml:space="preserve">Pub date: </w:t>
      </w:r>
      <w:r>
        <w:t>2026-01-26 08:15:53+00:00</w:t>
      </w:r>
      <w:r>
        <w:t xml:space="preserve">    </w:t>
      </w:r>
      <w:r>
        <w:rPr>
          <w:b/>
        </w:rPr>
        <w:t xml:space="preserve">DOI: </w:t>
      </w:r>
      <w:hyperlink r:id="rId207">
        <w:r>
          <w:rPr>
            <w:color w:val="1155CC"/>
            <w:u w:val="single"/>
          </w:rPr>
          <w:t>10.1002/adma.202519384</w:t>
        </w:r>
      </w:hyperlink>
    </w:p>
    <w:p>
      <w:pPr>
        <w:spacing w:before="0" w:after="120"/>
      </w:pPr>
      <w:r>
        <w:rPr>
          <w:b/>
        </w:rPr>
        <w:t xml:space="preserve">Notes: </w:t>
      </w:r>
      <w:r>
        <w:t>abstract_source=crossref</w:t>
      </w:r>
    </w:p>
    <w:p>
      <w:pPr>
        <w:spacing w:before="0" w:after="80" w:lineRule="auto" w:line="276"/>
      </w:pPr>
      <w:r>
        <w:rPr>
          <w:b/>
        </w:rPr>
        <w:t xml:space="preserve">摘要（ZH）: </w:t>
      </w:r>
      <w:r>
        <w:t>破解硬碳(HC)溶解机制对于HC的合理设计至关重要,但由于HC的微结构异质性,高原地区的钠插入和孔隙填充使HC感到困惑。这项工作利用高分辨率第13 CNMR和Operondo 23 Na NMR,其中确定微粒墙的碳层是HC电子结构的促进因素,超出了早期高原地区的准金属钠聚体。这一阶段恰好与最初居住在石墨间层的Na + 的钠占用转换为微粒中的钠聚体同步。</w:t>
      </w:r>
    </w:p>
    <w:p>
      <w:pPr>
        <w:spacing w:before="0" w:after="200" w:lineRule="auto" w:line="276"/>
      </w:pPr>
      <w:r>
        <w:rPr>
          <w:b/>
        </w:rPr>
        <w:t xml:space="preserve">Abstract (EN): </w:t>
      </w:r>
      <w:r>
        <w:t>Deciphering the hard carbon (HC) sodiation mechanism is essential for HC's rational design, but is confused by sodium insertion and pore‐filling in the plateau region due to HC's microstructural heterogeneity. This work leverages high‐resolution</w:t>
      </w:r>
      <w:r>
        <w:rPr>
          <w:vertAlign w:val="subscript"/>
        </w:rPr>
        <w:t>13</w:t>
      </w:r>
      <w:r>
        <w:t>C NMR and</w:t>
      </w:r>
      <w:r>
        <w:t xml:space="preserve"> </w:t>
      </w:r>
      <w:r>
        <w:t>operando</w:t>
      </w:r>
      <w:r>
        <w:rPr>
          <w:vertAlign w:val="subscript"/>
        </w:rPr>
        <w:t>23</w:t>
      </w:r>
      <w:r>
        <w:t>Na NMR, which identify the carbon layer lining the micropore‐wall as a contributor to HC's electronic structure beyond the quasi‐metallic sodium clusters during the early plateau region. The stage coincides with a sodium occupancy transition of Na</w:t>
      </w:r>
      <w:r>
        <w:t xml:space="preserve"> </w:t>
      </w:r>
      <w:r>
        <w:t>+</w:t>
      </w:r>
      <w:r>
        <w:t xml:space="preserve"> </w:t>
      </w:r>
      <w:r>
        <w:t>initially residing in graphitic interlayers into sodium clusters in micropores. The synergy of these changes consequently leads to the reduction of the Na</w:t>
      </w:r>
      <w:r>
        <w:t xml:space="preserve"> </w:t>
      </w:r>
      <w:r>
        <w:t>+</w:t>
      </w:r>
      <w:r>
        <w:t xml:space="preserve"> </w:t>
      </w:r>
      <w:r>
        <w:t>diffusion coefficient. These results demonstrate how the carbon matrix itself, not just the pore architecture, controls the critical plateau electrochemistry in HC. Moreover, these findings provide conclusive evidence for an advanced theoretical framework of HC sodiation through three stages, and underscore the tailoring of electronic environments and Na occupancy for advanced HCs.</w:t>
      </w:r>
    </w:p>
    <w:p>
      <w:pPr>
        <w:spacing w:before="120" w:after="120"/>
      </w:pPr>
      <w:r>
        <w:rPr>
          <w:sz w:val="18"/>
        </w:rPr>
        <w:t>——————————————————————————————————————————————————————————————————————</w:t>
      </w:r>
    </w:p>
    <w:p>
      <w:pPr>
        <w:spacing w:before="160" w:after="40" w:line="240" w:lineRule="auto"/>
      </w:pPr>
      <w:r>
        <w:rPr>
          <w:b/>
        </w:rPr>
        <w:t xml:space="preserve">[145] </w:t>
      </w:r>
      <w:hyperlink r:id="rId208">
        <w:r>
          <w:rPr>
            <w:color w:val="1155CC"/>
            <w:u w:val="single"/>
          </w:rPr>
          <w:t>[ASAP]</w:t>
        </w:r>
      </w:hyperlink>
    </w:p>
    <w:p>
      <w:pPr>
        <w:spacing w:before="0" w:after="80"/>
      </w:pPr>
      <w:r>
        <w:rPr>
          <w:i/>
          <w:sz w:val="20"/>
        </w:rPr>
        <w:t>EN: [ASAP] Confined Chiral Pd(II) Catalyst-Enabled Enantioselective Intramolecular Aminoalkylation of Alkenes: One-Step Construction of Chiral N-Fused Bicyclic Skeletons</w:t>
      </w:r>
    </w:p>
    <w:p>
      <w:pPr>
        <w:spacing w:before="0" w:after="120"/>
      </w:pPr>
      <w:r>
        <w:rPr>
          <w:b/>
        </w:rPr>
        <w:t xml:space="preserve">Source: </w:t>
      </w:r>
      <w:r>
        <w:t>Journal of the American Chemical Society: Latest Articles (ACS Publications)</w:t>
      </w:r>
      <w:r>
        <w:t xml:space="preserve">    </w:t>
      </w:r>
      <w:r>
        <w:rPr>
          <w:b/>
        </w:rPr>
        <w:t xml:space="preserve">Pub date: </w:t>
      </w:r>
      <w:r>
        <w:t>2026-01-26 09:59:51+00:00</w:t>
      </w:r>
      <w:r>
        <w:t xml:space="preserve">    </w:t>
      </w:r>
      <w:r>
        <w:rPr>
          <w:b/>
        </w:rPr>
        <w:t xml:space="preserve">DOI: </w:t>
      </w:r>
      <w:hyperlink r:id="rId209">
        <w:r>
          <w:rPr>
            <w:color w:val="1155CC"/>
            <w:u w:val="single"/>
          </w:rPr>
          <w:t>10.1021/jacs.5c18705</w:t>
        </w:r>
      </w:hyperlink>
    </w:p>
    <w:p>
      <w:pPr>
        <w:spacing w:before="0" w:after="120"/>
      </w:pPr>
      <w:r>
        <w:rPr>
          <w:b/>
        </w:rPr>
        <w:t xml:space="preserve">Notes: </w:t>
      </w:r>
      <w:r>
        <w:t>abstract_source=semanticscholar; must_have_abstract=True</w:t>
      </w:r>
    </w:p>
    <w:p>
      <w:pPr>
        <w:spacing w:before="0" w:after="80" w:lineRule="auto" w:line="276"/>
      </w:pPr>
      <w:r>
        <w:rPr>
          <w:b/>
        </w:rPr>
        <w:t xml:space="preserve">摘要（ZH）: </w:t>
      </w:r>
      <w:r>
        <w:t>首次通过开发由两条轴心肺酸皮酸皮甘蓝构成的新型压缩手性Pd(II)催化剂类别,实现了未活化的藻类高度对应选择性分子内分子氨基酶关系。 通过形成一种单一合成步骤的C-N债券和C-C债券,以中度至优收成合成,合成了多种多环化合物,其特点是饱和的手性N-FS6/5或7/5双环形骨骼,其产量优至优,对等比率(最高为99.5:0.5)优异。</w:t>
      </w:r>
    </w:p>
    <w:p>
      <w:pPr>
        <w:spacing w:before="0" w:after="200" w:lineRule="auto" w:line="276"/>
      </w:pPr>
      <w:r>
        <w:rPr>
          <w:b/>
        </w:rPr>
        <w:t xml:space="preserve">Abstract (EN): </w:t>
      </w:r>
      <w:r>
        <w:t>Highly enantioselective intramolecular aminoalkylation of unactivated alkenes has been accomplished for the first time through the development of a novel category of confined chiral Pd(II) catalysts consisting of two axially chiral picolinic acid ligands. A variety of polycyclic compounds, featuring a saturated chiral N-fused 6/5 or 7/5 bicyclic skeleton, were synthesized in moderate to good yields with excellent enantiomeric ratios (up to 99.5:0.5) through the formation of both a C-N bond and a C-C bond in a single synthetic step.</w:t>
      </w:r>
    </w:p>
    <w:p>
      <w:pPr>
        <w:spacing w:before="120" w:after="120"/>
      </w:pPr>
      <w:r>
        <w:rPr>
          <w:sz w:val="18"/>
        </w:rPr>
        <w:t>——————————————————————————————————————————————————————————————————————</w:t>
      </w:r>
    </w:p>
    <w:p>
      <w:pPr>
        <w:spacing w:before="160" w:after="40" w:line="240" w:lineRule="auto"/>
      </w:pPr>
      <w:r>
        <w:rPr>
          <w:b/>
        </w:rPr>
        <w:t xml:space="preserve">[146] </w:t>
      </w:r>
      <w:hyperlink r:id="rId210">
        <w:r>
          <w:rPr>
            <w:color w:val="1155CC"/>
            <w:u w:val="single"/>
          </w:rPr>
          <w:t>[ASAP] 高效和亮光光光光光光光光光光光光光光光光光二极极极二极极光通过二极管和超致硫氢溴化二氟化二极体</w:t>
        </w:r>
      </w:hyperlink>
    </w:p>
    <w:p>
      <w:pPr>
        <w:spacing w:before="0" w:after="80"/>
      </w:pPr>
      <w:r>
        <w:rPr>
          <w:i/>
          <w:sz w:val="20"/>
        </w:rPr>
        <w:t>EN: [ASAP] Efficient and Bright All-Vacuum-Deposited Perovskite Light Emitting Diode via Guanidinium Doping and an Ultrathin Lithium Bromide Interfacial Layer</w:t>
      </w:r>
    </w:p>
    <w:p>
      <w:pPr>
        <w:spacing w:before="0" w:after="120"/>
      </w:pPr>
      <w:r>
        <w:rPr>
          <w:b/>
        </w:rPr>
        <w:t xml:space="preserve">Source: </w:t>
      </w:r>
      <w:r>
        <w:t>ACS Energy Letters: Latest Articles (ACS Publications)</w:t>
      </w:r>
      <w:r>
        <w:t xml:space="preserve">    </w:t>
      </w:r>
      <w:r>
        <w:rPr>
          <w:b/>
        </w:rPr>
        <w:t xml:space="preserve">Pub date: </w:t>
      </w:r>
      <w:r>
        <w:t>2026-01-26 11:50:29+00:00</w:t>
      </w:r>
      <w:r>
        <w:t xml:space="preserve">    </w:t>
      </w:r>
      <w:r>
        <w:rPr>
          <w:b/>
        </w:rPr>
        <w:t xml:space="preserve">DOI: </w:t>
      </w:r>
      <w:hyperlink r:id="rId211">
        <w:r>
          <w:rPr>
            <w:color w:val="1155CC"/>
            <w:u w:val="single"/>
          </w:rPr>
          <w:t>10.1021/acsenergylett.5c03740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212">
        <w:r>
          <w:rPr>
            <w:color w:val="1155CC"/>
            <w:u w:val="single"/>
          </w:rPr>
          <w:t>[ASAP] 溶溶性铜杯:铜的二(三-三-三-丁环丙二丁基)复合体</w:t>
        </w:r>
      </w:hyperlink>
    </w:p>
    <w:p>
      <w:pPr>
        <w:spacing w:before="0" w:after="80"/>
      </w:pPr>
      <w:r>
        <w:rPr>
          <w:i/>
          <w:sz w:val="20"/>
        </w:rPr>
        <w:t>EN: [ASAP] Isolable Cuprocenes: Bis(tri-tert-butylcyclopentadienyl) Complexes of Copper</w:t>
      </w:r>
    </w:p>
    <w:p>
      <w:pPr>
        <w:spacing w:before="0" w:after="120"/>
      </w:pPr>
      <w:r>
        <w:rPr>
          <w:b/>
        </w:rPr>
        <w:t xml:space="preserve">Source: </w:t>
      </w:r>
      <w:r>
        <w:t>Journal of the American Chemical Society: Latest Articles (ACS Publications)</w:t>
      </w:r>
      <w:r>
        <w:t xml:space="preserve">    </w:t>
      </w:r>
      <w:r>
        <w:rPr>
          <w:b/>
        </w:rPr>
        <w:t xml:space="preserve">Pub date: </w:t>
      </w:r>
      <w:r>
        <w:t>2026-01-26 13:19:13+00:00</w:t>
      </w:r>
      <w:r>
        <w:t xml:space="preserve">    </w:t>
      </w:r>
      <w:r>
        <w:rPr>
          <w:b/>
        </w:rPr>
        <w:t xml:space="preserve">DOI: </w:t>
      </w:r>
      <w:hyperlink r:id="rId213">
        <w:r>
          <w:rPr>
            <w:color w:val="1155CC"/>
            <w:u w:val="single"/>
          </w:rPr>
          <w:t>10.1021/jacs.5c19366</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在发现铁乙烯70年后,已经合成了第一个中性双(环戊二丁基)铜金属化合物:Cptttt2Cu, 1 (Cptttt = C5H2tBU3), 1(Cpttt2Cu)1-, 和cation, (Cpttttt2Cu)1+, 比较该化合物和相关阴离子(Cptttt2Cu)1-, (Cptttt2Cu)1, 并显示(Cptt2Cu)1- Ligand如何在三种不同级别的电荷中为铜化合物提供稳定性。 KCptttt和铜(I)三甲酸三甲酯之间的反应导致Cu金属和蓝绿色中性中性双(环丙二)铜金属(Cpttdiddienyl)1, 和 铜金属双(Cpttt2) 的不相称性(Cptpttttttt:Cloates)1和Kptptpe Complices 1和2,</w:t>
      </w:r>
    </w:p>
    <w:p>
      <w:pPr>
        <w:spacing w:before="0" w:after="200" w:lineRule="auto" w:line="276"/>
      </w:pPr>
      <w:r>
        <w:rPr>
          <w:b/>
        </w:rPr>
        <w:t xml:space="preserve">Abstract (EN): </w:t>
      </w:r>
      <w:r>
        <w:t>Seventy years after the discovery of ferrocene, the first neutral bis(cyclopentadienyl)metal complex of copper has been synthesized: Cpttt2Cu, 1 (Cpttt = C5H2tBu3). Comparison of this compound and the related anion, (Cpttt2Cu)1-, and cation, (Cpttt2Cu)1+, shows how the (Cpttt)1- ligand can provide stability to copper compounds in three different levels of charge. The reaction between KCpttt and copper(I) triflate in Et2O results in disproportionation to Cu metal and the blue-green neutral bis(cyclopentadienyl) copper metallocene Cpttt2Cu, 1, which has a slipped η5-Cpttt:η2-Cpttt structure. This reaction was found to proceed through the red intermediate [CptttCu(OTf)]2, 2 which has one η2-bound (Cpttt)1- ligand. Complexes 1 and 2 could also be prepared from the reaction of KCpttt with copper(II) triflate. Reduction of Cpttt2Cu with KC8 in the presence of 2.2.2-cryptand (crypt) affords the colorless metallocene anion complex [K(crypt)][Cpttt2Cu], 3, in which both (Cpttt)1- ligands are η2-bound. Oxidation of Cpttt2Cu with the ammoniumyl radical salt [N(C6H4Br-4)3][B(C6F5)4] gives the purple cationic cuprocenium complex [Cpttt2Cu][B(C6F5)4], 4, which has η3:η2-coordination of the (Cpttt)1- ligands. Although 1, 3, and 4 have copper in the formal oxidation states of +2, +1, and +3, respectively, density functional theory calculations indicate that the charge on copper is similar in all three complexes, which attests to the ability of the (Cpttt)1- ligand to delocalize electron density by varying the coordination mode.</w:t>
      </w:r>
    </w:p>
    <w:p>
      <w:pPr>
        <w:spacing w:before="120" w:after="120"/>
      </w:pPr>
      <w:r>
        <w:rPr>
          <w:sz w:val="18"/>
        </w:rPr>
        <w:t>——————————————————————————————————————————————————————————————————————</w:t>
      </w:r>
    </w:p>
    <w:p>
      <w:pPr>
        <w:spacing w:before="160" w:after="40" w:line="240" w:lineRule="auto"/>
      </w:pPr>
      <w:r>
        <w:rPr>
          <w:b/>
        </w:rPr>
        <w:t xml:space="preserve">[148] </w:t>
      </w:r>
      <w:hyperlink r:id="rId214">
        <w:r>
          <w:rPr>
            <w:color w:val="1155CC"/>
            <w:u w:val="single"/>
          </w:rPr>
          <w:t>[ASAP]通过Anion协调实现弗兰克 - 卡斯珀 C15 阶段的监管“堆积式米歇尔式类似大会”</w:t>
        </w:r>
      </w:hyperlink>
    </w:p>
    <w:p>
      <w:pPr>
        <w:spacing w:before="0" w:after="80"/>
      </w:pPr>
      <w:r>
        <w:rPr>
          <w:i/>
          <w:sz w:val="20"/>
        </w:rPr>
        <w:t>EN: [ASAP] Regulating π-Stacked Micelle-Like Assembly via Anion Coordination to Achieve Frank–Kasper C15 Phases</w:t>
      </w:r>
    </w:p>
    <w:p>
      <w:pPr>
        <w:spacing w:before="0" w:after="120"/>
      </w:pPr>
      <w:r>
        <w:rPr>
          <w:b/>
        </w:rPr>
        <w:t xml:space="preserve">Source: </w:t>
      </w:r>
      <w:r>
        <w:t>Journal of the American Chemical Society: Latest Articles (ACS Publications)</w:t>
      </w:r>
      <w:r>
        <w:t xml:space="preserve">    </w:t>
      </w:r>
      <w:r>
        <w:rPr>
          <w:b/>
        </w:rPr>
        <w:t xml:space="preserve">Pub date: </w:t>
      </w:r>
      <w:r>
        <w:t>2026-01-26 14:28:22+00:00</w:t>
      </w:r>
      <w:r>
        <w:t xml:space="preserve">    </w:t>
      </w:r>
      <w:r>
        <w:rPr>
          <w:b/>
        </w:rPr>
        <w:t xml:space="preserve">DOI: </w:t>
      </w:r>
      <w:hyperlink r:id="rId215">
        <w:r>
          <w:rPr>
            <w:color w:val="1155CC"/>
            <w:u w:val="single"/>
          </w:rPr>
          <w:t>10.1021/jacs.5c16974</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球状表面活性小鼠被广泛用作合成多孔无机材料的模板,受到不可确定原子级结构的困扰。因此,开发结构精确的球状小鼠类结构非常有利于理解模板合成合成物,但仍然具有挑战性。在这里,我们展示了一系列由三重合成物([ML(SO4)]、[ML(SCN)]+或[H3L(HPO4)]+(M=Co2+或Zn2+和L=Tis(2-Benzimidazol-Mephy)胺)自行拼合的类似小鼠--堆叠结构。虽然一个由相反一致的中性[CoL(SO4)]表形组成的蜂窝结构没有引导蚂蚁,但[ML(SCN)+和[H3L(HPO4)+] 和[H3L(HPO4)+] +的多种cationicmical-类似-stack结构)+。</w:t>
      </w:r>
    </w:p>
    <w:p>
      <w:pPr>
        <w:spacing w:before="0" w:after="200" w:lineRule="auto" w:line="276"/>
      </w:pPr>
      <w:r>
        <w:rPr>
          <w:b/>
        </w:rPr>
        <w:t xml:space="preserve">Abstract (EN): </w:t>
      </w:r>
      <w:r>
        <w:t>Spherical surfactant micelles, widely used as templates for synthesizing porous inorganic materials, suffer from undeterminable atomic-level structures. Developing structurally precise spherical micelle-like architectures is therefore highly beneficial for understanding template syntheses yet remains challenging. Here, we demonstrate a series of micelle-like π-stacked architectures self-assembled from tripodal synthons ([ML(SO4)], [ML(SCN)]+, or [H3L(HPO4)]+, where M = Co2+ or Zn2+ and L = tris(2-benzimidazolylmethyl)amine). These structures form through anion-coordination-regulated π-π stacking. While a honeycomb architecture of oppositely aligned neutral [CoL(SO4)] forms without the directing of anions, various cationic micelle-like π-stacked architectures of [ML(SCN)]+ and [H3L(HPO4)]+ are successfully constructed via anion coordination-regulated π-π stacking. Within these assemblies, the π-stacked tripodal synthons and the H-bonded anion networks mutually template each other, reminiscent of how surfactant micelles template porous inorganic materials. Remarkably, this approach yields two new Frank-Kasper (FK) C15 phases, representing the first FK C15 complexes formed by small-molecule assembly. These results establish a universal strategy leveraging the interplay between π-π stacking and anion coordination to access complex supramolecular FK structures, potentially enabling new synthetic approaches for porous inorganic materials such as zeolites and porous silicon.</w:t>
      </w:r>
    </w:p>
    <w:p>
      <w:pPr>
        <w:spacing w:before="120" w:after="120"/>
      </w:pPr>
      <w:r>
        <w:rPr>
          <w:sz w:val="18"/>
        </w:rPr>
        <w:t>——————————————————————————————————————————————————————————————————————</w:t>
      </w:r>
    </w:p>
    <w:p>
      <w:pPr>
        <w:spacing w:before="160" w:after="40" w:line="240" w:lineRule="auto"/>
      </w:pPr>
      <w:r>
        <w:rPr>
          <w:b/>
        </w:rPr>
        <w:t xml:space="preserve">[149] </w:t>
      </w:r>
      <w:hyperlink r:id="rId216">
        <w:r>
          <w:rPr>
            <w:color w:val="1155CC"/>
            <w:u w:val="single"/>
          </w:rPr>
          <w:t>[ASAP]更正为“Femto second-Solved Coulomb Ex-敏感核动力,由Femto second-resolved Coulomb Explosion所探测的氨二二氧化二氮二氧化二氮爆炸的前敏感核动力学”。</w:t>
        </w:r>
      </w:hyperlink>
    </w:p>
    <w:p>
      <w:pPr>
        <w:spacing w:before="0" w:after="80"/>
      </w:pPr>
      <w:r>
        <w:rPr>
          <w:i/>
          <w:sz w:val="20"/>
        </w:rPr>
        <w:t>EN: [ASAP] Correction to “Conformer-Sensitive Nuclear Dynamics of the Ammonia Dimer Cation Probed by Femtosecond Time-Resolved Coulomb Explosion”</w:t>
      </w:r>
    </w:p>
    <w:p>
      <w:pPr>
        <w:spacing w:before="0" w:after="120"/>
      </w:pPr>
      <w:r>
        <w:rPr>
          <w:b/>
        </w:rPr>
        <w:t xml:space="preserve">Source: </w:t>
      </w:r>
      <w:r>
        <w:t>Journal of the American Chemical Society: Latest Articles (ACS Publications)</w:t>
      </w:r>
      <w:r>
        <w:t xml:space="preserve">    </w:t>
      </w:r>
      <w:r>
        <w:rPr>
          <w:b/>
        </w:rPr>
        <w:t xml:space="preserve">Pub date: </w:t>
      </w:r>
      <w:r>
        <w:t>2026-01-26 15:08:18+00:00</w:t>
      </w:r>
      <w:r>
        <w:t xml:space="preserve">    </w:t>
      </w:r>
      <w:r>
        <w:rPr>
          <w:b/>
        </w:rPr>
        <w:t xml:space="preserve">DOI: </w:t>
      </w:r>
      <w:hyperlink r:id="rId217">
        <w:r>
          <w:rPr>
            <w:color w:val="1155CC"/>
            <w:u w:val="single"/>
          </w:rPr>
          <w:t>10.1021/jacs.6c00593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 </w:t>
      </w:r>
      <w:hyperlink r:id="rId218">
        <w:r>
          <w:rPr>
            <w:color w:val="1155CC"/>
            <w:u w:val="single"/>
          </w:rPr>
          <w:t>[ASAP] 超均度外纳米反向微型电极中的Terahertz 振动凝聚</w:t>
        </w:r>
      </w:hyperlink>
    </w:p>
    <w:p>
      <w:pPr>
        <w:spacing w:before="0" w:after="80"/>
      </w:pPr>
      <w:r>
        <w:rPr>
          <w:i/>
          <w:sz w:val="20"/>
        </w:rPr>
        <w:t>EN: [ASAP] Terahertz Vibrational Condensation in Out-of-Equilibrium Nanoscale Reverse Micelles</w:t>
      </w:r>
    </w:p>
    <w:p>
      <w:pPr>
        <w:spacing w:before="0" w:after="120"/>
      </w:pPr>
      <w:r>
        <w:rPr>
          <w:b/>
        </w:rPr>
        <w:t xml:space="preserve">Source: </w:t>
      </w:r>
      <w:r>
        <w:t>Journal of the American Chemical Society: Latest Articles (ACS Publications)</w:t>
      </w:r>
      <w:r>
        <w:t xml:space="preserve">    </w:t>
      </w:r>
      <w:r>
        <w:rPr>
          <w:b/>
        </w:rPr>
        <w:t xml:space="preserve">Pub date: </w:t>
      </w:r>
      <w:r>
        <w:t>2026-01-26 15:12:00+00:00</w:t>
      </w:r>
      <w:r>
        <w:t xml:space="preserve">    </w:t>
      </w:r>
      <w:r>
        <w:rPr>
          <w:b/>
        </w:rPr>
        <w:t xml:space="preserve">DOI: </w:t>
      </w:r>
      <w:hyperlink r:id="rId219">
        <w:r>
          <w:rPr>
            <w:color w:val="1155CC"/>
            <w:u w:val="single"/>
          </w:rPr>
          <w:t>10.1021/jacs.5c16008</w:t>
        </w:r>
      </w:hyperlink>
    </w:p>
    <w:p>
      <w:pPr>
        <w:spacing w:before="0" w:after="120"/>
      </w:pPr>
      <w:r>
        <w:rPr>
          <w:b/>
        </w:rPr>
        <w:t xml:space="preserve">Notes: </w:t>
      </w:r>
      <w:r>
        <w:t>abstract_source=semanticscholar; must_have_abstract=True</w:t>
      </w:r>
    </w:p>
    <w:p>
      <w:pPr>
        <w:spacing w:before="0" w:after="80" w:lineRule="auto" w:line="276"/>
      </w:pPr>
      <w:r>
        <w:rPr>
          <w:b/>
        </w:rPr>
        <w:t xml:space="preserve">摘要（ZH）: </w:t>
      </w:r>
      <w:r>
        <w:t>在245千兆赫的微波能量投入下,在245千兆赫时,对纳米反向小鼠进行了原地地地地地地地地地地地热吸收光谱分析,在0.32时,我们观察到反向小鼠的干涉水的光谱转换过程,即光谱振幅显著增强,同时光谱缩小,与热平衡的光谱相比,向某种微波强度以上的低频率转移。这种光谱缩小达到5千兆赫的实验分辨率,表明一种连续的振动,至少持续到200微秒。这些特征与Fröhlich提议的地热赫兹振动凝聚所产生的变化一致。此外,据认为,这种凝聚发生在无血源的温度分配产生的热流中。</w:t>
      </w:r>
    </w:p>
    <w:p>
      <w:pPr>
        <w:spacing w:before="0" w:after="200" w:lineRule="auto" w:line="276"/>
      </w:pPr>
      <w:r>
        <w:rPr>
          <w:b/>
        </w:rPr>
        <w:t xml:space="preserve">Abstract (EN): </w:t>
      </w:r>
      <w:r>
        <w:t>In situ terahertz absorption spectroscopy was conducted under microwave energy input at 2.45 GHz for nanoscale reverse micelles. We observed a spectral transition at ∼0.32 THz for interfacial water in the reverse micelle. That is, the spectral amplitude is remarkably enhanced, accompanied by spectral narrowing and a shift to lower frequencies above a certain microwave intensity compared to the spectrum in thermal equilibrium. This spectral narrowing reaches the experimental resolution of ∼5 GHz, indicating a coherent vibration lasting for at least ∼200 ps. These features agree with those derived from the terahertz vibrational condensation proposed by Fröhlich. Furthermore, it is considered that this condensation occurs in the heat flow resulting from an inhomogeneous temperature distribution in the sample solution induced by microwave irradiation. Therefore, our findings may have biological implications.</w:t>
      </w:r>
    </w:p>
    <w:p>
      <w:pPr>
        <w:spacing w:before="120" w:after="120"/>
      </w:pPr>
      <w:r>
        <w:rPr>
          <w:sz w:val="18"/>
        </w:rPr>
        <w:t>——————————————————————————————————————————————————————————————————————</w:t>
      </w:r>
    </w:p>
    <w:p>
      <w:pPr>
        <w:spacing w:before="160" w:after="40" w:line="240" w:lineRule="auto"/>
      </w:pPr>
      <w:r>
        <w:rPr>
          <w:b/>
        </w:rPr>
        <w:t xml:space="preserve">[151] </w:t>
      </w:r>
      <w:hyperlink r:id="rId220">
        <w:r>
          <w:rPr>
            <w:color w:val="1155CC"/>
            <w:u w:val="single"/>
          </w:rPr>
          <w:t>[ASAP] 与三核复合体结合的耐腐性微粒的催化-粘性-协助冷凝冷凝结</w:t>
        </w:r>
      </w:hyperlink>
    </w:p>
    <w:p>
      <w:pPr>
        <w:spacing w:before="0" w:after="80"/>
      </w:pPr>
      <w:r>
        <w:rPr>
          <w:i/>
          <w:sz w:val="20"/>
        </w:rPr>
        <w:t>EN: [ASAP] Acetylation-Tagging-Assisted Cocrystallization of Stubborn Molecules with Trinuclear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2026-01-26 15:36:17+00:00</w:t>
      </w:r>
      <w:r>
        <w:t xml:space="preserve">    </w:t>
      </w:r>
      <w:r>
        <w:rPr>
          <w:b/>
        </w:rPr>
        <w:t xml:space="preserve">DOI: </w:t>
      </w:r>
      <w:hyperlink r:id="rId221">
        <w:r>
          <w:rPr>
            <w:color w:val="1155CC"/>
            <w:u w:val="single"/>
          </w:rPr>
          <w:t>10.1021/jacs.5c19892</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晶体分析已成为澄清自然产品的化学结构和绝对结构的最可靠方法,在本研究中,我们提出了一个现场催化标记方法,以便能够对具有氢氧化氢或氨基分子组和环三核复合物(Ag3Pz3)的氢氧化或氨基分子组进行冷凝,从而形成有效的超分子相互作用。在添加了乙酰试剂之后,在缓慢蒸发后,即可轻易获得单一晶体,然后Ag3Pz3进入NMR管。这种加速化标记程序引入了具有相容灵活性的极富乙基电子组,这些组可成为电子脱氧AG3Pz3的灯塔。我们利用这个NMR管协议成功地确定了40多个以上的结构。</w:t>
      </w:r>
    </w:p>
    <w:p>
      <w:pPr>
        <w:spacing w:before="0" w:after="200" w:lineRule="auto" w:line="276"/>
      </w:pPr>
      <w:r>
        <w:rPr>
          <w:b/>
        </w:rPr>
        <w:t xml:space="preserve">Abstract (EN): </w:t>
      </w:r>
      <w:r>
        <w:t>Crystallographic analysis has become the most reliable method for elucidating the chemical structures and absolute configurations of natural products. In this study, we present an in situ acetylation-tagging approach to enable the cocrystallization of difficult-to-crystallize molecules bearing hydroxyl or amino groups with cyclic trinuclear complexes (Ag3Pz3). Single crystals are readily obtained upon slow evaporation after adding acetylating reagents and then Ag3Pz3 into an NMR tube. This acetylation tagging procedure introduces electron-rich acetyl groups with conformational flexibility that serve as beacons for electron-deficient Ag3Pz3, leading to effective π-acid···base supramolecular interactions. Using this NMR tube protocol, we have successfully determined the structures of over 40 difficult-to-crystallize molecules, including flexible long-chain alcohols, macrocyclic alcohols, and aliphatic amines. These molecules, if not acetylated, would not cocrystallize with Ag3Pz3. Further applications demonstrate the effectiveness of this protocol in determining the chemical structures and absolute configurations of highly complex natural glycosides and pharmaceutical molecules, showcasing broad substrate compatibility and its potential for analyzing difficult-to-crystallize molecules containing hydroxyl or amino groups.</w:t>
      </w:r>
    </w:p>
    <w:p>
      <w:pPr>
        <w:spacing w:before="120" w:after="120"/>
      </w:pPr>
      <w:r>
        <w:rPr>
          <w:sz w:val="18"/>
        </w:rPr>
        <w:t>——————————————————————————————————————————————————————————————————————</w:t>
      </w:r>
    </w:p>
    <w:p>
      <w:pPr>
        <w:spacing w:before="160" w:after="40" w:line="240" w:lineRule="auto"/>
      </w:pPr>
      <w:r>
        <w:rPr>
          <w:b/>
        </w:rPr>
        <w:t xml:space="preserve">[152] </w:t>
      </w:r>
      <w:hyperlink r:id="rId222">
        <w:r>
          <w:rPr>
            <w:color w:val="1155CC"/>
            <w:u w:val="single"/>
          </w:rPr>
          <w:t>[ASAP] 由化学燃料动力自动催化和间隔改造驱动的煤凝固物中的中转分解</w:t>
        </w:r>
      </w:hyperlink>
    </w:p>
    <w:p>
      <w:pPr>
        <w:spacing w:before="0" w:after="80"/>
      </w:pPr>
      <w:r>
        <w:rPr>
          <w:i/>
          <w:sz w:val="20"/>
        </w:rPr>
        <w:t>EN: [ASAP] Transient Compartmentalization in Coacervates Driven by Chemically Fueled Autocatalysis and Interfacial Remodeling</w:t>
      </w:r>
    </w:p>
    <w:p>
      <w:pPr>
        <w:spacing w:before="0" w:after="120"/>
      </w:pPr>
      <w:r>
        <w:rPr>
          <w:b/>
        </w:rPr>
        <w:t xml:space="preserve">Source: </w:t>
      </w:r>
      <w:r>
        <w:t>Journal of the American Chemical Society: Latest Articles (ACS Publications)</w:t>
      </w:r>
      <w:r>
        <w:t xml:space="preserve">    </w:t>
      </w:r>
      <w:r>
        <w:rPr>
          <w:b/>
        </w:rPr>
        <w:t xml:space="preserve">Pub date: </w:t>
      </w:r>
      <w:r>
        <w:t>2026-01-26 15:39:05+00:00</w:t>
      </w:r>
      <w:r>
        <w:t xml:space="preserve">    </w:t>
      </w:r>
      <w:r>
        <w:rPr>
          <w:b/>
        </w:rPr>
        <w:t xml:space="preserve">DOI: </w:t>
      </w:r>
      <w:hyperlink r:id="rId223">
        <w:r>
          <w:rPr>
            <w:color w:val="1155CC"/>
            <w:u w:val="single"/>
          </w:rPr>
          <w:t>10.1021/jacs.5c18600</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无膜有机物(MLOs)展示了细胞调节所必需的等级和动态结构结构,但重新合成结构复杂性仍然是一个根本性挑战。在这里,我们引入了一个化学燃料消散反应网络,通过组合反应、组装和交互编辑,对凝固液滴子的等级演化进行程序。这个系统建立在硫醇-硫酯交换上,自动地产生表面活性小鼠,随后进行电静复合,形成液态相似的凝固物。随后的硫醇-分硫化物级联产产生了一种不对称的芳香表面活性剂(6),通过cation-和-相互作用有选择地在滴接口上进行浓缩。这一系统是建立在硫醇-硫酸酯交换的基础上的,它会自动生成表面活性小鼠,随后进行电静变复合,形成液状的凝固物。随后的硫醇-分硫化物级联产产生了一种不对称的芳香表面活性剂(6),通过cation-和--相互作用有选择地在滴接口上丰富。这种相互作用的体吸附触发触发对称。</w:t>
      </w:r>
    </w:p>
    <w:p>
      <w:pPr>
        <w:spacing w:before="0" w:after="200" w:lineRule="auto" w:line="276"/>
      </w:pPr>
      <w:r>
        <w:rPr>
          <w:b/>
        </w:rPr>
        <w:t xml:space="preserve">Abstract (EN): </w:t>
      </w:r>
      <w:r>
        <w:t>Membraneless organelles (MLOs) exhibit hierarchical and dynamic architectures essential for cellular regulation, yet recreating such structural complexity synthetically remains a fundamental challenge. Here, we introduce a chemically fueled dissipative reaction network that programs the hierarchical evolution of coacervate droplets through coupled reactions, assembly, and interfacial editing. The system is built on a thiol-thioester exchange that autocatalytically generates surfactant micelles, which subsequently undergo electrostatic complexation to form liquid-like coacervates. A subsequent thiol-disulfide cascade produces an asymmetric aromatic surfactant (6) that selectively enriches at droplet interfaces via cation-π and π-π interactions. This interfacial adsorption triggers symmetry breaking and cavity nucleation within the droplets. Subsequent interfacial softening, fusion-driven reorganization, and kinetic trapping yield stable multicompartmental architectures, while hydrolysis-mediated dissipation ensures system reversibility. Our work establishes a minimal yet programmable chemical platform that integrates autocatalysis, liquid-liquid phase separation (LLPS), and interfacial remodeling to achieve spatiotemporal control over condensate morphology. Beyond offering a mechanistic model for dissipative phase separation, this system provides a versatile strategy to couple reaction networks with self-assembly, paving the way toward adaptive soft materials with life-like organizational complexity.</w:t>
      </w:r>
    </w:p>
    <w:p>
      <w:pPr>
        <w:spacing w:before="120" w:after="120"/>
      </w:pPr>
      <w:r>
        <w:rPr>
          <w:sz w:val="18"/>
        </w:rPr>
        <w:t>——————————————————————————————————————————————————————————————————————</w:t>
      </w:r>
    </w:p>
    <w:p>
      <w:pPr>
        <w:spacing w:before="160" w:after="40" w:line="240" w:lineRule="auto"/>
      </w:pPr>
      <w:r>
        <w:rPr>
          <w:b/>
        </w:rPr>
        <w:t xml:space="preserve">[153] </w:t>
      </w:r>
      <w:hyperlink r:id="rId224">
        <w:r>
          <w:rPr>
            <w:color w:val="1155CC"/>
            <w:u w:val="single"/>
          </w:rPr>
          <w:t>[ASAP]去聚合-诱导的病理转化</w:t>
        </w:r>
      </w:hyperlink>
    </w:p>
    <w:p>
      <w:pPr>
        <w:spacing w:before="0" w:after="80"/>
      </w:pPr>
      <w:r>
        <w:rPr>
          <w:i/>
          <w:sz w:val="20"/>
        </w:rPr>
        <w:t>EN: [ASAP] Depolymerization-Induced Morphological Transformation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2026-01-26 15:51:18+00:00</w:t>
      </w:r>
      <w:r>
        <w:t xml:space="preserve">    </w:t>
      </w:r>
      <w:r>
        <w:rPr>
          <w:b/>
        </w:rPr>
        <w:t xml:space="preserve">DOI: </w:t>
      </w:r>
      <w:hyperlink r:id="rId225">
        <w:r>
          <w:rPr>
            <w:color w:val="1155CC"/>
            <w:u w:val="single"/>
          </w:rPr>
          <w:t>10.1021/jacs.5c18937</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然而,目前的战略几乎完全侧重于单体回收,忽略了更广泛的应用和机会,因此,采用脱聚合诱发的形态变异(DIMT)作为一种模块化方法,以控制静态稳定的二聚共聚聚合纳米粒子的形状,并获得机械学的洞察力,了解在甲氧基成形块选择性降解期间发生的形态变异。 值得注意的是,DIMT的结果是,共聚合物形态的相继演变,从输卵柱到蠕虫到田野。 传输电子显微镜和小角X射线散射(SAXS)研究使预测(假体)阶段变异得以形成。</w:t>
      </w:r>
    </w:p>
    <w:p>
      <w:pPr>
        <w:spacing w:before="0" w:after="200" w:lineRule="auto" w:line="276"/>
      </w:pPr>
      <w:r>
        <w:rPr>
          <w:b/>
        </w:rPr>
        <w:t xml:space="preserve">Abstract (EN): </w:t>
      </w:r>
      <w:r>
        <w:t>Depolymerization offers a powerful route for the chemical recycling of vinyl polymers. However, current strategies focus almost exclusively on monomer recovery, which overlooks broader applications and opportunities. Herein, depolymerization-induced morphological transformation (DIMT) is introduced as a modular methodology to control the shape of sterically stabilized diblock copolymer nanoparticles and gain mechanistic insight into morphological transformations that occur during selective degradation of the methacrylic core-forming block. Notably, DIMT results in a sequential evolution in copolymer morphology from vesicles to worms to spheres. Transmission electron microscopy (TEM) and small-angle X-ray scattering (SAXS) studies enabled the construction of a predictive (pseudo)phase diagram. Furthermore, this new approach was also applied to the irreversible degelation of diblock copolymer worm gels, highlighting new opportunities to regulate material properties through depolymerization.</w:t>
      </w:r>
    </w:p>
    <w:p>
      <w:pPr>
        <w:spacing w:before="120" w:after="120"/>
      </w:pPr>
      <w:r>
        <w:rPr>
          <w:sz w:val="18"/>
        </w:rPr>
        <w:t>——————————————————————————————————————————————————————————————————————</w:t>
      </w:r>
    </w:p>
    <w:p>
      <w:pPr>
        <w:spacing w:before="160" w:after="40" w:line="240" w:lineRule="auto"/>
      </w:pPr>
      <w:r>
        <w:rPr>
          <w:b/>
        </w:rPr>
        <w:t xml:space="preserve">[154] </w:t>
      </w:r>
      <w:hyperlink r:id="rId226">
        <w:r>
          <w:rPr>
            <w:color w:val="1155CC"/>
            <w:u w:val="single"/>
          </w:rPr>
          <w:t>[ASAP]用Hammett 常电动苯并二氮酸衍生物为倒置 Perovskite 太阳能电池进行导导洞聚聚单层</w:t>
        </w:r>
      </w:hyperlink>
    </w:p>
    <w:p>
      <w:pPr>
        <w:spacing w:before="0" w:after="80"/>
      </w:pPr>
      <w:r>
        <w:rPr>
          <w:i/>
          <w:sz w:val="20"/>
        </w:rPr>
        <w:t>EN: [ASAP] Tuning Hole-Collecting Monolayers with Hammett Constant-Engineered Benzoic Acid Derivatives for Inverted Perovskite Solar Cells</w:t>
      </w:r>
    </w:p>
    <w:p>
      <w:pPr>
        <w:spacing w:before="0" w:after="120"/>
      </w:pPr>
      <w:r>
        <w:rPr>
          <w:b/>
        </w:rPr>
        <w:t xml:space="preserve">Source: </w:t>
      </w:r>
      <w:r>
        <w:t>ACS Energy Letters: Latest Articles (ACS Publications)</w:t>
      </w:r>
      <w:r>
        <w:t xml:space="preserve">    </w:t>
      </w:r>
      <w:r>
        <w:rPr>
          <w:b/>
        </w:rPr>
        <w:t xml:space="preserve">Pub date: </w:t>
      </w:r>
      <w:r>
        <w:t>2026-01-26 16:19:03+00:00</w:t>
      </w:r>
      <w:r>
        <w:t xml:space="preserve">    </w:t>
      </w:r>
      <w:r>
        <w:rPr>
          <w:b/>
        </w:rPr>
        <w:t xml:space="preserve">DOI: </w:t>
      </w:r>
      <w:hyperlink r:id="rId227">
        <w:r>
          <w:rPr>
            <w:color w:val="1155CC"/>
            <w:u w:val="single"/>
          </w:rPr>
          <w:t>10.1021/acsenergylett.5c04072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[155] </w:t>
      </w:r>
      <w:hyperlink r:id="rId228">
        <w:r>
          <w:rPr>
            <w:color w:val="1155CC"/>
            <w:u w:val="single"/>
          </w:rPr>
          <w:t>[ASAP] 设计电化能源储存的第三层</w:t>
        </w:r>
      </w:hyperlink>
    </w:p>
    <w:p>
      <w:pPr>
        <w:spacing w:before="0" w:after="80"/>
      </w:pPr>
      <w:r>
        <w:rPr>
          <w:i/>
          <w:sz w:val="20"/>
        </w:rPr>
        <w:t>EN: [ASAP] Architecting the Third Dimension of Electrochemical Energy Storage</w:t>
      </w:r>
    </w:p>
    <w:p>
      <w:pPr>
        <w:spacing w:before="0" w:after="120"/>
      </w:pPr>
      <w:r>
        <w:rPr>
          <w:b/>
        </w:rPr>
        <w:t xml:space="preserve">Source: </w:t>
      </w:r>
      <w:r>
        <w:t>ACS Energy Letters: Latest Articles (ACS Publications)</w:t>
      </w:r>
      <w:r>
        <w:t xml:space="preserve">    </w:t>
      </w:r>
      <w:r>
        <w:rPr>
          <w:b/>
        </w:rPr>
        <w:t xml:space="preserve">Pub date: </w:t>
      </w:r>
      <w:r>
        <w:t>2026-01-26 16:29:01+00:00</w:t>
      </w:r>
      <w:r>
        <w:t xml:space="preserve">    </w:t>
      </w:r>
      <w:r>
        <w:rPr>
          <w:b/>
        </w:rPr>
        <w:t xml:space="preserve">DOI: </w:t>
      </w:r>
      <w:hyperlink r:id="rId229">
        <w:r>
          <w:rPr>
            <w:color w:val="1155CC"/>
            <w:u w:val="single"/>
          </w:rPr>
          <w:t>10.1021/acsenergylett.5c03653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230">
        <w:r>
          <w:rPr>
            <w:color w:val="1155CC"/>
            <w:u w:val="single"/>
          </w:rPr>
          <w:t>[ASAP]水文凝胶作为光电催化能源系统中的功能媒体:实现自我维持的绿色H2代</w:t>
        </w:r>
      </w:hyperlink>
    </w:p>
    <w:p>
      <w:pPr>
        <w:spacing w:before="0" w:after="80"/>
      </w:pPr>
      <w:r>
        <w:rPr>
          <w:i/>
          <w:sz w:val="20"/>
        </w:rPr>
        <w:t>EN: [ASAP] Hydrogels as Functional Media in Photocatalytic Energy Systems: Toward Self-Sustained Green H2 Generation</w:t>
      </w:r>
    </w:p>
    <w:p>
      <w:pPr>
        <w:spacing w:before="0" w:after="120"/>
      </w:pPr>
      <w:r>
        <w:rPr>
          <w:b/>
        </w:rPr>
        <w:t xml:space="preserve">Source: </w:t>
      </w:r>
      <w:r>
        <w:t>ACS Energy Letters: Latest Articles (ACS Publications)</w:t>
      </w:r>
      <w:r>
        <w:t xml:space="preserve">    </w:t>
      </w:r>
      <w:r>
        <w:rPr>
          <w:b/>
        </w:rPr>
        <w:t xml:space="preserve">Pub date: </w:t>
      </w:r>
      <w:r>
        <w:t>2026-01-26 16:47:54+00:00</w:t>
      </w:r>
      <w:r>
        <w:t xml:space="preserve">    </w:t>
      </w:r>
      <w:r>
        <w:rPr>
          <w:b/>
        </w:rPr>
        <w:t xml:space="preserve">DOI: </w:t>
      </w:r>
      <w:hyperlink r:id="rId231">
        <w:r>
          <w:rPr>
            <w:color w:val="1155CC"/>
            <w:u w:val="single"/>
          </w:rPr>
          <w:t>10.1021/acsenergylett.5c04112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232">
        <w:r>
          <w:rPr>
            <w:color w:val="1155CC"/>
            <w:u w:val="single"/>
          </w:rPr>
          <w:t>[ASAP] 在聚氯化物生物合成学中,一种钩轮氧化氧酶类类,挑战贝耶尔-维利格-单氧气酶范式</w:t>
        </w:r>
      </w:hyperlink>
    </w:p>
    <w:p>
      <w:pPr>
        <w:spacing w:before="0" w:after="80"/>
      </w:pPr>
      <w:r>
        <w:rPr>
          <w:i/>
          <w:sz w:val="20"/>
        </w:rPr>
        <w:t>EN: [ASAP] A Hooker Oxygenase Archetype in Polyketide Biosynthesis Challenging the Baeyer–Villiger Monooxygenase Paradigm</w:t>
      </w:r>
    </w:p>
    <w:p>
      <w:pPr>
        <w:spacing w:before="0" w:after="120"/>
      </w:pPr>
      <w:r>
        <w:rPr>
          <w:b/>
        </w:rPr>
        <w:t xml:space="preserve">Source: </w:t>
      </w:r>
      <w:r>
        <w:t>Journal of the American Chemical Society: Latest Articles (ACS Publications)</w:t>
      </w:r>
      <w:r>
        <w:t xml:space="preserve">    </w:t>
      </w:r>
      <w:r>
        <w:rPr>
          <w:b/>
        </w:rPr>
        <w:t xml:space="preserve">Pub date: </w:t>
      </w:r>
      <w:r>
        <w:t>2026-01-26 16:55:25+00:00</w:t>
      </w:r>
      <w:r>
        <w:t xml:space="preserve">    </w:t>
      </w:r>
      <w:r>
        <w:rPr>
          <w:b/>
        </w:rPr>
        <w:t xml:space="preserve">DOI: </w:t>
      </w:r>
      <w:hyperlink r:id="rId233">
        <w:r>
          <w:rPr>
            <w:color w:val="1155CC"/>
            <w:u w:val="single"/>
          </w:rPr>
          <w:t>10.1021/jacs.5c21759</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Actinobacteria的芳香多元物是结构复杂、生物活性天然产品,具有巨大的治疗潜力,其生物合成涉及聚氯化链组装、减少Keto、循环化和芳香化,随后是特定路径的酶裁缝步骤,有时包括稀有的碳骨质氧化性重新排列,如虾化物所示。在本研究中,我们调查RslO9, 一种依赖硅化硅化生物合成的软体裁缝关键酶,以前被虚构,用于促进状基和随后的分子性高温凝聚。通过详细调查RslO9的机械、结构特征和子质范围,我们出乎意料地发现我们对RslO9的机械、结构特征和基质范围进行了详细调查。</w:t>
      </w:r>
    </w:p>
    <w:p>
      <w:pPr>
        <w:spacing w:before="0" w:after="200" w:lineRule="auto" w:line="276"/>
      </w:pPr>
      <w:r>
        <w:rPr>
          <w:b/>
        </w:rPr>
        <w:t xml:space="preserve">Abstract (EN): </w:t>
      </w:r>
      <w:r>
        <w:t>Aromatic polyketides from Actinobacteria are structurally complex bioactive natural products with significant therapeutic potential, whose biosynthesis involves polyketide chain assembly, keto reduction, cyclization, and aromatization. This is followed by pathway-specific enzymatic tailoring steps, occasionally including rare oxidative rearrangements of the carbon skeleton, as exemplified by the rishirilides. In this study, we investigate RslO9, a flavin-dependent tailoring key enzyme of rishirilide biosynthesis, previously hypothesized to facilitate a lactone-forming Baeyer-Villiger oxidation of the rishirilide naphthoquinone core and subsequent intramolecular aldol condensation. Through detailed investigation of RslO9's mechanism, structural features, and substrate scope, we unexpectedly found that the naphthoquinone moiety of the non-natural substrate lapachol undergoes hydroxylation followed by a benzilic acid rearrangement, producing the Hooker intermediate-a hallmark of the intricate Hooker oxidation. Our data support a similar alkyl migration mechanism for RslO9's native substrate, upending its prior classification as a Baeyer-Villiger monooxygenase and challenging the proposed role of related enzymes while also providing a novel framework for exploring their catalytic roles.</w:t>
      </w:r>
    </w:p>
    <w:p>
      <w:pPr>
        <w:spacing w:before="120" w:after="120"/>
      </w:pPr>
      <w:r>
        <w:rPr>
          <w:sz w:val="18"/>
        </w:rPr>
        <w:t>——————————————————————————————————————————————————————————————————————</w:t>
      </w:r>
    </w:p>
    <w:p>
      <w:pPr>
        <w:spacing w:before="160" w:after="40" w:line="240" w:lineRule="auto"/>
      </w:pPr>
      <w:r>
        <w:rPr>
          <w:b/>
        </w:rPr>
        <w:t xml:space="preserve">[158] </w:t>
      </w:r>
      <w:hyperlink r:id="rId234">
        <w:r>
          <w:rPr>
            <w:color w:val="1155CC"/>
            <w:u w:val="single"/>
          </w:rPr>
          <w:t>[ASAP]使用纳克斯+2ySn4-yS8-83.H2O(NMS-7)选择性地从酸介质中去除铅和镉的非常规机制</w:t>
        </w:r>
      </w:hyperlink>
    </w:p>
    <w:p>
      <w:pPr>
        <w:spacing w:before="0" w:after="80"/>
      </w:pPr>
      <w:r>
        <w:rPr>
          <w:i/>
          <w:sz w:val="20"/>
        </w:rPr>
        <w:t>EN: [ASAP] Unconventional Mechanism in the Selective Removal of Lead and Cadmium from Acidic Media Using Nax+2ySn4–yS8·3H2O (NMS-7)</w:t>
      </w:r>
    </w:p>
    <w:p>
      <w:pPr>
        <w:spacing w:before="0" w:after="120"/>
      </w:pPr>
      <w:r>
        <w:rPr>
          <w:b/>
        </w:rPr>
        <w:t xml:space="preserve">Source: </w:t>
      </w:r>
      <w:r>
        <w:t>Journal of the American Chemical Society: Latest Articles (ACS Publications)</w:t>
      </w:r>
      <w:r>
        <w:t xml:space="preserve">    </w:t>
      </w:r>
      <w:r>
        <w:rPr>
          <w:b/>
        </w:rPr>
        <w:t xml:space="preserve">Pub date: </w:t>
      </w:r>
      <w:r>
        <w:t>2026-01-26 17:45:24+00:00</w:t>
      </w:r>
      <w:r>
        <w:t xml:space="preserve">    </w:t>
      </w:r>
      <w:r>
        <w:rPr>
          <w:b/>
        </w:rPr>
        <w:t xml:space="preserve">DOI: </w:t>
      </w:r>
      <w:hyperlink r:id="rId235">
        <w:r>
          <w:rPr>
            <w:color w:val="1155CC"/>
            <w:u w:val="single"/>
          </w:rPr>
          <w:t>10.1021/jacs.5c14558</w:t>
        </w:r>
      </w:hyperlink>
    </w:p>
    <w:p>
      <w:pPr>
        <w:spacing w:before="0" w:after="120"/>
      </w:pPr>
      <w:r>
        <w:rPr>
          <w:b/>
        </w:rPr>
        <w:t xml:space="preserve">Notes: </w:t>
      </w:r>
      <w:r>
        <w:t>abstract_source=semanticscholar; must_have_abstract=True</w:t>
      </w:r>
    </w:p>
    <w:p>
      <w:pPr>
        <w:spacing w:before="0" w:after="80" w:lineRule="auto" w:line="276"/>
      </w:pPr>
      <w:r>
        <w:rPr>
          <w:b/>
        </w:rPr>
        <w:t xml:space="preserve">摘要（ZH）: </w:t>
      </w:r>
      <w:r>
        <w:t>金属硫化离子交换器(MSIE)是有希望的吸附剂,可选择性地从水中去除有毒重金属,但酸性介质中的离子交换机制仍然不甚为人知。在这里,我们重新审视了分层的MSIE Na2Sn2.5S6/3H2O(NMS-7),通过微粒化和补充光谱分析来确定其真实的构成和结构,并将其与相关但不易变的纳4Sn2Sn2S6.NMS-7在SnS2衍生框架中可以进入的Na+站点与层间水相结合,从而能够快速地化学地吸收Pb2+和Cd2+,在20分钟内达到平衡,在pH 5时达到382和217毫克/g的能力,与理想的2Na+/M2+交换光度测量值形成对比。材料在宽的pH窗口和复杂的基质表上保持高的去除效率。</w:t>
      </w:r>
    </w:p>
    <w:p>
      <w:pPr>
        <w:spacing w:before="0" w:after="200" w:lineRule="auto" w:line="276"/>
      </w:pPr>
      <w:r>
        <w:rPr>
          <w:b/>
        </w:rPr>
        <w:t xml:space="preserve">Abstract (EN): </w:t>
      </w:r>
      <w:r>
        <w:t>Metal sulfide ion exchangers (MSIEs) are promising sorbents for the selective removal of toxic heavy metals from water, yet their ion exchange mechanisms in acidic media remain poorly understood. Here we revisit the layered MSIE Na2Sn2.5S6·3H2O (NMS-7), establish its true composition and structure by MicroED and complementary spectroscopy, and contrast it with the related but nonexchanging phase Na4Sn2S6. NMS-7 combines accessible Na+ sites in a SnS2-derived framework with interlayer water, enabling rapid chemisorptive uptake of Pb2+ and Cd2+, with equilibrium reached within 20 min and capacities of 382 and 217 mg/g at pH ≈ 5, consistent with an ideal 2Na+/M2+ exchange stoichiometry. The material maintains high removal efficiencies across a broad pH window and in complex matrices, while the protonated solid acid H2Sn2.5S6 (HMS-7) formed in strong acid, exhibits reduced, incomplete exchange. PXRD, S/TEM, solid state NMR, and Pb L3-edge EXAFS reveals that Pb and Cd uptake in acidic media does not proceed by classical intercalation but through an inhomogeneous mechanism where protonated and metal-rich domains coexist within the same crystallites; in particular, atomically resolved HRTEM directly images nanoscale banded contrast associated with alternating metal rich and metal poor regions, while EXAFS analysis reveal two distinct first shell Pb-S coordination environments distinct from bulk PbS. Our findings define NMS-7 as a structurally well-defined, high-performance sorbent and show that local probes are essential to resolve coupled protonation and metal exchange governing soft divalent cation behavior in layered MSIEs.</w:t>
      </w:r>
    </w:p>
    <w:p>
      <w:pPr>
        <w:spacing w:before="120" w:after="120"/>
      </w:pPr>
      <w:r>
        <w:rPr>
          <w:sz w:val="18"/>
        </w:rPr>
        <w:t>——————————————————————————————————————————————————————————————————————</w:t>
      </w:r>
    </w:p>
    <w:p>
      <w:pPr>
        <w:spacing w:before="160" w:after="40" w:line="240" w:lineRule="auto"/>
      </w:pPr>
      <w:r>
        <w:rPr>
          <w:b/>
        </w:rPr>
        <w:t xml:space="preserve">[159] </w:t>
      </w:r>
      <w:hyperlink r:id="rId236">
        <w:r>
          <w:rPr>
            <w:color w:val="1155CC"/>
            <w:u w:val="single"/>
          </w:rPr>
          <w:t>[ASAP]多功能氟化多功能自可允许的添加性能提高 Perovskite光电效应的性能</w:t>
        </w:r>
      </w:hyperlink>
    </w:p>
    <w:p>
      <w:pPr>
        <w:spacing w:before="0" w:after="80"/>
      </w:pPr>
      <w:r>
        <w:rPr>
          <w:i/>
          <w:sz w:val="20"/>
        </w:rPr>
        <w:t>EN: [ASAP] Multifunctional Fluorinated Self-Polymerizable Additive Improves the Performance of Perovskite Photovoltaics</w:t>
      </w:r>
    </w:p>
    <w:p>
      <w:pPr>
        <w:spacing w:before="0" w:after="120"/>
      </w:pPr>
      <w:r>
        <w:rPr>
          <w:b/>
        </w:rPr>
        <w:t xml:space="preserve">Source: </w:t>
      </w:r>
      <w:r>
        <w:t>ACS Energy Letters: Latest Articles (ACS Publications)</w:t>
      </w:r>
      <w:r>
        <w:t xml:space="preserve">    </w:t>
      </w:r>
      <w:r>
        <w:rPr>
          <w:b/>
        </w:rPr>
        <w:t xml:space="preserve">Pub date: </w:t>
      </w:r>
      <w:r>
        <w:t>2026-01-26 18:17:16+00:00</w:t>
      </w:r>
      <w:r>
        <w:t xml:space="preserve">    </w:t>
      </w:r>
      <w:r>
        <w:rPr>
          <w:b/>
        </w:rPr>
        <w:t xml:space="preserve">DOI: </w:t>
      </w:r>
      <w:hyperlink r:id="rId237">
        <w:r>
          <w:rPr>
            <w:color w:val="1155CC"/>
            <w:u w:val="single"/>
          </w:rPr>
          <w:t>10.1021/acsenergylett.5c03901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238">
        <w:r>
          <w:rPr>
            <w:color w:val="1155CC"/>
            <w:u w:val="single"/>
          </w:rPr>
          <w:t>[ASAP] 高稳定支持的Cu-Ni Dilute Alloyd Alloy 催化器,以高效CO2 改良甲烷</w:t>
        </w:r>
      </w:hyperlink>
    </w:p>
    <w:p>
      <w:pPr>
        <w:spacing w:before="0" w:after="80"/>
      </w:pPr>
      <w:r>
        <w:rPr>
          <w:i/>
          <w:sz w:val="20"/>
        </w:rPr>
        <w:t>EN: [ASAP] Highly Stable Supported Cu–Ni Dilute Alloy Catalyst for Efficient CO2 Reforming of Methane</w:t>
      </w:r>
    </w:p>
    <w:p>
      <w:pPr>
        <w:spacing w:before="0" w:after="120"/>
      </w:pPr>
      <w:r>
        <w:rPr>
          <w:b/>
        </w:rPr>
        <w:t xml:space="preserve">Source: </w:t>
      </w:r>
      <w:r>
        <w:t>Journal of the American Chemical Society: Latest Articles (ACS Publications)</w:t>
      </w:r>
      <w:r>
        <w:t xml:space="preserve">    </w:t>
      </w:r>
      <w:r>
        <w:rPr>
          <w:b/>
        </w:rPr>
        <w:t xml:space="preserve">Pub date: </w:t>
      </w:r>
      <w:r>
        <w:t>2026-01-26 18:18:40+00:00</w:t>
      </w:r>
      <w:r>
        <w:t xml:space="preserve">    </w:t>
      </w:r>
      <w:r>
        <w:rPr>
          <w:b/>
        </w:rPr>
        <w:t xml:space="preserve">DOI: </w:t>
      </w:r>
      <w:hyperlink r:id="rId239">
        <w:r>
          <w:rPr>
            <w:color w:val="1155CC"/>
            <w:u w:val="single"/>
          </w:rPr>
          <w:t>10.1021/jacs.5c20379</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甲烷的CO2改革,又称为甲烷的干改,为CO2和CH4催化转化产生H2,提供了前景光明的前景,但需要高活度和在恶劣条件下稳定运作的低成本催化剂,现在我们报告有这种催化剂,由铜-镍纳米粒子组成,作为支持。催化剂在1 200多小时的流量反应器中以高活度运作,以CH4:CO2:N2为饲料,以1:1:1的摩尔比例进行连续操作。 1 原X光吸收光光谱显示,催化剂包括操作期间镍的稀释合金,在700°C对金属交接和形成碳化矿床具有抗力。 数据符合关于催化剂是一种单方体的建议。</w:t>
      </w:r>
    </w:p>
    <w:p>
      <w:pPr>
        <w:spacing w:before="0" w:after="200" w:lineRule="auto" w:line="276"/>
      </w:pPr>
      <w:r>
        <w:rPr>
          <w:b/>
        </w:rPr>
        <w:t xml:space="preserve">Abstract (EN): </w:t>
      </w:r>
      <w:r>
        <w:t>CO2 reforming of methane, also known as dry reforming of methane, offers promising prospects for the catalytic conversion of CO2 and CH4 to produce H2, but low-cost catalysts with high activity and stability in operation under severe conditions are needed. We now report such a catalyst, consisting of copper-nickel nanoparticles on a support. The catalyst operated with high activity for more than 1200 h of continuous operation in a flow reactor with a feed of CH4:CO2:N2 in a molar ratio of 1:1:1. In-situ X-ray absorption spectra show that the catalyst consisted of a dilute alloy of copper in nickel during operation, being resistant to metal sintering and the formation of carbonaceous deposits even at 700 °C. The data are consistent with the suggestion that the catalyst was a single-atom alloy and point to the possibility of a range of applications of such catalysts.</w:t>
      </w:r>
    </w:p>
    <w:p>
      <w:pPr>
        <w:spacing w:before="120" w:after="120"/>
      </w:pPr>
      <w:r>
        <w:rPr>
          <w:sz w:val="18"/>
        </w:rPr>
        <w:t>——————————————————————————————————————————————————————————————————————</w:t>
      </w:r>
    </w:p>
    <w:p>
      <w:pPr>
        <w:spacing w:before="160" w:after="40" w:line="240" w:lineRule="auto"/>
      </w:pPr>
      <w:r>
        <w:rPr>
          <w:b/>
        </w:rPr>
        <w:t xml:space="preserve">[161] </w:t>
      </w:r>
      <w:hyperlink r:id="rId240">
        <w:r>
          <w:rPr>
            <w:color w:val="1155CC"/>
            <w:u w:val="single"/>
          </w:rPr>
          <w:t>[ASAP]通过可解释机器学习消除环境对 Perovskite太阳能细胞性能的影响</w:t>
        </w:r>
      </w:hyperlink>
    </w:p>
    <w:p>
      <w:pPr>
        <w:spacing w:before="0" w:after="80"/>
      </w:pPr>
      <w:r>
        <w:rPr>
          <w:i/>
          <w:sz w:val="20"/>
        </w:rPr>
        <w:t>EN: [ASAP] Disentangling Environmental Effects on Perovskite Solar Cell Performance via Interpretable Machine Learning</w:t>
      </w:r>
    </w:p>
    <w:p>
      <w:pPr>
        <w:spacing w:before="0" w:after="120"/>
      </w:pPr>
      <w:r>
        <w:rPr>
          <w:b/>
        </w:rPr>
        <w:t xml:space="preserve">Source: </w:t>
      </w:r>
      <w:r>
        <w:t>ACS Energy Letters: Latest Articles (ACS Publications)</w:t>
      </w:r>
      <w:r>
        <w:t xml:space="preserve">    </w:t>
      </w:r>
      <w:r>
        <w:rPr>
          <w:b/>
        </w:rPr>
        <w:t xml:space="preserve">Pub date: </w:t>
      </w:r>
      <w:r>
        <w:t>2026-01-26 18:31:58+00:00</w:t>
      </w:r>
      <w:r>
        <w:t xml:space="preserve">    </w:t>
      </w:r>
      <w:r>
        <w:rPr>
          <w:b/>
        </w:rPr>
        <w:t xml:space="preserve">DOI: </w:t>
      </w:r>
      <w:hyperlink r:id="rId241">
        <w:r>
          <w:rPr>
            <w:color w:val="1155CC"/>
            <w:u w:val="single"/>
          </w:rPr>
          <w:t>10.1021/acsenergylett.5c02410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242">
        <w:r>
          <w:rPr>
            <w:color w:val="1155CC"/>
            <w:u w:val="single"/>
          </w:rPr>
          <w:t>[ASAP] 两种不同材料中的对称-多发多发性多发性 Altermagnetism</w:t>
        </w:r>
      </w:hyperlink>
    </w:p>
    <w:p>
      <w:pPr>
        <w:spacing w:before="0" w:after="80"/>
      </w:pPr>
      <w:r>
        <w:rPr>
          <w:i/>
          <w:sz w:val="20"/>
        </w:rPr>
        <w:t>EN: [ASAP] Symmetry-Driven Multiferroic Altermagnetism in Two-Dimensional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2026-01-26 18:40:40+00:00</w:t>
      </w:r>
      <w:r>
        <w:t xml:space="preserve">    </w:t>
      </w:r>
      <w:r>
        <w:rPr>
          <w:b/>
        </w:rPr>
        <w:t xml:space="preserve">DOI: </w:t>
      </w:r>
      <w:hyperlink r:id="rId243">
        <w:r>
          <w:rPr>
            <w:color w:val="1155CC"/>
            <w:u w:val="single"/>
          </w:rPr>
          <w:t>10.1021/jacs.5c16402</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其特征是,在以净磁化消失的圆状反平行旋翼中,以动力依赖动力的旋转两极化为特征,它代表了超出常规的铁磁和反地球磁分类的明显磁级,这种现象源于独特的旋转组合对称,它具有不同的旋转和空间自由度,使非相对性脊柱式脊柱式电子波段得以形成。将这一现象与多电子化结合到二维(2D)材料中为量子状态操纵提供了前所未有的机会。然而,关于这种多功能材料的统一理论框架仍然不发达。在这里,我们建立了一个对称法驱动框架,确定了四点类物种(14832222mF2m12、2413122mF2m12、2418F22和2222F22)。</w:t>
      </w:r>
    </w:p>
    <w:p>
      <w:pPr>
        <w:spacing w:before="0" w:after="200" w:lineRule="auto" w:line="276"/>
      </w:pPr>
      <w:r>
        <w:rPr>
          <w:b/>
        </w:rPr>
        <w:t xml:space="preserve">Abstract (EN): </w:t>
      </w:r>
      <w:r>
        <w:t>Altermagnetism, characterized by momentum-dependent spin polarization in collinear antiparallel spins with vanishing net magnetization, represents a distinct magnetic phase beyond conventional ferromagnetic and antiferromagnetic classifications. This phenomenon arises from unique spin group symmetries that decouple spin and spatial degrees of freedom, enabling nonrelativistic spin-split electronic bands. Integrating this phenomenon with multiferroicity in two-dimensional (2D) materials offers unprecedented opportunities for quantum state manipulation. However, a unified theoretical framework for such multifunctional materials remains underdeveloped. Here, we establish a symmetry-driven framework identifying four point group species (14̅222mF2m2m12, 24̅122mF2m2m12, 24̅F22, and 222212F22) that can simultaneously host altermagnetism, ferroelasticity, and out-of-plane ferroelectricity, termed altriferroicity. First-principles calculations further validate this framework in Fe2WS2Se2 and half-fluorinated Cr-based metal-organic frameworks, revealing robust spin-lattice-charge coupling. Our work establishes symmetry-guided design as a powerful approach for unlocking emergent quantum phenomena in 2D materials for spintronic and valleytronic applications.</w:t>
      </w:r>
    </w:p>
    <w:p>
      <w:pPr>
        <w:spacing w:before="120" w:after="120"/>
      </w:pPr>
      <w:r>
        <w:rPr>
          <w:sz w:val="18"/>
        </w:rPr>
        <w:t>——————————————————————————————————————————————————————————————————————</w:t>
      </w:r>
    </w:p>
    <w:p>
      <w:pPr>
        <w:spacing w:before="160" w:after="40" w:line="240" w:lineRule="auto"/>
      </w:pPr>
      <w:r>
        <w:rPr>
          <w:b/>
        </w:rPr>
        <w:t xml:space="preserve">[163] </w:t>
      </w:r>
      <w:hyperlink r:id="rId244">
        <w:r>
          <w:rPr>
            <w:color w:val="1155CC"/>
            <w:u w:val="single"/>
          </w:rPr>
          <w:t>[ASAP]发展复制合成分析的多局部计算模型:(-)-脱氧limonin的合成总量</w:t>
        </w:r>
      </w:hyperlink>
    </w:p>
    <w:p>
      <w:pPr>
        <w:spacing w:before="0" w:after="80"/>
      </w:pPr>
      <w:r>
        <w:rPr>
          <w:i/>
          <w:sz w:val="20"/>
        </w:rPr>
        <w:t>EN: [ASAP] Development of Multiple Local Computational Models in Retrosynthetic Analysis: Total Synthesis of (−)-Deoxylimonin</w:t>
      </w:r>
    </w:p>
    <w:p>
      <w:pPr>
        <w:spacing w:before="0" w:after="120"/>
      </w:pPr>
      <w:r>
        <w:rPr>
          <w:b/>
        </w:rPr>
        <w:t xml:space="preserve">Source: </w:t>
      </w:r>
      <w:r>
        <w:t>Journal of the American Chemical Society: Latest Articles (ACS Publications)</w:t>
      </w:r>
      <w:r>
        <w:t xml:space="preserve">    </w:t>
      </w:r>
      <w:r>
        <w:rPr>
          <w:b/>
        </w:rPr>
        <w:t xml:space="preserve">Pub date: </w:t>
      </w:r>
      <w:r>
        <w:t>2026-01-26 20:01:23+00:00</w:t>
      </w:r>
      <w:r>
        <w:t xml:space="preserve">    </w:t>
      </w:r>
      <w:r>
        <w:rPr>
          <w:b/>
        </w:rPr>
        <w:t xml:space="preserve">DOI: </w:t>
      </w:r>
      <w:hyperlink r:id="rId245">
        <w:r>
          <w:rPr>
            <w:color w:val="1155CC"/>
            <w:u w:val="single"/>
          </w:rPr>
          <w:t>10.1021/jacs.5c21055</w:t>
        </w:r>
      </w:hyperlink>
    </w:p>
    <w:p>
      <w:pPr>
        <w:spacing w:before="0" w:after="120"/>
      </w:pPr>
      <w:r>
        <w:rPr>
          <w:b/>
        </w:rPr>
        <w:t xml:space="preserve">Notes: </w:t>
      </w:r>
      <w:r>
        <w:t>abstract_source=semanticscholar; must_have_abstract=True</w:t>
      </w:r>
    </w:p>
    <w:p>
      <w:pPr>
        <w:spacing w:before="0" w:after="80" w:lineRule="auto" w:line="276"/>
      </w:pPr>
      <w:r>
        <w:rPr>
          <w:b/>
        </w:rPr>
        <w:t xml:space="preserve">摘要（ZH）: </w:t>
      </w:r>
      <w:r>
        <w:t>这项工作描述了利用强大的合成操作来利用A,D-seco型豪华轿车进入A,D-seco型豪华轿车的战略的制定情况,利用这种操作可以合成一个典型成员 -- -- 脱氧硅素 -- -- 的合成操作。复古合成战略仅用具有弹性的化学来组合关键的圆环环环环环环环环环环环环环三环循环,然后通过现代的变异组合加以合并,利用氧环环-迈克尔反应作为关键的合成操作。两种离散的本地计算模型已经开发并迅速纳入复古合成分析的设计阶段,说明多种本地模型如何增强变换和结构目标方法的交叉。</w:t>
      </w:r>
    </w:p>
    <w:p>
      <w:pPr>
        <w:spacing w:before="0" w:after="200" w:lineRule="auto" w:line="276"/>
      </w:pPr>
      <w:r>
        <w:rPr>
          <w:b/>
        </w:rPr>
        <w:t xml:space="preserve">Abstract (EN): </w:t>
      </w:r>
      <w:r>
        <w:t>This work describes the development of a de novo strategy to access the A,D-seco limonoids utilizing robust synthetic operations allowing for the synthesis of a characteristic member, deoxylimonin. The retrosynthetic strategy uses resilient chemistry for the assemblage of a key carbocyclic tricycle in only 8 synthetic maneuvers. This intermediate is then amalgamated through a modern variation on the classic combination of ring cleavage and formation using an oxy-Michael reaction as a key synthetic operation. Two discrete local computational models were developed and rapidly integrated into the design stages of retrosynthetic analysis, illustrating how multiple local models augment the intersection of transform-based and structure-goal-based approaches.</w:t>
      </w:r>
    </w:p>
    <w:p>
      <w:pPr>
        <w:spacing w:before="120" w:after="120"/>
      </w:pPr>
      <w:r>
        <w:rPr>
          <w:sz w:val="18"/>
        </w:rPr>
        <w:t>——————————————————————————————————————————————————————————————————————</w:t>
      </w:r>
    </w:p>
    <w:p>
      <w:pPr>
        <w:spacing w:before="160" w:after="40" w:line="240" w:lineRule="auto"/>
      </w:pPr>
      <w:r>
        <w:rPr>
          <w:b/>
        </w:rPr>
        <w:t xml:space="preserve">[164] </w:t>
      </w:r>
      <w:hyperlink r:id="rId246">
        <w:r>
          <w:rPr>
            <w:color w:val="1155CC"/>
            <w:u w:val="single"/>
          </w:rPr>
          <w:t>[ASAP] 金属-有机纳米材料封闭空间的分子机动车轻诱旋转</w:t>
        </w:r>
      </w:hyperlink>
    </w:p>
    <w:p>
      <w:pPr>
        <w:spacing w:before="0" w:after="80"/>
      </w:pPr>
      <w:r>
        <w:rPr>
          <w:i/>
          <w:sz w:val="20"/>
        </w:rPr>
        <w:t>EN: [ASAP] Light-Induced Rotation of a Molecular Motor in the Confined Space of a Metal–Organic Nanocage</w:t>
      </w:r>
    </w:p>
    <w:p>
      <w:pPr>
        <w:spacing w:before="0" w:after="120"/>
      </w:pPr>
      <w:r>
        <w:rPr>
          <w:b/>
        </w:rPr>
        <w:t xml:space="preserve">Source: </w:t>
      </w:r>
      <w:r>
        <w:t>Journal of the American Chemical Society: Latest Articles (ACS Publications)</w:t>
      </w:r>
      <w:r>
        <w:t xml:space="preserve">    </w:t>
      </w:r>
      <w:r>
        <w:rPr>
          <w:b/>
        </w:rPr>
        <w:t xml:space="preserve">Pub date: </w:t>
      </w:r>
      <w:r>
        <w:t>2026-01-26 20:09:24+00:00</w:t>
      </w:r>
      <w:r>
        <w:t xml:space="preserve">    </w:t>
      </w:r>
      <w:r>
        <w:rPr>
          <w:b/>
        </w:rPr>
        <w:t xml:space="preserve">DOI: </w:t>
      </w:r>
      <w:hyperlink r:id="rId247">
        <w:r>
          <w:rPr>
            <w:color w:val="1155CC"/>
            <w:u w:val="single"/>
          </w:rPr>
          <w:t>10.1021/jacs.5c16349</w:t>
        </w:r>
      </w:hyperlink>
    </w:p>
    <w:p>
      <w:pPr>
        <w:spacing w:before="0" w:after="120"/>
      </w:pPr>
      <w:r>
        <w:rPr>
          <w:b/>
        </w:rPr>
        <w:t xml:space="preserve">Notes: </w:t>
      </w:r>
      <w:r>
        <w:t>abstract_source=pubmed</w:t>
      </w:r>
    </w:p>
    <w:p>
      <w:pPr>
        <w:spacing w:before="0" w:after="80" w:lineRule="auto" w:line="276"/>
      </w:pPr>
      <w:r>
        <w:rPr>
          <w:b/>
        </w:rPr>
        <w:t xml:space="preserve">摘要（ZH）: </w:t>
      </w:r>
      <w:r>
        <w:t>分子运动自二十多年前开始以来,在多种环境中运作着分子运动,其中特别令人感兴趣的是建立发动机旋转运动结构参照框架的系统,例如表面嵌入的发动机吸附器,嵌入框架材料中的发动机,作为液体晶体中的斗篷,或并入聚合物基体。将分子运动作为客人嵌入超分子笼内组装,但仍然是一个未探索的战略。这些系统特别吸引人,因为如果该运动不导致客机的释放,这些系统允许发动机轮动从组装中驱动机械运动,只要该运动不导致客机的释放。这里是第一个以热和光驱动全360度热和光源驱动的客座系统。</w:t>
      </w:r>
    </w:p>
    <w:p>
      <w:pPr>
        <w:spacing w:before="0" w:after="200" w:lineRule="auto" w:line="276"/>
      </w:pPr>
      <w:r>
        <w:rPr>
          <w:b/>
        </w:rPr>
        <w:t xml:space="preserve">Abstract (EN): </w:t>
      </w:r>
      <w:r>
        <w:t>Molecular motors have been operated in a myriad of environments since their inception more than two decades ago. Of particular interest are systems in which a structural frame of reference for the motor's rotary motion is established. Examples include motors adsorbed on surfaces, embedded in framework materials, used as dopants in liquid crystals, or incorporated into polymer matrices. Embedding the molecular motor as a guest in a supramolecular cage assembly, however, remains an unexplored strategy. Such systems are particularly attractive, as they would allow the motor's rotation to drive mechanical motion from within the assembly, provided the motion does not lead to the guest motor's release. Here, the first motor-nanocage host-guest system in which a thermal and light-driven full 360° unidirectional rotational cycle occurs within the confined space of the nanocage is reported. We identified key structural elements that enable the formation of a host-molecular motor complex with unprecedented stability, governed by a noncovalent interaction between the motor's alkyl-COOH moiety and a carbonyl residue on the cage. This strategy allows the formation of stable host-guest complexes without relying on a size-induced fit, as is commonly observed in other inclusion complexes. This enables rotation to occur within the cage cavity despite dramatic geometric changes. We envision this strategy as a valuable tool for developing a new generation of molecular motors operating in confined spaces.</w:t>
      </w:r>
    </w:p>
    <w:p>
      <w:pPr>
        <w:spacing w:before="120" w:after="120"/>
      </w:pPr>
      <w:r>
        <w:rPr>
          <w:sz w:val="18"/>
        </w:rPr>
        <w:t>——————————————————————————————————————————————————————————————————————</w:t>
      </w:r>
    </w:p>
    <w:p>
      <w:pPr>
        <w:spacing w:before="160" w:after="40" w:line="240" w:lineRule="auto"/>
      </w:pPr>
      <w:r>
        <w:rPr>
          <w:b/>
        </w:rPr>
        <w:t xml:space="preserve">[165] </w:t>
      </w:r>
      <w:hyperlink r:id="rId248">
        <w:r>
          <w:rPr>
            <w:color w:val="1155CC"/>
            <w:u w:val="single"/>
          </w:rPr>
          <w:t>[ASAP] 氯化活化碳化物薄膜中的抗辐射缺陷</w:t>
        </w:r>
      </w:hyperlink>
    </w:p>
    <w:p>
      <w:pPr>
        <w:spacing w:before="0" w:after="80"/>
      </w:pPr>
      <w:r>
        <w:rPr>
          <w:i/>
          <w:sz w:val="20"/>
        </w:rPr>
        <w:t>EN: [ASAP] Radiative Defects in Chloride-Activated CdSe Thin Films</w:t>
      </w:r>
    </w:p>
    <w:p>
      <w:pPr>
        <w:spacing w:before="0" w:after="120"/>
      </w:pPr>
      <w:r>
        <w:rPr>
          <w:b/>
        </w:rPr>
        <w:t xml:space="preserve">Source: </w:t>
      </w:r>
      <w:r>
        <w:t>ACS Energy Letters: Latest Articles (ACS Publications)</w:t>
      </w:r>
      <w:r>
        <w:t xml:space="preserve">    </w:t>
      </w:r>
      <w:r>
        <w:rPr>
          <w:b/>
        </w:rPr>
        <w:t xml:space="preserve">Pub date: </w:t>
      </w:r>
      <w:r>
        <w:t>2026-01-26 20:11:21+00:00</w:t>
      </w:r>
      <w:r>
        <w:t xml:space="preserve">    </w:t>
      </w:r>
      <w:r>
        <w:rPr>
          <w:b/>
        </w:rPr>
        <w:t xml:space="preserve">DOI: </w:t>
      </w:r>
      <w:hyperlink r:id="rId249">
        <w:r>
          <w:rPr>
            <w:color w:val="1155CC"/>
            <w:u w:val="single"/>
          </w:rPr>
          <w:t>10.1021/acsenergylett.5c03191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250">
        <w:r>
          <w:rPr>
            <w:color w:val="1155CC"/>
            <w:u w:val="single"/>
          </w:rPr>
          <w:t>[ASAP] 解开在高环球合金催化剂中混合成倍活动关系:越多,越好?</w:t>
        </w:r>
      </w:hyperlink>
    </w:p>
    <w:p>
      <w:pPr>
        <w:spacing w:before="0" w:after="80"/>
      </w:pPr>
      <w:r>
        <w:rPr>
          <w:i/>
          <w:sz w:val="20"/>
        </w:rPr>
        <w:t>EN: [ASAP] Unraveling the Mixing Entropy-Activity Relationship in High Entropy Alloy Catalysts: The More, The Better?</w:t>
      </w:r>
    </w:p>
    <w:p>
      <w:pPr>
        <w:spacing w:before="0" w:after="120"/>
      </w:pPr>
      <w:r>
        <w:rPr>
          <w:b/>
        </w:rPr>
        <w:t xml:space="preserve">Source: </w:t>
      </w:r>
      <w:r>
        <w:t>Journal of the American Chemical Society: Latest Articles (ACS Publications)</w:t>
      </w:r>
      <w:r>
        <w:t xml:space="preserve">    </w:t>
      </w:r>
      <w:r>
        <w:rPr>
          <w:b/>
        </w:rPr>
        <w:t xml:space="preserve">Pub date: </w:t>
      </w:r>
      <w:r>
        <w:t>2026-01-26 20:21:31+00:00</w:t>
      </w:r>
      <w:r>
        <w:t xml:space="preserve">    </w:t>
      </w:r>
      <w:r>
        <w:rPr>
          <w:b/>
        </w:rPr>
        <w:t xml:space="preserve">DOI: </w:t>
      </w:r>
      <w:hyperlink r:id="rId251">
        <w:r>
          <w:rPr>
            <w:color w:val="1155CC"/>
            <w:u w:val="single"/>
          </w:rPr>
          <w:t>10.1021/jacs.5c15697</w:t>
        </w:r>
      </w:hyperlink>
    </w:p>
    <w:p>
      <w:pPr>
        <w:spacing w:before="0" w:after="120"/>
      </w:pPr>
      <w:r>
        <w:rPr>
          <w:b/>
        </w:rPr>
        <w:t xml:space="preserve">Notes: </w:t>
      </w:r>
      <w:r>
        <w:t>abstract_source=pubmed</w:t>
      </w:r>
    </w:p>
    <w:p>
      <w:pPr>
        <w:spacing w:before="0" w:after="80" w:lineRule="auto" w:line="276"/>
      </w:pPr>
      <w:r>
        <w:rPr>
          <w:b/>
        </w:rPr>
        <w:t xml:space="preserve">摘要（ZH）: </w:t>
      </w:r>
      <w:r>
        <w:t>各种出版物都报告高合金(HEA)催化剂具有特殊活动,因此产生了一种幸存者偏见,这意味着混合酶会直接增加活动。然而,许多筛选研究表明情况不同。在一个多元素构成活动空间中,一个低到中等的2-或3元素成分的构成往往是最活跃的催化剂。在这项工作中,我们调查一个合金的复杂性(可以用混合酶表示)与其利用理论和统计模型进行的最大活动之间的关系。根据我们的分析,我们提出了一种假设,即HEA催化剂的表面复杂性-活动关系。也就是说,一个合金表面的内在活动是由两个对立力量定义的:</w:t>
      </w:r>
    </w:p>
    <w:p>
      <w:pPr>
        <w:spacing w:before="0" w:after="200" w:lineRule="auto" w:line="276"/>
      </w:pPr>
      <w:r>
        <w:rPr>
          <w:b/>
        </w:rPr>
        <w:t xml:space="preserve">Abstract (EN): </w:t>
      </w:r>
      <w:r>
        <w:t>The variety of publications reporting high-entropy alloy (HEA) catalysts with exceptional activities creates a survivor bias, implying that the mixing entropy directly increases the activity. However, many screening studies show a different picture. In a multielement composition-activity space, often a low to medium entropic 2- or 3-element composition emerges as the most active catalyst. In this work, we investigate the relationship between the complexity of an alloy, which can be expressed in mixing entropy, and its maximum possible activity using theory and statistical modeling. Based on our analysis, we propose a hypothesis for the surface complexity-activity relationship of HEA catalysts. Namely, the intrinsic activity of an alloyed surface is defined by two opposing forces: positive ligand interactions that enhance the activity and the statistical dilution of active sites. As a result, the relationship between the surface complexity-activity shows qualitatively a volcano-like behavior. At first, adding elements increases the activity due to favorable ligand interactions. Yet, at some point, the catalytic benefit from increasing the complexity of the surface gets outweighed by the dilution of the catalytic sites. Correspondingly, this hypothesis states that there is an optimal ratio between the surface complexity and catalytic activity.</w:t>
      </w:r>
    </w:p>
    <w:p>
      <w:pPr>
        <w:spacing w:before="120" w:after="120"/>
      </w:pPr>
      <w:r>
        <w:rPr>
          <w:sz w:val="18"/>
        </w:rPr>
        <w:t>——————————————————————————————————————————————————————————————————————</w:t>
      </w:r>
    </w:p>
    <w:p>
      <w:pPr>
        <w:spacing w:before="160" w:after="40" w:line="240" w:lineRule="auto"/>
      </w:pPr>
      <w:r>
        <w:rPr>
          <w:b/>
        </w:rPr>
        <w:t xml:space="preserve">[167] </w:t>
      </w:r>
      <w:hyperlink r:id="rId252">
        <w:r>
          <w:rPr>
            <w:color w:val="1155CC"/>
            <w:u w:val="single"/>
          </w:rPr>
          <w:t>[ASAP]黄金(III)替代金币</w:t>
        </w:r>
      </w:hyperlink>
    </w:p>
    <w:p>
      <w:pPr>
        <w:spacing w:before="0" w:after="80"/>
      </w:pPr>
      <w:r>
        <w:rPr>
          <w:i/>
          <w:sz w:val="20"/>
        </w:rPr>
        <w:t>EN: [ASAP] Gold(III)-Substituted Carbenes</w:t>
      </w:r>
    </w:p>
    <w:p>
      <w:pPr>
        <w:spacing w:before="0" w:after="120"/>
      </w:pPr>
      <w:r>
        <w:rPr>
          <w:b/>
        </w:rPr>
        <w:t xml:space="preserve">Source: </w:t>
      </w:r>
      <w:r>
        <w:t>Journal of the American Chemical Society: Latest Articles (ACS Publications)</w:t>
      </w:r>
      <w:r>
        <w:t xml:space="preserve">    </w:t>
      </w:r>
      <w:r>
        <w:rPr>
          <w:b/>
        </w:rPr>
        <w:t xml:space="preserve">Pub date: </w:t>
      </w:r>
      <w:r>
        <w:t>2026-01-26 20:22:06+00:00</w:t>
      </w:r>
      <w:r>
        <w:t xml:space="preserve">    </w:t>
      </w:r>
      <w:r>
        <w:rPr>
          <w:b/>
        </w:rPr>
        <w:t xml:space="preserve">DOI: </w:t>
      </w:r>
      <w:hyperlink r:id="rId253">
        <w:r>
          <w:rPr>
            <w:color w:val="1155CC"/>
            <w:u w:val="single"/>
          </w:rPr>
          <w:t>10.1021/jacs.5c17756</w:t>
        </w:r>
      </w:hyperlink>
    </w:p>
    <w:p>
      <w:pPr>
        <w:spacing w:before="0" w:after="120"/>
      </w:pPr>
      <w:r>
        <w:rPr>
          <w:b/>
        </w:rPr>
        <w:t xml:space="preserve">Notes: </w:t>
      </w:r>
      <w:r>
        <w:t>abstract_source=pubmed</w:t>
      </w:r>
    </w:p>
    <w:p>
      <w:pPr>
        <w:spacing w:before="0" w:after="80" w:lineRule="auto" w:line="276"/>
      </w:pPr>
      <w:r>
        <w:rPr>
          <w:b/>
        </w:rPr>
        <w:t xml:space="preserve">摘要（ZH）: </w:t>
      </w:r>
      <w:r>
        <w:t>Au(III) 代二氮化合物(NCC) AuC(N2) AuC(R = Dmp = 2,6-二甲基苯和Simet3) 1 和 6 通过对(NC C) AuC(Au(C) 前体与相应的电热二氮化合物进行反应合成。Dinicrogen 外溢由UV-Vvis 辐照促进。(NC) Au-C-Dmp carbene 3 实验C-H内插入,然后是β-H消除,配有苯丙胺衍生物和Au(III) 氢化物综合体(NCC) 1 和 6 合成物(Au(III) Au(III) III) Au(NCC) AuC) 和 Au(C) 阻隔热保护防止分子碳捕获。相关的(N-C) Au-C-SiMe3 carbene 7由晶光解生成和定性。溶解产生和定性。溶解</w:t>
      </w:r>
    </w:p>
    <w:p>
      <w:pPr>
        <w:spacing w:before="0" w:after="200" w:lineRule="auto" w:line="276"/>
      </w:pPr>
      <w:r>
        <w:rPr>
          <w:b/>
        </w:rPr>
        <w:t xml:space="preserve">Abstract (EN): </w:t>
      </w:r>
      <w:r>
        <w:t>The Au(III)-substituted diazo compounds (N^C^C)AuC(N2)R (R = Dmp = 2,6-dimesitylphenyl and SiMe3) 1 and 6 were synthesized by reacting the (N^C^C)AuCl precursor with the corresponding lithiated diazo compounds. Dinitrogen extrusion was then promoted by UV-vis irradiation. The (N^C^C)Au-C-Dmp carbene 3 undergoes intramolecular C-H insertion followed by β-H elimination, affording a phenanthrene derivative and the Au(III) hydride complex (N^C^C)AuH. Steric shielding prevents intermolecular carbene trapping. The related (N^C^C)Au-C-SiMe3 carbene 7 was generated and characterized by in crystallo photolysis. In solution, it displays intermolecular reactivity typical for triplet as well as singlet carbenes, such as H atom abstraction and carbene-type couplings with isocyanides. DFT calculations shed light on the structure, bonding, and reactivity of these Au(III)-substituted carbenes.</w:t>
      </w:r>
    </w:p>
    <w:p>
      <w:pPr>
        <w:spacing w:before="120" w:after="120"/>
      </w:pPr>
      <w:r>
        <w:rPr>
          <w:sz w:val="18"/>
        </w:rPr>
        <w:t>——————————————————————————————————————————————————————————————————————</w:t>
      </w:r>
    </w:p>
    <w:p>
      <w:pPr>
        <w:spacing w:before="160" w:after="40" w:line="240" w:lineRule="auto"/>
      </w:pPr>
      <w:r>
        <w:rPr>
          <w:b/>
        </w:rPr>
        <w:t xml:space="preserve">[168] </w:t>
      </w:r>
      <w:hyperlink r:id="rId254">
        <w:r>
          <w:rPr>
            <w:color w:val="1155CC"/>
            <w:u w:val="single"/>
          </w:rPr>
          <w:t>[ASAP]脱氧硅碱的简明合成</w:t>
        </w:r>
      </w:hyperlink>
    </w:p>
    <w:p>
      <w:pPr>
        <w:spacing w:before="0" w:after="80"/>
      </w:pPr>
      <w:r>
        <w:rPr>
          <w:i/>
          <w:sz w:val="20"/>
        </w:rPr>
        <w:t>EN: [ASAP] Concise Synthesis of Deoxylimonin</w:t>
      </w:r>
    </w:p>
    <w:p>
      <w:pPr>
        <w:spacing w:before="0" w:after="120"/>
      </w:pPr>
      <w:r>
        <w:rPr>
          <w:b/>
        </w:rPr>
        <w:t xml:space="preserve">Source: </w:t>
      </w:r>
      <w:r>
        <w:t>Journal of the American Chemical Society: Latest Articles (ACS Publications)</w:t>
      </w:r>
      <w:r>
        <w:t xml:space="preserve">    </w:t>
      </w:r>
      <w:r>
        <w:rPr>
          <w:b/>
        </w:rPr>
        <w:t xml:space="preserve">Pub date: </w:t>
      </w:r>
      <w:r>
        <w:t>2026-01-26 20:24:45+00:00</w:t>
      </w:r>
      <w:r>
        <w:t xml:space="preserve">    </w:t>
      </w:r>
      <w:r>
        <w:rPr>
          <w:b/>
        </w:rPr>
        <w:t xml:space="preserve">DOI: </w:t>
      </w:r>
      <w:hyperlink r:id="rId255">
        <w:r>
          <w:rPr>
            <w:color w:val="1155CC"/>
            <w:u w:val="single"/>
          </w:rPr>
          <w:t>10.1021/jacs.5c21054</w:t>
        </w:r>
      </w:hyperlink>
    </w:p>
    <w:p>
      <w:pPr>
        <w:spacing w:before="0" w:after="120"/>
      </w:pPr>
      <w:r>
        <w:rPr>
          <w:b/>
        </w:rPr>
        <w:t xml:space="preserve">Notes: </w:t>
      </w:r>
      <w:r>
        <w:t>abstract_source=semanticscholar; must_have_abstract=True</w:t>
      </w:r>
    </w:p>
    <w:p>
      <w:pPr>
        <w:spacing w:before="0" w:after="80" w:lineRule="auto" w:line="276"/>
      </w:pPr>
      <w:r>
        <w:rPr>
          <w:b/>
        </w:rPr>
        <w:t xml:space="preserve">摘要（ZH）: </w:t>
      </w:r>
      <w:r>
        <w:t>在此,我们通过一种有生物启发的骨骼重组方法,对豪华轿车的旗舰成员 -- -- 脱氧硅素 -- -- 进行简明综合,该合成的主要特征包括立体一致的激进多环环化,以组装6/6/6三环系统,一个氧化性引导的鲍德温-桑福德氧化为未活化的C7-H氢氧化氢,一种由钛介介介分子的中间分子高温反应,以引入3-呋喃乳激素混合物和两个毗连立体立体立体中心,以及一个生物模拟性转异性/氧-密歇尔添加级联体,以安装四氢氟呋喃--内酯用模型。 这项工作强调在简化合成复杂梯类中生物激发的骨骼重组的力量。</w:t>
      </w:r>
    </w:p>
    <w:p>
      <w:pPr>
        <w:spacing w:before="0" w:after="200" w:lineRule="auto" w:line="276"/>
      </w:pPr>
      <w:r>
        <w:rPr>
          <w:b/>
        </w:rPr>
        <w:t xml:space="preserve">Abstract (EN): </w:t>
      </w:r>
      <w:r>
        <w:t>Herein we present a concise synthesis of the flagship member of limonoids, deoxylimonin, by a bioinspired skeletal reorganization approach. Key features of this synthesis include a stereoconvergent radical polyene cyclization to assemble the 6/6/6 tricyclic system, an oxime-directed Baldwin-Sanford oxidation to hydroxylate the unactivated C7-H, a titanium-mediated intermolecular aldol reaction to introduce the 3-furanyl lactone moiety and two contiguous stereogenic centers, and a biomimetic transesterification/oxa-Michael addition cascade to install the tetrahydrofuran-δ-lactone-fused motif. This work emphasizes the power of bioinspired skeletal reorganization in the simplified synthesis of complex terpenoids.</w:t>
      </w:r>
    </w:p>
    <w:p>
      <w:pPr>
        <w:spacing w:before="120" w:after="120"/>
      </w:pPr>
      <w:r>
        <w:rPr>
          <w:sz w:val="18"/>
        </w:rPr>
        <w:t>——————————————————————————————————————————————————————————————————————</w:t>
      </w:r>
    </w:p>
    <w:p>
      <w:pPr>
        <w:spacing w:before="160" w:after="40" w:line="240" w:lineRule="auto"/>
      </w:pPr>
      <w:r>
        <w:rPr>
          <w:b/>
        </w:rPr>
        <w:t xml:space="preserve">[169] </w:t>
      </w:r>
      <w:hyperlink r:id="rId256">
        <w:r>
          <w:rPr>
            <w:color w:val="1155CC"/>
            <w:u w:val="single"/>
          </w:rPr>
          <w:t>作者校正: 相对温暖的深水形成 持续在最后的冰川最大</w:t>
        </w:r>
      </w:hyperlink>
    </w:p>
    <w:p>
      <w:pPr>
        <w:spacing w:before="0" w:after="80"/>
      </w:pPr>
      <w:r>
        <w:rPr>
          <w:i/>
          <w:sz w:val="20"/>
        </w:rPr>
        <w:t>EN: Author Correction: Relatively warm deep-water formation persisted in the Last Glacial Maximum</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257">
        <w:r>
          <w:rPr>
            <w:color w:val="1155CC"/>
            <w:u w:val="single"/>
          </w:rPr>
          <w:t>作者更正: 核感应核受体协调自发</w:t>
        </w:r>
      </w:hyperlink>
    </w:p>
    <w:p>
      <w:pPr>
        <w:spacing w:before="0" w:after="80"/>
      </w:pPr>
      <w:r>
        <w:rPr>
          <w:i/>
          <w:sz w:val="20"/>
        </w:rPr>
        <w:t>EN: Author Correction: Nutrient-sensing nuclear receptors coordinate autophagy</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258">
        <w:r>
          <w:rPr>
            <w:color w:val="1155CC"/>
            <w:u w:val="single"/>
          </w:rPr>
          <w:t>用于监测海洋生态系统的外地可部署的CRISPR生物遥感平台</w:t>
        </w:r>
      </w:hyperlink>
    </w:p>
    <w:p>
      <w:pPr>
        <w:spacing w:before="0" w:after="80"/>
      </w:pPr>
      <w:r>
        <w:rPr>
          <w:i/>
          <w:sz w:val="20"/>
        </w:rPr>
        <w:t>EN: A field‑deployable CRISPR-based biosensing platform for monitoring marine ecosystems</w:t>
      </w:r>
    </w:p>
    <w:p>
      <w:pPr>
        <w:spacing w:before="0" w:after="120"/>
      </w:pPr>
      <w:r>
        <w:rPr>
          <w:b/>
        </w:rPr>
        <w:t xml:space="preserve">Source: </w:t>
      </w:r>
      <w:r>
        <w:t>Nature Sustainability</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海洋温度变暖导致病原体爆发,增加有害藻华,并造成珊瑚压力,这可能对海洋生态系统、人类健康和水产养殖业产生严重后果,代表一个至关重要的 " 一个健康 " 问题。 监测关键海洋物种提供了宝贵的洞见,但目前的方法是资源密集、分辨率低且不适于经常部署的。 我们在这里引入了一个低成本、实地可部署的CRISPR生物检测平台,用于检测海洋生物DNA和RNA。 利用CRISPR诊断对环境生物监测的可规划性,我们通过三个与气候有关的指标(Vibrio spp.、Pseudo)展示了多功能性。</w:t>
      </w:r>
    </w:p>
    <w:p>
      <w:pPr>
        <w:spacing w:before="0" w:after="200" w:lineRule="auto" w:line="276"/>
      </w:pPr>
      <w:r>
        <w:rPr>
          <w:b/>
        </w:rPr>
        <w:t xml:space="preserve">Abstract (EN): </w:t>
      </w:r>
      <w:r>
        <w:t>Ocean ecosystems are undergoing accelerating disruption from human impacts such as climate change. Warming ocean temperatures drive pathogenic outbreaks, increase harmful algal blooms and cause coral stress. These can have serious consequences for marine ecosystems, human health and the aquaculture industry, representing a critical One Health issue. Monitoring key marine species offers valuable insights, but current methods are resource-intensive, low-resolution and unsuitable for frequent deployment. Here we introduce a low-cost, field-deployable CRISPR biosensing platform for detecting marine organismal DNA and RNA. Harnessing the programmability of CRISPR diagnostics for environmental biosurveillance, we demonstrate versatility across three climate-linked indicators: Vibrio spp., Pseudo-nitzschia spp. and heat-stressed corals. Portable 3D-printed processor and incubator devices enable direct processing of filter-captured samples with temperature control. Field readiness is reinforced by lyophilized reagents, lateral flow readouts, dropper-based handling and a two-step multiplexed workflow, delivering results within 1 hour without laboratory instruments. Benchmarking with authentic pathogens and environmental seawater confirmed seawater tolerance and robust detection of 108 colony-forming units per filter of Vibrio pathogens, equivalent to 102 copies per microlitre for 1 litre of filtered sample. This decentralized platform reduces barriers to routine monitoring and can provide early warnings of ecosystem disturbances, while supporting One Health initiatives in the marine space.</w:t>
      </w:r>
    </w:p>
    <w:p>
      <w:pPr>
        <w:spacing w:before="120" w:after="120"/>
      </w:pPr>
      <w:r>
        <w:rPr>
          <w:sz w:val="18"/>
        </w:rPr>
        <w:t>——————————————————————————————————————————————————————————————————————</w:t>
      </w:r>
    </w:p>
    <w:p>
      <w:pPr>
        <w:spacing w:before="160" w:after="40" w:line="240" w:lineRule="auto"/>
      </w:pPr>
      <w:r>
        <w:rPr>
          <w:b/>
        </w:rPr>
        <w:t xml:space="preserve">[172] </w:t>
      </w:r>
      <w:hyperlink r:id="rId259">
        <w:r>
          <w:rPr>
            <w:color w:val="1155CC"/>
            <w:u w:val="single"/>
          </w:rPr>
          <w:t>关于土地使用变化和动物动物环境风险的全球证据综述</w:t>
        </w:r>
      </w:hyperlink>
    </w:p>
    <w:p>
      <w:pPr>
        <w:spacing w:before="0" w:after="80"/>
      </w:pPr>
      <w:r>
        <w:rPr>
          <w:i/>
          <w:sz w:val="20"/>
        </w:rPr>
        <w:t>EN: Global evidence synthesis on land-use change and zoonotic risks</w:t>
      </w:r>
    </w:p>
    <w:p>
      <w:pPr>
        <w:spacing w:before="0" w:after="120"/>
      </w:pPr>
      <w:r>
        <w:rPr>
          <w:b/>
        </w:rPr>
        <w:t xml:space="preserve">Source: </w:t>
      </w:r>
      <w:r>
        <w:t>Nature Sustainability</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COVID-19大流行的COVID-19大流行凸显了动物传染病日益严重的威胁,这些疾病往往因森林砍伐和生境破碎等土地使用的变化而加剧,我们进行了系统的文献审查(2000-2024年),以评估不同类型的土地使用变化如何影响动物传染病的传播,除了查明研究差距外,还总结了在地理上对研究的病媒/宿主/储存物和病原体的关注的主要结果和趋势,我们还评估了恢复干预以降低疾病风险的潜力。我们的分析表明,森林砍伐和城市化等土地使用变化往往增加传播风险,特别是对蚊子和鼠传播的疾病而言,而一些恢复战略(例如植树造林和湿地)则增加了传播风险。</w:t>
      </w:r>
    </w:p>
    <w:p>
      <w:pPr>
        <w:spacing w:before="0" w:after="200" w:lineRule="auto" w:line="276"/>
      </w:pPr>
      <w:r>
        <w:rPr>
          <w:b/>
        </w:rPr>
        <w:t xml:space="preserve">Abstract (EN): </w:t>
      </w:r>
      <w:r>
        <w:t>The COVID-19 pandemic has spotlighted the growing threat of zoonotic diseases, often exacerbated by land-use changes such as deforestation and habitat fragmentation. We conducted a systematic literature review (2000–2024) to assess how different types of land-use change affect zoonotic disease transmission, summarizing key findings and trends in geographic focus on the vectors/hosts/reservoirs and pathogens studied, in addition to identifying research gaps. We also evaluated the potential of restoration interventions to mitigate disease risks. Our analysis shows that land-use changes such as deforestation and urbanization often increase transmission risks, particularly for diseases transmitted by mosquitos and rodents, while some restoration strategies (for example, reforestation and wetland conservation) can reduce these risks. However, effects vary by disease group and region. The literature remains geographically biased, with most studies concentrated in wealthier regions despite higher disease burdens in low-income areas. We propose 50 high-priority locations, primarily in Western Africa and Southeast Asia, for future research. Our findings are available through an open-access online atlas, which includes supporting case studies and policy briefs to inform One Health-oriented restoration planning.</w:t>
      </w:r>
    </w:p>
    <w:p>
      <w:pPr>
        <w:spacing w:before="120" w:after="120"/>
      </w:pPr>
      <w:r>
        <w:rPr>
          <w:sz w:val="18"/>
        </w:rPr>
        <w:t>——————————————————————————————————————————————————————————————————————</w:t>
      </w:r>
    </w:p>
    <w:p>
      <w:pPr>
        <w:spacing w:before="160" w:after="40" w:line="240" w:lineRule="auto"/>
      </w:pPr>
      <w:r>
        <w:rPr>
          <w:b/>
        </w:rPr>
        <w:t xml:space="preserve">[173] </w:t>
      </w:r>
      <w:hyperlink r:id="rId260">
        <w:r>
          <w:rPr>
            <w:color w:val="1155CC"/>
            <w:u w:val="single"/>
          </w:rPr>
          <w:t>在量子缠绕的金属中相互交织的订单</w:t>
        </w:r>
      </w:hyperlink>
    </w:p>
    <w:p>
      <w:pPr>
        <w:spacing w:before="0" w:after="80"/>
      </w:pPr>
      <w:r>
        <w:rPr>
          <w:i/>
          <w:sz w:val="20"/>
        </w:rPr>
        <w:t>EN: Intertwined orders in a quantum-entangled metal</w:t>
      </w:r>
    </w:p>
    <w:p>
      <w:pPr>
        <w:spacing w:before="0" w:after="120"/>
      </w:pPr>
      <w:r>
        <w:rPr>
          <w:b/>
        </w:rPr>
        <w:t xml:space="preserve">Source: </w:t>
      </w:r>
      <w:r>
        <w:t>Nature Materials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纠缠是量子计算和信息处理的基础,但它在相关材料中的定量定性仍然是一个突出的挑战。 在这里,我们报告了一个高度缠绕的电子阶段,它接近于量子金属-绝缘体转换过程,该过程是通过反共振无弹性X射线分散干涉测量而发现的。 横跨原子地点的缠绕产生了不同的干扰模式,这些模式通过理论建模得以精确地捕捉,从而能够从数量上重建潜在量子状态的缠绕频谱和微分解。 在prokholate Nd2Ir2O7, 旋、轨道和电荷的明显量波动持续在长程“无孔”的反浓缩磁性秩序中。</w:t>
      </w:r>
    </w:p>
    <w:p>
      <w:pPr>
        <w:spacing w:before="0" w:after="200" w:lineRule="auto" w:line="276"/>
      </w:pPr>
      <w:r>
        <w:rPr>
          <w:b/>
        </w:rPr>
        <w:t xml:space="preserve">Abstract (EN): </w:t>
      </w:r>
      <w:r>
        <w:t>Entanglement underpins quantum computing and information processing, yet its quantitative characterization in correlated materials remains an outstanding challenge. Here we report a highly entangled electronic phase near a quantum metal–insulator transition identified by resonant inelastic X-ray scattering interferometry. Entanglement extending across atomic sites generates distinct interference patterns that are accurately captured by theoretical modelling, enabling quantitative reconstruction of the entanglement spectrum and microscopic resolution of the underlying quantum states. In the pyrochlore iridate Nd2Ir2O7, pronounced quantum fluctuations of spin, orbital and charge persist within the long-range ‘all-in-all-out’ antiferromagnetic order. The observed entanglement signatures indicate the coexistence of multiple symmetry-breaking orders, supported by complementary Raman spectroscopy investigations. A two-magnon bound state appears below the lowest single-magnon excitation energy, which together with split phonon modes indicates a cubic symmetry breaking of magnetic origin coexisting with the all-in-all-out order. These findings establish a quantitative framework linking quantum entanglement to emergent unconventional orders.</w:t>
      </w:r>
    </w:p>
    <w:p>
      <w:pPr>
        <w:spacing w:before="120" w:after="120"/>
      </w:pPr>
      <w:r>
        <w:rPr>
          <w:sz w:val="18"/>
        </w:rPr>
        <w:t>——————————————————————————————————————————————————————————————————————</w:t>
      </w:r>
    </w:p>
    <w:p>
      <w:pPr>
        <w:spacing w:before="160" w:after="40" w:line="240" w:lineRule="auto"/>
      </w:pPr>
      <w:r>
        <w:rPr>
          <w:b/>
        </w:rPr>
        <w:t xml:space="preserve">[174] </w:t>
      </w:r>
      <w:hyperlink r:id="rId261">
        <w:r>
          <w:rPr>
            <w:color w:val="1155CC"/>
            <w:u w:val="single"/>
          </w:rPr>
          <w:t>利用和驯化计算机记忆的结构性不稳定</w:t>
        </w:r>
      </w:hyperlink>
    </w:p>
    <w:p>
      <w:pPr>
        <w:spacing w:before="0" w:after="80"/>
      </w:pPr>
      <w:r>
        <w:rPr>
          <w:i/>
          <w:sz w:val="20"/>
        </w:rPr>
        <w:t>EN: Exploiting and taming the structural instability for computer memories</w:t>
      </w:r>
    </w:p>
    <w:p>
      <w:pPr>
        <w:spacing w:before="0" w:after="120"/>
      </w:pPr>
      <w:r>
        <w:rPr>
          <w:b/>
        </w:rPr>
        <w:t xml:space="preserve">Source: </w:t>
      </w:r>
      <w:r>
        <w:t>Nature Materials</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262">
        <w:r>
          <w:rPr>
            <w:color w:val="1155CC"/>
            <w:u w:val="single"/>
          </w:rPr>
          <w:t>预测动物传染病风险的宏观生态方法</w:t>
        </w:r>
      </w:hyperlink>
    </w:p>
    <w:p>
      <w:pPr>
        <w:spacing w:before="0" w:after="80"/>
      </w:pPr>
      <w:r>
        <w:rPr>
          <w:i/>
          <w:sz w:val="20"/>
        </w:rPr>
        <w:t>EN: Macroecological approaches for the prediction of zoonotic disease risk</w:t>
      </w:r>
    </w:p>
    <w:p>
      <w:pPr>
        <w:spacing w:before="0" w:after="120"/>
      </w:pPr>
      <w:r>
        <w:rPr>
          <w:b/>
        </w:rPr>
        <w:t xml:space="preserve">Source: </w:t>
      </w:r>
      <w:r>
        <w:t>Nature Sustainability</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随着人类对自然环境的改变加速了病原体从野生生物向人类的蔓延,动物病原体的破获更加频繁,然而,许多病原体的暴发管理机制仍有待调查。本审查报告探讨了目前利用宏观生态变量(即突发生态系统特性)模拟动物病原体风险的情况。我们找出了重要的研究差距,并讨论了利用更广泛的变量改进动物病原体风险建模,从而改进监测的未利用机会。我们提出了一套操作建议和准则,以便可能将宏观生态方法纳入更广泛的“一个健康”框架内。</w:t>
      </w:r>
    </w:p>
    <w:p>
      <w:pPr>
        <w:spacing w:before="0" w:after="200" w:lineRule="auto" w:line="276"/>
      </w:pPr>
      <w:r>
        <w:rPr>
          <w:b/>
        </w:rPr>
        <w:t xml:space="preserve">Abstract (EN): </w:t>
      </w:r>
      <w:r>
        <w:t>Outbreaks of zoonotic pathogens have become more frequent as human modification of the natural environment accelerates pathogen spillover from wildlife to humans, yet much remains to be investigated around the mechanisms that regulate pathogen outbreaks. This Review explores the current use of macroecological variables (that is, emergent ecosystem properties) for modelling zoonotic disease risk. We identify important research gaps and discuss untapped opportunities for using a wider spectrum of variables to achieve improved modelling of zoonotic disease risk and, consequently, surveillance. We present a set of operational recommendations and guidelines for potential integration of macroecological approaches within a broader One Health framework.</w:t>
      </w:r>
    </w:p>
    <w:p>
      <w:pPr>
        <w:spacing w:before="120" w:after="120"/>
      </w:pPr>
      <w:r>
        <w:rPr>
          <w:sz w:val="18"/>
        </w:rPr>
        <w:t>——————————————————————————————————————————————————————————————————————</w:t>
      </w:r>
    </w:p>
    <w:p>
      <w:pPr>
        <w:spacing w:before="160" w:after="40" w:line="240" w:lineRule="auto"/>
      </w:pPr>
      <w:r>
        <w:rPr>
          <w:b/>
        </w:rPr>
        <w:t xml:space="preserve">[176] </w:t>
      </w:r>
      <w:hyperlink r:id="rId263">
        <w:r>
          <w:rPr>
            <w:color w:val="1155CC"/>
            <w:u w:val="single"/>
          </w:rPr>
          <w:t>CCS和氢氢为时已晚</w:t>
        </w:r>
      </w:hyperlink>
    </w:p>
    <w:p>
      <w:pPr>
        <w:spacing w:before="0" w:after="80"/>
      </w:pPr>
      <w:r>
        <w:rPr>
          <w:i/>
          <w:sz w:val="20"/>
        </w:rPr>
        <w:t>EN: Too late for CCS and hydrogen</w:t>
      </w:r>
    </w:p>
    <w:p>
      <w:pPr>
        <w:spacing w:before="0" w:after="120"/>
      </w:pPr>
      <w:r>
        <w:rPr>
          <w:b/>
        </w:rPr>
        <w:t xml:space="preserve">Source: </w:t>
      </w:r>
      <w:r>
        <w:t>Nature Chemical Engineering</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碳捕获和储存(CCS)商业化50年后的50年中,全球能力仅达到全球排放量的0.09%;即使安装率立即扩大10倍,到2050年对气候缓解也不会产生任何数量上的重要贡献。 部署无排放发电也受到限制,因此到2050年也不会有数量上重要的氢或负排放技术供应,气候政策必须转向其他更可行的选择。 散装材料必须不使用工序排放,在全球电力预算有限的情况下,完全由无排放电力驱动。 钢铁和纸的初级生产可以完全电气化,尽管绿色氢的电密度将c。</w:t>
      </w:r>
    </w:p>
    <w:p>
      <w:pPr>
        <w:spacing w:before="0" w:after="200" w:lineRule="auto" w:line="276"/>
      </w:pPr>
      <w:r>
        <w:rPr>
          <w:b/>
        </w:rPr>
        <w:t xml:space="preserve">Abstract (EN): </w:t>
      </w:r>
      <w:r>
        <w:t>Fifty years after carbon capture and storage (CCS) was commercialized, global capacity has reached just 0.09% of global emissions; even if installation rates immediately expand 10-fold, this will make no quantitatively important contribution to climate mitigation by 2050. Deployment of emission-free electricity generation is also constrained, so there will be no quantitatively important supply of hydrogen or negative-emission technologies by 2050 either, and climate policy must turn to other more achievable options. The bulk materials must be produced without process emissions, powered solely by emission-free electricity, within a constrained global electricity budget. Primary production of steel and paper can be fully electrified, although the electrical intensity of green hydrogen will constrain new steel processes. However, steel, aluminum, glass, plastic and potentially cement can all be recycled without emissions and with high efficiency. This reality should direct research toward improving the quality of recycled production, making better use of less material, and should be central to any advice given by academics to the policy community.</w:t>
      </w:r>
    </w:p>
    <w:p>
      <w:pPr>
        <w:spacing w:before="120" w:after="120"/>
      </w:pPr>
      <w:r>
        <w:rPr>
          <w:sz w:val="18"/>
        </w:rPr>
        <w:t>——————————————————————————————————————————————————————————————————————</w:t>
      </w:r>
    </w:p>
    <w:p>
      <w:pPr>
        <w:spacing w:before="160" w:after="40" w:line="240" w:lineRule="auto"/>
      </w:pPr>
      <w:r>
        <w:rPr>
          <w:b/>
        </w:rPr>
        <w:t xml:space="preserve">[177] </w:t>
      </w:r>
      <w:hyperlink r:id="rId264">
        <w:r>
          <w:rPr>
            <w:color w:val="1155CC"/>
            <w:u w:val="single"/>
          </w:rPr>
          <w:t>采取 " 健康行动 ",应对多危机时代的抗微生物抗药性</w:t>
        </w:r>
      </w:hyperlink>
    </w:p>
    <w:p>
      <w:pPr>
        <w:spacing w:before="0" w:after="80"/>
      </w:pPr>
      <w:r>
        <w:rPr>
          <w:i/>
          <w:sz w:val="20"/>
        </w:rPr>
        <w:t>EN: Towards One Health action for addressing antimicrobial resistance in the age of polycrisis</w:t>
      </w:r>
    </w:p>
    <w:p>
      <w:pPr>
        <w:spacing w:before="0" w:after="120"/>
      </w:pPr>
      <w:r>
        <w:rPr>
          <w:b/>
        </w:rPr>
        <w:t xml:space="preserve">Source: </w:t>
      </w:r>
      <w:r>
        <w:t>Nature Sustainability</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抗微生物抗药性(AMR)是一个重大的“一个健康”问题,是由包括新出现的气候和社会挑战在内的各种潜在加速因素推动的,毫无疑问,需要在关键控制点采取干预措施,以减少甲状腺炎,但仅靠一个单一健康领域(例如,人类、动物或环境)处理甲状腺炎并不足以减少这一疾病。在过去十年的研究基础上,这一视角突出显示了全面、系统和综合的战略,这些战略处理人为活动的影响以及人类与环境之间的复杂关系,作为部门间和全球行动的关键目标。</w:t>
      </w:r>
    </w:p>
    <w:p>
      <w:pPr>
        <w:spacing w:before="0" w:after="200" w:lineRule="auto" w:line="276"/>
      </w:pPr>
      <w:r>
        <w:rPr>
          <w:b/>
        </w:rPr>
        <w:t xml:space="preserve">Abstract (EN): </w:t>
      </w:r>
      <w:r>
        <w:t>Antimicrobial resistance (AMR) represents a major One Health issue, driven by a myriad of potential accelerators that include emerging climate and social challenges. There is little doubt about the need for interventions at critical control points to reduce AMR, but addressing AMR within a single realm of One Health (for example, human, animal or environmental) is not sufficient to reduce it. Building on the past decade of research, this Perspective highlights comprehensive, systemic and integrative strategies that address the effects of anthropogenic activities and the complex relationship between humans and the environment as key targets for intersectoral and global action.</w:t>
      </w:r>
    </w:p>
    <w:p>
      <w:pPr>
        <w:spacing w:before="120" w:after="120"/>
      </w:pPr>
      <w:r>
        <w:rPr>
          <w:sz w:val="18"/>
        </w:rPr>
        <w:t>——————————————————————————————————————————————————————————————————————</w:t>
      </w:r>
    </w:p>
    <w:p>
      <w:pPr>
        <w:spacing w:before="160" w:after="40" w:line="240" w:lineRule="auto"/>
      </w:pPr>
      <w:r>
        <w:rPr>
          <w:b/>
        </w:rPr>
        <w:t xml:space="preserve">[178] </w:t>
      </w:r>
      <w:hyperlink r:id="rId265">
        <w:r>
          <w:rPr>
            <w:color w:val="1155CC"/>
            <w:u w:val="single"/>
          </w:rPr>
          <w:t>一个健康协同效应</w:t>
        </w:r>
      </w:hyperlink>
    </w:p>
    <w:p>
      <w:pPr>
        <w:spacing w:before="0" w:after="80"/>
      </w:pPr>
      <w:r>
        <w:rPr>
          <w:i/>
          <w:sz w:val="20"/>
        </w:rPr>
        <w:t>EN: One Health synergies</w:t>
      </w:r>
    </w:p>
    <w:p>
      <w:pPr>
        <w:spacing w:before="0" w:after="120"/>
      </w:pPr>
      <w:r>
        <w:rPr>
          <w:b/>
        </w:rPr>
        <w:t xml:space="preserve">Source: </w:t>
      </w:r>
      <w:r>
        <w:t>Nature Sustainability</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266">
        <w:r>
          <w:rPr>
            <w:color w:val="1155CC"/>
            <w:u w:val="single"/>
          </w:rPr>
          <w:t>能源密集钾金属电池粘附制制导核控制工作</w:t>
        </w:r>
      </w:hyperlink>
    </w:p>
    <w:p>
      <w:pPr>
        <w:spacing w:before="0" w:after="80"/>
      </w:pPr>
      <w:r>
        <w:rPr>
          <w:i/>
          <w:sz w:val="20"/>
        </w:rPr>
        <w:t>EN: Work of adhesion guided nucleation control for energy-dense potassium metal batteries</w:t>
      </w:r>
    </w:p>
    <w:p>
      <w:pPr>
        <w:spacing w:before="0" w:after="120"/>
      </w:pPr>
      <w:r>
        <w:rPr>
          <w:b/>
        </w:rPr>
        <w:t xml:space="preserve">Source: </w:t>
      </w:r>
      <w:r>
        <w:t>Joule</w:t>
      </w:r>
      <w:r>
        <w:t xml:space="preserve">    </w:t>
      </w:r>
      <w:r>
        <w:rPr>
          <w:b/>
        </w:rPr>
        <w:t xml:space="preserve">Pub date: </w:t>
      </w:r>
      <w:r>
        <w:t>2026-01-27 00:00:00+00:00</w:t>
      </w:r>
    </w:p>
    <w:p>
      <w:pPr>
        <w:spacing w:before="0" w:after="120"/>
      </w:pPr>
      <w:r>
        <w:rPr>
          <w:b/>
        </w:rPr>
        <w:t xml:space="preserve">Notes: </w:t>
      </w:r>
      <w:r>
        <w:t>abstract_source=rss_cell</w:t>
      </w:r>
    </w:p>
    <w:p>
      <w:pPr>
        <w:spacing w:before="0" w:after="80" w:lineRule="auto" w:line="276"/>
      </w:pPr>
      <w:r>
        <w:rPr>
          <w:b/>
        </w:rPr>
        <w:t xml:space="preserve">摘要（ZH）: </w:t>
      </w:r>
      <w:r>
        <w:t>这项工作表明,粘合性工作是金属电池的一个关键因素,它测量一个微小金属核与表面的粘合强度,并规范核核是否统一,从而确定是否出现斜体。通过对基质进行材料选择和对基质纳米级粗糙进行工程设计,增加粘合性工作,从而能够稳定钾沉积和长效完整细胞。这项工作提供了一个简单和广泛适用的设计原则。</w:t>
      </w:r>
    </w:p>
    <w:p>
      <w:pPr>
        <w:spacing w:before="0" w:after="200" w:lineRule="auto" w:line="276"/>
      </w:pPr>
      <w:r>
        <w:rPr>
          <w:b/>
        </w:rPr>
        <w:t xml:space="preserve">Abstract (EN): </w:t>
      </w:r>
      <w:r>
        <w:t>This work shows that work of adhesion is a crucial factor for metal batteries. It measures how strongly a tiny metal nucleus binds to a surface and governs whether nucleation is uniform and thus whether dendrites emerge. Increasing work of adhesion is achieved by the material selection of substrates and engineering the nanoscale roughness of substrates, which enables stable potassium deposition and long-lasting full cells. The work offers a simple and broadly applicable design principle.</w:t>
      </w:r>
    </w:p>
    <w:p>
      <w:pPr>
        <w:spacing w:before="120" w:after="120"/>
      </w:pPr>
      <w:r>
        <w:rPr>
          <w:sz w:val="18"/>
        </w:rPr>
        <w:t>——————————————————————————————————————————————————————————————————————</w:t>
      </w:r>
    </w:p>
    <w:p>
      <w:pPr>
        <w:spacing w:before="160" w:after="40" w:line="240" w:lineRule="auto"/>
      </w:pPr>
      <w:r>
        <w:rPr>
          <w:b/>
        </w:rPr>
        <w:t xml:space="preserve">[180] </w:t>
      </w:r>
      <w:hyperlink r:id="rId267">
        <w:r>
          <w:rPr>
            <w:color w:val="1155CC"/>
            <w:u w:val="single"/>
          </w:rPr>
          <w:t>借助单原子催化法增强的先进有机电合成</w:t>
        </w:r>
      </w:hyperlink>
    </w:p>
    <w:p>
      <w:pPr>
        <w:spacing w:before="0" w:after="80"/>
      </w:pPr>
      <w:r>
        <w:rPr>
          <w:i/>
          <w:sz w:val="20"/>
        </w:rPr>
        <w:t>EN: Advanced organic electrosynthesis empowered by single-atom catalysis</w:t>
      </w:r>
    </w:p>
    <w:p>
      <w:pPr>
        <w:spacing w:before="0" w:after="120"/>
      </w:pPr>
      <w:r>
        <w:rPr>
          <w:b/>
        </w:rPr>
        <w:t xml:space="preserve">Source: </w:t>
      </w:r>
      <w:r>
        <w:t>Chem</w:t>
      </w:r>
      <w:r>
        <w:t xml:space="preserve">    </w:t>
      </w:r>
      <w:r>
        <w:rPr>
          <w:b/>
        </w:rPr>
        <w:t xml:space="preserve">Pub date: </w:t>
      </w:r>
      <w:r>
        <w:t>2026-01-27 00:00:00+00:00</w:t>
      </w:r>
    </w:p>
    <w:p>
      <w:pPr>
        <w:spacing w:before="0" w:after="120"/>
      </w:pPr>
      <w:r>
        <w:rPr>
          <w:b/>
        </w:rPr>
        <w:t xml:space="preserve">Notes: </w:t>
      </w:r>
      <w:r>
        <w:t>abstract_source=rss_cell</w:t>
      </w:r>
    </w:p>
    <w:p>
      <w:pPr>
        <w:spacing w:before="0" w:after="80" w:lineRule="auto" w:line="276"/>
      </w:pPr>
      <w:r>
        <w:rPr>
          <w:b/>
        </w:rPr>
        <w:t xml:space="preserve">摘要（ZH）: </w:t>
      </w:r>
      <w:r>
        <w:t>有机电合成是有机合成的绿色途径。电极和催化剂的智能设计,特别是原子规模的智能设计,是创造高效材料的关键。单原子催化剂(SACs)显示了巨大的希望,但其机制并不完全理解。本审查涵盖了有机电合成SACs最近的进展,包括材料准备、典型反应的性能和原地特征鉴定技术,并概述了未来的机会和挑战。</w:t>
      </w:r>
    </w:p>
    <w:p>
      <w:pPr>
        <w:spacing w:before="0" w:after="200" w:lineRule="auto" w:line="276"/>
      </w:pPr>
      <w:r>
        <w:rPr>
          <w:b/>
        </w:rPr>
        <w:t xml:space="preserve">Abstract (EN): </w:t>
      </w:r>
      <w:r>
        <w:t>Organic electrosynthesis offers a green route for organic synthesis. The smart design of electrodes and catalysts, especially at the atomic scale, is key to creating efficient materials. Single-atom catalysts (SACs) show great promise, but their mechanisms are not fully understood. This review covers recent progress in SACs for organic electrosynthesis, including material preparation, performance in typical reactions, and in situ characterization techniques, and outlines future opportunities and challenges.</w:t>
      </w:r>
    </w:p>
    <w:p>
      <w:pPr>
        <w:spacing w:before="120" w:after="120"/>
      </w:pPr>
      <w:r>
        <w:rPr>
          <w:sz w:val="18"/>
        </w:rPr>
        <w:t>——————————————————————————————————————————————————————————————————————</w:t>
      </w:r>
    </w:p>
    <w:p>
      <w:pPr>
        <w:spacing w:before="160" w:after="40" w:line="240" w:lineRule="auto"/>
      </w:pPr>
      <w:r>
        <w:rPr>
          <w:b/>
        </w:rPr>
        <w:t xml:space="preserve">[181] </w:t>
      </w:r>
      <w:hyperlink r:id="rId268">
        <w:r>
          <w:rPr>
            <w:color w:val="1155CC"/>
            <w:u w:val="single"/>
          </w:rPr>
          <w:t>印度的街头狗政策 正在抓错树了</w:t>
        </w:r>
      </w:hyperlink>
    </w:p>
    <w:p>
      <w:pPr>
        <w:spacing w:before="0" w:after="80"/>
      </w:pPr>
      <w:r>
        <w:rPr>
          <w:i/>
          <w:sz w:val="20"/>
        </w:rPr>
        <w:t>EN: Street-dog policy in India is barking up the wrong tree</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269">
        <w:r>
          <w:rPr>
            <w:color w:val="1155CC"/>
            <w:u w:val="single"/>
          </w:rPr>
          <w:t>非洲科学需要减少对外国捐助者的依赖</w:t>
        </w:r>
      </w:hyperlink>
    </w:p>
    <w:p>
      <w:pPr>
        <w:spacing w:before="0" w:after="80"/>
      </w:pPr>
      <w:r>
        <w:rPr>
          <w:i/>
          <w:sz w:val="20"/>
        </w:rPr>
        <w:t>EN: African science needs to cut reliance on foreign donors</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[183] </w:t>
      </w:r>
      <w:hyperlink r:id="rId270">
        <w:r>
          <w:rPr>
            <w:color w:val="1155CC"/>
            <w:u w:val="single"/>
          </w:rPr>
          <w:t>社会媒体禁令:为什么公司罚款会适得其反?</w:t>
        </w:r>
      </w:hyperlink>
    </w:p>
    <w:p>
      <w:pPr>
        <w:spacing w:before="0" w:after="80"/>
      </w:pPr>
      <w:r>
        <w:rPr>
          <w:i/>
          <w:sz w:val="20"/>
        </w:rPr>
        <w:t>EN: Social-media bans: why corporate fines could backfire</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271">
        <w:r>
          <w:rPr>
            <w:color w:val="1155CC"/>
            <w:u w:val="single"/>
          </w:rPr>
          <w:t>还在107: 超百分层研究 探索极端长寿的遗传学</w:t>
        </w:r>
      </w:hyperlink>
    </w:p>
    <w:p>
      <w:pPr>
        <w:spacing w:before="0" w:after="80"/>
      </w:pPr>
      <w:r>
        <w:rPr>
          <w:i/>
          <w:sz w:val="20"/>
        </w:rPr>
        <w:t>EN: Still working at 107: supercentenarian study probes genetics of extreme longevity</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[185] </w:t>
      </w:r>
      <w:hyperlink r:id="rId272">
        <w:r>
          <w:rPr>
            <w:color w:val="1155CC"/>
            <w:u w:val="single"/>
          </w:rPr>
          <w:t>MoS2 晶体管变伸缩</w:t>
        </w:r>
      </w:hyperlink>
    </w:p>
    <w:p>
      <w:pPr>
        <w:spacing w:before="0" w:after="80"/>
      </w:pPr>
      <w:r>
        <w:rPr>
          <w:i/>
          <w:sz w:val="20"/>
        </w:rPr>
        <w:t>EN: MoS2 transistors go stretchy</w:t>
      </w:r>
    </w:p>
    <w:p>
      <w:pPr>
        <w:spacing w:before="0" w:after="120"/>
      </w:pPr>
      <w:r>
        <w:rPr>
          <w:b/>
        </w:rPr>
        <w:t xml:space="preserve">Source: </w:t>
      </w:r>
      <w:r>
        <w:t>Nature Reviews Materials</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[186] </w:t>
      </w:r>
      <w:hyperlink r:id="rId273">
        <w:r>
          <w:rPr>
            <w:color w:val="1155CC"/>
            <w:u w:val="single"/>
          </w:rPr>
          <w:t>最初的动物是什么? 激烈的海绵 — — 血腥的战斗不会结束。</w:t>
        </w:r>
      </w:hyperlink>
    </w:p>
    <w:p>
      <w:pPr>
        <w:spacing w:before="0" w:after="80"/>
      </w:pPr>
      <w:r>
        <w:rPr>
          <w:i/>
          <w:sz w:val="20"/>
        </w:rPr>
        <w:t>EN: What were the first animals? The fierce sponge–jelly battle that just won’t end</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[187] </w:t>
      </w:r>
      <w:hyperlink r:id="rId274">
        <w:r>
          <w:rPr>
            <w:color w:val="1155CC"/>
            <w:u w:val="single"/>
          </w:rPr>
          <w:t>从奇幻床单到设计系统:可工程师2D材料的崛起</w:t>
        </w:r>
      </w:hyperlink>
    </w:p>
    <w:p>
      <w:pPr>
        <w:spacing w:before="0" w:after="80"/>
      </w:pPr>
      <w:r>
        <w:rPr>
          <w:i/>
          <w:sz w:val="20"/>
        </w:rPr>
        <w:t>EN: From wonder sheets to designed systems: the rise of engineerable 2D materials</w:t>
      </w:r>
    </w:p>
    <w:p>
      <w:pPr>
        <w:spacing w:before="0" w:after="120"/>
      </w:pPr>
      <w:r>
        <w:rPr>
          <w:b/>
        </w:rPr>
        <w:t xml:space="preserve">Source: </w:t>
      </w:r>
      <w:r>
        <w:t>Nature Reviews Materials</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[188] </w:t>
      </w:r>
      <w:hyperlink r:id="rId275">
        <w:r>
          <w:rPr>
            <w:color w:val="1155CC"/>
            <w:u w:val="single"/>
          </w:rPr>
          <w:t>如何在地球的限度内吃好吃好吃好吃好吃好</w:t>
        </w:r>
      </w:hyperlink>
    </w:p>
    <w:p>
      <w:pPr>
        <w:spacing w:before="0" w:after="80"/>
      </w:pPr>
      <w:r>
        <w:rPr>
          <w:i/>
          <w:sz w:val="20"/>
        </w:rPr>
        <w:t>EN: How to eat well and within Earth’s limits</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[189] </w:t>
      </w:r>
      <w:hyperlink r:id="rId276">
        <w:r>
          <w:rPr>
            <w:color w:val="1155CC"/>
            <w:u w:val="single"/>
          </w:rPr>
          <w:t>感官正在改变世界——共同努力,尽量扩大其利益</w:t>
        </w:r>
      </w:hyperlink>
    </w:p>
    <w:p>
      <w:pPr>
        <w:spacing w:before="0" w:after="80"/>
      </w:pPr>
      <w:r>
        <w:rPr>
          <w:i/>
          <w:sz w:val="20"/>
        </w:rPr>
        <w:t>EN: Sensors are transforming the world — work together to maximize their benefits</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[190] </w:t>
      </w:r>
      <w:hyperlink r:id="rId277">
        <w:r>
          <w:rPr>
            <w:color w:val="1155CC"/>
            <w:u w:val="single"/>
          </w:rPr>
          <w:t>在Koala 家族的树上发现病毒入侵者</w:t>
        </w:r>
      </w:hyperlink>
    </w:p>
    <w:p>
      <w:pPr>
        <w:spacing w:before="0" w:after="80"/>
      </w:pPr>
      <w:r>
        <w:rPr>
          <w:i/>
          <w:sz w:val="20"/>
        </w:rPr>
        <w:t>EN: Spotting viral invaders in koala family trees</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[191] </w:t>
      </w:r>
      <w:hyperlink r:id="rId278">
        <w:r>
          <w:rPr>
            <w:color w:val="1155CC"/>
            <w:u w:val="single"/>
          </w:rPr>
          <w:t>火山的个性:承认火山是自然的行星形成力量的人</w:t>
        </w:r>
      </w:hyperlink>
    </w:p>
    <w:p>
      <w:pPr>
        <w:spacing w:before="0" w:after="80"/>
      </w:pPr>
      <w:r>
        <w:rPr>
          <w:i/>
          <w:sz w:val="20"/>
        </w:rPr>
        <w:t>EN: Volcanic personality: the man who recognized volcanoes as a planet-shaping force of nature</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279">
        <w:r>
          <w:rPr>
            <w:color w:val="1155CC"/>
            <w:u w:val="single"/>
          </w:rPr>
          <w:t>高估聚合混合导体的优绩数字</w:t>
        </w:r>
      </w:hyperlink>
    </w:p>
    <w:p>
      <w:pPr>
        <w:spacing w:before="0" w:after="80"/>
      </w:pPr>
      <w:r>
        <w:rPr>
          <w:i/>
          <w:sz w:val="20"/>
        </w:rPr>
        <w:t>EN: Ion diffusion overestimates figures of merit in polymeric mixed conductors</w:t>
      </w:r>
    </w:p>
    <w:p>
      <w:pPr>
        <w:spacing w:before="0" w:after="120"/>
      </w:pPr>
      <w:r>
        <w:rPr>
          <w:b/>
        </w:rPr>
        <w:t xml:space="preserve">Source: </w:t>
      </w:r>
      <w:r>
        <w:t>Nature Communications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优异数字被用于将科学转化为技术。对于有机混合离子电电子导体(OMIECs)来说,流动性和体积能力(即微C* 产品)的产物即移动和体积能力(mc* 产品)是用于指导从生物电子到神经形态等技术开发的优异数据。虽然有机电化学晶体管(OECTs)被广泛用于测量微C* 产品,但如果晶体管中存在电动,那么微C* 产品被高估。在这里,我们发现离子传播到通道的速度变化了。我们还发现,在离子如何在OMIEC内部分布上,奥电化学晶体管(OECTs)的几何测量作用是前所未有的。最后,我们观察到电子充电载器首先被注射。</w:t>
      </w:r>
    </w:p>
    <w:p>
      <w:pPr>
        <w:spacing w:before="0" w:after="200" w:lineRule="auto" w:line="276"/>
      </w:pPr>
      <w:r>
        <w:rPr>
          <w:b/>
        </w:rPr>
        <w:t xml:space="preserve">Abstract (EN): </w:t>
      </w:r>
      <w:r>
        <w:t>Figures of merit are used to translate science to technology. For organic mixed ionic–electronic conductors (OMIECs), the product of mobility and volumetric capacitance, i.e., the µC* product, is the figure of merit used to guide the development of technologies ranging from bioelectronics to neuromorphics. While organic electrochemical transistors (OECTs) are used extensively to measure the µC* product, if there is a kink in the transistor current, then the µC* product is overestimated. Here, we show that the origin of the kink is a change in the rate with which the ions diffuse into the channel. We also discover that the OECT channel geometry has an unprecedented role on how the ions are distributed within the OMIEC. Finally, we observe that electronic charge carriers are first be injected and drift in the OMIEC, before ions can drift from the electrolyte into the OMIEC. Overall, the diverse charge transport phenomena identified here are essential for understanding the complexities of integrating novel OMIECs into traditional device structures, providing the key information needed to realize their promising application potential.</w:t>
      </w:r>
    </w:p>
    <w:p>
      <w:pPr>
        <w:spacing w:before="120" w:after="120"/>
      </w:pPr>
      <w:r>
        <w:rPr>
          <w:sz w:val="18"/>
        </w:rPr>
        <w:t>——————————————————————————————————————————————————————————————————————</w:t>
      </w:r>
    </w:p>
    <w:p>
      <w:pPr>
        <w:spacing w:before="160" w:after="40" w:line="240" w:lineRule="auto"/>
      </w:pPr>
      <w:r>
        <w:rPr>
          <w:b/>
        </w:rPr>
        <w:t xml:space="preserve">[193] </w:t>
      </w:r>
      <w:hyperlink r:id="rId280">
        <w:r>
          <w:rPr>
            <w:color w:val="1155CC"/>
            <w:u w:val="single"/>
          </w:rPr>
          <w:t>高能和低成本钠电池的下一代阳极</w:t>
        </w:r>
      </w:hyperlink>
    </w:p>
    <w:p>
      <w:pPr>
        <w:spacing w:before="0" w:after="80"/>
      </w:pPr>
      <w:r>
        <w:rPr>
          <w:i/>
          <w:sz w:val="20"/>
        </w:rPr>
        <w:t>EN: Next-generation anodes for high-energy and low-cost sodium-ion batteries</w:t>
      </w:r>
    </w:p>
    <w:p>
      <w:pPr>
        <w:spacing w:before="0" w:after="120"/>
      </w:pPr>
      <w:r>
        <w:rPr>
          <w:b/>
        </w:rPr>
        <w:t xml:space="preserve">Source: </w:t>
      </w:r>
      <w:r>
        <w:t>Nature Reviews Materials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钠离子电池(NIBs)在商业上日益成为锂离子电池(LIBs)的商业上可行的替代品,其驱动力是钠的成本较低,资源供应量增加。然而,目前的NIB技术在成本效率和能源密度方面仍然低于已经建立的LIB系统,如基于LiFePO4的LIB系统。尽管自2020年代初以来,工业进步已经将NIB的能源密度提高到约175 WHK-1, 其性能仍然受到以下因素的限制:现有硬碳阳极中特定容量相对较低(通常为200-350 mAhg-1)和吸管密度较低(0.3-1.0 gcm-3 ) 。本审查报告分析了能够释放高能和低成本NIB的无线材料,重点是高容量硬碳和合金系统。我们讨论了 l 。</w:t>
      </w:r>
    </w:p>
    <w:p>
      <w:pPr>
        <w:spacing w:before="0" w:after="200" w:lineRule="auto" w:line="276"/>
      </w:pPr>
      <w:r>
        <w:rPr>
          <w:b/>
        </w:rPr>
        <w:t xml:space="preserve">Abstract (EN): </w:t>
      </w:r>
      <w:r>
        <w:t>Sodium-ion batteries (NIBs) are increasingly becoming commercially viable alternatives to lithium-ion batteries (LIBs), driven by sodium’s lower cost and greater resource availability. However, current NIB technology still falls short of established LIB systems, such as those based on LiFePO4, in both cost efficiency and energy density. Although since the early 2020s, industrial advances have raised NIB energy densities to around 175 Wh kg−1, performance remains limited by the relatively low specific capacity (typically 200–350 mAh g−1) and low tap density (0.3–1.0 g cm−3) of the prevailing hard carbon anodes. This Review analyses emerging anode materials that could unlock higher-energy and lower-cost NIBs, with a focus on high-capacity hard carbon and alloy-based systems. We discuss the latest progress, fundamental challenges and future directions in these anode materials across the key themes of electrode design, structure–property engineering and characterization. By offering forward-looking insights into the rational design and optimization of anode materials, this Review aims to accelerate the research and development of commercially viable NIBs and support the broader advancement of energy storage technologies.</w:t>
      </w:r>
    </w:p>
    <w:p>
      <w:pPr>
        <w:spacing w:before="120" w:after="120"/>
      </w:pPr>
      <w:r>
        <w:rPr>
          <w:sz w:val="18"/>
        </w:rPr>
        <w:t>——————————————————————————————————————————————————————————————————————</w:t>
      </w:r>
    </w:p>
    <w:p>
      <w:pPr>
        <w:spacing w:before="160" w:after="40" w:line="240" w:lineRule="auto"/>
      </w:pPr>
      <w:r>
        <w:rPr>
          <w:b/>
        </w:rPr>
        <w:t xml:space="preserve">[194] </w:t>
      </w:r>
      <w:hyperlink r:id="rId281">
        <w:r>
          <w:rPr>
            <w:color w:val="1155CC"/>
            <w:u w:val="single"/>
          </w:rPr>
          <w:t>作者更正: 简化基础编辑器工程战略, 以减少旁观者编辑</w:t>
        </w:r>
      </w:hyperlink>
    </w:p>
    <w:p>
      <w:pPr>
        <w:spacing w:before="0" w:after="80"/>
      </w:pPr>
      <w:r>
        <w:rPr>
          <w:i/>
          <w:sz w:val="20"/>
        </w:rPr>
        <w:t>EN: Author Correction: A streamlined base editor engineering strategy to reduce bystander editing</w:t>
      </w:r>
    </w:p>
    <w:p>
      <w:pPr>
        <w:spacing w:before="0" w:after="120"/>
      </w:pPr>
      <w:r>
        <w:rPr>
          <w:b/>
        </w:rPr>
        <w:t xml:space="preserve">Source: </w:t>
      </w:r>
      <w:r>
        <w:t>Nature Communications</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[195] </w:t>
      </w:r>
      <w:hyperlink r:id="rId282">
        <w:r>
          <w:rPr>
            <w:color w:val="1155CC"/>
            <w:u w:val="single"/>
          </w:rPr>
          <w:t>教授们应该被迫退休吗?</w:t>
        </w:r>
      </w:hyperlink>
    </w:p>
    <w:p>
      <w:pPr>
        <w:spacing w:before="0" w:after="80"/>
      </w:pPr>
      <w:r>
        <w:rPr>
          <w:i/>
          <w:sz w:val="20"/>
        </w:rPr>
        <w:t>EN: Should professors be forced to retire?</w:t>
      </w:r>
    </w:p>
    <w:p>
      <w:pPr>
        <w:spacing w:before="0" w:after="120"/>
      </w:pPr>
      <w:r>
        <w:rPr>
          <w:b/>
        </w:rPr>
        <w:t xml:space="preserve">Source: </w:t>
      </w:r>
      <w:r>
        <w:t>Nature</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[196] </w:t>
      </w:r>
      <w:hyperlink r:id="rId283">
        <w:r>
          <w:rPr>
            <w:color w:val="1155CC"/>
            <w:u w:val="single"/>
          </w:rPr>
          <w:t>CI 中的非生物食糖对应体</w:t>
        </w:r>
      </w:hyperlink>
    </w:p>
    <w:p>
      <w:pPr>
        <w:spacing w:before="0" w:after="80"/>
      </w:pPr>
      <w:r>
        <w:rPr>
          <w:i/>
          <w:sz w:val="20"/>
        </w:rPr>
        <w:t>EN: Abiotic sugar enantiomers in the CI carbonaceous chondrite Orgueil</w:t>
      </w:r>
    </w:p>
    <w:p>
      <w:pPr>
        <w:spacing w:before="0" w:after="120"/>
      </w:pPr>
      <w:r>
        <w:rPr>
          <w:b/>
        </w:rPr>
        <w:t xml:space="preserve">Source: </w:t>
      </w:r>
      <w:r>
        <w:t>Nature Communications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在陨石中发现先生有机化合物的情况不均匀——那里经常发现氨基酸和核糖基,但糖仍然很少,而且特征也很差——限制了我们对外星有机化学的了解。鉴于星际冰化学实验室模拟很容易产生复杂的糖,这一差异是惊人的。我们在这里报告对陨石样品中的糖和氨基酸对等基体同时进行分析。在奥格雷陨石中检测到多种剂量,包括、阿拉比诺、xylose、lyxose、以及开天辟地的肋骨,其中几处显示出与外星来源相一致的近距离分布。恢复实验表明,糖的丰度严重被低估。尽管存在这种局限性,但恢复实验表明,糖的丰度仍然严重被低估。</w:t>
      </w:r>
    </w:p>
    <w:p>
      <w:pPr>
        <w:spacing w:before="0" w:after="200" w:lineRule="auto" w:line="276"/>
      </w:pPr>
      <w:r>
        <w:rPr>
          <w:b/>
        </w:rPr>
        <w:t xml:space="preserve">Abstract (EN): </w:t>
      </w:r>
      <w:r>
        <w:t>The uneven detection of prebiotic organic compounds in meteorites—where amino acids and nucleobases are commonly identified but sugars remain rare and poorly characterized—limits our understanding of extraterrestrial organic chemistry. This discrepancy is striking given that laboratory simulations of interstellar ice chemistry readily produce complex sugars. Here we report the simultaneous analysis of sugar and amino acid enantiomers in a meteorite sample. Multiple aldoses were detected in the Orgueil meteorite, including ribose, arabinose, xylose, lyxose, and the ketopentose ribulose, several of which display near-racemic distributions consistent with an extraterrestrial origin. Recovery experiments demonstrate that sugar abundances are severely underestimated. Despite this limitation, pentose abundances are comparable to those of some C4–C5 amino acid enantiomers, implying higher true concentrations. These results indicate efficient abiotic sugar formation in space and suggest that meteorites may have delivered a broader range of prebiotically relevant sugars to early Earth than previously recognized.</w:t>
      </w:r>
    </w:p>
    <w:p>
      <w:pPr>
        <w:spacing w:before="120" w:after="120"/>
      </w:pPr>
      <w:r>
        <w:rPr>
          <w:sz w:val="18"/>
        </w:rPr>
        <w:t>——————————————————————————————————————————————————————————————————————</w:t>
      </w:r>
    </w:p>
    <w:p>
      <w:pPr>
        <w:spacing w:before="160" w:after="40" w:line="240" w:lineRule="auto"/>
      </w:pPr>
      <w:r>
        <w:rPr>
          <w:b/>
        </w:rPr>
        <w:t xml:space="preserve">[197] </w:t>
      </w:r>
      <w:hyperlink r:id="rId284">
        <w:r>
          <w:rPr>
            <w:color w:val="1155CC"/>
            <w:u w:val="single"/>
          </w:rPr>
          <w:t>大气扰动中古典和量子光学光振动的地形坚固性</w:t>
        </w:r>
      </w:hyperlink>
    </w:p>
    <w:p>
      <w:pPr>
        <w:spacing w:before="0" w:after="80"/>
      </w:pPr>
      <w:r>
        <w:rPr>
          <w:i/>
          <w:sz w:val="20"/>
        </w:rPr>
        <w:t>EN: Topological robustness of classical and quantum optical skyrmions in atmospheric turbulence</w:t>
      </w:r>
    </w:p>
    <w:p>
      <w:pPr>
        <w:spacing w:before="0" w:after="120"/>
      </w:pPr>
      <w:r>
        <w:rPr>
          <w:b/>
        </w:rPr>
        <w:t xml:space="preserve">Source: </w:t>
      </w:r>
      <w:r>
        <w:t>Nature Communications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古典光和量子结构光的退化是由大气动荡等复杂介质引发的,是妨碍在通信、能源运输、成像和感测领域实际应用的关键性障碍。在这里,我们建造了古典和量子光学云层,并通过实验模拟大气流传播,暴露了其结构的内在地形复原力。对于非本地量子云层而言,我们表明,虽然光线缠绕迅速降解,但各州的地形特征依然稳定。同样,虽然当地古典云层的传导结构被介质强烈扭曲,但其表层却保存在广泛的动荡力量中。</w:t>
      </w:r>
    </w:p>
    <w:p>
      <w:pPr>
        <w:spacing w:before="0" w:after="200" w:lineRule="auto" w:line="276"/>
      </w:pPr>
      <w:r>
        <w:rPr>
          <w:b/>
        </w:rPr>
        <w:t xml:space="preserve">Abstract (EN): </w:t>
      </w:r>
      <w:r>
        <w:t>The degradation of classical and quantum structured light induced by complex media, such as atmospheric turbulence, constitutes a critical barrier to its practical implementation in communication, energy transport, imaging and sensing. Here we construct both classical and quantum optical skyrmions and transmit them through experimentally simulated atmospheric turbulence, revealing the embedded topological resilience of their structure. For nonlocal quantum skyrmions, we show that although photon entanglement rapidly degrades, the topological characteristics of the states remain stable. Similarly, while the vectorial structure of local classical skyrmions is strongly distorted by the medium, their topology is preserved across a wide range of turbulence strengths. Our experimental results are supported by rigorous analytical and numerical modelling, validating that the quantum-classical equivalence of the topological behaviour is due to the non-separability of the states and the one-sided nature of the channel. This equivalence enables robust information transport in noisy environments, opening pathways for resilient terrestrial and satellite-to-ground communication.</w:t>
      </w:r>
    </w:p>
    <w:p>
      <w:pPr>
        <w:spacing w:before="120" w:after="120"/>
      </w:pPr>
      <w:r>
        <w:rPr>
          <w:sz w:val="18"/>
        </w:rPr>
        <w:t>——————————————————————————————————————————————————————————————————————</w:t>
      </w:r>
    </w:p>
    <w:p>
      <w:pPr>
        <w:spacing w:before="160" w:after="40" w:line="240" w:lineRule="auto"/>
      </w:pPr>
      <w:r>
        <w:rPr>
          <w:b/>
        </w:rPr>
        <w:t xml:space="preserve">[198] </w:t>
      </w:r>
      <w:hyperlink r:id="rId285">
        <w:r>
          <w:rPr>
            <w:color w:val="1155CC"/>
            <w:u w:val="single"/>
          </w:rPr>
          <w:t>ES9-SEL1-L-HRD1 环发核心综合体的结构基础和病理影响</w:t>
        </w:r>
      </w:hyperlink>
    </w:p>
    <w:p>
      <w:pPr>
        <w:spacing w:before="0" w:after="80"/>
      </w:pPr>
      <w:r>
        <w:rPr>
          <w:i/>
          <w:sz w:val="20"/>
        </w:rPr>
        <w:t>EN: Structural basis and pathological implications of the dimeric OS9-SEL1L-HRD1 ERAD Core Complex</w:t>
      </w:r>
    </w:p>
    <w:p>
      <w:pPr>
        <w:spacing w:before="0" w:after="120"/>
      </w:pPr>
      <w:r>
        <w:rPr>
          <w:b/>
        </w:rPr>
        <w:t xml:space="preserve">Source: </w:t>
      </w:r>
      <w:r>
        <w:t>Nature Communications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SEL1L-HRD1综合体是内分光性内分光反应(ER)相关降解(ERRAD)中最有节制的分支,这是一个关键的质量控制路径,可以清除折叠的ER蛋白。然而,哺乳动物ERA的分子组织和致病机制仍然难以捉摸。这里,我们报告了核心哺乳动物ELAD综合体的冷冻-EM结构,其中包括ER ECLIN OS9、SEL1L和E3 Ubiquitin ligase HRD1。经过变异和交叉连接分析验证的结构揭示出核心综合体的角状组合,其中,SEL1L和OS9在ER润滑剂中形成了一种类似爪形的组合,介质参与,而人类D1在膜内有角状体结构,可能便利子变异。此外,SEL1-OS9的致病 SEL1L突变。</w:t>
      </w:r>
    </w:p>
    <w:p>
      <w:pPr>
        <w:spacing w:before="0" w:after="200" w:lineRule="auto" w:line="276"/>
      </w:pPr>
      <w:r>
        <w:rPr>
          <w:b/>
        </w:rPr>
        <w:t xml:space="preserve">Abstract (EN): </w:t>
      </w:r>
      <w:r>
        <w:t>The SEL1L-HRD1 complex represents the most conserved branch of endoplasmic reticulum (ER)-associated degradation (ERAD), a critical quality-control pathway that clears misfolded ER proteins. However, the molecular organization and pathogenic mechanisms of mammalian ERAD have remained elusive. Here, we report the cryo-EM structure of the core mammalian ERAD complex, comprising the ER lectin OS9, SEL1L, and the E3 ubiquitin ligase HRD1. The structure, validated by mutagenesis and crosslinking assays, reveals a dimeric assembly of the core complex in which SEL1L and OS9 form a claw-like configuration in the ER lumen that mediates substrate engagement, while HRD1 dimerizes within the membrane that may facilitate substrate translocation. Furthermore, pathogenic SEL1L mutations at the SEL1L-OS9 (Gly585Asp) and SEL1L-HRD1 (Ser658Pro) interfaces disrupt complex formation and impair ERAD activity. A newly identified disease-associated HRD1 variant (Ala91Asp), located in transmembrane helix 3, impairs HRD1 dimerization and substrate processing. These findings provide structural and functional insights for mammalian SEL1L-HRD1 ERAD and elucidate how mutations destabilizing this machinery contribute to human disease.</w:t>
      </w:r>
    </w:p>
    <w:p>
      <w:pPr>
        <w:spacing w:before="120" w:after="120"/>
      </w:pPr>
      <w:r>
        <w:rPr>
          <w:sz w:val="18"/>
        </w:rPr>
        <w:t>——————————————————————————————————————————————————————————————————————</w:t>
      </w:r>
    </w:p>
    <w:p>
      <w:pPr>
        <w:spacing w:before="160" w:after="40" w:line="240" w:lineRule="auto"/>
      </w:pPr>
      <w:r>
        <w:rPr>
          <w:b/>
        </w:rPr>
        <w:t xml:space="preserve">[199] </w:t>
      </w:r>
      <w:hyperlink r:id="rId286">
        <w:r>
          <w:rPr>
            <w:color w:val="1155CC"/>
            <w:u w:val="single"/>
          </w:rPr>
          <w:t>镍/氮倾弃多壁碳纳米管的轻驱动甲烷分解动力学和机制</w:t>
        </w:r>
      </w:hyperlink>
    </w:p>
    <w:p>
      <w:pPr>
        <w:spacing w:before="0" w:after="80"/>
      </w:pPr>
      <w:r>
        <w:rPr>
          <w:i/>
          <w:sz w:val="20"/>
        </w:rPr>
        <w:t>EN: Kinetics and mechanism of light-driven methane decomposition on nickel/nitrogen-doped multiwalled carbon nanotubes</w:t>
      </w:r>
    </w:p>
    <w:p>
      <w:pPr>
        <w:spacing w:before="0" w:after="120"/>
      </w:pPr>
      <w:r>
        <w:rPr>
          <w:b/>
        </w:rPr>
        <w:t xml:space="preserve">Source: </w:t>
      </w:r>
      <w:r>
        <w:t>Matter</w:t>
      </w:r>
      <w:r>
        <w:t xml:space="preserve">    </w:t>
      </w:r>
      <w:r>
        <w:rPr>
          <w:b/>
        </w:rPr>
        <w:t xml:space="preserve">Pub date: </w:t>
      </w:r>
      <w:r>
        <w:t>2026-01-27 00:00:00+00:00</w:t>
      </w:r>
    </w:p>
    <w:p>
      <w:pPr>
        <w:spacing w:before="0" w:after="120"/>
      </w:pPr>
      <w:r>
        <w:rPr>
          <w:b/>
        </w:rPr>
        <w:t xml:space="preserve">Notes: </w:t>
      </w:r>
      <w:r>
        <w:t>abstract_source=rss_cell</w:t>
      </w:r>
    </w:p>
    <w:p>
      <w:pPr>
        <w:spacing w:before="0" w:after="80" w:lineRule="auto" w:line="276"/>
      </w:pPr>
      <w:r>
        <w:rPr>
          <w:b/>
        </w:rPr>
        <w:t xml:space="preserve">摘要（ZH）: </w:t>
      </w:r>
      <w:r>
        <w:t>本文展示了利用光来推动甲烷分解以产生氢气和固体碳副产品来制造尼/N-MWCNT催化剂的可行性,作者们展示了碳支持缺陷对于甲烷分解活动光催化剂的重要性,并表明光驱动反应在低于传统热驱动反应的温度下运作。</w:t>
      </w:r>
    </w:p>
    <w:p>
      <w:pPr>
        <w:spacing w:before="0" w:after="200" w:lineRule="auto" w:line="276"/>
      </w:pPr>
      <w:r>
        <w:rPr>
          <w:b/>
        </w:rPr>
        <w:t xml:space="preserve">Abstract (EN): </w:t>
      </w:r>
      <w:r>
        <w:t>This paper demonstrates the feasibility of using light to drive methane decomposition to produce only hydrogen gas and solid carbon by-product on a Ni/N-MWCNT catalyst. The authors demonstrate the importance of the defects in carbon supports for photocatalysts on methane decomposition activity and show that light-driven reactions operate at lower temperatures than traditional thermally driven reactions.</w:t>
      </w:r>
    </w:p>
    <w:p>
      <w:pPr>
        <w:spacing w:before="120" w:after="120"/>
      </w:pPr>
      <w:r>
        <w:rPr>
          <w:sz w:val="18"/>
        </w:rPr>
        <w:t>——————————————————————————————————————————————————————————————————————</w:t>
      </w:r>
    </w:p>
    <w:p>
      <w:pPr>
        <w:spacing w:before="160" w:after="40" w:line="240" w:lineRule="auto"/>
      </w:pPr>
      <w:r>
        <w:rPr>
          <w:b/>
        </w:rPr>
        <w:t xml:space="preserve">[200] </w:t>
      </w:r>
      <w:hyperlink r:id="rId287">
        <w:r>
          <w:rPr>
            <w:color w:val="1155CC"/>
            <w:u w:val="single"/>
          </w:rPr>
          <w:t>结构和电子维度脱钩:2D运输,3D蜂窝</w:t>
        </w:r>
      </w:hyperlink>
    </w:p>
    <w:p>
      <w:pPr>
        <w:spacing w:before="0" w:after="80"/>
      </w:pPr>
      <w:r>
        <w:rPr>
          <w:i/>
          <w:sz w:val="20"/>
        </w:rPr>
        <w:t>EN: Decoupling structural and electronic dimensionality: 2D transport in a 3D honeycomb chiral stacking</w:t>
      </w:r>
    </w:p>
    <w:p>
      <w:pPr>
        <w:spacing w:before="0" w:after="120"/>
      </w:pPr>
      <w:r>
        <w:rPr>
          <w:b/>
        </w:rPr>
        <w:t xml:space="preserve">Source: </w:t>
      </w:r>
      <w:r>
        <w:t>Matter</w:t>
      </w:r>
      <w:r>
        <w:t xml:space="preserve">    </w:t>
      </w:r>
      <w:r>
        <w:rPr>
          <w:b/>
        </w:rPr>
        <w:t xml:space="preserve">Pub date: </w:t>
      </w:r>
      <w:r>
        <w:t>2026-01-27 00:00:00+00:00</w:t>
      </w:r>
    </w:p>
    <w:p>
      <w:pPr>
        <w:spacing w:before="0" w:after="120"/>
      </w:pPr>
      <w:r>
        <w:rPr>
          <w:b/>
        </w:rPr>
        <w:t xml:space="preserve">Notes: </w:t>
      </w:r>
      <w:r>
        <w:t>abstract_source=rss_cell</w:t>
      </w:r>
    </w:p>
    <w:p>
      <w:pPr>
        <w:spacing w:before="0" w:after="80" w:lineRule="auto" w:line="276"/>
      </w:pPr>
      <w:r>
        <w:rPr>
          <w:b/>
        </w:rPr>
        <w:t xml:space="preserve">摘要（ZH）: </w:t>
      </w:r>
      <w:r>
        <w:t>虽然电子维度通常是通过限制轨道重叠来实现的,但HfSn2则是一个对比鲜明的事例:尽管三维联系很强,但它展示了强有力的二维电子运输,这来自由手力堆叠保存的蜂窝衍生电子状态,使这些状态免受两层之间相互碰撞的影响,反向对称性破裂通过在2D Fermi表面放置二型Weyl点而进一步增强流动性。 这些调查结果表明,结构和电子维度可以分离,将低维电子材料的设计空间扩大到传统层系统之外。</w:t>
      </w:r>
    </w:p>
    <w:p>
      <w:pPr>
        <w:spacing w:before="0" w:after="200" w:lineRule="auto" w:line="276"/>
      </w:pPr>
      <w:r>
        <w:rPr>
          <w:b/>
        </w:rPr>
        <w:t xml:space="preserve">Abstract (EN): </w:t>
      </w:r>
      <w:r>
        <w:t>While electronic dimensionality is typically achieved by limiting orbital overlap, HfSn2 presents a contrasting case: despite strong three-dimensional bonding, it exhibits robust two-dimensional electronic transport. This arises from honeycomb-derived electronic states preserved by chiral stacking, which preserves them against interlayer coupling. Inversion-symmetry breaking further enhances mobility by placing Type II Weyl points on the 2D Fermi surface. These findings show that structural and electronic dimensionality can be decoupled, broadening the design space for low-dimensional electronic materials beyond traditional layered systems.</w:t>
      </w:r>
    </w:p>
    <w:p>
      <w:pPr>
        <w:spacing w:before="120" w:after="120"/>
      </w:pPr>
      <w:r>
        <w:rPr>
          <w:sz w:val="18"/>
        </w:rPr>
        <w:t>——————————————————————————————————————————————————————————————————————</w:t>
      </w:r>
    </w:p>
    <w:p>
      <w:pPr>
        <w:spacing w:before="160" w:after="40" w:line="240" w:lineRule="auto"/>
      </w:pPr>
      <w:r>
        <w:rPr>
          <w:b/>
        </w:rPr>
        <w:t xml:space="preserve">[201] </w:t>
      </w:r>
      <w:hyperlink r:id="rId288">
        <w:r>
          <w:rPr>
            <w:color w:val="1155CC"/>
            <w:u w:val="single"/>
          </w:rPr>
          <w:t>德罗索哲学学先天体外体外体积缺乏干细胞,但通过内摄性中转细胞生长,弥补了与年龄有关的细胞损失。</w:t>
        </w:r>
      </w:hyperlink>
    </w:p>
    <w:p>
      <w:pPr>
        <w:spacing w:before="0" w:after="80"/>
      </w:pPr>
      <w:r>
        <w:rPr>
          <w:i/>
          <w:sz w:val="20"/>
        </w:rPr>
        <w:t>EN: The Drosophila proventriculus lacks stem cells but compensates for age-related cell loss via endoreplication-mediated cell growth</w:t>
      </w:r>
    </w:p>
    <w:p>
      <w:pPr>
        <w:spacing w:before="0" w:after="120"/>
      </w:pPr>
      <w:r>
        <w:rPr>
          <w:b/>
        </w:rPr>
        <w:t xml:space="preserve">Source: </w:t>
      </w:r>
      <w:r>
        <w:t>Nature Communications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德罗索比拉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w:t>
      </w:r>
    </w:p>
    <w:p>
      <w:pPr>
        <w:spacing w:before="0" w:after="200" w:lineRule="auto" w:line="276"/>
      </w:pPr>
      <w:r>
        <w:rPr>
          <w:b/>
        </w:rPr>
        <w:t xml:space="preserve">Abstract (EN): </w:t>
      </w:r>
      <w:r>
        <w:t>The Drosophila proventriculus is a bulb-shaped structure at the juncture of the foregut and the midgut, which plays important roles in ingestion, peritrophic membrane synthesis, and the immune response to oral pathogens. A previous study identified a population of cells in the proventriculus which incorporate bromodeoxyuridine (BrdU), a marker of DNA synthesis, and proposed that these cycling cells are multipotent stem cells that replace dying cells elsewhere in the tissue. Here, we re-investigate these cycling cells and find that they do not undergo mitosis, do not generate clonal lineages, and do not proliferate in response to tissue damage, and are therefore not stem cells. Instead, we find that these cells continually endocycle throughout the fly’s life, increasing their ploidy and size, while at the same time cells in this tissue are lost into the gut lumen as the fly ages. Functionally, these cells play a critical role in the synthesis of peritrophic membrane components, and we show that when their endocycling is experimentally increased or decreased, there is a concomitant change in ploidy, tissue size, and peritrophic membrane synthesis. Further, we show that inhibition of endocycling makes flies more susceptible to orally infectious bacteria. Altogether, we show that continual endocycling of these cells is critical for maintaining tissue size and function in the face of cell loss due to aging or tissue damage.</w:t>
      </w:r>
    </w:p>
    <w:p>
      <w:pPr>
        <w:spacing w:before="120" w:after="120"/>
      </w:pPr>
      <w:r>
        <w:rPr>
          <w:sz w:val="18"/>
        </w:rPr>
        <w:t>——————————————————————————————————————————————————————————————————————</w:t>
      </w:r>
    </w:p>
    <w:p>
      <w:pPr>
        <w:spacing w:before="160" w:after="40" w:line="240" w:lineRule="auto"/>
      </w:pPr>
      <w:r>
        <w:rPr>
          <w:b/>
        </w:rPr>
        <w:t xml:space="preserve">[202] </w:t>
      </w:r>
      <w:hyperlink r:id="rId289">
        <w:r>
          <w:rPr>
            <w:color w:val="1155CC"/>
            <w:u w:val="single"/>
          </w:rPr>
          <w:t>利用太阳能技术在开阔水上进行可持续化学合成</w:t>
        </w:r>
      </w:hyperlink>
    </w:p>
    <w:p>
      <w:pPr>
        <w:spacing w:before="0" w:after="80"/>
      </w:pPr>
      <w:r>
        <w:rPr>
          <w:i/>
          <w:sz w:val="20"/>
        </w:rPr>
        <w:t>EN: Floating solar technologies for sustainable chemical synthesis on open water</w:t>
      </w:r>
    </w:p>
    <w:p>
      <w:pPr>
        <w:spacing w:before="0" w:after="120"/>
      </w:pPr>
      <w:r>
        <w:rPr>
          <w:b/>
        </w:rPr>
        <w:t xml:space="preserve">Source: </w:t>
      </w:r>
      <w:r>
        <w:t>Nature Chemical Engineering</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太阳能合成是生产可储存和可运输的能源载体和净-零化学物质的潜在技术,然而,太阳能循环化学将需要大片土地,这些土地往往价格昂贵,用于农业或住房,或用于政治上无法进入。因此,从在露天水体上部署土地转向太阳能化学生产,为克服与土地设施有关的挑战提供了有吸引力的替代方法。这一视角提出了与传统陆基系统相比,在水上应用浮动太阳能燃料的概念、原型装置、部署情景和优势。受漂浮光伏伏效应的启发,我们讨论了浮动平台和自浮动太阳能燃料装置,</w:t>
      </w:r>
    </w:p>
    <w:p>
      <w:pPr>
        <w:spacing w:before="0" w:after="200" w:lineRule="auto" w:line="276"/>
      </w:pPr>
      <w:r>
        <w:rPr>
          <w:b/>
        </w:rPr>
        <w:t xml:space="preserve">Abstract (EN): </w:t>
      </w:r>
      <w:r>
        <w:t>Solar fuel synthesis is a potential technology to produce storable and transportable energy carriers and net-zero chemicals. However, solar-powered circular chemistry will require large areas of land, which are often prohibitively expensive, needed for agriculture or housing, or politically inaccessible. Shifting from land deployment to solar chemical production on open water bodies thus provides an attractive alternative to overcome the challenges associated with land installations. This Perspective presents concepts, prototype devices, deployment scenarios and the advantages of floating solar fuel applications on water compared with conventional land-based systems. Inspired by the promise of floating photovoltaics, we discuss both floating platforms and self-floating solar fuel devices, along with the opportunities they offer to improve the societal and economic benefits of solar fuel synthesis. We believe that solar fuel production on open water deserves serious consideration, as it can overcome the limitations of land-based deployment and enable decentralized, mobile deployment around the world.</w:t>
      </w:r>
    </w:p>
    <w:p>
      <w:pPr>
        <w:spacing w:before="120" w:after="120"/>
      </w:pPr>
      <w:r>
        <w:rPr>
          <w:sz w:val="18"/>
        </w:rPr>
        <w:t>——————————————————————————————————————————————————————————————————————</w:t>
      </w:r>
    </w:p>
    <w:p>
      <w:pPr>
        <w:spacing w:before="160" w:after="40" w:line="240" w:lineRule="auto"/>
      </w:pPr>
      <w:r>
        <w:rPr>
          <w:b/>
        </w:rPr>
        <w:t xml:space="preserve">[203] </w:t>
      </w:r>
      <w:hyperlink r:id="rId290">
        <w:r>
          <w:rPr>
            <w:color w:val="1155CC"/>
            <w:u w:val="single"/>
          </w:rPr>
          <w:t>卤化物基电解液促成的非/低晶状固态固态电解液的进展</w:t>
        </w:r>
      </w:hyperlink>
    </w:p>
    <w:p>
      <w:pPr>
        <w:spacing w:before="0" w:after="80"/>
      </w:pPr>
      <w:r>
        <w:rPr>
          <w:i/>
          <w:sz w:val="20"/>
        </w:rPr>
        <w:t>EN: Advances in non/low-crystalline solid-state electrolytes enabled by halide-based electrolytes</w:t>
      </w:r>
    </w:p>
    <w:p>
      <w:pPr>
        <w:spacing w:before="0" w:after="120"/>
      </w:pPr>
      <w:r>
        <w:rPr>
          <w:b/>
        </w:rPr>
        <w:t xml:space="preserve">Source: </w:t>
      </w:r>
      <w:r>
        <w:t>Joule</w:t>
      </w:r>
      <w:r>
        <w:t xml:space="preserve">    </w:t>
      </w:r>
      <w:r>
        <w:rPr>
          <w:b/>
        </w:rPr>
        <w:t xml:space="preserve">Pub date: </w:t>
      </w:r>
      <w:r>
        <w:t>2026-01-27 00:00:00+00:00</w:t>
      </w:r>
    </w:p>
    <w:p>
      <w:pPr>
        <w:spacing w:before="0" w:after="120"/>
      </w:pPr>
      <w:r>
        <w:rPr>
          <w:b/>
        </w:rPr>
        <w:t xml:space="preserve">Notes: </w:t>
      </w:r>
      <w:r>
        <w:t>abstract_source=rss_cell</w:t>
      </w:r>
    </w:p>
    <w:p>
      <w:pPr>
        <w:spacing w:before="0" w:after="80" w:lineRule="auto" w:line="276"/>
      </w:pPr>
      <w:r>
        <w:rPr>
          <w:b/>
        </w:rPr>
        <w:t xml:space="preserve">摘要（ZH）: </w:t>
      </w:r>
      <w:r>
        <w:t>由于其独特的结构特性,非低晶线卤化固态电解液正成为有希望的候选物。</w:t>
      </w:r>
    </w:p>
    <w:p>
      <w:pPr>
        <w:spacing w:before="0" w:after="200" w:lineRule="auto" w:line="276"/>
      </w:pPr>
      <w:r>
        <w:rPr>
          <w:b/>
        </w:rPr>
        <w:t xml:space="preserve">Abstract (EN): </w:t>
      </w:r>
      <w:r>
        <w:t>Non/low-crystalline halide solid-state electrolytes are emerging as promising candidates due to their distinctive structural properties.</w:t>
      </w:r>
    </w:p>
    <w:p>
      <w:pPr>
        <w:spacing w:before="120" w:after="120"/>
      </w:pPr>
      <w:r>
        <w:rPr>
          <w:sz w:val="18"/>
        </w:rPr>
        <w:t>——————————————————————————————————————————————————————————————————————</w:t>
      </w:r>
    </w:p>
    <w:p>
      <w:pPr>
        <w:spacing w:before="160" w:after="40" w:line="240" w:lineRule="auto"/>
      </w:pPr>
      <w:r>
        <w:rPr>
          <w:b/>
        </w:rPr>
        <w:t xml:space="preserve">[204] </w:t>
      </w:r>
      <w:hyperlink r:id="rId291">
        <w:r>
          <w:rPr>
            <w:color w:val="1155CC"/>
            <w:u w:val="single"/>
          </w:rPr>
          <w:t>S8-与环境温度下分级增长加增聚合化有关的S8-与分级增长结合的聚(酯脱硫化物)聚(酯脱硫化物)的合成</w:t>
        </w:r>
      </w:hyperlink>
    </w:p>
    <w:p>
      <w:pPr>
        <w:spacing w:before="0" w:after="80"/>
      </w:pPr>
      <w:r>
        <w:rPr>
          <w:i/>
          <w:sz w:val="20"/>
        </w:rPr>
        <w:t>EN: Synthesis of poly(ester disulfide)s from S8-involved step-growth addition polymerization at ambient temperature</w:t>
      </w:r>
    </w:p>
    <w:p>
      <w:pPr>
        <w:spacing w:before="0" w:after="120"/>
      </w:pPr>
      <w:r>
        <w:rPr>
          <w:b/>
        </w:rPr>
        <w:t xml:space="preserve">Source: </w:t>
      </w:r>
      <w:r>
        <w:t>Nature Communications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元素硫(S8),即丰富的石油副产品,在有机碱基催化分级增殖增殖聚合物中,在环境温度下,作为元素硫磺(S8),即丰富的石油副产品,在有机碱基催化分级的分级增殖增殖聚合物中作为中枢单体,在环境温度下与二硫化物和二丙烯酸酯结合,这种方法使得聚(酯脱硫化物)能够进行可缩放的合成,在交替交替的酯和脱硫化物联系中,与特殊的原子经济( &gt; 95%的产量)、Mn至42.0 kDa,以及双重功能:生物降解的酯单位和对硫化物反应敏化物。</w:t>
      </w:r>
    </w:p>
    <w:p>
      <w:pPr>
        <w:spacing w:before="0" w:after="200" w:lineRule="auto" w:line="276"/>
      </w:pPr>
      <w:r>
        <w:rPr>
          <w:b/>
        </w:rPr>
        <w:t xml:space="preserve">Abstract (EN): </w:t>
      </w:r>
      <w:r>
        <w:t>Elemental sulfur (S8), an abundant petroleum byproduct, is leveraged as a linchpin monomer in an organobase-catalyzed step-growth addition polymerization with dithiols and diacrylates at ambient temperature. This method enables the scalable synthesis of poly(ester disulfide)s—featuring alternating ester and disulfide linkages—with exceptional atom economy ( &gt; 95% yield), Mn up to 42.0 kDa, and dual functionality: biodegradable ester units and stimuli-responsive disulfides. Mechanistic studies reveal a chemoselective three-component coupling involving S8 ring-opening, disulfide anion formation, and Michael addition, quantitatively generating symmetric and asymmetric disulfides in near-equimolar ratios. Thermal and mechanical characterizations of the poly(ester disulfide)s reveal programmable properties: High thermal stability (Td,5% = 248–281 °C), tunable phase behavior (amorphous Tg = −64 °C to semicrystalline Tm = 142 °C), and reductive degradation. By overcoming traditional limitations of harsh conditions and monomer scope, this strategy establishes S8 as a versatile feedstock for functional polymers, opening avenues for dynamic materials in biomedicine and environmental remediation.</w:t>
      </w:r>
    </w:p>
    <w:p>
      <w:pPr>
        <w:spacing w:before="120" w:after="120"/>
      </w:pPr>
      <w:r>
        <w:rPr>
          <w:sz w:val="18"/>
        </w:rPr>
        <w:t>——————————————————————————————————————————————————————————————————————</w:t>
      </w:r>
    </w:p>
    <w:p>
      <w:pPr>
        <w:spacing w:before="160" w:after="40" w:line="240" w:lineRule="auto"/>
      </w:pPr>
      <w:r>
        <w:rPr>
          <w:b/>
        </w:rPr>
        <w:t xml:space="preserve">[205] </w:t>
      </w:r>
      <w:hyperlink r:id="rId292">
        <w:r>
          <w:rPr>
            <w:color w:val="1155CC"/>
            <w:u w:val="single"/>
          </w:rPr>
          <w:t>纪念现在的过去和未来</w:t>
        </w:r>
      </w:hyperlink>
    </w:p>
    <w:p>
      <w:pPr>
        <w:spacing w:before="0" w:after="80"/>
      </w:pPr>
      <w:r>
        <w:rPr>
          <w:i/>
          <w:sz w:val="20"/>
        </w:rPr>
        <w:t>EN: Honoring the past and the future in the present</w:t>
      </w:r>
    </w:p>
    <w:p>
      <w:pPr>
        <w:spacing w:before="0" w:after="120"/>
      </w:pPr>
      <w:r>
        <w:rPr>
          <w:b/>
        </w:rPr>
        <w:t xml:space="preserve">Source: </w:t>
      </w:r>
      <w:r>
        <w:t>Nature Chemical Engineering</w:t>
      </w:r>
      <w:r>
        <w:t xml:space="preserve">    </w:t>
      </w:r>
      <w:r>
        <w:rPr>
          <w:b/>
        </w:rPr>
        <w:t xml:space="preserve">Pub date: </w:t>
      </w:r>
      <w:r>
        <w:t>2026-01-27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[206] </w:t>
      </w:r>
      <w:hyperlink r:id="rId293">
        <w:r>
          <w:rPr>
            <w:color w:val="1155CC"/>
            <w:u w:val="single"/>
          </w:rPr>
          <w:t>全球供应链中体现的家畜抗微生物用量</w:t>
        </w:r>
      </w:hyperlink>
    </w:p>
    <w:p>
      <w:pPr>
        <w:spacing w:before="0" w:after="80"/>
      </w:pPr>
      <w:r>
        <w:rPr>
          <w:i/>
          <w:sz w:val="20"/>
        </w:rPr>
        <w:t>EN: Livestock antimicrobial use embodied in global supply chains</w:t>
      </w:r>
    </w:p>
    <w:p>
      <w:pPr>
        <w:spacing w:before="0" w:after="120"/>
      </w:pPr>
      <w:r>
        <w:rPr>
          <w:b/>
        </w:rPr>
        <w:t xml:space="preserve">Source: </w:t>
      </w:r>
      <w:r>
        <w:t>Nature Sustainability</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过度使用抗微生物剂已导致抗微生物抗药性水平的提高,这种抗微生物抗药性可在牲畜、人类和环境之间传播,具有重要的 " 一个健康 " 影响。牲畜部门的抗微生物用量占全球抗微生物消费的73%,然而,这种抗微生物用量如何嵌入国际贸易和全球生产网络中,仍不清楚。我们在这里量化全球抗微生物足迹,并通过2010年至2020年的全球供应链追踪这些足迹。2013年全球牲畜抗微生物足迹达到高峰,达118.6千吨,到2020年降至84.0千吨。中国和美国占全球抗微生物足迹的近60%。大部分使用仍留在国内生产的商品中,但贸易足量份额却从2013年的118.6千吨上升到2020年的84万吨。中国和美国占全球抗微生物足迹的近60%。</w:t>
      </w:r>
    </w:p>
    <w:p>
      <w:pPr>
        <w:spacing w:before="0" w:after="200" w:lineRule="auto" w:line="276"/>
      </w:pPr>
      <w:r>
        <w:rPr>
          <w:b/>
        </w:rPr>
        <w:t xml:space="preserve">Abstract (EN): </w:t>
      </w:r>
      <w:r>
        <w:t>The excessive use of antimicrobials has led to increasing levels of antimicrobial resistance that can spread between livestock, humans and the environment, with important One Health implications. Antimicrobial use in the livestock sector represents 73% of global antimicrobial consumption, yet how such antimicrobial use is embedded within international trade and global production networks remains unclear. Here we quantify global antimicrobial footprints and trace them through global supply chains from 2010 to 2020. Global livestock antimicrobial footprints peaked at 118.6 kilotons (kt) in 2013, then fell to 84.0 kt by 2020. China and the USA contributed nearly 60% of the global antimicrobial footprint. Most use remained in domestically produced goods, yet the trade-embodied share rose from 16% to 20%, signalling growing cross-border spillovers. Developed economies showed higher per capita use via trade, whereas developing economies’ use was concentrated in local production. Brazil surpassed China as the largest exporter of antimicrobials used in livestock production by 2020. Intriguingly, non-food products, particularly the clothing, services and manufacturing sectors, account for half of the trade-embodied antimicrobial footprint. Thus, global spillover of the effects of antimicrobial use extends well beyond the food system thus requiring policymakers to broaden their focus to better address antimicrobial resistance threats.</w:t>
      </w:r>
    </w:p>
    <w:p>
      <w:pPr>
        <w:spacing w:before="120" w:after="120"/>
      </w:pPr>
      <w:r>
        <w:rPr>
          <w:sz w:val="18"/>
        </w:rPr>
        <w:t>——————————————————————————————————————————————————————————————————————</w:t>
      </w:r>
    </w:p>
    <w:p>
      <w:pPr>
        <w:spacing w:before="160" w:after="40" w:line="240" w:lineRule="auto"/>
      </w:pPr>
      <w:r>
        <w:rPr>
          <w:b/>
        </w:rPr>
        <w:t xml:space="preserve">[207] </w:t>
      </w:r>
      <w:hyperlink r:id="rId294">
        <w:r>
          <w:rPr>
            <w:color w:val="1155CC"/>
            <w:u w:val="single"/>
          </w:rPr>
          <w:t>建造智能可开关的纳米平台,用于适应性光电神经学</w:t>
        </w:r>
      </w:hyperlink>
    </w:p>
    <w:p>
      <w:pPr>
        <w:spacing w:before="0" w:after="80"/>
      </w:pPr>
      <w:r>
        <w:rPr>
          <w:i/>
          <w:sz w:val="20"/>
        </w:rPr>
        <w:t>EN: Construction of smart switchable nanoplatforms for adaptive phototheranostics</w:t>
      </w:r>
    </w:p>
    <w:p>
      <w:pPr>
        <w:spacing w:before="0" w:after="120"/>
      </w:pPr>
      <w:r>
        <w:rPr>
          <w:b/>
        </w:rPr>
        <w:t xml:space="preserve">Source: </w:t>
      </w:r>
      <w:r>
        <w:t>RSC - Chem. Soc. Rev. latest articles</w:t>
      </w:r>
      <w:r>
        <w:t xml:space="preserve">    </w:t>
      </w:r>
      <w:r>
        <w:rPr>
          <w:b/>
        </w:rPr>
        <w:t xml:space="preserve">Pub date: </w:t>
      </w:r>
      <w:r>
        <w:t>2026-01-27 00:00:00+00:00</w:t>
      </w:r>
    </w:p>
    <w:p>
      <w:pPr>
        <w:spacing w:before="0" w:after="120"/>
      </w:pPr>
      <w:r>
        <w:rPr>
          <w:b/>
        </w:rPr>
        <w:t xml:space="preserve">Notes: </w:t>
      </w:r>
      <w:r>
        <w:t>abstract_source=rsc_html</w:t>
      </w:r>
    </w:p>
    <w:p>
      <w:pPr>
        <w:spacing w:before="0" w:after="80" w:lineRule="auto" w:line="276"/>
      </w:pPr>
      <w:r>
        <w:rPr>
          <w:b/>
        </w:rPr>
        <w:t xml:space="preserve">摘要（ZH）: </w:t>
      </w:r>
      <w:r>
        <w:t>光电脉冲学已成为肿瘤学的一个重要分支,依靠光电脉冲剂兴奋状态能量的多重消散路径来实现疾病诊断和治疗;然而,常规光电脉冲制剂固定的兴奋状态能量消散路径导致诊断和治疗功能之间的内在竞争,最终损害其在多式和动态肿瘤微环境(TMEs)中的功效。 智能可交换光电动平台的使用,能够根据需求动态地根据需求重新分配光电,以最适合变化后的TMEs,已经成为克服这一限制的变革战略。 其光功能可以明智地转换或调整,以最大限度地实现多式成像和治疗功能。</w:t>
      </w:r>
    </w:p>
    <w:p>
      <w:pPr>
        <w:spacing w:before="0" w:after="200" w:lineRule="auto" w:line="276"/>
      </w:pPr>
      <w:r>
        <w:rPr>
          <w:b/>
        </w:rPr>
        <w:t xml:space="preserve">Abstract (EN): </w:t>
      </w:r>
      <w:r>
        <w:t>Phototheranostics has emerged as an important branch of oncology, relying on multiple dissipation pathways of the excited state energy of phototheranostic agents to achieve disease diagnosis and therapy. However, the fixed excited-state energy dissipation pathways of conventional phototheranostic agents lead to inherent competition among diagnostic and therapeutic functions, ultimately compromising their efficacies in heterogeneous and dynamic tumor microenvironments (TMEs). The use of smart switchable phototheranostic platforms, which can dynamically redistribute photoenergy on demand to best fit the changed TMEs, has emerged as a transformative strategy to overcome this limitation. Their photo-functions could be smartly switched or adapted to maximize multimodal imaging and therapeutic performance. This review provides a comprehensive overview of the recent advancements in organic-based smart switchable phototheranostics, systematically categorizing them into five distinct design paradigms: (1) caging/uncaging molecular engineering, (2) dynamic assembly/disassembly, (3) manipulation of intramolecular motions, (4) photo-controlled molecular isomerization, and (5) metal-ion-involved redox-state transition. For each strategy, we elucidate the fundamental working principles and highlight representative examples that demonstrate tailored applications in adaptive phototheranostics. Finally, we discuss the prevailing challenges and future perspectives of these smart switching phototheranostic technologies. This review aims to inspire interdisciplinary research efforts for advancing precision oncology.</w:t>
      </w:r>
    </w:p>
    <w:p>
      <w:pPr>
        <w:spacing w:before="120" w:after="120"/>
      </w:pPr>
      <w:r>
        <w:rPr>
          <w:sz w:val="18"/>
        </w:rPr>
        <w:t>——————————————————————————————————————————————————————————————————————</w:t>
      </w:r>
    </w:p>
    <w:p>
      <w:pPr>
        <w:spacing w:before="160" w:after="40" w:line="240" w:lineRule="auto"/>
      </w:pPr>
      <w:r>
        <w:rPr>
          <w:b/>
        </w:rPr>
        <w:t xml:space="preserve">[208] </w:t>
      </w:r>
      <w:hyperlink r:id="rId295">
        <w:r>
          <w:rPr>
            <w:color w:val="1155CC"/>
            <w:u w:val="single"/>
          </w:rPr>
          <w:t>在人工组装的纳米管阵列中集体量子一致性和子带再分配</w:t>
        </w:r>
      </w:hyperlink>
    </w:p>
    <w:p>
      <w:pPr>
        <w:spacing w:before="0" w:after="80"/>
      </w:pPr>
      <w:r>
        <w:rPr>
          <w:i/>
          <w:sz w:val="20"/>
        </w:rPr>
        <w:t>EN: Collective quantum coherence and subband redistribution in artificially assembled nanotube arrays</w:t>
      </w:r>
    </w:p>
    <w:p>
      <w:pPr>
        <w:spacing w:before="0" w:after="120"/>
      </w:pPr>
      <w:r>
        <w:rPr>
          <w:b/>
        </w:rPr>
        <w:t xml:space="preserve">Source: </w:t>
      </w:r>
      <w:r>
        <w:t>National Science Review Advance Access</w:t>
      </w:r>
      <w:r>
        <w:t xml:space="preserve">    </w:t>
      </w:r>
      <w:r>
        <w:rPr>
          <w:b/>
        </w:rPr>
        <w:t xml:space="preserve">Pub date: </w:t>
      </w:r>
      <w:r>
        <w:t>2026-01-27 00:00:00+00:00</w:t>
      </w:r>
      <w:r>
        <w:t xml:space="preserve">    </w:t>
      </w:r>
      <w:r>
        <w:rPr>
          <w:b/>
        </w:rPr>
        <w:t xml:space="preserve">DOI: </w:t>
      </w:r>
      <w:hyperlink r:id="rId296">
        <w:r>
          <w:rPr>
            <w:color w:val="1155CC"/>
            <w:u w:val="single"/>
          </w:rPr>
          <w:t>10.1093/nsr/nwag052/8442252</w:t>
        </w:r>
      </w:hyperlink>
    </w:p>
    <w:p>
      <w:pPr>
        <w:spacing w:before="0" w:after="120"/>
      </w:pPr>
      <w:r>
        <w:rPr>
          <w:b/>
        </w:rPr>
        <w:t xml:space="preserve">Notes: </w:t>
      </w:r>
      <w:r>
        <w:t>abstract_source=rss_oup</w:t>
      </w:r>
    </w:p>
    <w:p>
      <w:pPr>
        <w:spacing w:before="0" w:after="80" w:lineRule="auto" w:line="276"/>
      </w:pPr>
      <w:r>
        <w:rPr>
          <w:b/>
        </w:rPr>
        <w:t xml:space="preserve">摘要（ZH）: </w:t>
      </w:r>
      <w:r>
        <w:t>将单维弹道导体人工组装成二维(2D)系统,可以提供一个理想平台,研究一致的电子联结和可设计的物理特性,然而,对此类人工组装系统中的联结和弹道的系统调查仍然很少。在这里,我们报告半二维胶片中集体量量的一致性,该胶片由一壁碳纳米管(CNTs)和双立方联动组成。准弹道制度的导电高原以集体方式展示了数百个CNT的亚频段占用。实验观测与考虑分带再分配和双立方联动的密度功能理论模拟一致。最后,我们总结了数量一致性运输。</w:t>
      </w:r>
    </w:p>
    <w:p>
      <w:pPr>
        <w:spacing w:before="0" w:after="200" w:lineRule="auto" w:line="276"/>
      </w:pPr>
      <w:r>
        <w:rPr>
          <w:b/>
        </w:rPr>
        <w:t xml:space="preserve">Abstract (EN): </w:t>
      </w:r>
      <w:r>
        <w:t>Artificial assembly of one-dimensional ballistic conductors into a two-dimensional (2D) system can provide an ideal platform to study coherent electronic coupling and designable physical properties. However, systematic investigations of both the coupling and ballistics in such artificially assembled systems remain scarce. Here, we report collective quantum coherence in a quasi-2D film consisting of well-aligned single-walled carbon nanotubes (CNTs) with intertube coupling. The conductance plateau in the quasi-ballistic regime demonstrates subband occupation of hundreds of CNTs in a collective manner. The experimental observations agree with density functional theory simulations considering subband redistribution with intertube coupling. Finally, we summarize the quantum coherent transport for multichannel coupled systems in distinct regimes. These results open an avenue towards exploring engineered artificial systems for coherent electronic devices and hold potential for the development of novel high-performance and quantum nanoelectronics.</w:t>
      </w:r>
    </w:p>
    <w:p>
      <w:pPr>
        <w:spacing w:before="120" w:after="120"/>
      </w:pPr>
      <w:r>
        <w:rPr>
          <w:sz w:val="18"/>
        </w:rPr>
        <w:t>——————————————————————————————————————————————————————————————————————</w:t>
      </w:r>
    </w:p>
    <w:p>
      <w:pPr>
        <w:spacing w:before="160" w:after="40" w:line="240" w:lineRule="auto"/>
      </w:pPr>
      <w:r>
        <w:rPr>
          <w:b/>
        </w:rPr>
        <w:t xml:space="preserve">[209] </w:t>
      </w:r>
      <w:hyperlink r:id="rId297">
        <w:r>
          <w:rPr>
            <w:color w:val="1155CC"/>
            <w:u w:val="single"/>
          </w:rPr>
          <w:t>能够进行代谢仿造的人工细胞的进步:从基本原理到应用</w:t>
        </w:r>
      </w:hyperlink>
    </w:p>
    <w:p>
      <w:pPr>
        <w:spacing w:before="0" w:after="80"/>
      </w:pPr>
      <w:r>
        <w:rPr>
          <w:i/>
          <w:sz w:val="20"/>
        </w:rPr>
        <w:t>EN: Advances in artificial cells capable of metabolic mimicry: from fundamentals to applications</w:t>
      </w:r>
    </w:p>
    <w:p>
      <w:pPr>
        <w:spacing w:before="0" w:after="120"/>
      </w:pPr>
      <w:r>
        <w:rPr>
          <w:b/>
        </w:rPr>
        <w:t xml:space="preserve">Source: </w:t>
      </w:r>
      <w:r>
        <w:t>RSC - Chem. Soc. Rev. latest articles</w:t>
      </w:r>
      <w:r>
        <w:t xml:space="preserve">    </w:t>
      </w:r>
      <w:r>
        <w:rPr>
          <w:b/>
        </w:rPr>
        <w:t xml:space="preserve">Pub date: </w:t>
      </w:r>
      <w:r>
        <w:t>2026-01-27 00:00:00+00:00</w:t>
      </w:r>
    </w:p>
    <w:p>
      <w:pPr>
        <w:spacing w:before="0" w:after="120"/>
      </w:pPr>
      <w:r>
        <w:rPr>
          <w:b/>
        </w:rPr>
        <w:t xml:space="preserve">Notes: </w:t>
      </w:r>
      <w:r>
        <w:t>abstract_source=rsc_html</w:t>
      </w:r>
    </w:p>
    <w:p>
      <w:pPr>
        <w:spacing w:before="0" w:after="80" w:lineRule="auto" w:line="276"/>
      </w:pPr>
      <w:r>
        <w:rPr>
          <w:b/>
        </w:rPr>
        <w:t xml:space="preserve">摘要（ZH）: </w:t>
      </w:r>
      <w:r>
        <w:t>能够模仿新陈代谢的人工细胞是合成生物学中迅速演变的前沿。这些系统整合酶以重建基本代谢途径,从而能够在简化但可控制的环境中对细胞过程进行研究。本审查全面概述了基于物理特性的各种代谢仿代造人工细胞的优点和局限性。能源生产的主要战略,包括有机封装、光合磷酸化和纳米材料辅助ATP合成。碳固化、脂肪生物合成和蛋白质表达等新陈代谢过程,连同碳和硝的代谢途径的典型例子,将详细讨论。</w:t>
      </w:r>
    </w:p>
    <w:p>
      <w:pPr>
        <w:spacing w:before="0" w:after="200" w:lineRule="auto" w:line="276"/>
      </w:pPr>
      <w:r>
        <w:rPr>
          <w:b/>
        </w:rPr>
        <w:t xml:space="preserve">Abstract (EN): </w:t>
      </w:r>
      <w:r>
        <w:t>Artificial cells capable of mimicking metabolism represent a rapidly evolving frontier in synthetic biology. These systems integrate enzymes to reconstruct essential metabolic pathways, enabling the study of cellular processes in simplified yet controllable environments. This review provides a comprehensive overview of the advantages and limitations of various artificial cells for metabolic mimicry based on their physical properties. The major strategies for energy generation, including organelle encapsulation, photosynthetic phosphorylation, and nanomaterial-assisted ATP synthesis, are summarized. Anabolic processes such as carbon fixation, lipid biosynthesis, and protein expression are discussed in detail, along with representative examples of catabolic pathways involved in carbon and nitrogen metabolism. We highlight the emerging applications of metabolically functional artificial cells in biosensing and disease diagnosis. By bridging the fundamental principles and practical applications, this review aims to provide valuable insights into the design and deployment of artificial metabolic systems, paving the way for next-generation synthetic biological tools.</w:t>
      </w:r>
    </w:p>
    <w:p>
      <w:pPr>
        <w:spacing w:before="120" w:after="120"/>
      </w:pPr>
      <w:r>
        <w:rPr>
          <w:sz w:val="18"/>
        </w:rPr>
        <w:t>——————————————————————————————————————————————————————————————————————</w:t>
      </w:r>
    </w:p>
    <w:p>
      <w:pPr>
        <w:spacing w:before="160" w:after="40" w:line="240" w:lineRule="auto"/>
      </w:pPr>
      <w:r>
        <w:rPr>
          <w:b/>
        </w:rPr>
        <w:t xml:space="preserve">[210] </w:t>
      </w:r>
      <w:hyperlink r:id="rId298">
        <w:r>
          <w:rPr>
            <w:color w:val="1155CC"/>
            <w:u w:val="single"/>
          </w:rPr>
          <w:t>具有光学可处理旋轴的六边氧化氮中的窄带量子发射物</w:t>
        </w:r>
      </w:hyperlink>
    </w:p>
    <w:p>
      <w:pPr>
        <w:spacing w:before="0" w:after="80"/>
      </w:pPr>
      <w:r>
        <w:rPr>
          <w:i/>
          <w:sz w:val="20"/>
        </w:rPr>
        <w:t>EN: Narrowband quantum emitters in hexagonal boron nitride with optically addressable spins</w:t>
      </w:r>
    </w:p>
    <w:p>
      <w:pPr>
        <w:spacing w:before="0" w:after="120"/>
      </w:pPr>
      <w:r>
        <w:rPr>
          <w:b/>
        </w:rPr>
        <w:t xml:space="preserve">Source: </w:t>
      </w:r>
      <w:r>
        <w:t>Nature Materials</w:t>
      </w:r>
      <w:r>
        <w:t xml:space="preserve">    </w:t>
      </w:r>
      <w:r>
        <w:rPr>
          <w:b/>
        </w:rPr>
        <w:t xml:space="preserve">Pub date: </w:t>
      </w:r>
      <w:r>
        <w:t>2026-01-27 00:00:00+00:00</w:t>
      </w:r>
    </w:p>
    <w:p>
      <w:pPr>
        <w:spacing w:before="0" w:after="120"/>
      </w:pPr>
      <w:r>
        <w:rPr>
          <w:b/>
        </w:rPr>
        <w:t xml:space="preserve">Notes: </w:t>
      </w:r>
      <w:r>
        <w:t>abstract_source=nature_html</w:t>
      </w:r>
    </w:p>
    <w:p>
      <w:pPr>
        <w:spacing w:before="0" w:after="80" w:lineRule="auto" w:line="276"/>
      </w:pPr>
      <w:r>
        <w:rPr>
          <w:b/>
        </w:rPr>
        <w:t xml:space="preserve">摘要（ZH）: </w:t>
      </w:r>
      <w:r>
        <w:t>与固体中光学转换相伴的电旋,以及固体中光学转换,是发展以旋转为基础的量子技术的一个很有前景的平台。最近,六角原亚硝化六角原作为光学可处理的旋转系统的一个很有希望的宿主出现。然而,具有预先确定旋转转换的孤立的单发粒子发射体的受控制的生成仍然难以实现。这里我们报告六角原原生氮化裂变的单步热处理过程,这种处理产生高密度,窄带负量发射体具有光学活性旋转转变,25%以上的发射体在室内温度下展示了光质旋转读出的明确信号。产生的旋转变形复合体显示S=1和S=1/2的转变,其原因来自从强向弱的电汇转移。</w:t>
      </w:r>
    </w:p>
    <w:p>
      <w:pPr>
        <w:spacing w:before="0" w:after="200" w:lineRule="auto" w:line="276"/>
      </w:pPr>
      <w:r>
        <w:rPr>
          <w:b/>
        </w:rPr>
        <w:t xml:space="preserve">Abstract (EN): </w:t>
      </w:r>
      <w:r>
        <w:t>Electron spins coupled with optical transitions in solids stand out as a promising platform for developing spin-based quantum technologies. Recently, hexagonal boron nitride has emerged as a promising host for optically addressable spin systems. However, controlled generation of isolated single-photon emitters with predetermined spin transitions has remained elusive. Here we report on a single-step thermal processing of hexagonal boron nitride flakes that produces high-density, narrowband quantum emitters with optically active spin transitions, with over 25% of the emitters exhibiting a clear signature of an optical spin read-out at room temperature. The generated spin defect complexes exhibit both S = 1 and S = 1/2 transitions, which are explained by charge transfer from strongly to weakly coupled spin pairs. Our work advances the understanding of spin complexes in hexagonal boron nitride and paves the way for single spin–photon interfaces in layered materials with applications in quantum sensing and information processing.</w:t>
      </w:r>
    </w:p>
    <w:p>
      <w:pPr>
        <w:spacing w:before="120" w:after="120"/>
      </w:pPr>
      <w:r>
        <w:rPr>
          <w:sz w:val="18"/>
        </w:rPr>
        <w:t>——————————————————————————————————————————————————————————————————————</w:t>
      </w:r>
    </w:p>
    <w:p>
      <w:pPr>
        <w:spacing w:before="160" w:after="40" w:line="240" w:lineRule="auto"/>
      </w:pPr>
      <w:r>
        <w:rPr>
          <w:b/>
        </w:rPr>
        <w:t xml:space="preserve">[211] </w:t>
      </w:r>
      <w:hyperlink r:id="rId299">
        <w:r>
          <w:rPr>
            <w:color w:val="1155CC"/>
            <w:u w:val="single"/>
          </w:rPr>
          <w:t>大幅增强压缩富钴富钴半导体的光电子特性</w:t>
        </w:r>
      </w:hyperlink>
    </w:p>
    <w:p>
      <w:pPr>
        <w:spacing w:before="0" w:after="80"/>
      </w:pPr>
      <w:r>
        <w:rPr>
          <w:i/>
          <w:sz w:val="20"/>
        </w:rPr>
        <w:t>EN: Giant enhancement of optoelectronic properties in compressed boron-rich semiconductors</w:t>
      </w:r>
    </w:p>
    <w:p>
      <w:pPr>
        <w:spacing w:before="0" w:after="120"/>
      </w:pPr>
      <w:r>
        <w:rPr>
          <w:b/>
        </w:rPr>
        <w:t xml:space="preserve">Source: </w:t>
      </w:r>
      <w:r>
        <w:t>National Science Review Advance Access</w:t>
      </w:r>
      <w:r>
        <w:t xml:space="preserve">    </w:t>
      </w:r>
      <w:r>
        <w:rPr>
          <w:b/>
        </w:rPr>
        <w:t xml:space="preserve">Pub date: </w:t>
      </w:r>
      <w:r>
        <w:t>2026-01-27 00:00:00+00:00</w:t>
      </w:r>
      <w:r>
        <w:t xml:space="preserve">    </w:t>
      </w:r>
      <w:r>
        <w:rPr>
          <w:b/>
        </w:rPr>
        <w:t xml:space="preserve">DOI: </w:t>
      </w:r>
      <w:hyperlink r:id="rId300">
        <w:r>
          <w:rPr>
            <w:color w:val="1155CC"/>
            <w:u w:val="single"/>
          </w:rPr>
          <w:t>10.1093/nsr/nwag051/8442258</w:t>
        </w:r>
      </w:hyperlink>
    </w:p>
    <w:p>
      <w:pPr>
        <w:spacing w:before="0" w:after="120"/>
      </w:pPr>
      <w:r>
        <w:rPr>
          <w:b/>
        </w:rPr>
        <w:t xml:space="preserve">Notes: </w:t>
      </w:r>
      <w:r>
        <w:t>abstract_source=rss_oup</w:t>
      </w:r>
    </w:p>
    <w:p>
      <w:pPr>
        <w:spacing w:before="0" w:after="80" w:lineRule="auto" w:line="276"/>
      </w:pPr>
      <w:r>
        <w:rPr>
          <w:b/>
        </w:rPr>
        <w:t xml:space="preserve">摘要（ZH）: </w:t>
      </w:r>
      <w:r>
        <w:t>光电装置经常在极端条件下发生性能退化,例如高暗电流和敏感度降低。在这里,我们证明压力通过非常规反威尔逊效应,独有地通过超常规抗威尔逊效应增强富富富富博的半导体AlCu1-B25的光电子性能。在压缩下,AlCu1-B25的光流增加了20倍以上,达到7.22 微克A,达到26.5千兆帕,而暗流急剧下降近4个数量级(到0.2毫升),导致对流/对流比率的空前改善超过105倍。同时,压力大大加快了光电子反应速度,将反应时间缩短了3个数量级。光学吸收测量显示异常压力驱动反威尔。</w:t>
      </w:r>
    </w:p>
    <w:p>
      <w:pPr>
        <w:spacing w:before="0" w:after="200" w:lineRule="auto" w:line="276"/>
      </w:pPr>
      <w:r>
        <w:rPr>
          <w:b/>
        </w:rPr>
        <w:t xml:space="preserve">Abstract (EN): </w:t>
      </w:r>
      <w:r>
        <w:t>Optoelectronic devices often experience performance degradation under extreme conditions, such as elevated dark current and reduced sensitivity. Here we demonstrate that pressure uniquely enhances the optoelectronic performance of boron-rich semiconductor AlCu1-δB25 via an unconventional anti-Wilson effect. Under compression, the photocurrent of AlCu1-δB25 increases by more than twenty-fold, to ∼7.22 μA at 26.5 GPa, while the dark current reduces dramatically by nearly four orders of magnitude (to ∼0.2 nA), yielding an unprecedented improvement in on/off ratio exceeding 105-fold. Simultaneously, pressure significantly accelerates the optoelectronic response, reducing the response time by three orders of magnitude. Optical absorption measurements reveal an anomalous pressure-driven anti-Wilson effect in AlCu1-δB25. First-principles calculations indicate that this anomaly arises from an upward shift of Al-3s</w:t>
      </w:r>
    </w:p>
    <w:p>
      <w:pPr>
        <w:spacing w:before="120" w:after="120"/>
      </w:pPr>
      <w:r>
        <w:rPr>
          <w:sz w:val="18"/>
        </w:rPr>
        <w:t>——————————————————————————————————————————————————————————————————————</w:t>
      </w:r>
    </w:p>
    <w:p>
      <w:pPr>
        <w:spacing w:before="160" w:after="40" w:line="240" w:lineRule="auto"/>
      </w:pPr>
      <w:r>
        <w:rPr>
          <w:b/>
        </w:rPr>
        <w:t xml:space="preserve">[212] </w:t>
      </w:r>
      <w:hyperlink r:id="rId301">
        <w:r>
          <w:rPr>
            <w:color w:val="1155CC"/>
            <w:u w:val="single"/>
          </w:rPr>
          <w:t>固态聚合体电解解板的离离电运输</w:t>
        </w:r>
      </w:hyperlink>
    </w:p>
    <w:p>
      <w:pPr>
        <w:spacing w:before="0" w:after="80"/>
      </w:pPr>
      <w:r>
        <w:rPr>
          <w:i/>
          <w:sz w:val="20"/>
        </w:rPr>
        <w:t>EN: Discontinuous Coordination Boosting Ion Transport in Solid Polymer Electrolytes</w:t>
      </w:r>
    </w:p>
    <w:p>
      <w:pPr>
        <w:spacing w:before="0" w:after="120"/>
      </w:pPr>
      <w:r>
        <w:rPr>
          <w:b/>
        </w:rPr>
        <w:t xml:space="preserve">Source: </w:t>
      </w:r>
      <w:r>
        <w:t>RSC - Energy Environ. Sci. latest articles</w:t>
      </w:r>
      <w:r>
        <w:t xml:space="preserve">    </w:t>
      </w:r>
      <w:r>
        <w:rPr>
          <w:b/>
        </w:rPr>
        <w:t xml:space="preserve">Pub date: </w:t>
      </w:r>
      <w:r>
        <w:t>2026-01-27 00:00:00+00:00</w:t>
      </w:r>
    </w:p>
    <w:p>
      <w:pPr>
        <w:spacing w:before="0" w:after="120"/>
      </w:pPr>
      <w:r>
        <w:rPr>
          <w:b/>
        </w:rPr>
        <w:t xml:space="preserve">Notes: </w:t>
      </w:r>
      <w:r>
        <w:t>abstract_source=rsc_html</w:t>
      </w:r>
    </w:p>
    <w:p>
      <w:pPr>
        <w:spacing w:before="0" w:after="80" w:lineRule="auto" w:line="276"/>
      </w:pPr>
      <w:r>
        <w:rPr>
          <w:b/>
        </w:rPr>
        <w:t xml:space="preserve">摘要（ZH）: </w:t>
      </w:r>
      <w:r>
        <w:t>从聚合体部分动力学中脱钩的李+运输对于加强固体聚合物电解解解体的电导性( Dec) 和转移编号( t+) 至关重要。 分子动态模拟和固态7Li核磁共振反应通过研究氧密度不同的四个基于醚的SPE,发现在聚( 环氧乙烷) (PEO) 中,聚合物的放松-有限离子运输向聚(四氢呋喃) (PTHF)、聚(1,3-二氧醇) (PDOL) 和聚(三氧甲基苯乙烯) (PTOM) 中,离子体(DOL) 和离子(三氧甲基苯) 的脱钩和固态7Li 核磁共振共振作用揭示了这一转变的起源。 在PTHF, 与锂联特性的微软的溶液溶解作用有助于形成较弱的李+环境,而在PDOL和PTOM 中,不连续协调(DC) 结构和多链结合是关键因素。</w:t>
      </w:r>
    </w:p>
    <w:p>
      <w:pPr>
        <w:spacing w:before="0" w:after="200" w:lineRule="auto" w:line="276"/>
      </w:pPr>
      <w:r>
        <w:rPr>
          <w:b/>
        </w:rPr>
        <w:t xml:space="preserve">Abstract (EN): </w:t>
      </w:r>
      <w:r>
        <w:t>Decoupling Li+ transport from polymer segmental dynamics is crucial for enhancing ionic conductivity (σ) and transference number (t+) in solid polymer electrolytes (SPEs). Herein, by studying four ether-based SPEs with varying oxygen density, we identify a transition from polymer relaxation-limited ion transport in poly(ethylene oxide) (PEO) to ion hopping-dominant transport in poly(tetrahydrofuran) (PTHF), poly(1,3-dioxolane) (PDOL), and poly(trioxymethylene) (PTOM). Molecular dynamics simulations and solidstate 7Li nuclear magnetic resonance reveal origins of the transition. In PTHF, weak solvation with lithium bond characteristics contributes to a less-shielded Li+ environment, while in PDOL and PTOM, the discontinuous coordination (DC) structure and multi-chain binding are pivotal. The presence of DC structures is experimentally confirmed by in situ attenuated total reflection Fourier transform infrared spectroscopy and supported by quantum chemistry calculations. As a result, PDOL and PTOM exhibit t+ values exceeding 0.5 and enhanced σ values of 4.3 × 10-3 and 8.5 × 10-3 S cm-1 at 373 K, respectively. The Li/SPEs/LiFePO4 cell with ex situ-prepared PDOL achieves a superior capacity retention of 90.8% after 50 cycles. This work underscores the significance of functional group spacing in tuning the transport mechanisms and demonstrates how the decoupling strategy can guide the bottom-up design of advanced SPEs.</w:t>
      </w:r>
    </w:p>
    <w:p>
      <w:pPr>
        <w:spacing w:before="120" w:after="120"/>
      </w:pPr>
      <w:r>
        <w:rPr>
          <w:sz w:val="18"/>
        </w:rPr>
        <w:t>——————————————————————————————————————————————————————————————————————</w:t>
      </w:r>
    </w:p>
    <w:p>
      <w:pPr>
        <w:spacing w:before="160" w:after="40" w:line="240" w:lineRule="auto"/>
      </w:pPr>
      <w:r>
        <w:rPr>
          <w:b/>
        </w:rPr>
        <w:t xml:space="preserve">[213] </w:t>
      </w:r>
      <w:hyperlink r:id="rId302">
        <w:r>
          <w:rPr>
            <w:color w:val="1155CC"/>
            <w:u w:val="single"/>
          </w:rPr>
          <w:t>使用于火星探索的原地能源站概念化</w:t>
        </w:r>
      </w:hyperlink>
    </w:p>
    <w:p>
      <w:pPr>
        <w:spacing w:before="0" w:after="80"/>
      </w:pPr>
      <w:r>
        <w:rPr>
          <w:i/>
          <w:sz w:val="20"/>
        </w:rPr>
        <w:t>EN: Conceptualizing in-situ energy station for Mars exploration</w:t>
      </w:r>
    </w:p>
    <w:p>
      <w:pPr>
        <w:spacing w:before="0" w:after="120"/>
      </w:pPr>
      <w:r>
        <w:rPr>
          <w:b/>
        </w:rPr>
        <w:t xml:space="preserve">Source: </w:t>
      </w:r>
      <w:r>
        <w:t>National Science Review Advance Access</w:t>
      </w:r>
      <w:r>
        <w:t xml:space="preserve">    </w:t>
      </w:r>
      <w:r>
        <w:rPr>
          <w:b/>
        </w:rPr>
        <w:t xml:space="preserve">Pub date: </w:t>
      </w:r>
      <w:r>
        <w:t>2026-01-27 00:00:00+00:00</w:t>
      </w:r>
      <w:r>
        <w:t xml:space="preserve">    </w:t>
      </w:r>
      <w:r>
        <w:rPr>
          <w:b/>
        </w:rPr>
        <w:t xml:space="preserve">DOI: </w:t>
      </w:r>
      <w:hyperlink r:id="rId303">
        <w:r>
          <w:rPr>
            <w:color w:val="1155CC"/>
            <w:u w:val="single"/>
          </w:rPr>
          <w:t>10.1093/nsr/nwag043/8442246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304">
        <w:r>
          <w:rPr>
            <w:color w:val="1155CC"/>
            <w:u w:val="single"/>
          </w:rPr>
          <w:t>为长期预测物理系统的复杂动态而滑动物理无变神经操作器以便长期预测物理系统中的复杂动态</w:t>
        </w:r>
      </w:hyperlink>
    </w:p>
    <w:p>
      <w:pPr>
        <w:spacing w:before="0" w:after="80"/>
      </w:pPr>
      <w:r>
        <w:rPr>
          <w:i/>
          <w:sz w:val="20"/>
        </w:rPr>
        <w:t>EN: Sliding physical invariant neural operator for long-term prediction of complex dynamics in physical systems</w:t>
      </w:r>
    </w:p>
    <w:p>
      <w:pPr>
        <w:spacing w:before="0" w:after="120"/>
      </w:pPr>
      <w:r>
        <w:rPr>
          <w:b/>
        </w:rPr>
        <w:t xml:space="preserve">Source: </w:t>
      </w:r>
      <w:r>
        <w:t>National Science Review Advance Access</w:t>
      </w:r>
      <w:r>
        <w:t xml:space="preserve">    </w:t>
      </w:r>
      <w:r>
        <w:rPr>
          <w:b/>
        </w:rPr>
        <w:t xml:space="preserve">Pub date: </w:t>
      </w:r>
      <w:r>
        <w:t>2026-01-27 00:00:00+00:00</w:t>
      </w:r>
      <w:r>
        <w:t xml:space="preserve">    </w:t>
      </w:r>
      <w:r>
        <w:rPr>
          <w:b/>
        </w:rPr>
        <w:t xml:space="preserve">DOI: </w:t>
      </w:r>
      <w:hyperlink r:id="rId305">
        <w:r>
          <w:rPr>
            <w:color w:val="1155CC"/>
            <w:u w:val="single"/>
          </w:rPr>
          <w:t>10.1093/nsr/nwag027/8442262</w:t>
        </w:r>
      </w:hyperlink>
    </w:p>
    <w:p>
      <w:pPr>
        <w:spacing w:before="0" w:after="120"/>
      </w:pPr>
      <w:r>
        <w:rPr>
          <w:b/>
        </w:rPr>
        <w:t xml:space="preserve">Notes: </w:t>
      </w:r>
      <w:r>
        <w:t>abstract_source=rss_oup</w:t>
      </w:r>
    </w:p>
    <w:p>
      <w:pPr>
        <w:spacing w:before="0" w:after="80" w:lineRule="auto" w:line="276"/>
      </w:pPr>
      <w:r>
        <w:rPr>
          <w:b/>
        </w:rPr>
        <w:t xml:space="preserve">摘要（ZH）: </w:t>
      </w:r>
      <w:r>
        <w:t>操作员学习的目的是模拟基本物理系统,以解决一个局部差异等同(PDEs)的完整组合,而不是只关注一个方程实例。当前的方法将初始条件编码成物理变量,以指导各种方程的解决方案,但这些静态物理变量只捕捉短期动态,不能代表长期演变,从而随着时间的推移降低准确性和稳定性。在本文件中,我们引入了滑动物理不均性神经操作器(SPINNO),它整合了与基本PDEs演变动态滑动的物理变量。与现有方法相比,我们的方法在培训领域实现了34.3%-79.8%的大幅误差减少,在培训领域实现了7.7%-76.5%的误差减少。</w:t>
      </w:r>
    </w:p>
    <w:p>
      <w:pPr>
        <w:spacing w:before="0" w:after="200" w:lineRule="auto" w:line="276"/>
      </w:pPr>
      <w:r>
        <w:rPr>
          <w:b/>
        </w:rPr>
        <w:t xml:space="preserve">Abstract (EN): </w:t>
      </w:r>
      <w:r>
        <w:t>Operator learning aims to simulate the underlying physical system to solve an entire family of Partial Differential Equations (PDEs), rather than focusing on a single instance of the equation. Current approaches encode initial conditions into physical invariants to guide the solution of various equations, but these static physical invariants capture only short-term dynamics and fail to represent long-term evolution, which degrades both accuracy and stability over time. In this paper, we introduce the Sliding Physical Invariant Neural Operator (SPINO), which integrates physical invariants that slide dynamically with the evolution of the underlying PDEs. Compared with existing methods, our approach achieves substantial error reductions of 34.3%-79.8% in the training domain and 7.7%-76.5% in the future domain, underscoring its markedly enhanced generalization and long-term predictive performance across a wide range of PDE scenarios.</w:t>
      </w:r>
    </w:p>
    <w:p>
      <w:pPr>
        <w:spacing w:before="120" w:after="120"/>
      </w:pPr>
      <w:r>
        <w:rPr>
          <w:sz w:val="18"/>
        </w:rPr>
        <w:t>——————————————————————————————————————————————————————————————————————</w:t>
      </w:r>
    </w:p>
    <w:p>
      <w:pPr>
        <w:spacing w:before="160" w:after="40" w:line="240" w:lineRule="auto"/>
      </w:pPr>
      <w:r>
        <w:rPr>
          <w:b/>
        </w:rPr>
        <w:t xml:space="preserve">[215] </w:t>
      </w:r>
      <w:hyperlink r:id="rId306">
        <w:r>
          <w:rPr>
            <w:color w:val="1155CC"/>
            <w:u w:val="single"/>
          </w:rPr>
          <w:t>利用模式和依附的磁磁力和机械电机组合进行多域能源收集</w:t>
        </w:r>
      </w:hyperlink>
    </w:p>
    <w:p>
      <w:pPr>
        <w:spacing w:before="0" w:after="80"/>
      </w:pPr>
      <w:r>
        <w:rPr>
          <w:i/>
          <w:sz w:val="20"/>
        </w:rPr>
        <w:t>EN: Multi‐Domain Energy Harvesting with Mode‐Dependent Magneto‐Mechano‐Electric Coupling</w:t>
      </w:r>
    </w:p>
    <w:p>
      <w:pPr>
        <w:spacing w:before="0" w:after="120"/>
      </w:pPr>
      <w:r>
        <w:rPr>
          <w:b/>
        </w:rPr>
        <w:t xml:space="preserve">Source: </w:t>
      </w:r>
      <w:r>
        <w:t>Wiley: Advanced Energy Materials: Table of Contents</w:t>
      </w:r>
      <w:r>
        <w:t xml:space="preserve">    </w:t>
      </w:r>
      <w:r>
        <w:rPr>
          <w:b/>
        </w:rPr>
        <w:t xml:space="preserve">Pub date: </w:t>
      </w:r>
      <w:r>
        <w:t>2026-01-27 06:26:34+00:00</w:t>
      </w:r>
      <w:r>
        <w:t xml:space="preserve">    </w:t>
      </w:r>
      <w:r>
        <w:rPr>
          <w:b/>
        </w:rPr>
        <w:t xml:space="preserve">DOI: </w:t>
      </w:r>
      <w:hyperlink r:id="rId307">
        <w:r>
          <w:rPr>
            <w:color w:val="1155CC"/>
            <w:u w:val="single"/>
          </w:rPr>
          <w:t>10.1002/aenm.202506114</w:t>
        </w:r>
      </w:hyperlink>
    </w:p>
    <w:p>
      <w:pPr>
        <w:spacing w:before="0" w:after="120"/>
      </w:pPr>
      <w:r>
        <w:rPr>
          <w:b/>
        </w:rPr>
        <w:t xml:space="preserve">Notes: </w:t>
      </w:r>
      <w:r>
        <w:t>abstract_source=crossref</w:t>
      </w:r>
    </w:p>
    <w:p>
      <w:pPr>
        <w:spacing w:before="0" w:after="80" w:lineRule="auto" w:line="276"/>
      </w:pPr>
      <w:r>
        <w:rPr>
          <w:b/>
        </w:rPr>
        <w:t xml:space="preserve">摘要（ZH）: </w:t>
      </w:r>
      <w:r>
        <w:t>以磁力磁力发电(MME)原则为基础的ABSTACT磁场节能采集提供了实现自发的“物”系统互联网的有希望的方法,然而,日常环境中的磁场偏差弱( &amp; lt;0. 1 mT),大大限制了常规的MME采集器的输出力和实用性。鉴于在现实世界情景中不同频率磁场和振动振动振动场经常同时并存,因此迫切需要一个紧凑和可设计的双体采集器来解开性能限制。在这里,我们提出了一个模式化的“光速”MME采集器,将第一个对称和第二个反对称弯曲模式分别用来最有效地捕捉振动和磁场。</w:t>
      </w:r>
    </w:p>
    <w:p>
      <w:pPr>
        <w:spacing w:before="0" w:after="200" w:lineRule="auto" w:line="276"/>
      </w:pPr>
      <w:r>
        <w:rPr>
          <w:b/>
        </w:rPr>
        <w:t xml:space="preserve">Abstract (EN): </w:t>
      </w:r>
      <w:r>
        <w:t>Magnetic field energy harvesting based on the magneto‐mechano‐electric (MME) principle offers a promising approach for realizing self‐powered Internet of Things systems. However, the magnetic fields in daily environments are stray and weak (&amp;lt;0.1 mT), greatly limiting the output power and practicality of conventional MME harvesters. Given the frequent coexistence of distinct‐frequency magnetic field and vibration excitations in real‐world scenarios, there is an urgent need for a compact and designable dual‐mode harvester to unlock performance limits. Here, we present a mode‐split MME harvester that leverages the first symmetric and second antisymmetric bending modes to most efficiently capture vibration and magnetic field, respectively. Mode‐dependent internal couplings are integrated, where dual magnetic coupling enhances the magnetic field harvesting power density by 292%, and multi‐stage internal resonance provides a 19‐fold gain for vibration harvesting. The integration of the synchronous electric charge extraction technique further boosts the actual charging power by 493%, achieving a system‐level charging power density of 36.59 mW/cm</w:t>
      </w:r>
      <w:r>
        <w:rPr>
          <w:vertAlign w:val="subscript"/>
        </w:rPr>
        <w:t>3</w:t>
      </w:r>
      <w:r>
        <w:t>/mT</w:t>
      </w:r>
      <w:r>
        <w:rPr>
          <w:vertAlign w:val="subscript"/>
        </w:rPr>
        <w:t>2</w:t>
      </w:r>
      <w:r>
        <w:t>. Finally, a wireless self‐powered sensing system is developed and deployed in a representative trackside dual‐excitation scenario. Dual‐mode synergy shortens the cold start time by 56% and sensing interval by 50%. This work demonstrates a promising solution for efficient multisource energy harvesting in practical field deployments.</w:t>
      </w:r>
    </w:p>
    <w:p>
      <w:pPr>
        <w:spacing w:before="120" w:after="120"/>
      </w:pPr>
      <w:r>
        <w:rPr>
          <w:sz w:val="18"/>
        </w:rPr>
        <w:t>——————————————————————————————————————————————————————————————————————</w:t>
      </w:r>
    </w:p>
    <w:p>
      <w:pPr>
        <w:spacing w:before="160" w:after="40" w:line="240" w:lineRule="auto"/>
      </w:pPr>
      <w:r>
        <w:rPr>
          <w:b/>
        </w:rPr>
        <w:t xml:space="preserve">[216] </w:t>
      </w:r>
      <w:hyperlink r:id="rId308">
        <w:r>
          <w:rPr>
            <w:color w:val="1155CC"/>
            <w:u w:val="single"/>
          </w:rPr>
          <w:t>通过聚集溶剂和聚离聚溶剂与聚离离聚聚低温度锂金属电池协调能源</w:t>
        </w:r>
      </w:hyperlink>
    </w:p>
    <w:p>
      <w:pPr>
        <w:spacing w:before="0" w:after="80"/>
      </w:pPr>
      <w:r>
        <w:rPr>
          <w:i/>
          <w:sz w:val="20"/>
        </w:rPr>
        <w:t>EN: Dampening Lithium Charge Density by Clustering Solvents and Anions to Tame Lithium De‐Coordination Energy for Low‐Temperature Lithium‐Metal Batteries</w:t>
      </w:r>
    </w:p>
    <w:p>
      <w:pPr>
        <w:spacing w:before="0" w:after="120"/>
      </w:pPr>
      <w:r>
        <w:rPr>
          <w:b/>
        </w:rPr>
        <w:t xml:space="preserve">Source: </w:t>
      </w:r>
      <w:r>
        <w:t>Wiley: Advanced Energy Materials: Table of Contents</w:t>
      </w:r>
      <w:r>
        <w:t xml:space="preserve">    </w:t>
      </w:r>
      <w:r>
        <w:rPr>
          <w:b/>
        </w:rPr>
        <w:t xml:space="preserve">Pub date: </w:t>
      </w:r>
      <w:r>
        <w:t>2026-01-27 06:27:35+00:00</w:t>
      </w:r>
      <w:r>
        <w:t xml:space="preserve">    </w:t>
      </w:r>
      <w:r>
        <w:rPr>
          <w:b/>
        </w:rPr>
        <w:t xml:space="preserve">DOI: </w:t>
      </w:r>
      <w:hyperlink r:id="rId309">
        <w:r>
          <w:rPr>
            <w:color w:val="1155CC"/>
            <w:u w:val="single"/>
          </w:rPr>
          <w:t>10.1002/aenm.202505551</w:t>
        </w:r>
      </w:hyperlink>
    </w:p>
    <w:p>
      <w:pPr>
        <w:spacing w:before="0" w:after="120"/>
      </w:pPr>
      <w:r>
        <w:rPr>
          <w:b/>
        </w:rPr>
        <w:t xml:space="preserve">Notes: </w:t>
      </w:r>
      <w:r>
        <w:t>abstract_source=crossref</w:t>
      </w:r>
    </w:p>
    <w:p>
      <w:pPr>
        <w:spacing w:before="0" w:after="80" w:lineRule="auto" w:line="276"/>
      </w:pPr>
      <w:r>
        <w:rPr>
          <w:b/>
        </w:rPr>
        <w:t xml:space="preserve">摘要（ZH）: </w:t>
      </w:r>
      <w:r>
        <w:t>ABSTACT Sluggish锂(Li)在界面上的协调动力学阻碍了高能和低温利金属电池(LMBs)的开发,原则上,协调不力的溶剂和阴离子原则上有助于改善阳极界面的低低温度电池性能,因为溶剂溶解和脱氧能量屏障低,但大量工作采用违背上述原则的战略,通常使用强力协调力溶剂和阴离子来加快速度和周期性能,深入理解这种精细的利能协调结构以加速李重氧动力学仍然相当难以实现,弥合溶剂理论含义和现实实践之间的差距。</w:t>
      </w:r>
    </w:p>
    <w:p>
      <w:pPr>
        <w:spacing w:before="0" w:after="200" w:lineRule="auto" w:line="276"/>
      </w:pPr>
      <w:r>
        <w:rPr>
          <w:b/>
        </w:rPr>
        <w:t xml:space="preserve">Abstract (EN): </w:t>
      </w:r>
      <w:r>
        <w:t>Sluggish lithium (Li) de‐coordination kinetics on the interface hinder the development of high‐energy and low‐temperature Li‐metal batteries (LMBs). In principle, weakly coordinated solvents and anions contribute to improved low‐temperature battery performances due to low Li de‐solvation and de‐anion energy barrier on the anode interface. However, extensive works employ strategies that go against the above‐mentioned principle, commonly using strong coordination strength solvents and anions to facilitate rate and cyclic performances. The in‐depth understanding of this refined Li coordination structure that accelerates Li redox kinetics remains rather elusive. To bridge such gap between theoretical implication and realistic practice of solvent and salt selection, this work examines a model electrolyte involving the strong coordination strength salt (lithium nitrate, LiNO</w:t>
      </w:r>
      <w:r>
        <w:rPr>
          <w:vertAlign w:val="subscript"/>
        </w:rPr>
        <w:t>3</w:t>
      </w:r>
      <w:r>
        <w:t>) and solvent (triethyl phosphate, TEP) to decipher how electron transfer occurred in the cluster solvation impacts Li charge density and dictates Li transport kinetics. One of the critical interpretations is that the electron‐donating nature of LiNO</w:t>
      </w:r>
      <w:r>
        <w:rPr>
          <w:vertAlign w:val="subscript"/>
        </w:rPr>
        <w:t>3</w:t>
      </w:r>
      <w:r>
        <w:t>reduces the positive charge of Li</w:t>
      </w:r>
      <w:r>
        <w:t xml:space="preserve"> </w:t>
      </w:r>
      <w:r>
        <w:t>+</w:t>
      </w:r>
      <w:r>
        <w:t xml:space="preserve"> </w:t>
      </w:r>
      <w:r>
        <w:t>, which dampens the interaction between Li</w:t>
      </w:r>
      <w:r>
        <w:t xml:space="preserve"> </w:t>
      </w:r>
      <w:r>
        <w:t>+</w:t>
      </w:r>
      <w:r>
        <w:t xml:space="preserve"> </w:t>
      </w:r>
      <w:r>
        <w:t>and TEP ligands. Another key finding is that clustering [LiNO</w:t>
      </w:r>
      <w:r>
        <w:rPr>
          <w:vertAlign w:val="subscript"/>
        </w:rPr>
        <w:t>3</w:t>
      </w:r>
      <w:r>
        <w:t>–Li</w:t>
      </w:r>
      <w:r>
        <w:t xml:space="preserve"> </w:t>
      </w:r>
      <w:r>
        <w:t>+</w:t>
      </w:r>
      <w:r>
        <w:t xml:space="preserve"> </w:t>
      </w:r>
      <w:r>
        <w:t>–TEP] intensifies the interfacial charge exchange to hasten Li transport kinetics, since anion‐participated cluster solvates exhibit high effective charges than that of anion‐lean Li solvates. This work updates the understanding of why the cluster solvates benefits Li de‐coordination kinetics and hopes to finger out new principles to select Li salts and solvents for better low‐temperature Li metal batteries.</w:t>
      </w:r>
    </w:p>
    <w:p>
      <w:pPr>
        <w:spacing w:before="120" w:after="120"/>
      </w:pPr>
      <w:r>
        <w:rPr>
          <w:sz w:val="18"/>
        </w:rPr>
        <w:t>——————————————————————————————————————————————————————————————————————</w:t>
      </w:r>
    </w:p>
    <w:p>
      <w:pPr>
        <w:spacing w:before="160" w:after="40" w:line="240" w:lineRule="auto"/>
      </w:pPr>
      <w:r>
        <w:rPr>
          <w:b/>
        </w:rPr>
        <w:t xml:space="preserve">[217] </w:t>
      </w:r>
      <w:hyperlink r:id="rId310">
        <w:r>
          <w:rPr>
            <w:color w:val="1155CC"/>
            <w:u w:val="single"/>
          </w:rPr>
          <w:t>MgO基磷光学中近红外光能</w:t>
        </w:r>
      </w:hyperlink>
    </w:p>
    <w:p>
      <w:pPr>
        <w:spacing w:before="0" w:after="80"/>
      </w:pPr>
      <w:r>
        <w:rPr>
          <w:i/>
          <w:sz w:val="20"/>
        </w:rPr>
        <w:t>EN: Dual‐Window Broadband Near‐Infrared Mechanoluminescence in MgO‐Based Phosphors</w:t>
      </w:r>
    </w:p>
    <w:p>
      <w:pPr>
        <w:spacing w:before="0" w:after="120"/>
      </w:pPr>
      <w:r>
        <w:rPr>
          <w:b/>
        </w:rPr>
        <w:t xml:space="preserve">Source: </w:t>
      </w:r>
      <w:r>
        <w:t>Wiley: Advanced Materials: Table of Contents</w:t>
      </w:r>
      <w:r>
        <w:t xml:space="preserve">    </w:t>
      </w:r>
      <w:r>
        <w:rPr>
          <w:b/>
        </w:rPr>
        <w:t xml:space="preserve">Pub date: </w:t>
      </w:r>
      <w:r>
        <w:t>2026-01-27 06:47:35+00:00</w:t>
      </w:r>
      <w:r>
        <w:t xml:space="preserve">    </w:t>
      </w:r>
      <w:r>
        <w:rPr>
          <w:b/>
        </w:rPr>
        <w:t xml:space="preserve">DOI: </w:t>
      </w:r>
      <w:hyperlink r:id="rId311">
        <w:r>
          <w:rPr>
            <w:color w:val="1155CC"/>
            <w:u w:val="single"/>
          </w:rPr>
          <w:t>10.1002/adma.202522739</w:t>
        </w:r>
      </w:hyperlink>
    </w:p>
    <w:p>
      <w:pPr>
        <w:spacing w:before="0" w:after="120"/>
      </w:pPr>
      <w:r>
        <w:rPr>
          <w:b/>
        </w:rPr>
        <w:t xml:space="preserve">Notes: </w:t>
      </w:r>
      <w:r>
        <w:t>abstract_source=crossref</w:t>
      </w:r>
    </w:p>
    <w:p>
      <w:pPr>
        <w:spacing w:before="0" w:after="80" w:lineRule="auto" w:line="276"/>
      </w:pPr>
      <w:r>
        <w:rPr>
          <w:b/>
        </w:rPr>
        <w:t xml:space="preserve">摘要（ZH）: </w:t>
      </w:r>
      <w:r>
        <w:t>ABSTACT 近红外光(NIR) 机械光化(ML) 提供了自力和非侵入性的压力可视化和生物机械成像线路,但大多数NIR ML材料仍然受到狭窄排放带宽和对黑地条件的依赖的限制。这里,我们报告NIRI和NIRII两个窗口的基于MGO的辅助ML系统,建立了MGO,作为宽带机械反应排放的强大平台。MGO:Cr 3+提供NIRI ML(700-1000纳米;全宽半,FWHM,94-188纳米)在各种机械模拟下,包括摩擦、撞击、紧张、压缩、弯曲和旋转,而MGO:Ni 2+则生产超长路带。MGO:Ni:Ni 2+</w:t>
      </w:r>
    </w:p>
    <w:p>
      <w:pPr>
        <w:spacing w:before="0" w:after="200" w:lineRule="auto" w:line="276"/>
      </w:pPr>
      <w:r>
        <w:rPr>
          <w:b/>
        </w:rPr>
        <w:t xml:space="preserve">Abstract (EN): </w:t>
      </w:r>
      <w:r>
        <w:t>Near‐infrared (NIR) mechanoluminescence (ML) offers a self‐powered and non‐invasive route for stress visualization and biomechanical imaging, yet most NIR ML materials remain constrained by narrow emission bandwidths and reliance on dark‐field conditions. Here, we report two complementary MgO‐based ML systems spanning the NIR‐I and NIR‐II windows, establishing MgO as a robust platform for broadband mechanoresponsive emission. MgO:Cr</w:t>
      </w:r>
      <w:r>
        <w:t xml:space="preserve"> </w:t>
      </w:r>
      <w:r>
        <w:t>3+</w:t>
      </w:r>
      <w:r>
        <w:t xml:space="preserve"> </w:t>
      </w:r>
      <w:r>
        <w:t>delivers tunable NIR‐I ML (700–1000 nm; full width at half maximum, FWHM, 94–188 nm) under diverse mechanical stimuli, including friction, impact, tension, compression, bending, and twisting, while MgO:Ni</w:t>
      </w:r>
      <w:r>
        <w:t xml:space="preserve"> </w:t>
      </w:r>
      <w:r>
        <w:t>2+</w:t>
      </w:r>
      <w:r>
        <w:t xml:space="preserve"> </w:t>
      </w:r>
      <w:r>
        <w:t>produces ultrabroadband NIR‐II ML (1000–1700 nm; FWHM 225 nm) readily detectable under ambient lighting. Mechanistic studies reveal that ML arises from the synergistic interplay of local piezoelectric polarization, dislocation‐mediated charge separation, and triboelectric effects at organic–inorganic interfaces, whereas the observed spectral variations stem from crystal‐field modulation and lattice distortions. Co‐doping of Cr</w:t>
      </w:r>
      <w:r>
        <w:t xml:space="preserve"> </w:t>
      </w:r>
      <w:r>
        <w:t>3+</w:t>
      </w:r>
      <w:r>
        <w:t xml:space="preserve"> </w:t>
      </w:r>
      <w:r>
        <w:t>and Ni</w:t>
      </w:r>
      <w:r>
        <w:t xml:space="preserve"> </w:t>
      </w:r>
      <w:r>
        <w:t>2+</w:t>
      </w:r>
      <w:r>
        <w:t xml:space="preserve"> </w:t>
      </w:r>
      <w:r>
        <w:t>further differentiates optical and mechanical excitation pathways—optical excitation induces Cr</w:t>
      </w:r>
      <w:r>
        <w:t xml:space="preserve"> </w:t>
      </w:r>
      <w:r>
        <w:t>3+</w:t>
      </w:r>
      <w:r>
        <w:t xml:space="preserve"> </w:t>
      </w:r>
      <w:r>
        <w:t>‐sensitized Ni</w:t>
      </w:r>
      <w:r>
        <w:t xml:space="preserve"> </w:t>
      </w:r>
      <w:r>
        <w:t>2+</w:t>
      </w:r>
      <w:r>
        <w:t xml:space="preserve"> </w:t>
      </w:r>
      <w:r>
        <w:t>emission, whereas mechanical excitation directly activates their low‐lying levels. These insights unify mechano‐to‐photon conversion in centrosymmetric oxides and provide design principles for broadband, durable, and environmentally adaptive ML materials, advancing applications in multimodal sensing, structural health monitoring, and noninvasive biomechanical imaging.</w:t>
      </w:r>
    </w:p>
    <w:p>
      <w:pPr>
        <w:spacing w:before="120" w:after="120"/>
      </w:pPr>
      <w:r>
        <w:rPr>
          <w:sz w:val="18"/>
        </w:rPr>
        <w:t>——————————————————————————————————————————————————————————————————————</w:t>
      </w:r>
    </w:p>
    <w:p>
      <w:pPr>
        <w:spacing w:before="160" w:after="40" w:line="240" w:lineRule="auto"/>
      </w:pPr>
      <w:r>
        <w:rPr>
          <w:b/>
        </w:rPr>
        <w:t xml:space="preserve">[218] </w:t>
      </w:r>
      <w:hyperlink r:id="rId312">
        <w:r>
          <w:rPr>
            <w:color w:val="1155CC"/>
            <w:u w:val="single"/>
          </w:rPr>
          <w:t>BIO(IO3) 具有超高有效原子数量和密度的敏感和稳定硬X雷探测超高有效原子数量和密度</w:t>
        </w:r>
      </w:hyperlink>
    </w:p>
    <w:p>
      <w:pPr>
        <w:spacing w:before="0" w:after="80"/>
      </w:pPr>
      <w:r>
        <w:rPr>
          <w:i/>
          <w:sz w:val="20"/>
        </w:rPr>
        <w:t>EN: BiO(IO3) with Ultrahigh Effective Atomic Number and Density for Sensitive and Stable Hard X‐Ray Detection</w:t>
      </w:r>
    </w:p>
    <w:p>
      <w:pPr>
        <w:spacing w:before="0" w:after="120"/>
      </w:pPr>
      <w:r>
        <w:rPr>
          <w:b/>
        </w:rPr>
        <w:t xml:space="preserve">Source: </w:t>
      </w:r>
      <w:r>
        <w:t>Wiley: Advanced Materials: Table of Contents</w:t>
      </w:r>
      <w:r>
        <w:t xml:space="preserve">    </w:t>
      </w:r>
      <w:r>
        <w:rPr>
          <w:b/>
        </w:rPr>
        <w:t xml:space="preserve">Pub date: </w:t>
      </w:r>
      <w:r>
        <w:t>2026-01-27 06:49:28+00:00</w:t>
      </w:r>
      <w:r>
        <w:t xml:space="preserve">    </w:t>
      </w:r>
      <w:r>
        <w:rPr>
          <w:b/>
        </w:rPr>
        <w:t xml:space="preserve">DOI: </w:t>
      </w:r>
      <w:hyperlink r:id="rId313">
        <w:r>
          <w:rPr>
            <w:color w:val="1155CC"/>
            <w:u w:val="single"/>
          </w:rPr>
          <w:t>10.1002/adma.202518602</w:t>
        </w:r>
      </w:hyperlink>
    </w:p>
    <w:p>
      <w:pPr>
        <w:spacing w:before="0" w:after="120"/>
      </w:pPr>
      <w:r>
        <w:rPr>
          <w:b/>
        </w:rPr>
        <w:t xml:space="preserve">Notes: </w:t>
      </w:r>
      <w:r>
        <w:t>abstract_source=crossref</w:t>
      </w:r>
    </w:p>
    <w:p>
      <w:pPr>
        <w:spacing w:before="0" w:after="80" w:lineRule="auto" w:line="276"/>
      </w:pPr>
      <w:r>
        <w:rPr>
          <w:b/>
        </w:rPr>
        <w:t xml:space="preserve">摘要（ZH）: </w:t>
      </w:r>
      <w:r>
        <w:t>Bismuth 卤化物 perovskites由于其有效原子数高(Zeff)和极好的光电子特性,是进行硬X射线探测的有希望的材料,然而,所报告的用于处理化学品稳定性问题的Aites cations或伪卤化物不可避免地会减少材料Zeff/密度并加剧电子本地化,这些变化会大大降低X射线吸收和电荷运输,最终破坏探测性能。我们在这里选择氧化I 5+来取代I-,并设计了 2D BiO(IO 3) 。</w:t>
      </w:r>
    </w:p>
    <w:p>
      <w:pPr>
        <w:spacing w:before="0" w:after="200" w:lineRule="auto" w:line="276"/>
      </w:pPr>
      <w:r>
        <w:rPr>
          <w:b/>
        </w:rPr>
        <w:t xml:space="preserve">Abstract (EN): </w:t>
      </w:r>
      <w:r>
        <w:t>Bismuth halide perovskites are promising materials for hard X‐ray detection owing to their high effective atomic number (Z</w:t>
      </w:r>
      <w:r>
        <w:t xml:space="preserve"> </w:t>
      </w:r>
      <w:r>
        <w:t>eff</w:t>
      </w:r>
      <w:r>
        <w:t xml:space="preserve"> </w:t>
      </w:r>
      <w:r>
        <w:t>) and excellent optoelectronic properties. However, the reported A‐site cations or pseudohalides to address chemical stability issues inevitably reduce material Z</w:t>
      </w:r>
      <w:r>
        <w:t xml:space="preserve"> </w:t>
      </w:r>
      <w:r>
        <w:t>eff</w:t>
      </w:r>
      <w:r>
        <w:t xml:space="preserve"> </w:t>
      </w:r>
      <w:r>
        <w:t>/density and aggravate electron localization. These changes significantly degrade X‐ray absorption and charge transport, ultimately undermining detection performance. Herein, we chose the oxidized I</w:t>
      </w:r>
      <w:r>
        <w:t xml:space="preserve"> </w:t>
      </w:r>
      <w:r>
        <w:t>5+</w:t>
      </w:r>
      <w:r>
        <w:t xml:space="preserve"> </w:t>
      </w:r>
      <w:r>
        <w:t>to replace I</w:t>
      </w:r>
      <w:r>
        <w:t xml:space="preserve"> </w:t>
      </w:r>
      <w:r>
        <w:t>−</w:t>
      </w:r>
      <w:r>
        <w:t>, and designed 2D BiO(IO</w:t>
      </w:r>
      <w:r>
        <w:rPr>
          <w:vertAlign w:val="subscript"/>
        </w:rPr>
        <w:t>3</w:t>
      </w:r>
      <w:r>
        <w:t>). This substitution yields a significantly more compact crystal lattice while retaining two high‐Z elements (Bi and I), affording the material an ultrahigh Z</w:t>
      </w:r>
      <w:r>
        <w:t xml:space="preserve"> </w:t>
      </w:r>
      <w:r>
        <w:t>eff</w:t>
      </w:r>
      <w:r>
        <w:t xml:space="preserve"> </w:t>
      </w:r>
      <w:r>
        <w:t>(72.29) and density (7.399 g/cm</w:t>
      </w:r>
      <w:r>
        <w:rPr>
          <w:vertAlign w:val="subscript"/>
        </w:rPr>
        <w:t>3</w:t>
      </w:r>
      <w:r>
        <w:t>), which greatly enhances hard X‐ray absorption. Concurrently, the small effective mass of the material facilitates efficient carrier transport, resulting in a high device sensitivity of 4563 µC Gy</w:t>
      </w:r>
      <w:r>
        <w:t xml:space="preserve"> </w:t>
      </w:r>
      <w:r>
        <w:t>air</w:t>
      </w:r>
      <w:r>
        <w:t xml:space="preserve"> </w:t>
      </w:r>
      <w:r>
        <w:t>−1</w:t>
      </w:r>
      <w:r>
        <w:t xml:space="preserve"> </w:t>
      </w:r>
      <w:r>
        <w:t>cm</w:t>
      </w:r>
      <w:r>
        <w:t xml:space="preserve"> </w:t>
      </w:r>
      <w:r>
        <w:t>−2</w:t>
      </w:r>
      <w:r>
        <w:t xml:space="preserve"> </w:t>
      </w:r>
      <w:r>
        <w:t>for ∼25 keV X‐ray photons. Furthermore, the formation of strong Bi–O and I–O bonds endows the material with excellent stability, leading to a high ion migration activation energy of 0.73 eV. Specifically, polycrystalline wafers with a thickness of 1 mm were successfully fabricated and showed no performance degradation after long time continuous aging test (160 kV X‐ray, high voltage, temperature, etc.). This work provides a promising solution for developing high‐performance hard X‐ray detection materials.</w:t>
      </w:r>
    </w:p>
    <w:p>
      <w:pPr>
        <w:spacing w:before="120" w:after="120"/>
      </w:pPr>
      <w:r>
        <w:rPr>
          <w:sz w:val="18"/>
        </w:rPr>
        <w:t>——————————————————————————————————————————————————————————————————————</w:t>
      </w:r>
    </w:p>
    <w:p>
      <w:pPr>
        <w:spacing w:before="160" w:after="40" w:line="240" w:lineRule="auto"/>
      </w:pPr>
      <w:r>
        <w:rPr>
          <w:b/>
        </w:rPr>
        <w:t xml:space="preserve">[219] </w:t>
      </w:r>
      <w:hyperlink r:id="rId314">
        <w:r>
          <w:rPr>
            <w:color w:val="1155CC"/>
            <w:u w:val="single"/>
          </w:rPr>
          <w:t>利用直接氧化氧结合,通过原子级斯特兰工程促进持久水氧化氧化</w:t>
        </w:r>
      </w:hyperlink>
    </w:p>
    <w:p>
      <w:pPr>
        <w:spacing w:before="0" w:after="80"/>
      </w:pPr>
      <w:r>
        <w:rPr>
          <w:i/>
          <w:sz w:val="20"/>
        </w:rPr>
        <w:t>EN: Harnessing Direct Oxo Coupling for Durable Water Oxidation via Atomic‐Level Strain Engineering</w:t>
      </w:r>
    </w:p>
    <w:p>
      <w:pPr>
        <w:spacing w:before="0" w:after="120"/>
      </w:pPr>
      <w:r>
        <w:rPr>
          <w:b/>
        </w:rPr>
        <w:t xml:space="preserve">Source: </w:t>
      </w:r>
      <w:r>
        <w:t>Wiley: Advanced Materials: Table of Contents</w:t>
      </w:r>
      <w:r>
        <w:t xml:space="preserve">    </w:t>
      </w:r>
      <w:r>
        <w:rPr>
          <w:b/>
        </w:rPr>
        <w:t xml:space="preserve">Pub date: </w:t>
      </w:r>
      <w:r>
        <w:t>2026-01-27 06:50:11+00:00</w:t>
      </w:r>
      <w:r>
        <w:t xml:space="preserve">    </w:t>
      </w:r>
      <w:r>
        <w:rPr>
          <w:b/>
        </w:rPr>
        <w:t xml:space="preserve">DOI: </w:t>
      </w:r>
      <w:hyperlink r:id="rId315">
        <w:r>
          <w:rPr>
            <w:color w:val="1155CC"/>
            <w:u w:val="single"/>
          </w:rPr>
          <w:t>10.1002/adma.72241</w:t>
        </w:r>
      </w:hyperlink>
    </w:p>
    <w:p>
      <w:pPr>
        <w:spacing w:before="0" w:after="120"/>
      </w:pPr>
      <w:r>
        <w:rPr>
          <w:b/>
        </w:rPr>
        <w:t xml:space="preserve">Notes: </w:t>
      </w:r>
      <w:r>
        <w:t>abstract_source=crossref</w:t>
      </w:r>
    </w:p>
    <w:p>
      <w:pPr>
        <w:spacing w:before="0" w:after="80" w:lineRule="auto" w:line="276"/>
      </w:pPr>
      <w:r>
        <w:rPr>
          <w:b/>
        </w:rPr>
        <w:t xml:space="preserve">摘要（ZH）: </w:t>
      </w:r>
      <w:r>
        <w:t>ABSTACT 氧化物是质子交换膜水电解(PEMWE)中氧气进化反应(OER)催化剂的状态。然而,它的活动仍然受到常规吸附进化机制(AEM)中*OOH中间体的高热力屏障的阻碍。为了解决这一挑战,我们提出了一个原子级压缩压缩压力工程战略,通过将(Er 3+)纳入IrO 2(ErIrO x)框架来调节反应路径。Er 3 + 缩短Ir 距离的大型离子半径。</w:t>
      </w:r>
    </w:p>
    <w:p>
      <w:pPr>
        <w:spacing w:before="0" w:after="200" w:lineRule="auto" w:line="276"/>
      </w:pPr>
      <w:r>
        <w:rPr>
          <w:b/>
        </w:rPr>
        <w:t xml:space="preserve">Abstract (EN): </w:t>
      </w:r>
      <w:r>
        <w:t>Iridium oxides are the state‐of‐the‐art oxygen evolution reaction (OER) catalysts in proton exchange membrane water electrolysis (PEMWE). However, its activity is still hampered by the high thermodynamic barrier of *OOH intermediates in the conventional adsorbate evolution mechanism (AEM). To resolve this challenge, we present an atomic‐level compressive strain‐engineering strategy to modulate reaction pathways by incorporating erbium (Er</w:t>
      </w:r>
      <w:r>
        <w:rPr>
          <w:vertAlign w:val="subscript"/>
        </w:rPr>
        <w:t>3</w:t>
      </w:r>
      <w:r>
        <w:t>+</w:t>
      </w:r>
      <w:r>
        <w:t xml:space="preserve"> </w:t>
      </w:r>
      <w:r>
        <w:t>) into the IrO</w:t>
      </w:r>
      <w:r>
        <w:rPr>
          <w:vertAlign w:val="subscript"/>
        </w:rPr>
        <w:t>2</w:t>
      </w:r>
      <w:r>
        <w:t>(Er‐IrO</w:t>
      </w:r>
      <w:r>
        <w:t xml:space="preserve"> </w:t>
      </w:r>
      <w:r>
        <w:t>x</w:t>
      </w:r>
      <w:r>
        <w:t xml:space="preserve"> </w:t>
      </w:r>
      <w:r>
        <w:t>) framework. The large ionic radius of Er</w:t>
      </w:r>
      <w:r>
        <w:rPr>
          <w:vertAlign w:val="subscript"/>
        </w:rPr>
        <w:t>3</w:t>
      </w:r>
      <w:r>
        <w:t>+</w:t>
      </w:r>
      <w:r>
        <w:t xml:space="preserve"> </w:t>
      </w:r>
      <w:r>
        <w:t>shortens the Ir–Ir distance and optimizes the electronic structure of active sites. This strain‐induced reconfiguration shifts the OER pathway from AEM to the direct oxo coupling mechanism (OPM), where O─O formation occurs through radical coupling, bypassing the high‐energy *OOH intermediate. The resulting Er‐IrO</w:t>
      </w:r>
      <w:r>
        <w:t xml:space="preserve"> </w:t>
      </w:r>
      <w:r>
        <w:t>x</w:t>
      </w:r>
      <w:r>
        <w:t xml:space="preserve"> </w:t>
      </w:r>
      <w:r>
        <w:t>catalyst reaches a small Tafel slope of 70.55 mV dec</w:t>
      </w:r>
      <w:r>
        <w:t xml:space="preserve"> </w:t>
      </w:r>
      <w:r>
        <w:t>−</w:t>
      </w:r>
      <w:r>
        <w:rPr>
          <w:vertAlign w:val="subscript"/>
        </w:rPr>
        <w:t>1</w:t>
      </w:r>
      <w:r>
        <w:t>and a remarkably low overpotential of 209 mV at 10 mA cm</w:t>
      </w:r>
      <w:r>
        <w:t xml:space="preserve"> </w:t>
      </w:r>
      <w:r>
        <w:t>−2</w:t>
      </w:r>
      <w:r>
        <w:t xml:space="preserve"> </w:t>
      </w:r>
      <w:r>
        <w:t>. More importantly, when configured into a practical PEMWE, it delivers a high current density of 6 A cm</w:t>
      </w:r>
      <w:r>
        <w:t xml:space="preserve"> </w:t>
      </w:r>
      <w:r>
        <w:t>−2</w:t>
      </w:r>
      <w:r>
        <w:t xml:space="preserve"> </w:t>
      </w:r>
      <w:r>
        <w:t>at a low voltage of 1.899 V and maintains durable operation for over 400 h. This work offers a generalized approach for breaking activity‐stability trade‐offs in Ir‐based catalysts, promoting the commercial implementation of green hydrogen production.</w:t>
      </w:r>
    </w:p>
    <w:p>
      <w:pPr>
        <w:spacing w:before="120" w:after="120"/>
      </w:pPr>
      <w:r>
        <w:rPr>
          <w:sz w:val="18"/>
        </w:rPr>
        <w:t>——————————————————————————————————————————————————————————————————————</w:t>
      </w:r>
    </w:p>
    <w:p>
      <w:pPr>
        <w:spacing w:before="160" w:after="40" w:line="240" w:lineRule="auto"/>
      </w:pPr>
      <w:r>
        <w:rPr>
          <w:b/>
        </w:rPr>
        <w:t xml:space="preserve">[220] </w:t>
      </w:r>
      <w:hyperlink r:id="rId316">
        <w:r>
          <w:rPr>
            <w:color w:val="1155CC"/>
            <w:u w:val="single"/>
          </w:rPr>
          <w:t>超偏稳定可伸缩多层电子系统具有垂直软连接的 Modulus 工程辅助系统</w:t>
        </w:r>
      </w:hyperlink>
    </w:p>
    <w:p>
      <w:pPr>
        <w:spacing w:before="0" w:after="80"/>
      </w:pPr>
      <w:r>
        <w:rPr>
          <w:i/>
          <w:sz w:val="20"/>
        </w:rPr>
        <w:t>EN: Modulus Engineered Substrate With Vertical Soft Interconnects for Ultra‐Stable Stretchable Multilayer Electronic Systems</w:t>
      </w:r>
    </w:p>
    <w:p>
      <w:pPr>
        <w:spacing w:before="0" w:after="120"/>
      </w:pPr>
      <w:r>
        <w:rPr>
          <w:b/>
        </w:rPr>
        <w:t xml:space="preserve">Source: </w:t>
      </w:r>
      <w:r>
        <w:t>Wiley: Advanced Materials: Table of Contents</w:t>
      </w:r>
      <w:r>
        <w:t xml:space="preserve">    </w:t>
      </w:r>
      <w:r>
        <w:rPr>
          <w:b/>
        </w:rPr>
        <w:t xml:space="preserve">Pub date: </w:t>
      </w:r>
      <w:r>
        <w:t>2026-01-27 06:52:11+00:00</w:t>
      </w:r>
      <w:r>
        <w:t xml:space="preserve">    </w:t>
      </w:r>
      <w:r>
        <w:rPr>
          <w:b/>
        </w:rPr>
        <w:t xml:space="preserve">DOI: </w:t>
      </w:r>
      <w:hyperlink r:id="rId317">
        <w:r>
          <w:rPr>
            <w:color w:val="1155CC"/>
            <w:u w:val="single"/>
          </w:rPr>
          <w:t>10.1002/adma.72292</w:t>
        </w:r>
      </w:hyperlink>
    </w:p>
    <w:p>
      <w:pPr>
        <w:spacing w:before="0" w:after="120"/>
      </w:pPr>
      <w:r>
        <w:rPr>
          <w:b/>
        </w:rPr>
        <w:t xml:space="preserve">Notes: </w:t>
      </w:r>
      <w:r>
        <w:t>abstract_source=crossref</w:t>
      </w:r>
    </w:p>
    <w:p>
      <w:pPr>
        <w:spacing w:before="0" w:after="80" w:lineRule="auto" w:line="276"/>
      </w:pPr>
      <w:r>
        <w:rPr>
          <w:b/>
        </w:rPr>
        <w:t xml:space="preserve">摘要（ZH）: </w:t>
      </w:r>
      <w:r>
        <w:t>ABSTACT 伸缩式多层电子系统为下一代可磨损电子设备、软机器人和人体机械界面具有变革潜力,但是,不同部件的相互机械和电力不匹配严重阻碍了伸缩性和稳定性。在这里,通过同时将模子工程基体与垂直软连接相结合,我们报告了一个具有高度伸缩性和稳定性的多层电子系统设计。同质软桥和僵硬岛屿设计有效地减少了模子不匹配,便利了分子间联结,以及生/质液态金属垂直连接有效地缓解了Poisson效应,从而确保了稳定的机械和电气连接。</w:t>
      </w:r>
    </w:p>
    <w:p>
      <w:pPr>
        <w:spacing w:before="0" w:after="200" w:lineRule="auto" w:line="276"/>
      </w:pPr>
      <w:r>
        <w:rPr>
          <w:b/>
        </w:rPr>
        <w:t xml:space="preserve">Abstract (EN): </w:t>
      </w:r>
      <w:r>
        <w:t>Stretchable multilayer electronic systems hold transformative potential for next‐generation wearable electronics, soft robotics, and human‐machine interfaces. However, the stretchability and stability are severely hindered by the interfacial mechanical and electrical mismatch of different components. Herein, by simultaneously combining modulus‐engineered substrate with vertical soft interconnects, we report a multilayer electronic system design with both high stretchability and stability. The homologous soft‐bridge and rigid‐island design effectively reduces modulus mismatch and facilitates interfacial bonding, and the raw/hybrid liquid metal‐based vertical interconnects efficiently alleviate Poisson effect thus ensuring stable mechanical and electrical connections. As a result, such engineered multilayer electronics demonstrate high stretchability (800% strain limit) and high stability (over 4000 cycles at 100% strain) that outperform the results from previously reported multilayered flexible electronic devices. A three‐layer stretchable electronic system performs well as an electronic skin on a soft robot, and a wireless battery‐integrated intelligent haptic system is also demonstrated.</w:t>
      </w:r>
    </w:p>
    <w:p>
      <w:pPr>
        <w:spacing w:before="120" w:after="120"/>
      </w:pPr>
      <w:r>
        <w:rPr>
          <w:sz w:val="18"/>
        </w:rPr>
        <w:t>——————————————————————————————————————————————————————————————————————</w:t>
      </w:r>
    </w:p>
    <w:p>
      <w:pPr>
        <w:spacing w:before="160" w:after="40" w:line="240" w:lineRule="auto"/>
      </w:pPr>
      <w:r>
        <w:rPr>
          <w:b/>
        </w:rPr>
        <w:t xml:space="preserve">[221] </w:t>
      </w:r>
      <w:hyperlink r:id="rId318">
        <w:r>
          <w:rPr>
            <w:color w:val="1155CC"/>
            <w:u w:val="single"/>
          </w:rPr>
          <w:t>生物模拟纳米仪和所有放射性通道</w:t>
        </w:r>
      </w:hyperlink>
    </w:p>
    <w:p>
      <w:pPr>
        <w:spacing w:before="0" w:after="80"/>
      </w:pPr>
      <w:r>
        <w:rPr>
          <w:i/>
          <w:sz w:val="20"/>
        </w:rPr>
        <w:t>EN: Biomimetic Nanometer‐Size All‐Liquid Channels</w:t>
      </w:r>
    </w:p>
    <w:p>
      <w:pPr>
        <w:spacing w:before="0" w:after="120"/>
      </w:pPr>
      <w:r>
        <w:rPr>
          <w:b/>
        </w:rPr>
        <w:t xml:space="preserve">Source: </w:t>
      </w:r>
      <w:r>
        <w:t>Wiley: Advanced Materials: Table of Contents</w:t>
      </w:r>
      <w:r>
        <w:t xml:space="preserve">    </w:t>
      </w:r>
      <w:r>
        <w:rPr>
          <w:b/>
        </w:rPr>
        <w:t xml:space="preserve">Pub date: </w:t>
      </w:r>
      <w:r>
        <w:t>2026-01-27 06:52:13+00:00</w:t>
      </w:r>
      <w:r>
        <w:t xml:space="preserve">    </w:t>
      </w:r>
      <w:r>
        <w:rPr>
          <w:b/>
        </w:rPr>
        <w:t xml:space="preserve">DOI: </w:t>
      </w:r>
      <w:hyperlink r:id="rId319">
        <w:r>
          <w:rPr>
            <w:color w:val="1155CC"/>
            <w:u w:val="single"/>
          </w:rPr>
          <w:t>10.1002/adma.202522244</w:t>
        </w:r>
      </w:hyperlink>
    </w:p>
    <w:p>
      <w:pPr>
        <w:spacing w:before="0" w:after="120"/>
      </w:pPr>
      <w:r>
        <w:rPr>
          <w:b/>
        </w:rPr>
        <w:t xml:space="preserve">Notes: </w:t>
      </w:r>
      <w:r>
        <w:t>abstract_source=crossref</w:t>
      </w:r>
    </w:p>
    <w:p>
      <w:pPr>
        <w:spacing w:before="0" w:after="80" w:lineRule="auto" w:line="276"/>
      </w:pPr>
      <w:r>
        <w:rPr>
          <w:b/>
        </w:rPr>
        <w:t xml:space="preserve">摘要（ZH）: </w:t>
      </w:r>
      <w:r>
        <w:t>细胞间/ 内细胞间/ 大量微型/ 纳米流体管道保持基本的大规模转移过程,确保活生物体的正常运转。 然而,由于莱利河高原固有的不稳定性,人工建造和模拟这种液态通道仍然是一项艰巨的挑战。 在这里,我们提出了一个新的“二次伸展”方法,适用于另一个不易渗透液体中的液体桥,其中液体/液态界面由中间纳米粒子-聚合物共同组装操纵。 这些组合,具有可重新配置的、金枪鱼易碎的卡壳网络的特点,能够逐步把液态桥梁的通道拉向下。 我们制定了一个可产生超晶体的部件输入选择规则。</w:t>
      </w:r>
    </w:p>
    <w:p>
      <w:pPr>
        <w:spacing w:before="0" w:after="200" w:lineRule="auto" w:line="276"/>
      </w:pPr>
      <w:r>
        <w:rPr>
          <w:b/>
        </w:rPr>
        <w:t xml:space="preserve">Abstract (EN): </w:t>
      </w:r>
      <w:r>
        <w:t>A wealth of micro/nanoscale fluidic channels between/in cells maintain essential mass transfer processes, ensuring the proper functioning of living organisms. Nevertheless, the artificial construction and simulation of such all‐liquid channels remain, yet, a formidable challenge, due to the inherent Plateau–Rayleigh instability. Here, we present a new “quasistatic stretching” approach applied to a liquid bridge in another immiscible liquid, where the liquid/liquid interfaces were manipulated by interfacial nanoparticle–polymer coassemblies. These coassemblies, with characteristic of reconfigurable, tunable jammed networks, enable stepwise stretching the channel in liquid bridge size downward. We establish a selection rule of component inputs that yield ultrafine liquid channels during the stretching process. The superior flexibility and moderate entanglement or cross‐linking of polymer chains within the nanoparticle–polymer microstructures endow the liquid bridge with plastic deformability, allowing the channel forward to hundred nanometer size, reducing by two‐orders‐of‐magnitude on state‐of‐the‐art technology and approaching the size range of biomimetic counterparts. Furthermore, biomimetic functions—intercellular mitochondrial rescue and compartmentalized immunotherapy—were proved using the organism tubular analog—liquid bridge based channels, via controlling the flowrate of the mass transfer in the channels. These simulations may offer a potential framework for biophysically understanding cellular processes mediated by tubular structures.</w:t>
      </w:r>
    </w:p>
    <w:p>
      <w:pPr>
        <w:spacing w:before="120" w:after="120"/>
      </w:pPr>
      <w:r>
        <w:rPr>
          <w:sz w:val="18"/>
        </w:rPr>
        <w:t>——————————————————————————————————————————————————————————————————————</w:t>
      </w:r>
    </w:p>
    <w:p>
      <w:pPr>
        <w:spacing w:before="160" w:after="40" w:line="240" w:lineRule="auto"/>
      </w:pPr>
      <w:r>
        <w:rPr>
          <w:b/>
        </w:rPr>
        <w:t xml:space="preserve">[222] </w:t>
      </w:r>
      <w:hyperlink r:id="rId320">
        <w:r>
          <w:rPr>
            <w:color w:val="1155CC"/>
            <w:u w:val="single"/>
          </w:rPr>
          <w:t>AllSolid Biomas 全小型生物物质双电双电离子导电离电离电离层离子体与多离子协同效应,用于低温耐光传感器和三生电纳米器</w:t>
        </w:r>
      </w:hyperlink>
    </w:p>
    <w:p>
      <w:pPr>
        <w:spacing w:before="0" w:after="80"/>
      </w:pPr>
      <w:r>
        <w:rPr>
          <w:i/>
          <w:sz w:val="20"/>
        </w:rPr>
        <w:t>EN: All‐Solid Biomass Dual Network Ionic Conducting Elastomer with Multi Ion Synergy for Low‐Temperature Resistant Sensor and Triboelectric Nanogenerator</w:t>
      </w:r>
    </w:p>
    <w:p>
      <w:pPr>
        <w:spacing w:before="0" w:after="120"/>
      </w:pPr>
      <w:r>
        <w:rPr>
          <w:b/>
        </w:rPr>
        <w:t xml:space="preserve">Source: </w:t>
      </w:r>
      <w:r>
        <w:t>Wiley: Advanced Materials: Table of Contents</w:t>
      </w:r>
      <w:r>
        <w:t xml:space="preserve">    </w:t>
      </w:r>
      <w:r>
        <w:rPr>
          <w:b/>
        </w:rPr>
        <w:t xml:space="preserve">Pub date: </w:t>
      </w:r>
      <w:r>
        <w:t>2026-01-27 06:54:20+00:00</w:t>
      </w:r>
      <w:r>
        <w:t xml:space="preserve">    </w:t>
      </w:r>
      <w:r>
        <w:rPr>
          <w:b/>
        </w:rPr>
        <w:t xml:space="preserve">DOI: </w:t>
      </w:r>
      <w:hyperlink r:id="rId321">
        <w:r>
          <w:rPr>
            <w:color w:val="1155CC"/>
            <w:u w:val="single"/>
          </w:rPr>
          <w:t>10.1002/adma.202523516</w:t>
        </w:r>
      </w:hyperlink>
    </w:p>
    <w:p>
      <w:pPr>
        <w:spacing w:before="0" w:after="120"/>
      </w:pPr>
      <w:r>
        <w:rPr>
          <w:b/>
        </w:rPr>
        <w:t xml:space="preserve">Notes: </w:t>
      </w:r>
      <w:r>
        <w:t>abstract_source=crossref</w:t>
      </w:r>
    </w:p>
    <w:p>
      <w:pPr>
        <w:spacing w:before="0" w:after="80" w:lineRule="auto" w:line="276"/>
      </w:pPr>
      <w:r>
        <w:rPr>
          <w:b/>
        </w:rPr>
        <w:t xml:space="preserve">摘要（ZH）: </w:t>
      </w:r>
      <w:r>
        <w:t>ABSTACT 软软电离导体是可磨损电子、软机器人和人体机械界面应用的理想选择。然而,在机械性能和电导率之间实现平衡仍然具有挑战性。此外,基于水凝导体通常在零以下温度下失灵。为了克服这些同时存在的限制,我们报告有一个完全固态的电动导体,其特点是多电离(LiTFSI/CHCl)双电网,来自生物量。分子动态和密度功能理论模拟核查协同的Li-O协调与氢化网络,这些网络使得机械强度(0.877 M Pa,587%的延长)和高离子体能的稀有组合。</w:t>
      </w:r>
    </w:p>
    <w:p>
      <w:pPr>
        <w:spacing w:before="0" w:after="200" w:lineRule="auto" w:line="276"/>
      </w:pPr>
      <w:r>
        <w:rPr>
          <w:b/>
        </w:rPr>
        <w:t xml:space="preserve">Abstract (EN): </w:t>
      </w:r>
      <w:r>
        <w:t>Soft ionic conductors are ideal candidates for applications in wearable electronics, soft robotics, and human‐machine interfaces. However, achieving a balance between mechanical performance and ionic conductivity remains challenging. Besides, hydrogel‐based conductors typically fail at sub‐zero temperatures. To overcome these concurrent limitations, we report a fully solid‐state ionic conducting elastomer featuring a multi‐ionic (LiTFSI/ChCl) dual‐network derived from biomass. Molecular dynamics and density functional theory simulations verify synergistic Li─O coordination and hydrogen‐bonding networks, which enable a rare combination of mechanical strength (0.877</w:t>
      </w:r>
      <w:r>
        <w:t xml:space="preserve"> </w:t>
      </w:r>
      <w:r>
        <w:t>M</w:t>
      </w:r>
      <w:r>
        <w:t xml:space="preserve"> </w:t>
      </w:r>
      <w:r>
        <w:t>Pa, 587% elongation) and high ionic conductivity (3.74 × 10</w:t>
      </w:r>
      <w:r>
        <w:t xml:space="preserve"> </w:t>
      </w:r>
      <w:r>
        <w:t>−3</w:t>
      </w:r>
      <w:r>
        <w:t xml:space="preserve"> </w:t>
      </w:r>
      <w:r>
        <w:t>S·m</w:t>
      </w:r>
      <w:r>
        <w:t xml:space="preserve"> </w:t>
      </w:r>
      <w:r>
        <w:t>−</w:t>
      </w:r>
      <w:r>
        <w:rPr>
          <w:vertAlign w:val="subscript"/>
        </w:rPr>
        <w:t>1</w:t>
      </w:r>
      <w:r>
        <w:t>). The strain sensors based on the elastomers enable stable motion sensing at −20°C and Morse code anti‐counterfeiting. Moreover, the elastomer serves as a stretchable triboelectric nanogenerator. At a resistance of 1</w:t>
      </w:r>
      <w:r>
        <w:t xml:space="preserve"> </w:t>
      </w:r>
      <w:r>
        <w:t>M</w:t>
      </w:r>
      <w:r>
        <w:t xml:space="preserve"> </w:t>
      </w:r>
      <w:r>
        <w:t>Ω, the power density at −30°C increases to 290% of the value measured at room temperature, demonstrating its potential as a reliable and eco‐friendly alternative to conventional batteries in low‐temperature conditions. This work provides a novel design strategy for durable, high‐performance ionic conductors, paving the way for their use in extreme environment.</w:t>
      </w:r>
    </w:p>
    <w:p>
      <w:pPr>
        <w:spacing w:before="120" w:after="120"/>
      </w:pPr>
      <w:r>
        <w:rPr>
          <w:sz w:val="18"/>
        </w:rPr>
        <w:t>——————————————————————————————————————————————————————————————————————</w:t>
      </w:r>
    </w:p>
    <w:p>
      <w:pPr>
        <w:spacing w:before="160" w:after="40" w:line="240" w:lineRule="auto"/>
      </w:pPr>
      <w:r>
        <w:rPr>
          <w:b/>
        </w:rPr>
        <w:t xml:space="preserve">[223] </w:t>
      </w:r>
      <w:hyperlink r:id="rId322">
        <w:r>
          <w:rPr>
            <w:color w:val="1155CC"/>
            <w:u w:val="single"/>
          </w:rPr>
          <w:t>能够将聚乙烯高效光热回收利用到平台 Olefins</w:t>
        </w:r>
      </w:hyperlink>
    </w:p>
    <w:p>
      <w:pPr>
        <w:spacing w:before="0" w:after="80"/>
      </w:pPr>
      <w:r>
        <w:rPr>
          <w:i/>
          <w:sz w:val="20"/>
        </w:rPr>
        <w:t>EN: Suppressing Hydrogen Transfer and Aromatization Reactions Enables Efficient Photothermal Recycling of Polyethylene into Platform Olefins</w:t>
      </w:r>
    </w:p>
    <w:p>
      <w:pPr>
        <w:spacing w:before="0" w:after="120"/>
      </w:pPr>
      <w:r>
        <w:rPr>
          <w:b/>
        </w:rPr>
        <w:t xml:space="preserve">Source: </w:t>
      </w:r>
      <w:r>
        <w:t>Wiley: Advanced Materials: Table of Contents</w:t>
      </w:r>
      <w:r>
        <w:t xml:space="preserve">    </w:t>
      </w:r>
      <w:r>
        <w:rPr>
          <w:b/>
        </w:rPr>
        <w:t xml:space="preserve">Pub date: </w:t>
      </w:r>
      <w:r>
        <w:t>2026-01-27 06:55:04+00:00</w:t>
      </w:r>
      <w:r>
        <w:t xml:space="preserve">    </w:t>
      </w:r>
      <w:r>
        <w:rPr>
          <w:b/>
        </w:rPr>
        <w:t xml:space="preserve">DOI: </w:t>
      </w:r>
      <w:hyperlink r:id="rId323">
        <w:r>
          <w:rPr>
            <w:color w:val="1155CC"/>
            <w:u w:val="single"/>
          </w:rPr>
          <w:t>10.1002/adma.202519453</w:t>
        </w:r>
      </w:hyperlink>
    </w:p>
    <w:p>
      <w:pPr>
        <w:spacing w:before="0" w:after="120"/>
      </w:pPr>
      <w:r>
        <w:rPr>
          <w:b/>
        </w:rPr>
        <w:t xml:space="preserve">Notes: </w:t>
      </w:r>
      <w:r>
        <w:t>abstract_source=crossref</w:t>
      </w:r>
    </w:p>
    <w:p>
      <w:pPr>
        <w:spacing w:before="0" w:after="80" w:lineRule="auto" w:line="276"/>
      </w:pPr>
      <w:r>
        <w:rPr>
          <w:b/>
        </w:rPr>
        <w:t xml:space="preserve">摘要（ZH）: </w:t>
      </w:r>
      <w:r>
        <w:t>将聚乙烯(PE)再循环到极有选择性的平台纯化剂中,作为潜在的封闭性环流回收途径,最大限度地减少对石化工业的依赖性,而对单质的选择性主要受两种侧面反应的限制:氢转移和芳香化。在这里,我们提出了一个光热回收途径,利用ZnCrO x/HZSM5复合催化剂,有效地将各种类型的聚乙烯转化为高度选择性的单质,并有效抑制双方的反应。纳入ZnCrOx改变催化剂酸性以抑制氢转移反应,同时联合建立一个碳内部螺旋。</w:t>
      </w:r>
    </w:p>
    <w:p>
      <w:pPr>
        <w:spacing w:before="0" w:after="200" w:lineRule="auto" w:line="276"/>
      </w:pPr>
      <w:r>
        <w:rPr>
          <w:b/>
        </w:rPr>
        <w:t xml:space="preserve">Abstract (EN): </w:t>
      </w:r>
      <w:r>
        <w:t>The recycling of polyethylene (PE) into highly selective platform olefins holds great promise as a potential closed‐loop recycling route that minimizes dependence on the petrochemical industries, whereas the selectivity of olefins is mainly limited by two side reactions: hydrogen transfer and aromatization. Herein, we present a photothermal recycling pathway that effectively converts various types of PE into highly selective olefins using ZnCrO</w:t>
      </w:r>
      <w:r>
        <w:t xml:space="preserve"> </w:t>
      </w:r>
      <w:r>
        <w:t>x</w:t>
      </w:r>
      <w:r>
        <w:t xml:space="preserve"> </w:t>
      </w:r>
      <w:r>
        <w:t>/HZSM‐5 composite catalyst, with efficaciously suppressing both side reactions. The inclusion of ZnCrO</w:t>
      </w:r>
      <w:r>
        <w:t xml:space="preserve"> </w:t>
      </w:r>
      <w:r>
        <w:t>x</w:t>
      </w:r>
      <w:r>
        <w:t xml:space="preserve"> </w:t>
      </w:r>
      <w:r>
        <w:t>modifies catalyst acidity to inhibit the hydrogen transfer reaction, while jointly establishing an intra‐catalyst spatial temperature gradient through distinct photothermal responses between ZnCrO</w:t>
      </w:r>
      <w:r>
        <w:t xml:space="preserve"> </w:t>
      </w:r>
      <w:r>
        <w:t>x</w:t>
      </w:r>
      <w:r>
        <w:t xml:space="preserve"> </w:t>
      </w:r>
      <w:r>
        <w:t>and HZSM‐5 whereby the endothermic aromatization can be suppressed. This strategy achieves an impressive selectivity of 75.4% for C</w:t>
      </w:r>
      <w:r>
        <w:rPr>
          <w:vertAlign w:val="subscript"/>
        </w:rPr>
        <w:t>2</w:t>
      </w:r>
      <w:r>
        <w:t>–C</w:t>
      </w:r>
      <w:r>
        <w:rPr>
          <w:vertAlign w:val="subscript"/>
        </w:rPr>
        <w:t>5</w:t>
      </w:r>
      <w:r>
        <w:t>hydrocarbons, with 84.7% of them being C</w:t>
      </w:r>
      <w:r>
        <w:rPr>
          <w:vertAlign w:val="subscript"/>
        </w:rPr>
        <w:t>2</w:t>
      </w:r>
      <w:r>
        <w:t>–C</w:t>
      </w:r>
      <w:r>
        <w:rPr>
          <w:vertAlign w:val="subscript"/>
        </w:rPr>
        <w:t>5</w:t>
      </w:r>
      <w:r>
        <w:t>olefins, in the photothermal recycling of low‐density PE (LDPE) under atmospheric pressure using Xe lamp irradiation. Further, the demonstrated universality across various PE feedstocks (e.g., high‐density PE and commercial LDPE bags) and concentrated sunlight operation highlights a solar‐powered plastic‐to‐olefin platform with industrial viability.</w:t>
      </w:r>
    </w:p>
    <w:p>
      <w:pPr>
        <w:spacing w:before="120" w:after="120"/>
      </w:pPr>
      <w:r>
        <w:rPr>
          <w:sz w:val="18"/>
        </w:rPr>
        <w:t>——————————————————————————————————————————————————————————————————————</w:t>
      </w:r>
    </w:p>
    <w:p>
      <w:pPr>
        <w:spacing w:before="160" w:after="40" w:line="240" w:lineRule="auto"/>
      </w:pPr>
      <w:r>
        <w:rPr>
          <w:b/>
        </w:rPr>
        <w:t xml:space="preserve">[224] </w:t>
      </w:r>
      <w:hyperlink r:id="rId324">
        <w:r>
          <w:rPr>
            <w:color w:val="1155CC"/>
            <w:u w:val="single"/>
          </w:rPr>
          <w:t>用于耐久、直流自然海水电解的综合不锈钢基电解器</w:t>
        </w:r>
      </w:hyperlink>
    </w:p>
    <w:p>
      <w:pPr>
        <w:spacing w:before="0" w:after="80"/>
      </w:pPr>
      <w:r>
        <w:rPr>
          <w:i/>
          <w:sz w:val="20"/>
        </w:rPr>
        <w:t>EN: An Integrated Stainless Steel‐Based Electrode for Durable Direct Natural Seawater Electrolysis</w:t>
      </w:r>
    </w:p>
    <w:p>
      <w:pPr>
        <w:spacing w:before="0" w:after="120"/>
      </w:pPr>
      <w:r>
        <w:rPr>
          <w:b/>
        </w:rPr>
        <w:t xml:space="preserve">Source: </w:t>
      </w:r>
      <w:r>
        <w:t>Wiley: Advanced Materials: Table of Contents</w:t>
      </w:r>
      <w:r>
        <w:t xml:space="preserve">    </w:t>
      </w:r>
      <w:r>
        <w:rPr>
          <w:b/>
        </w:rPr>
        <w:t xml:space="preserve">Pub date: </w:t>
      </w:r>
      <w:r>
        <w:t>2026-01-27 06:56:21+00:00</w:t>
      </w:r>
      <w:r>
        <w:t xml:space="preserve">    </w:t>
      </w:r>
      <w:r>
        <w:rPr>
          <w:b/>
        </w:rPr>
        <w:t xml:space="preserve">DOI: </w:t>
      </w:r>
      <w:hyperlink r:id="rId325">
        <w:r>
          <w:rPr>
            <w:color w:val="1155CC"/>
            <w:u w:val="single"/>
          </w:rPr>
          <w:t>10.1002/adma.202518307</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在这项工作中,我们通过将Pt原子团(0.044 wt%)与稠密的NiFe层双氢化物(NiFeLDH)抗腐蚀涂层结合,在不锈钢基基质上展示一个多级结构,同时将成本减少40%以上,超低能消耗量减少4.26千瓦赫。</w:t>
      </w:r>
    </w:p>
    <w:p>
      <w:pPr>
        <w:spacing w:before="0" w:after="200" w:lineRule="auto" w:line="276"/>
      </w:pPr>
      <w:r>
        <w:rPr>
          <w:b/>
        </w:rPr>
        <w:t xml:space="preserve">Abstract (EN): </w:t>
      </w:r>
      <w:r>
        <w:t>Direct seawater electrolysis for hydrogen production is hindered by severe catalyst inactivation and material corrosion caused by the complex composition of natural seawater. In this work, we demonstrate a multistage structure on a stainless steel (SS) substrate by integrating Pt atomic clusters (0.044 wt%) with a dense NiFe layer double hydroxides (NiFe‐LDH) anticorrosive coating. The assembled seawater electrolyzer maintains durable operation for 600 h at a current density of 400 mA cm</w:t>
      </w:r>
      <w:r>
        <w:t xml:space="preserve"> </w:t>
      </w:r>
      <w:r>
        <w:t>−2</w:t>
      </w:r>
      <w:r>
        <w:t xml:space="preserve"> </w:t>
      </w:r>
      <w:r>
        <w:t>(∼2.04 V) and for 1000 h at 200 mA cm</w:t>
      </w:r>
      <w:r>
        <w:t xml:space="preserve"> </w:t>
      </w:r>
      <w:r>
        <w:t>−2</w:t>
      </w:r>
      <w:r>
        <w:t xml:space="preserve"> </w:t>
      </w:r>
      <w:r>
        <w:t>(∼1.78 V), while simultaneously achieving a cost reduction of more than 40% and ultralow energy consumption of 4.26 kWh Nm</w:t>
      </w:r>
      <w:r>
        <w:t xml:space="preserve"> </w:t>
      </w:r>
      <w:r>
        <w:t>−3</w:t>
      </w:r>
      <w:r>
        <w:t xml:space="preserve"> </w:t>
      </w:r>
      <w:r>
        <w:t>H</w:t>
      </w:r>
      <w:r>
        <w:rPr>
          <w:vertAlign w:val="subscript"/>
        </w:rPr>
        <w:t>2</w:t>
      </w:r>
      <w:r>
        <w:t>. Multiple in situ characterization results reveal that the adsorbed H</w:t>
      </w:r>
      <w:r>
        <w:rPr>
          <w:vertAlign w:val="subscript"/>
        </w:rPr>
        <w:t>2</w:t>
      </w:r>
      <w:r>
        <w:t>O molecules between the interface of Pt atomic clusters and NiFe‐LDH could initiate a potential‐driven dynamic transformation process from a 4 hydrogen‐bond to a 0 hydrogen‐bond coordination of H</w:t>
      </w:r>
      <w:r>
        <w:rPr>
          <w:vertAlign w:val="subscript"/>
        </w:rPr>
        <w:t>2</w:t>
      </w:r>
      <w:r>
        <w:t>O, thereby promoting their dissociation. Pt atomic cluster induces a configuration transformation of interfacial water from two‐H down to two‐H up and differentiates the adsorption energies between H</w:t>
      </w:r>
      <w:r>
        <w:rPr>
          <w:vertAlign w:val="subscript"/>
        </w:rPr>
        <w:t>2</w:t>
      </w:r>
      <w:r>
        <w:t>O and chloride ions, further optimizing selectivity. This work fully demonstrates the integrated design of catalysts, anti‐corrosion coating, and porous transport layer, thereby offering an innovative and practical approach to direct seawater electrolysis.</w:t>
      </w:r>
    </w:p>
    <w:p>
      <w:pPr>
        <w:spacing w:before="120" w:after="120"/>
      </w:pPr>
      <w:r>
        <w:rPr>
          <w:sz w:val="18"/>
        </w:rPr>
        <w:t>——————————————————————————————————————————————————————————————————————</w:t>
      </w:r>
    </w:p>
    <w:p>
      <w:pPr>
        <w:spacing w:before="160" w:after="40" w:line="240" w:lineRule="auto"/>
      </w:pPr>
      <w:r>
        <w:rPr>
          <w:b/>
        </w:rPr>
        <w:t xml:space="preserve">[225] </w:t>
      </w:r>
      <w:hyperlink r:id="rId326">
        <w:r>
          <w:rPr>
            <w:color w:val="1155CC"/>
            <w:u w:val="single"/>
          </w:rPr>
          <w:t>具有脆弱磁力顺序和强烈旋转结构的 Mn2 以 Mn2为基地的热氯磁网</w:t>
        </w:r>
      </w:hyperlink>
    </w:p>
    <w:p>
      <w:pPr>
        <w:spacing w:before="0" w:after="80"/>
      </w:pPr>
      <w:r>
        <w:rPr>
          <w:i/>
          <w:sz w:val="20"/>
        </w:rPr>
        <w:t>EN: A Mn2+‐Based Pyrochlore Magnet With Fragile Magnetic Order and Strong Spin Fluctuations</w:t>
      </w:r>
    </w:p>
    <w:p>
      <w:pPr>
        <w:spacing w:before="0" w:after="120"/>
      </w:pPr>
      <w:r>
        <w:rPr>
          <w:b/>
        </w:rPr>
        <w:t xml:space="preserve">Source: </w:t>
      </w:r>
      <w:r>
        <w:t>Wiley: Advanced Materials: Table of Contents</w:t>
      </w:r>
      <w:r>
        <w:t xml:space="preserve">    </w:t>
      </w:r>
      <w:r>
        <w:rPr>
          <w:b/>
        </w:rPr>
        <w:t xml:space="preserve">Pub date: </w:t>
      </w:r>
      <w:r>
        <w:t>2026-01-27 06:58:18+00:00</w:t>
      </w:r>
      <w:r>
        <w:t xml:space="preserve">    </w:t>
      </w:r>
      <w:r>
        <w:rPr>
          <w:b/>
        </w:rPr>
        <w:t xml:space="preserve">DOI: </w:t>
      </w:r>
      <w:hyperlink r:id="rId327">
        <w:r>
          <w:rPr>
            <w:color w:val="1155CC"/>
            <w:u w:val="single"/>
          </w:rPr>
          <w:t>10.1002/adma.202521218</w:t>
        </w:r>
      </w:hyperlink>
    </w:p>
    <w:p>
      <w:pPr>
        <w:spacing w:before="0" w:after="120"/>
      </w:pPr>
      <w:r>
        <w:rPr>
          <w:b/>
        </w:rPr>
        <w:t xml:space="preserve">Notes: </w:t>
      </w:r>
      <w:r>
        <w:t>abstract_source=crossref</w:t>
      </w:r>
    </w:p>
    <w:p>
      <w:pPr>
        <w:spacing w:before="0" w:after="80" w:lineRule="auto" w:line="276"/>
      </w:pPr>
      <w:r>
        <w:rPr>
          <w:b/>
        </w:rPr>
        <w:t xml:space="preserve">摘要（ZH）: </w:t>
      </w:r>
      <w:r>
        <w:t>Pyrogrete磁铁,建于角合四环形磁铁,作为磁框架,因其异国情调的量旋状态而引起广泛注意。这里我们展示了K 3 Mn(MOO 4) 2 Cl,这是化学定制的热氯磁铁,产自Na 3 Mn(CO 3) 2 Cl,Mn 2+ 离子形成理想的3D挫败网络。K 3 Mn(MOO 4)的毫米大小单晶体。</w:t>
      </w:r>
    </w:p>
    <w:p>
      <w:pPr>
        <w:spacing w:before="0" w:after="200" w:lineRule="auto" w:line="276"/>
      </w:pPr>
      <w:r>
        <w:rPr>
          <w:b/>
        </w:rPr>
        <w:t xml:space="preserve">Abstract (EN): </w:t>
      </w:r>
      <w:r>
        <w:t>Pyrochlore magnets, built from corner‐sharing tetrahedra, serve as magnetic frameworks that attract extensive attention due to their exotic quantum spin states. Here we present K</w:t>
      </w:r>
      <w:r>
        <w:rPr>
          <w:vertAlign w:val="subscript"/>
        </w:rPr>
        <w:t>3</w:t>
      </w:r>
      <w:r>
        <w:t>Mn(MoO</w:t>
      </w:r>
      <w:r>
        <w:rPr>
          <w:vertAlign w:val="subscript"/>
        </w:rPr>
        <w:t>4</w:t>
      </w:r>
      <w:r>
        <w:t>)</w:t>
      </w:r>
      <w:r>
        <w:rPr>
          <w:vertAlign w:val="subscript"/>
        </w:rPr>
        <w:t>2</w:t>
      </w:r>
      <w:r>
        <w:t>Cl, a chemically tailored pyrochlore magnet derived from Na</w:t>
      </w:r>
      <w:r>
        <w:rPr>
          <w:vertAlign w:val="subscript"/>
        </w:rPr>
        <w:t>3</w:t>
      </w:r>
      <w:r>
        <w:t>Mn(CO</w:t>
      </w:r>
      <w:r>
        <w:rPr>
          <w:vertAlign w:val="subscript"/>
        </w:rPr>
        <w:t>3</w:t>
      </w:r>
      <w:r>
        <w:t>)</w:t>
      </w:r>
      <w:r>
        <w:rPr>
          <w:vertAlign w:val="subscript"/>
        </w:rPr>
        <w:t>2</w:t>
      </w:r>
      <w:r>
        <w:t>Cl, where Mn</w:t>
      </w:r>
      <w:r>
        <w:t xml:space="preserve"> </w:t>
      </w:r>
      <w:r>
        <w:t>2+</w:t>
      </w:r>
      <w:r>
        <w:t xml:space="preserve"> </w:t>
      </w:r>
      <w:r>
        <w:t>ions form an ideal 3D frustrated network. Millimeter‐sized single crystals of K</w:t>
      </w:r>
      <w:r>
        <w:rPr>
          <w:vertAlign w:val="subscript"/>
        </w:rPr>
        <w:t>3</w:t>
      </w:r>
      <w:r>
        <w:t>Mn(MoO</w:t>
      </w:r>
      <w:r>
        <w:rPr>
          <w:vertAlign w:val="subscript"/>
        </w:rPr>
        <w:t>4</w:t>
      </w:r>
      <w:r>
        <w:t>)</w:t>
      </w:r>
      <w:r>
        <w:rPr>
          <w:vertAlign w:val="subscript"/>
        </w:rPr>
        <w:t>2</w:t>
      </w:r>
      <w:r>
        <w:t>Cl were successfully achieved via a simple high‐temperature self‐flux method. Thermodynamic measurements reveal a sharp transition at 258 mK, yet only ∼15% of the expected Rln6 entropy is recovered, indicating pronounced spin fluctuations in this long‐range ordered state. Remarkably, the ordered state is highly sensitive to perturbations, disappearing under a magnetic field of about 0.2 T, while magnetization along [111] shows a feature consistent with a near half‐saturated state. Our results establish the newly discovered pyrochlore magnets as a chemically engineered pyrochlore platform, in which geometrical frustration and fragile magnetic order interplay, thereby offering new opportunities to explore emergent magnetic phenomena in three dimensions.</w:t>
      </w:r>
    </w:p>
    <w:p>
      <w:pPr>
        <w:spacing w:before="120" w:after="120"/>
      </w:pPr>
      <w:r>
        <w:rPr>
          <w:sz w:val="18"/>
        </w:rPr>
        <w:t>——————————————————————————————————————————————————————————————————————</w:t>
      </w:r>
    </w:p>
    <w:p>
      <w:pPr>
        <w:spacing w:before="160" w:after="40" w:line="240" w:lineRule="auto"/>
      </w:pPr>
      <w:r>
        <w:rPr>
          <w:b/>
        </w:rPr>
        <w:t xml:space="preserve">[226] </w:t>
      </w:r>
      <w:hyperlink r:id="rId328">
        <w:r>
          <w:rPr>
            <w:color w:val="1155CC"/>
            <w:u w:val="single"/>
          </w:rPr>
          <w:t>与促进增强氧气减少的近效有机生物 分解单原子催化剂的中间溶解壳</w:t>
        </w:r>
      </w:hyperlink>
    </w:p>
    <w:p>
      <w:pPr>
        <w:spacing w:before="0" w:after="80"/>
      </w:pPr>
      <w:r>
        <w:rPr>
          <w:i/>
          <w:sz w:val="20"/>
        </w:rPr>
        <w:t>EN: Breaking the Intermediate Solvation Shell on Single‐Atom Catalysts With a Proximal Group Perturber for Enhanced Oxygen Reduction</w:t>
      </w:r>
    </w:p>
    <w:p>
      <w:pPr>
        <w:spacing w:before="0" w:after="120"/>
      </w:pPr>
      <w:r>
        <w:rPr>
          <w:b/>
        </w:rPr>
        <w:t xml:space="preserve">Source: </w:t>
      </w:r>
      <w:r>
        <w:t>Wiley: Advanced Materials: Table of Contents</w:t>
      </w:r>
      <w:r>
        <w:t xml:space="preserve">    </w:t>
      </w:r>
      <w:r>
        <w:rPr>
          <w:b/>
        </w:rPr>
        <w:t xml:space="preserve">Pub date: </w:t>
      </w:r>
      <w:r>
        <w:t>2026-01-27 06:59:07+00:00</w:t>
      </w:r>
      <w:r>
        <w:t xml:space="preserve">    </w:t>
      </w:r>
      <w:r>
        <w:rPr>
          <w:b/>
        </w:rPr>
        <w:t xml:space="preserve">DOI: </w:t>
      </w:r>
      <w:hyperlink r:id="rId329">
        <w:r>
          <w:rPr>
            <w:color w:val="1155CC"/>
            <w:u w:val="single"/>
          </w:rPr>
          <w:t>10.1002/adma.202523627</w:t>
        </w:r>
      </w:hyperlink>
    </w:p>
    <w:p>
      <w:pPr>
        <w:spacing w:before="0" w:after="120"/>
      </w:pPr>
      <w:r>
        <w:rPr>
          <w:b/>
        </w:rPr>
        <w:t xml:space="preserve">Notes: </w:t>
      </w:r>
      <w:r>
        <w:t>abstract_source=crossref</w:t>
      </w:r>
    </w:p>
    <w:p>
      <w:pPr>
        <w:spacing w:before="0" w:after="80" w:lineRule="auto" w:line="276"/>
      </w:pPr>
      <w:r>
        <w:rPr>
          <w:b/>
        </w:rPr>
        <w:t xml:space="preserve">摘要（ZH）: </w:t>
      </w:r>
      <w:r>
        <w:t>电动催化性能受活跃点周围的直接微环境,特别是稳定反应中间体的氢子瓶网络的立即微环境制约。水电解液中的电解作用允许对网络进行调适,质子交换膜燃料电池(质子是唯一的碳化物)却缺乏这种强大的杠杆作用。在这里,我们展示了单子催化剂“加速分子扰动”的一般战略,它把调试功能从电解液转到催化剂的第二个协调领域。我们用Fe-N-C的氧减量反应作为模型,我们演示了原质P-O组作为消毒和氢振动的周期。</w:t>
      </w:r>
    </w:p>
    <w:p>
      <w:pPr>
        <w:spacing w:before="0" w:after="200" w:lineRule="auto" w:line="276"/>
      </w:pPr>
      <w:r>
        <w:rPr>
          <w:b/>
        </w:rPr>
        <w:t xml:space="preserve">Abstract (EN): </w:t>
      </w:r>
      <w:r>
        <w:t>The electrocatalytic performance is governed by the immediate microenvironment surrounding the active site, particularly the hydrogen‐bond network that stabilizes reaction intermediates. While cation effects in aqueous electrolytes allow tuning of this network, this powerful leveraging is absent in proton‐exchange membrane fuel cells (PEMFCs), where proton is the sole cation. Here, we demonstrate a general strategy of “immobilized molecular perturbation” for single‐atom catalysts, which moves the tuning function from the electrolyte to the catalyst's second coordination sphere. Using the oxygen reduction reaction (ORR) on Fe─N─C as a model, we demonstrate that proximal P─O groups act as steric and hydrogen‐bonding perturbers. This engineered microenvironment selectively weakens the solvation shell of key</w:t>
      </w:r>
      <w:r>
        <w:t xml:space="preserve"> </w:t>
      </w:r>
      <w:r>
        <w:t>*</w:t>
      </w:r>
      <w:r>
        <w:t xml:space="preserve"> </w:t>
      </w:r>
      <w:r>
        <w:t>OH intermediates, as confirmed by spectroscopy and computations, thereby facilitating the rate‐determining step of</w:t>
      </w:r>
      <w:r>
        <w:t xml:space="preserve"> </w:t>
      </w:r>
      <w:r>
        <w:t>*</w:t>
      </w:r>
      <w:r>
        <w:t xml:space="preserve"> </w:t>
      </w:r>
      <w:r>
        <w:t>OH desorption. This regulation endows the catalyst with exceptional performance, achieving a half‐wave potential of 0.861 V in 0.5</w:t>
      </w:r>
      <w:r>
        <w:t xml:space="preserve"> </w:t>
      </w:r>
      <w:r>
        <w:t>m</w:t>
      </w:r>
      <w:r>
        <w:t xml:space="preserve"> </w:t>
      </w:r>
      <w:r>
        <w:t>H</w:t>
      </w:r>
      <w:r>
        <w:rPr>
          <w:vertAlign w:val="subscript"/>
        </w:rPr>
        <w:t>2</w:t>
      </w:r>
      <w:r>
        <w:t>SO</w:t>
      </w:r>
      <w:r>
        <w:rPr>
          <w:vertAlign w:val="subscript"/>
        </w:rPr>
        <w:t>4</w:t>
      </w:r>
      <w:r>
        <w:t>and a peak power density of 1024 mW cm</w:t>
      </w:r>
      <w:r>
        <w:t xml:space="preserve"> </w:t>
      </w:r>
      <w:r>
        <w:t>−2</w:t>
      </w:r>
      <w:r>
        <w:t xml:space="preserve"> </w:t>
      </w:r>
      <w:r>
        <w:t>in a H</w:t>
      </w:r>
      <w:r>
        <w:rPr>
          <w:vertAlign w:val="subscript"/>
        </w:rPr>
        <w:t>2</w:t>
      </w:r>
      <w:r>
        <w:t>/O</w:t>
      </w:r>
      <w:r>
        <w:rPr>
          <w:vertAlign w:val="subscript"/>
        </w:rPr>
        <w:t>2</w:t>
      </w:r>
      <w:r>
        <w:t>PEMFC. Furthermore, it exhibits outstanding stability with 72 % current retention after 253 h at 0.65 V, positioning it among the best‐reported non‐precious metal catalysts. This work shifts the paradigm from exclusive active‐center optimization to deliberate local microenvironment engineering, enabling accelerated electrocatalysis in device‐relevant environments.</w:t>
      </w:r>
    </w:p>
    <w:p>
      <w:pPr>
        <w:spacing w:before="120" w:after="120"/>
      </w:pPr>
      <w:r>
        <w:rPr>
          <w:sz w:val="18"/>
        </w:rPr>
        <w:t>——————————————————————————————————————————————————————————————————————</w:t>
      </w:r>
    </w:p>
    <w:p>
      <w:pPr>
        <w:spacing w:before="160" w:after="40" w:line="240" w:lineRule="auto"/>
      </w:pPr>
      <w:r>
        <w:rPr>
          <w:b/>
        </w:rPr>
        <w:t xml:space="preserve">[227] </w:t>
      </w:r>
      <w:hyperlink r:id="rId330">
        <w:r>
          <w:rPr>
            <w:color w:val="1155CC"/>
            <w:u w:val="single"/>
          </w:rPr>
          <w:t>细菌纤维素合成物散装生产人工共生</w:t>
        </w:r>
      </w:hyperlink>
    </w:p>
    <w:p>
      <w:pPr>
        <w:spacing w:before="0" w:after="80"/>
      </w:pPr>
      <w:r>
        <w:rPr>
          <w:i/>
          <w:sz w:val="20"/>
        </w:rPr>
        <w:t>EN: Artificial Symbiosis for Bulk Production of Bacterial Cellulose Composites</w:t>
      </w:r>
    </w:p>
    <w:p>
      <w:pPr>
        <w:spacing w:before="0" w:after="120"/>
      </w:pPr>
      <w:r>
        <w:rPr>
          <w:b/>
        </w:rPr>
        <w:t xml:space="preserve">Source: </w:t>
      </w:r>
      <w:r>
        <w:t>Wiley: Advanced Materials: Table of Contents</w:t>
      </w:r>
      <w:r>
        <w:t xml:space="preserve">    </w:t>
      </w:r>
      <w:r>
        <w:rPr>
          <w:b/>
        </w:rPr>
        <w:t xml:space="preserve">Pub date: </w:t>
      </w:r>
      <w:r>
        <w:t>2026-01-27 07:04:35+00:00</w:t>
      </w:r>
      <w:r>
        <w:t xml:space="preserve">    </w:t>
      </w:r>
      <w:r>
        <w:rPr>
          <w:b/>
        </w:rPr>
        <w:t xml:space="preserve">DOI: </w:t>
      </w:r>
      <w:hyperlink r:id="rId331">
        <w:r>
          <w:rPr>
            <w:color w:val="1155CC"/>
            <w:u w:val="single"/>
          </w:rPr>
          <w:t>10.1002/adma.202514125</w:t>
        </w:r>
      </w:hyperlink>
    </w:p>
    <w:p>
      <w:pPr>
        <w:spacing w:before="0" w:after="120"/>
      </w:pPr>
      <w:r>
        <w:rPr>
          <w:b/>
        </w:rPr>
        <w:t xml:space="preserve">Notes: </w:t>
      </w:r>
      <w:r>
        <w:t>abstract_source=crossref</w:t>
      </w:r>
    </w:p>
    <w:p>
      <w:pPr>
        <w:spacing w:before="0" w:after="80" w:lineRule="auto" w:line="276"/>
      </w:pPr>
      <w:r>
        <w:rPr>
          <w:b/>
        </w:rPr>
        <w:t xml:space="preserve">摘要（ZH）: </w:t>
      </w:r>
      <w:r>
        <w:t>微生物之间的共生关系是所有全球生态系统功能的关键。在这里,我们通过在自然中通常不是协同生长的物种之间建立人工共生关系,来推断生物材料制造的概念。具体地说,我们结合产生细菌的纤维素和绿色微微藻Chrlamydomonas rehardtii, 以获得细菌纤维素的大规模生长。通常,细菌纤维素在不断生长的介质的空气-液态界面中作为漂浮的螺旋而产生,因为细菌需要自由氧和培养介质中的养分。 t</w:t>
      </w:r>
    </w:p>
    <w:p>
      <w:pPr>
        <w:spacing w:before="0" w:after="200" w:lineRule="auto" w:line="276"/>
      </w:pPr>
      <w:r>
        <w:rPr>
          <w:b/>
        </w:rPr>
        <w:t xml:space="preserve">Abstract (EN): </w:t>
      </w:r>
      <w:r>
        <w:t>Symbiotic relationships between micro‐organisms are key to the function of all global ecosystems. Here we extrapolate this concept for biomaterial fabrication by creating artificial symbiotic relationships between species that are usually not grown synergistically in nature. Specifically, we combine the cellulose‐producing bacterium</w:t>
      </w:r>
      <w:r>
        <w:t xml:space="preserve"> </w:t>
      </w:r>
      <w:r>
        <w:t>Komagataeibacter hansenii</w:t>
      </w:r>
      <w:r>
        <w:t xml:space="preserve"> </w:t>
      </w:r>
      <w:r>
        <w:t>and the green microalga</w:t>
      </w:r>
      <w:r>
        <w:t xml:space="preserve"> </w:t>
      </w:r>
      <w:r>
        <w:t>Chlamydomonas reinhardtii</w:t>
      </w:r>
      <w:r>
        <w:t xml:space="preserve"> </w:t>
      </w:r>
      <w:r>
        <w:t>to obtain bulk growth of bacterial cellulose. Usually, bacterial cellulose is produced as floating pellicles at the air‐liquid interface of the growing media, because free oxygen, together with the nutrients in the culture medium, is required for the bacteria to synthesize the cellulose fibers. In the co‐culture, bacterial cellulose production can be achieved in bulk beyond the spatial restriction of the air‐liquid interface as the motile microalgae with photosynthetic activities act as oxygen‐generating sites within the culture medium. In exchange, the highly porous and mechanically robust scaffold provided by the cellulose allows the algal‐bacterial community to form a bio‐composite up to several centimeters in thickness. We demonstrate that this symbiotic growth platform allows the simultaneous production of bulk bacterial cellulose in static incubation conditions, taking up an arbitrary and yet tunable 3D shape, dependent on the geometry of the culture vessel.</w:t>
      </w:r>
    </w:p>
    <w:p>
      <w:pPr>
        <w:spacing w:before="120" w:after="120"/>
      </w:pPr>
      <w:r>
        <w:rPr>
          <w:sz w:val="18"/>
        </w:rPr>
        <w:t>——————————————————————————————————————————————————————————————————————</w:t>
      </w:r>
    </w:p>
    <w:p>
      <w:pPr>
        <w:spacing w:before="160" w:after="40" w:line="240" w:lineRule="auto"/>
      </w:pPr>
      <w:r>
        <w:rPr>
          <w:b/>
        </w:rPr>
        <w:t xml:space="preserve">[228] </w:t>
      </w:r>
      <w:hyperlink r:id="rId332">
        <w:r>
          <w:rPr>
            <w:color w:val="1155CC"/>
            <w:u w:val="single"/>
          </w:rPr>
          <w:t>有秩序的异异质界面 使温度敏感和超高能能 和超高能-压力 多层陶瓷电动器</w:t>
        </w:r>
      </w:hyperlink>
    </w:p>
    <w:p>
      <w:pPr>
        <w:spacing w:before="0" w:after="80"/>
      </w:pPr>
      <w:r>
        <w:rPr>
          <w:i/>
          <w:sz w:val="20"/>
        </w:rPr>
        <w:t>EN: Ordered Heterogeneous Interfaces Enable Temperature‐Insensitive and Ultrahigh‐Energy‐Storage Multilayer Ceramic Capacitors</w:t>
      </w:r>
    </w:p>
    <w:p>
      <w:pPr>
        <w:spacing w:before="0" w:after="120"/>
      </w:pPr>
      <w:r>
        <w:rPr>
          <w:b/>
        </w:rPr>
        <w:t xml:space="preserve">Source: </w:t>
      </w:r>
      <w:r>
        <w:t>Wiley: Advanced Materials: Table of Contents</w:t>
      </w:r>
      <w:r>
        <w:t xml:space="preserve">    </w:t>
      </w:r>
      <w:r>
        <w:rPr>
          <w:b/>
        </w:rPr>
        <w:t xml:space="preserve">Pub date: </w:t>
      </w:r>
      <w:r>
        <w:t>2026-01-27 07:04:39+00:00</w:t>
      </w:r>
      <w:r>
        <w:t xml:space="preserve">    </w:t>
      </w:r>
      <w:r>
        <w:rPr>
          <w:b/>
        </w:rPr>
        <w:t xml:space="preserve">DOI: </w:t>
      </w:r>
      <w:hyperlink r:id="rId333">
        <w:r>
          <w:rPr>
            <w:color w:val="1155CC"/>
            <w:u w:val="single"/>
          </w:rPr>
          <w:t>10.1002/adma.202520618</w:t>
        </w:r>
      </w:hyperlink>
    </w:p>
    <w:p>
      <w:pPr>
        <w:spacing w:before="0" w:after="120"/>
      </w:pPr>
      <w:r>
        <w:rPr>
          <w:b/>
        </w:rPr>
        <w:t xml:space="preserve">Notes: </w:t>
      </w:r>
      <w:r>
        <w:t>abstract_source=crossref</w:t>
      </w:r>
    </w:p>
    <w:p>
      <w:pPr>
        <w:spacing w:before="0" w:after="80" w:lineRule="auto" w:line="276"/>
      </w:pPr>
      <w:r>
        <w:rPr>
          <w:b/>
        </w:rPr>
        <w:t xml:space="preserve">摘要（ZH）: </w:t>
      </w:r>
      <w:r>
        <w:t>实现无铅多层陶瓷电容器的高能源储存密度和极佳的热稳定性一直是先进的电子系统面临的一项重大挑战。为了解决这一问题,我们提议了一项创新战略,通过将平行的Al 2 O 3板嵌入0.6SrtiO 3 0.4Bi0.5Na 0.5 TiO 3 (0.6ST0.4BNT)无铅陶瓷,同时建造定购的异质界面,同时改善两种特性。这种方法有效地抑制了无铅陶瓷。</w:t>
      </w:r>
    </w:p>
    <w:p>
      <w:pPr>
        <w:spacing w:before="0" w:after="200" w:lineRule="auto" w:line="276"/>
      </w:pPr>
      <w:r>
        <w:rPr>
          <w:b/>
        </w:rPr>
        <w:t xml:space="preserve">Abstract (EN): </w:t>
      </w:r>
      <w:r>
        <w:t>Achieving both high energy storage density and excellent thermal stability in lead‐free multilayer ceramic capacitors (MLCCs) has long been a critical challenge for advanced electronic systems. To address this issue, we propose an innovative strategy to simultaneously improve both properties by constructing ordered heterogeneous interfaces through embedding parallel‐aligned Al</w:t>
      </w:r>
      <w:r>
        <w:rPr>
          <w:vertAlign w:val="subscript"/>
        </w:rPr>
        <w:t>2</w:t>
      </w:r>
      <w:r>
        <w:t>O</w:t>
      </w:r>
      <w:r>
        <w:rPr>
          <w:vertAlign w:val="subscript"/>
        </w:rPr>
        <w:t>3</w:t>
      </w:r>
      <w:r>
        <w:t>plates in 0.6SrTiO</w:t>
      </w:r>
      <w:r>
        <w:rPr>
          <w:vertAlign w:val="subscript"/>
        </w:rPr>
        <w:t>3</w:t>
      </w:r>
      <w:r>
        <w:t>‐0.4Bi</w:t>
      </w:r>
      <w:r>
        <w:t xml:space="preserve"> </w:t>
      </w:r>
      <w:r>
        <w:t>0.5</w:t>
      </w:r>
      <w:r>
        <w:t xml:space="preserve"> </w:t>
      </w:r>
      <w:r>
        <w:t>Na</w:t>
      </w:r>
      <w:r>
        <w:t xml:space="preserve"> </w:t>
      </w:r>
      <w:r>
        <w:t>0.5</w:t>
      </w:r>
      <w:r>
        <w:t xml:space="preserve"> </w:t>
      </w:r>
      <w:r>
        <w:t>TiO</w:t>
      </w:r>
      <w:r>
        <w:rPr>
          <w:vertAlign w:val="subscript"/>
        </w:rPr>
        <w:t>3</w:t>
      </w:r>
      <w:r>
        <w:t>(0.6ST‐0.4BNT) lead‐free ceramics. This approach effectively suppresses the charge carrier injection and transport, yielding an ultrahigh recoverable energy storage density of 16.0 J cm</w:t>
      </w:r>
      <w:r>
        <w:t xml:space="preserve"> </w:t>
      </w:r>
      <w:r>
        <w:t>−3</w:t>
      </w:r>
      <w:r>
        <w:t xml:space="preserve"> </w:t>
      </w:r>
      <w:r>
        <w:t>with a giant breakdown strength of 1140 kV cm</w:t>
      </w:r>
      <w:r>
        <w:t xml:space="preserve"> </w:t>
      </w:r>
      <w:r>
        <w:t>−1</w:t>
      </w:r>
      <w:r>
        <w:t xml:space="preserve"> </w:t>
      </w:r>
      <w:r>
        <w:t>in Al</w:t>
      </w:r>
      <w:r>
        <w:rPr>
          <w:vertAlign w:val="subscript"/>
        </w:rPr>
        <w:t>2</w:t>
      </w:r>
      <w:r>
        <w:t>O</w:t>
      </w:r>
      <w:r>
        <w:rPr>
          <w:vertAlign w:val="subscript"/>
        </w:rPr>
        <w:t>3</w:t>
      </w:r>
      <w:r>
        <w:t>modified 0.6ST‐0.4BNT based MLCCs, which outperforms most state‐of‐the‐art dielectric ceramics. Furthermore, the MLCCs exhibit superior thermal stability with variation less than 3% across a broad temperature range of 20–160 °C. The overall superior performance underscores the potential of the ordered heterogeneous interface engineering in advancing the thermally stable high‐density energy storage materials for next‐generation MLCC applications.</w:t>
      </w:r>
    </w:p>
    <w:p>
      <w:pPr>
        <w:spacing w:before="120" w:after="120"/>
      </w:pPr>
      <w:r>
        <w:rPr>
          <w:sz w:val="18"/>
        </w:rPr>
        <w:t>——————————————————————————————————————————————————————————————————————</w:t>
      </w:r>
    </w:p>
    <w:p>
      <w:pPr>
        <w:spacing w:before="160" w:after="40" w:line="240" w:lineRule="auto"/>
      </w:pPr>
      <w:r>
        <w:rPr>
          <w:b/>
        </w:rPr>
        <w:t xml:space="preserve">[229] </w:t>
      </w:r>
      <w:hyperlink r:id="rId334">
        <w:r>
          <w:rPr>
            <w:color w:val="1155CC"/>
            <w:u w:val="single"/>
          </w:rPr>
          <w:t>高通电鸡尾鸡尾酒高通电战略所启动的微热电发电机巨型特定发电能力</w:t>
        </w:r>
      </w:hyperlink>
    </w:p>
    <w:p>
      <w:pPr>
        <w:spacing w:before="0" w:after="80"/>
      </w:pPr>
      <w:r>
        <w:rPr>
          <w:i/>
          <w:sz w:val="20"/>
        </w:rPr>
        <w:t>EN: Giant Specific Power Generation Capacity of Micro‐Thermoelectric Generators Enabled by High‐Entropy Cocktail Strategy</w:t>
      </w:r>
    </w:p>
    <w:p>
      <w:pPr>
        <w:spacing w:before="0" w:after="120"/>
      </w:pPr>
      <w:r>
        <w:rPr>
          <w:b/>
        </w:rPr>
        <w:t xml:space="preserve">Source: </w:t>
      </w:r>
      <w:r>
        <w:t>Wiley: Advanced Materials: Table of Contents</w:t>
      </w:r>
      <w:r>
        <w:t xml:space="preserve">    </w:t>
      </w:r>
      <w:r>
        <w:rPr>
          <w:b/>
        </w:rPr>
        <w:t xml:space="preserve">Pub date: </w:t>
      </w:r>
      <w:r>
        <w:t>2026-01-27 07:09:23+00:00</w:t>
      </w:r>
      <w:r>
        <w:t xml:space="preserve">    </w:t>
      </w:r>
      <w:r>
        <w:rPr>
          <w:b/>
        </w:rPr>
        <w:t xml:space="preserve">DOI: </w:t>
      </w:r>
      <w:hyperlink r:id="rId335">
        <w:r>
          <w:rPr>
            <w:color w:val="1155CC"/>
            <w:u w:val="single"/>
          </w:rPr>
          <w:t>10.1002/adma.202520782</w:t>
        </w:r>
      </w:hyperlink>
    </w:p>
    <w:p>
      <w:pPr>
        <w:spacing w:before="0" w:after="120"/>
      </w:pPr>
      <w:r>
        <w:rPr>
          <w:b/>
        </w:rPr>
        <w:t xml:space="preserve">Notes: </w:t>
      </w:r>
      <w:r>
        <w:t>abstract_source=crossref</w:t>
      </w:r>
    </w:p>
    <w:p>
      <w:pPr>
        <w:spacing w:before="0" w:after="80" w:lineRule="auto" w:line="276"/>
      </w:pPr>
      <w:r>
        <w:rPr>
          <w:b/>
        </w:rPr>
        <w:t xml:space="preserve">摘要（ZH）: </w:t>
      </w:r>
      <w:r>
        <w:t>P是微热电发电机(微热电发电机)的关键性能衡量标准,但报告的最佳值限制在几百 微W cm-2 K-2。这里,我们报告,在中苯丙胺(FeCoNi)中,在微热电发电机(ANE)的异常神经效应基础上,在微热电发电机(微热电发电机)中,一个巨大的P为5 000 μW cm-2 K-2。</w:t>
      </w:r>
    </w:p>
    <w:p>
      <w:pPr>
        <w:spacing w:before="0" w:after="200" w:lineRule="auto" w:line="276"/>
      </w:pPr>
      <w:r>
        <w:rPr>
          <w:b/>
        </w:rPr>
        <w:t xml:space="preserve">Abstract (EN): </w:t>
      </w:r>
      <w:r>
        <w:t>Specific power generation capacity</w:t>
      </w:r>
      <w:r>
        <w:t xml:space="preserve"> </w:t>
      </w:r>
      <w:r>
        <w:t>Γ</w:t>
      </w:r>
      <w:r>
        <w:t xml:space="preserve"> </w:t>
      </w:r>
      <w:r>
        <w:t>P</w:t>
      </w:r>
      <w:r>
        <w:t xml:space="preserve"> </w:t>
      </w:r>
      <w:r>
        <w:t>is a critical performance metric for micro‐thermoelectric generators (</w:t>
      </w:r>
      <w:r>
        <w:t xml:space="preserve"> </w:t>
      </w:r>
      <w:r>
        <w:t>μ</w:t>
      </w:r>
      <w:r>
        <w:t xml:space="preserve"> </w:t>
      </w:r>
      <w:r>
        <w:t>‐TEGs), yet the best reported values are constrained to a few hundred µW cm</w:t>
      </w:r>
      <w:r>
        <w:t xml:space="preserve"> </w:t>
      </w:r>
      <w:r>
        <w:t>−2</w:t>
      </w:r>
      <w:r>
        <w:t xml:space="preserve"> </w:t>
      </w:r>
      <w:r>
        <w:t>K</w:t>
      </w:r>
      <w:r>
        <w:t xml:space="preserve"> </w:t>
      </w:r>
      <w:r>
        <w:t>−2</w:t>
      </w:r>
      <w:r>
        <w:t xml:space="preserve"> </w:t>
      </w:r>
      <w:r>
        <w:t>. Here, we report a giant</w:t>
      </w:r>
      <w:r>
        <w:t xml:space="preserve"> </w:t>
      </w:r>
      <w:r>
        <w:t>Γ</w:t>
      </w:r>
      <w:r>
        <w:t xml:space="preserve"> </w:t>
      </w:r>
      <w:r>
        <w:t>P</w:t>
      </w:r>
      <w:r>
        <w:t xml:space="preserve"> </w:t>
      </w:r>
      <w:r>
        <w:t>of ∼5000 µW cm</w:t>
      </w:r>
      <w:r>
        <w:t xml:space="preserve"> </w:t>
      </w:r>
      <w:r>
        <w:t>−2</w:t>
      </w:r>
      <w:r>
        <w:t xml:space="preserve"> </w:t>
      </w:r>
      <w:r>
        <w:t>K</w:t>
      </w:r>
      <w:r>
        <w:t xml:space="preserve"> </w:t>
      </w:r>
      <w:r>
        <w:t>−2</w:t>
      </w:r>
      <w:r>
        <w:t xml:space="preserve"> </w:t>
      </w:r>
      <w:r>
        <w:t>in</w:t>
      </w:r>
      <w:r>
        <w:t xml:space="preserve"> </w:t>
      </w:r>
      <w:r>
        <w:t>μ</w:t>
      </w:r>
      <w:r>
        <w:t xml:space="preserve"> </w:t>
      </w:r>
      <w:r>
        <w:t>‐TEGs based on the anomalous Nernst effect (ANE) in medium‐entropy (FeCoNi)</w:t>
      </w:r>
      <w:r>
        <w:t xml:space="preserve"> </w:t>
      </w:r>
      <w:r>
        <w:t>100‐</w:t>
      </w:r>
      <w:r>
        <w:t xml:space="preserve"> </w:t>
      </w:r>
      <w:r>
        <w:t>x</w:t>
      </w:r>
      <w:r>
        <w:t xml:space="preserve"> </w:t>
      </w:r>
      <w:r>
        <w:t>Pt</w:t>
      </w:r>
      <w:r>
        <w:t xml:space="preserve"> </w:t>
      </w:r>
      <w:r>
        <w:t>x</w:t>
      </w:r>
      <w:r>
        <w:t xml:space="preserve"> </w:t>
      </w:r>
      <w:r>
        <w:t>films. Leveraging the high‐entropy cocktail strategy, we have simultaneously achieved a large anomalous Nernst thermopower</w:t>
      </w:r>
      <w:r>
        <w:t xml:space="preserve"> </w:t>
      </w:r>
      <w:r>
        <w:t>S</w:t>
      </w:r>
      <w:r>
        <w:t xml:space="preserve"> </w:t>
      </w:r>
      <w:r>
        <w:t>xy</w:t>
      </w:r>
      <w:r>
        <w:t xml:space="preserve"> </w:t>
      </w:r>
      <w:r>
        <w:t>(&amp;gt;1.4 µV K</w:t>
      </w:r>
      <w:r>
        <w:t xml:space="preserve"> </w:t>
      </w:r>
      <w:r>
        <w:t>−1</w:t>
      </w:r>
      <w:r>
        <w:t xml:space="preserve"> </w:t>
      </w:r>
      <w:r>
        <w:t>) and low resistivity</w:t>
      </w:r>
      <w:r>
        <w:t xml:space="preserve"> </w:t>
      </w:r>
      <w:r>
        <w:t>ρ</w:t>
      </w:r>
      <w:r>
        <w:t xml:space="preserve"> </w:t>
      </w:r>
      <w:r>
        <w:t>xx</w:t>
      </w:r>
      <w:r>
        <w:t xml:space="preserve"> </w:t>
      </w:r>
      <w:r>
        <w:t>(&amp;lt;85 µΩ cm), and suppressed the classical and quantum size effects on both</w:t>
      </w:r>
      <w:r>
        <w:t xml:space="preserve"> </w:t>
      </w:r>
      <w:r>
        <w:t>S</w:t>
      </w:r>
      <w:r>
        <w:t xml:space="preserve"> </w:t>
      </w:r>
      <w:r>
        <w:t>xy</w:t>
      </w:r>
      <w:r>
        <w:t xml:space="preserve"> </w:t>
      </w:r>
      <w:r>
        <w:t>and</w:t>
      </w:r>
      <w:r>
        <w:t xml:space="preserve"> </w:t>
      </w:r>
      <w:r>
        <w:t>ρ</w:t>
      </w:r>
      <w:r>
        <w:t xml:space="preserve"> </w:t>
      </w:r>
      <w:r>
        <w:t>xx</w:t>
      </w:r>
      <w:r>
        <w:t xml:space="preserve"> </w:t>
      </w:r>
      <w:r>
        <w:t>at the optimal composition of</w:t>
      </w:r>
      <w:r>
        <w:t xml:space="preserve"> </w:t>
      </w:r>
      <w:r>
        <w:t>x</w:t>
      </w:r>
      <w:r>
        <w:t xml:space="preserve"> </w:t>
      </w:r>
      <w:r>
        <w:t>≈ 50 and film thickness of a few nanometers, enabling the record‐high</w:t>
      </w:r>
      <w:r>
        <w:t xml:space="preserve"> </w:t>
      </w:r>
      <w:r>
        <w:t>Γ</w:t>
      </w:r>
      <w:r>
        <w:t xml:space="preserve"> </w:t>
      </w:r>
      <w:r>
        <w:t>P</w:t>
      </w:r>
      <w:r>
        <w:t xml:space="preserve"> </w:t>
      </w:r>
      <w:r>
        <w:t>. The underlying mechanism arises from cocktail‐driven modulation of energy‐band smearing, density of states, and Berry curvature at the Fermi surface, resulting in an ultrashort carrier mean‐free‐path of ∼3 nm, an ultrahigh carrier density of ∼10</w:t>
      </w:r>
      <w:r>
        <w:rPr>
          <w:vertAlign w:val="subscript"/>
        </w:rPr>
        <w:t>23</w:t>
      </w:r>
      <w:r>
        <w:t>cm</w:t>
      </w:r>
      <w:r>
        <w:t xml:space="preserve"> </w:t>
      </w:r>
      <w:r>
        <w:t>−3</w:t>
      </w:r>
      <w:r>
        <w:t xml:space="preserve"> </w:t>
      </w:r>
      <w:r>
        <w:t>, and a large anomalous Nernst conductivity above 1.7 A m</w:t>
      </w:r>
      <w:r>
        <w:t xml:space="preserve"> </w:t>
      </w:r>
      <w:r>
        <w:t>−1</w:t>
      </w:r>
      <w:r>
        <w:t xml:space="preserve"> </w:t>
      </w:r>
      <w:r>
        <w:t>K</w:t>
      </w:r>
      <w:r>
        <w:t xml:space="preserve"> </w:t>
      </w:r>
      <w:r>
        <w:t>−1</w:t>
      </w:r>
      <w:r>
        <w:t xml:space="preserve"> </w:t>
      </w:r>
      <w:r>
        <w:t>. This claim is further supported by first‐principles calculations, which collectively highlight the experimental and theoretical potential of utilizing such materials for high‐performance</w:t>
      </w:r>
      <w:r>
        <w:t xml:space="preserve"> </w:t>
      </w:r>
      <w:r>
        <w:t>μ</w:t>
      </w:r>
      <w:r>
        <w:t xml:space="preserve"> </w:t>
      </w:r>
      <w:r>
        <w:t>‐TEG applications.</w:t>
      </w:r>
    </w:p>
    <w:p>
      <w:pPr>
        <w:spacing w:before="120" w:after="120"/>
      </w:pPr>
      <w:r>
        <w:rPr>
          <w:sz w:val="18"/>
        </w:rPr>
        <w:t>——————————————————————————————————————————————————————————————————————</w:t>
      </w:r>
    </w:p>
    <w:p>
      <w:pPr>
        <w:spacing w:before="160" w:after="40" w:line="240" w:lineRule="auto"/>
      </w:pPr>
      <w:r>
        <w:rPr>
          <w:b/>
        </w:rPr>
        <w:t xml:space="preserve">[230] </w:t>
      </w:r>
      <w:hyperlink r:id="rId336">
        <w:r>
          <w:rPr>
            <w:color w:val="1155CC"/>
            <w:u w:val="single"/>
          </w:rPr>
          <w:t>对Coste的更正, " 亲子关系公式:从任何结构化人口预测模型中推算出所有亲属的人数 " 。</w:t>
        </w:r>
      </w:hyperlink>
    </w:p>
    <w:p>
      <w:pPr>
        <w:spacing w:before="0" w:after="80"/>
      </w:pPr>
      <w:r>
        <w:rPr>
          <w:i/>
          <w:sz w:val="20"/>
        </w:rPr>
        <w:t>EN: Correction for Coste, The Kinship Formula: Inferring the numbers of all kin from any structured population projection model</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37">
        <w:r>
          <w:rPr>
            <w:color w:val="1155CC"/>
            <w:u w:val="single"/>
          </w:rPr>
          <w:t>10.1073/pnas.2535320122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338">
        <w:r>
          <w:rPr>
            <w:color w:val="1155CC"/>
            <w:u w:val="single"/>
          </w:rPr>
          <w:t>Richter和Schneidman的校正,用简单的随机发育发展基因模型建立小大脑的连接体</w:t>
        </w:r>
      </w:hyperlink>
    </w:p>
    <w:p>
      <w:pPr>
        <w:spacing w:before="0" w:after="80"/>
      </w:pPr>
      <w:r>
        <w:rPr>
          <w:i/>
          <w:sz w:val="20"/>
        </w:rPr>
        <w:t>EN: Correction for Richter and Schneidman, Building the connectome of a small brain with a simple stochastic developmental generative model</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39">
        <w:r>
          <w:rPr>
            <w:color w:val="1155CC"/>
            <w:u w:val="single"/>
          </w:rPr>
          <w:t>10.1073/pnas.2535197122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340">
        <w:r>
          <w:rPr>
            <w:color w:val="1155CC"/>
            <w:u w:val="single"/>
          </w:rPr>
          <w:t>RHOA对诱诱导B细胞受体的RHOA控制,信号信号具有攻击性淋巴瘤的细胞受体</w:t>
        </w:r>
      </w:hyperlink>
    </w:p>
    <w:p>
      <w:pPr>
        <w:spacing w:before="0" w:after="80"/>
      </w:pPr>
      <w:r>
        <w:rPr>
          <w:i/>
          <w:sz w:val="20"/>
        </w:rPr>
        <w:t>EN: RHOA controls oncogenic B cell receptor signaling in aggressive lymphoma</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41">
        <w:r>
          <w:rPr>
            <w:color w:val="1155CC"/>
            <w:u w:val="single"/>
          </w:rPr>
          <w:t>10.1073/pnas.2534531123</w:t>
        </w:r>
      </w:hyperlink>
    </w:p>
    <w:p>
      <w:pPr>
        <w:spacing w:before="0" w:after="120"/>
      </w:pPr>
      <w:r>
        <w:rPr>
          <w:b/>
        </w:rPr>
        <w:t xml:space="preserve">Notes: </w:t>
      </w:r>
      <w:r>
        <w:t>abstract_source=crossref</w:t>
      </w:r>
    </w:p>
    <w:p>
      <w:pPr>
        <w:spacing w:before="0" w:after="80" w:lineRule="auto" w:line="276"/>
      </w:pPr>
      <w:r>
        <w:rPr>
          <w:b/>
        </w:rPr>
        <w:t xml:space="preserve">摘要（ZH）: </w:t>
      </w:r>
      <w:r>
        <w:t>在反复变异的基因中,我们确定小GTPase家族成员RHOA是DLBCL的选择性依赖性。在这里,我们表明,RHOA的功能对于ABC DLBCL细胞的存活至关重要,因为它维持B型诱导细胞受体信号信号信号,通过维持螺旋反应反应网络的信号-传导性一致信号,维持B型细胞受体信号信号信号,从而在细胞表面形成活性BCR微集束,最终导致BCR驱动的NF-NF-B生存信号。此外,我们发现RHOA控制了BCR的内分泌系统,从而控制了BCR的内分泌系统。</w:t>
      </w:r>
    </w:p>
    <w:p>
      <w:pPr>
        <w:spacing w:before="0" w:after="200" w:lineRule="auto" w:line="276"/>
      </w:pPr>
      <w:r>
        <w:rPr>
          <w:b/>
        </w:rPr>
        <w:t xml:space="preserve">Abstract (EN): </w:t>
      </w:r>
      <w:r>
        <w:t>Diffuse large B cell lymphoma (DLBCL) is characterized by a variety of specific genetic alterations that impact signaling pathway dependencies and therapeutic outcomes. Among the recurrently mutated genes, we identified</w:t>
      </w:r>
      <w:r>
        <w:t xml:space="preserve"> </w:t>
      </w:r>
      <w:r>
        <w:t>RHOA</w:t>
      </w:r>
      <w:r>
        <w:t xml:space="preserve"> </w:t>
      </w:r>
      <w:r>
        <w:t>, a member of the small GTPase family, as a selective dependency in DLBCL. Here, we show that RHOA function is essential for the survival of ABC DLBCL cells because it sustains oncogenic B cell receptor (BCR) signaling through maintaining a signaling-permissive conformation of the cortical actin network. This enables the formation of active BCR microclusters at the cell surface, ultimately resulting in constitutive, BCR-driven NF-κB survival signaling. Moreover, we found that RHOA controlled endocytosis of the BCR and thereby the assembly of the endolysosomal My–T–BCR multiprotein complex, a central activator of NF-κB consisting of MYD88, Toll-like receptor 9, and the internalized BCR. The recurrent DLBCL-associated</w:t>
      </w:r>
      <w:r>
        <w:t xml:space="preserve"> </w:t>
      </w:r>
      <w:r>
        <w:t>RHOA</w:t>
      </w:r>
      <w:r>
        <w:t xml:space="preserve"> </w:t>
      </w:r>
      <w:r>
        <w:t>R5W mutation rendered RHOA constitutively active in its GTP-bound state and changed the conformation of the actin network from primarily filamentous actin to globular actin. This altered actin state led to an increase in BCR microcluster formation, amplification of NF-κB signaling, and resistance to inhibitors targeting chronic active BCR signaling. Hence, our study establishes RHOA and its mutant isoforms as critical regulators of oncogenic BCR signaling in DLBCL.</w:t>
      </w:r>
    </w:p>
    <w:p>
      <w:pPr>
        <w:spacing w:before="120" w:after="120"/>
      </w:pPr>
      <w:r>
        <w:rPr>
          <w:sz w:val="18"/>
        </w:rPr>
        <w:t>——————————————————————————————————————————————————————————————————————</w:t>
      </w:r>
    </w:p>
    <w:p>
      <w:pPr>
        <w:spacing w:before="160" w:after="40" w:line="240" w:lineRule="auto"/>
      </w:pPr>
      <w:r>
        <w:rPr>
          <w:b/>
        </w:rPr>
        <w:t xml:space="preserve">[233] </w:t>
      </w:r>
      <w:hyperlink r:id="rId342">
        <w:r>
          <w:rPr>
            <w:color w:val="1155CC"/>
            <w:u w:val="single"/>
          </w:rPr>
          <w:t>本问题</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43">
        <w:r>
          <w:rPr>
            <w:color w:val="1155CC"/>
            <w:u w:val="single"/>
          </w:rPr>
          <w:t>10.1073/iti0426123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[234] </w:t>
      </w:r>
      <w:hyperlink r:id="rId344">
        <w:r>
          <w:rPr>
            <w:color w:val="1155CC"/>
            <w:u w:val="single"/>
          </w:rPr>
          <w:t>在同质重组中抗逆转录病毒疗法和PARP抑制剂之间缺乏协同效应,而这种抗逆转录病毒疗法与PARP抑制剂之间缺乏协同效应。</w:t>
        </w:r>
      </w:hyperlink>
    </w:p>
    <w:p>
      <w:pPr>
        <w:spacing w:before="0" w:after="80"/>
      </w:pPr>
      <w:r>
        <w:rPr>
          <w:i/>
          <w:sz w:val="20"/>
        </w:rPr>
        <w:t>EN: Lack of synergy between AR-targeted therapies and PARP inhibitors in homologous recombination–proficient prostate cancer</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45">
        <w:r>
          <w:rPr>
            <w:color w:val="1155CC"/>
            <w:u w:val="single"/>
          </w:rPr>
          <w:t>10.1073/pnas.2515790122</w:t>
        </w:r>
      </w:hyperlink>
    </w:p>
    <w:p>
      <w:pPr>
        <w:spacing w:before="0" w:after="120"/>
      </w:pPr>
      <w:r>
        <w:rPr>
          <w:b/>
        </w:rPr>
        <w:t xml:space="preserve">Notes: </w:t>
      </w:r>
      <w:r>
        <w:t>abstract_source=crossref</w:t>
      </w:r>
    </w:p>
    <w:p>
      <w:pPr>
        <w:spacing w:before="0" w:after="80" w:lineRule="auto" w:line="276"/>
      </w:pPr>
      <w:r>
        <w:rPr>
          <w:b/>
        </w:rPr>
        <w:t xml:space="preserve">摘要（ZH）: </w:t>
      </w:r>
      <w:r>
        <w:t>最近的临床试验探索了阳性受体(AR)路径抑制剂和聚(乙酸磷-肋骨-肋骨)聚合酶抑制剂(PARP)抑制剂(PARP)作为抗催化抗前列腺癌的潜在治疗方法的结合。 这种结合治疗的前提是:AR直接规范DNA修复基因的表达,导致PARP和AR抑制剂之间的协同作用。 尽管有一些有希望的临床初步证据,但这种混合疗法在具有同质再组合(HR) - proficial 肿瘤的病人中的效力有限。 为了调查临床前期和临床结果之间的这一差异,我们在有抗逆转录酶抑制剂或没有抗逆转录酶抑制的情况下,我们描述了PARPARP抑制剂在前列腺癌模型中的效果。 令人惊讶的是,AR抑制剂对PARP的响应受到了削弱。</w:t>
      </w:r>
    </w:p>
    <w:p>
      <w:pPr>
        <w:spacing w:before="0" w:after="200" w:lineRule="auto" w:line="276"/>
      </w:pPr>
      <w:r>
        <w:rPr>
          <w:b/>
        </w:rPr>
        <w:t xml:space="preserve">Abstract (EN): </w:t>
      </w:r>
      <w:r>
        <w:t>Recent clinical trials have explored the combination of androgen receptor (AR) pathway inhibitors and poly (adenosine diphosphate-ribose) polymerase (PARP) inhibitors as a potential treatment for castration-resistant prostate cancer. This combination treatment is based on the premise that AR directly regulates expression of DNA repair genes, leading to synergy between PARP and AR inhibition. Despite some promising preclinical evidence, this combination therapy has shown limited efficacy in patients with homologous recombination (HR)–proficient tumors. To investigate this discrepancy between preclinical and clinical results, we profiled the effects of PARP inhibition in prostate cancer models in the presence or absence of AR inhibition. Surprisingly, AR inhibition impaired response to PARP inhibitors in castration-sensitive cells and had no effect on response in castration-resistant cells. AR inhibition also did not regulate DNA repair in either the castration-resistant or castration-sensitive setting. Instead, we find that cell cycle progression is required for response to PARP inhibition in homologous recombination–proficient prostate cancer.</w:t>
      </w:r>
    </w:p>
    <w:p>
      <w:pPr>
        <w:spacing w:before="120" w:after="120"/>
      </w:pPr>
      <w:r>
        <w:rPr>
          <w:sz w:val="18"/>
        </w:rPr>
        <w:t>——————————————————————————————————————————————————————————————————————</w:t>
      </w:r>
    </w:p>
    <w:p>
      <w:pPr>
        <w:spacing w:before="160" w:after="40" w:line="240" w:lineRule="auto"/>
      </w:pPr>
      <w:r>
        <w:rPr>
          <w:b/>
        </w:rPr>
        <w:t xml:space="preserve">[235] </w:t>
      </w:r>
      <w:hyperlink r:id="rId346">
        <w:r>
          <w:rPr>
            <w:color w:val="1155CC"/>
            <w:u w:val="single"/>
          </w:rPr>
          <w:t>低丘脑神经元食欲神经元的折流投入</w:t>
        </w:r>
      </w:hyperlink>
    </w:p>
    <w:p>
      <w:pPr>
        <w:spacing w:before="0" w:after="80"/>
      </w:pPr>
      <w:r>
        <w:rPr>
          <w:i/>
          <w:sz w:val="20"/>
        </w:rPr>
        <w:t>EN: Olfactory inputs to appetite neurons in the hypothalamus</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47">
        <w:r>
          <w:rPr>
            <w:color w:val="1155CC"/>
            <w:u w:val="single"/>
          </w:rPr>
          <w:t>10.1073/pnas.2524926123</w:t>
        </w:r>
      </w:hyperlink>
    </w:p>
    <w:p>
      <w:pPr>
        <w:spacing w:before="0" w:after="120"/>
      </w:pPr>
      <w:r>
        <w:rPr>
          <w:b/>
        </w:rPr>
        <w:t xml:space="preserve">Notes: </w:t>
      </w:r>
      <w:r>
        <w:t>abstract_source=crossref</w:t>
      </w:r>
    </w:p>
    <w:p>
      <w:pPr>
        <w:spacing w:before="0" w:after="80" w:lineRule="auto" w:line="276"/>
      </w:pPr>
      <w:r>
        <w:rPr>
          <w:b/>
        </w:rPr>
        <w:t xml:space="preserve">摘要（ZH）: </w:t>
      </w:r>
      <w:r>
        <w:t>嗅觉感知对食欲有强大的影响,但内在神经路径仍未确定。在这里,我们调查了低脑脉冲核中的两组与食欲相关的神经元(“小菜”)是如何到达两个子组的:刺激食欲的Agouti相关peptide(AgRP)神经元和抑制食欲的POMC(pro-opimomelanocortin)神经元。我们通过多合成病毒追踪,显示AGRP和POMC神经元从部分重叠但不同的嗅觉皮层领域间接得到投入,表明它们处理不同的嗅觉信息。我们还确定了不同神经元的辅助物,这些神经元更直接地直流到Agurti和POMC神经元的上游,可以向食欲神经元传递流出流体信号。</w:t>
      </w:r>
    </w:p>
    <w:p>
      <w:pPr>
        <w:spacing w:before="0" w:after="200" w:lineRule="auto" w:line="276"/>
      </w:pPr>
      <w:r>
        <w:rPr>
          <w:b/>
        </w:rPr>
        <w:t xml:space="preserve">Abstract (EN): </w:t>
      </w:r>
      <w:r>
        <w:t>The sense of smell has potent effects on appetite, but the underlying neural pathways remain undefined. Here, we investigated how olfactory signals reach two subsets of appetite-linked (“appetite”) neurons in the hypothalamic arcuate nucleus: Agouti-related peptide (AgRP) neurons, which stimulate appetite, and POMC (pro-opiomelanocortin) neurons, which suppress it. Using polysynaptic viral tracing, we show that AgRP and POMC neurons receive indirect input from partially overlapping but distinct areas of the olfactory cortex, indicating that they process different sets of olfactory information. We also identify different complements of neurons more directly upstream of AgRP and POMC neurons that could relay olfactory cortical signals to the appetite neurons. Single-cell transcriptomics shows heterogeneous expression of neuromodulator receptors among AgRP neurons, suggesting variations in the signals they receive. Integrated viral tracing and RNA localization further reveals selected brain areas where upstream neurons express cognate receptor ligands. Together, these findings outline multiple pathways by which distinct olfactory and modulatory signals are differentially routed to neurons that promote versus inhibit appetite.</w:t>
      </w:r>
    </w:p>
    <w:p>
      <w:pPr>
        <w:spacing w:before="120" w:after="120"/>
      </w:pPr>
      <w:r>
        <w:rPr>
          <w:sz w:val="18"/>
        </w:rPr>
        <w:t>——————————————————————————————————————————————————————————————————————</w:t>
      </w:r>
    </w:p>
    <w:p>
      <w:pPr>
        <w:spacing w:before="160" w:after="40" w:line="240" w:lineRule="auto"/>
      </w:pPr>
      <w:r>
        <w:rPr>
          <w:b/>
        </w:rPr>
        <w:t xml:space="preserve">[236] </w:t>
      </w:r>
      <w:hyperlink r:id="rId348">
        <w:r>
          <w:rPr>
            <w:color w:val="1155CC"/>
            <w:u w:val="single"/>
          </w:rPr>
          <w:t>颗粒材料的经摩擦控制后再入控制老化和流化</w:t>
        </w:r>
      </w:hyperlink>
    </w:p>
    <w:p>
      <w:pPr>
        <w:spacing w:before="0" w:after="80"/>
      </w:pPr>
      <w:r>
        <w:rPr>
          <w:i/>
          <w:sz w:val="20"/>
        </w:rPr>
        <w:t>EN: Friction-controlled reentrant aging and fluidization in granular materials</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49">
        <w:r>
          <w:rPr>
            <w:color w:val="1155CC"/>
            <w:u w:val="single"/>
          </w:rPr>
          <w:t>10.1073/pnas.2528600123</w:t>
        </w:r>
      </w:hyperlink>
    </w:p>
    <w:p>
      <w:pPr>
        <w:spacing w:before="0" w:after="120"/>
      </w:pPr>
      <w:r>
        <w:rPr>
          <w:b/>
        </w:rPr>
        <w:t xml:space="preserve">Notes: </w:t>
      </w:r>
      <w:r>
        <w:t>abstract_source=crossref</w:t>
      </w:r>
    </w:p>
    <w:p>
      <w:pPr>
        <w:spacing w:before="0" w:after="80" w:lineRule="auto" w:line="276"/>
      </w:pPr>
      <w:r>
        <w:rPr>
          <w:b/>
        </w:rPr>
        <w:t xml:space="preserve">摘要（ZH）: </w:t>
      </w:r>
      <w:r>
        <w:t>由于颗粒放松受摩擦接触和能量消散的制约,这种老化行为与热眼镜行为有着根本的区别,尽管它们有明显的相似性。在这里,我们发现摩擦如何控制受准静态循环剪切的颗粒包装的压缩动力。我们用离散元素模拟,构建一个动态状态图,作为压力振幅和摩擦的函数,揭示干扰边缘、稳定化和流体化之间的丰富相互作用。我们发现一种依赖摩擦的交叉菌株,它区分了老化和流化的系统,显示了再生、非流动的系统。</w:t>
      </w:r>
    </w:p>
    <w:p>
      <w:pPr>
        <w:spacing w:before="0" w:after="200" w:lineRule="auto" w:line="276"/>
      </w:pPr>
      <w:r>
        <w:rPr>
          <w:b/>
        </w:rPr>
        <w:t xml:space="preserve">Abstract (EN): </w:t>
      </w:r>
      <w:r>
        <w:t>Granular materials densify under repeated mechanical perturbations, nonequilibrium dynamics that underlies many natural and industrial processes. Because granular relaxation is governed by frictional contacts and energy dissipation, this aging behavior fundamentally differs from that of thermal glasses despite their apparent similarities. Here, we uncover how friction controls the compaction dynamics of granular packings subjected to quasistatic cyclic shear. Using discrete element simulations, we construct a dynamic state diagram as a function of strain amplitude and friction, revealing a rich interplay among jamming marginality, stabilization, and fluidization. We identify a friction-dependent crossover strain that separates aging and fluidized regimes, showing reentrant, nonmonotonic behavior: Increasing friction first suppresses fluidization but then promotes it through smooth, creep-like rearrangements. This transition is marked by a shift from intermittent, avalanche-like rearrangements to continuous, diffusive motion. Our findings demonstrate that friction exerts a dual role in granular aging—both stabilizing and fluidizing—thereby uncovering the fundamental nonequilibrium mechanisms that govern compaction, rheology, and aging in athermal disordered systems. More broadly, our results reveal a general principle for how friction governs metastability and flow in athermal matter—from granular and frictional colloids to soils and seismic faults—linking microscopic contact mechanics to macroscopic dynamics.</w:t>
      </w:r>
    </w:p>
    <w:p>
      <w:pPr>
        <w:spacing w:before="120" w:after="120"/>
      </w:pPr>
      <w:r>
        <w:rPr>
          <w:sz w:val="18"/>
        </w:rPr>
        <w:t>——————————————————————————————————————————————————————————————————————</w:t>
      </w:r>
    </w:p>
    <w:p>
      <w:pPr>
        <w:spacing w:before="160" w:after="40" w:line="240" w:lineRule="auto"/>
      </w:pPr>
      <w:r>
        <w:rPr>
          <w:b/>
        </w:rPr>
        <w:t xml:space="preserve">[237] </w:t>
      </w:r>
      <w:hyperlink r:id="rId350">
        <w:r>
          <w:rPr>
            <w:color w:val="1155CC"/>
            <w:u w:val="single"/>
          </w:rPr>
          <w:t>Choi等人的更正:对肿瘤秘室内含有致癌素-3结合蛋白质的抗体中介封锁废除了PDAC的转移。</w:t>
        </w:r>
      </w:hyperlink>
    </w:p>
    <w:p>
      <w:pPr>
        <w:spacing w:before="0" w:after="80"/>
      </w:pPr>
      <w:r>
        <w:rPr>
          <w:i/>
          <w:sz w:val="20"/>
        </w:rPr>
        <w:t>EN: Correction for Choi et al., Antibody-mediated blockade for galectin-3 binding protein in tumor secretome abrogates PDAC metastasis</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51">
        <w:r>
          <w:rPr>
            <w:color w:val="1155CC"/>
            <w:u w:val="single"/>
          </w:rPr>
          <w:t>10.1073/pnas.2600063123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[238] </w:t>
      </w:r>
      <w:hyperlink r:id="rId352">
        <w:r>
          <w:rPr>
            <w:color w:val="1155CC"/>
            <w:u w:val="single"/>
          </w:rPr>
          <w:t>内地天文温度沙腐综合突变地貌分析</w:t>
        </w:r>
      </w:hyperlink>
    </w:p>
    <w:p>
      <w:pPr>
        <w:spacing w:before="0" w:after="80"/>
      </w:pPr>
      <w:r>
        <w:rPr>
          <w:i/>
          <w:sz w:val="20"/>
        </w:rPr>
        <w:t>EN: Integrated mutational landscape analysis of endometrial stromal sarcoma</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53">
        <w:r>
          <w:rPr>
            <w:color w:val="1155CC"/>
            <w:u w:val="single"/>
          </w:rPr>
          <w:t>10.1073/pnas.2531105123</w:t>
        </w:r>
      </w:hyperlink>
    </w:p>
    <w:p>
      <w:pPr>
        <w:spacing w:before="0" w:after="120"/>
      </w:pPr>
      <w:r>
        <w:rPr>
          <w:b/>
        </w:rPr>
        <w:t xml:space="preserve">Notes: </w:t>
      </w:r>
      <w:r>
        <w:t>abstract_source=crossref</w:t>
      </w:r>
    </w:p>
    <w:p>
      <w:pPr>
        <w:spacing w:before="0" w:after="80" w:lineRule="auto" w:line="276"/>
      </w:pPr>
      <w:r>
        <w:rPr>
          <w:b/>
        </w:rPr>
        <w:t xml:space="preserve">摘要（ZH）: </w:t>
      </w:r>
      <w:r>
        <w:t>内地温度沙眼(ESS)是一种罕见的子宫恶性恶性,其治疗选择有限。我们对80种ESS肿瘤(包括32个低等级(LG)和48个高等级(HG)肿瘤)进行了全基因、全异种和笔录测序,以描述其遗传景观特征。总体突变负担不大,各等级之间没有显著差别;然而,我们发现了六种超变型病例(7.5%),即窝藏POLE或不匹配修复突变、预测免疫疗法反应的基因特征。我们确定了15种肿瘤的雷达54B放大点(18.8%),导致RAD54B表达方式的提高,并大大缩短了存活时间。这在ESS中将RAD54B确立为诱因驱动器。已知的肿瘤抑制器(PTEN,TP53)经常在HG-ESSbu中突变。</w:t>
      </w:r>
    </w:p>
    <w:p>
      <w:pPr>
        <w:spacing w:before="0" w:after="200" w:lineRule="auto" w:line="276"/>
      </w:pPr>
      <w:r>
        <w:rPr>
          <w:b/>
        </w:rPr>
        <w:t xml:space="preserve">Abstract (EN): </w:t>
      </w:r>
      <w:r>
        <w:t>Endometrial stromal sarcoma (ESS) is a rare uterine malignancy with limited treatment options. We performed integrated whole-genome, whole-exome, and transcriptome sequencing on 80 ESS tumors, comprising 32 low-grade (LG) and 48 high-grade (HG) tumors, to characterize their genetic landscape. The overall mutation burden was modest, with no significant difference between grades; however, we identified six hypermutated cases (7.5%) harboring POLE or mismatch repair mutations, genomic features predictive of immunotherapy response. We identified focal RAD54B amplifications in 15 tumors (18.8%), leading to elevated RAD54B expression and significantly shorter survival. This establishes RAD54B as an oncogenic driver in ESS. Known tumor suppressors (PTEN, TP53) were frequently mutated in HG-ESS but rare in LG-ESS, highlighting distinct grade-specific drivers of malignancy. HG-ESS exhibited widespread chromosomal gains, frequent loss of cell-cycle regulators (RB1, CDKN2A), and numerous private gene fusions arising from complex DNA rearrangements. In contrast, LG-ESS were defined by canonical fusions (e.g.,</w:t>
      </w:r>
      <w:r>
        <w:t xml:space="preserve"> </w:t>
      </w:r>
      <w:r>
        <w:t>JAZF1–SUZ12</w:t>
      </w:r>
      <w:r>
        <w:t xml:space="preserve"> </w:t>
      </w:r>
      <w:r>
        <w:t>) and co-occurring deletions in metabolic regulator genes (TSC2, STK11). Finally, in an activating NRAS-mutant (p.Q61R) HG-ESS xenograft, the combination of MEK and FAK inhibition dramatically suppressed tumor growth and prolonged survival, highlighting a promising targeted treatment strategy. Overall, our comprehensive analysis defines the molecular basis of ESS and provides a strong preclinical rationale for precision therapies in this aggressive cancer.</w:t>
      </w:r>
    </w:p>
    <w:p>
      <w:pPr>
        <w:spacing w:before="120" w:after="120"/>
      </w:pPr>
      <w:r>
        <w:rPr>
          <w:sz w:val="18"/>
        </w:rPr>
        <w:t>——————————————————————————————————————————————————————————————————————</w:t>
      </w:r>
    </w:p>
    <w:p>
      <w:pPr>
        <w:spacing w:before="160" w:after="40" w:line="240" w:lineRule="auto"/>
      </w:pPr>
      <w:r>
        <w:rPr>
          <w:b/>
        </w:rPr>
        <w:t xml:space="preserve">[239] </w:t>
      </w:r>
      <w:hyperlink r:id="rId354">
        <w:r>
          <w:rPr>
            <w:color w:val="1155CC"/>
            <w:u w:val="single"/>
          </w:rPr>
          <w:t>树冠阴影中的感官特性</w:t>
        </w:r>
      </w:hyperlink>
    </w:p>
    <w:p>
      <w:pPr>
        <w:spacing w:before="0" w:after="80"/>
      </w:pPr>
      <w:r>
        <w:rPr>
          <w:i/>
          <w:sz w:val="20"/>
        </w:rPr>
        <w:t>EN: Arabidopsis thaliana phytochrome A sensory properties in canopy shade</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55">
        <w:r>
          <w:rPr>
            <w:color w:val="1155CC"/>
            <w:u w:val="single"/>
          </w:rPr>
          <w:t>10.1073/pnas.2512201123</w:t>
        </w:r>
      </w:hyperlink>
    </w:p>
    <w:p>
      <w:pPr>
        <w:spacing w:before="0" w:after="120"/>
      </w:pPr>
      <w:r>
        <w:rPr>
          <w:b/>
        </w:rPr>
        <w:t xml:space="preserve">Notes: </w:t>
      </w:r>
      <w:r>
        <w:t>abstract_source=crossref</w:t>
      </w:r>
    </w:p>
    <w:p>
      <w:pPr>
        <w:spacing w:before="0" w:after="80" w:lineRule="auto" w:line="276"/>
      </w:pPr>
      <w:r>
        <w:rPr>
          <w:b/>
        </w:rPr>
        <w:t xml:space="preserve">摘要（ZH）: </w:t>
      </w:r>
      <w:r>
        <w:t>树荫阴影环境可能会对植物生长和生存产生不利影响。 植物A(植物A)对于幼苗适应深阴暗至关重要, 但是,它在中度自然树冠条件下的作用仍然不明确。 我们通过在阿拉伯沙里安娜纳(Arabidopsthaliana)中表达植物A-nanoLUC报告器, 量化了植物A的二栖波动及其以低红至远红(R:FFR)比率(R:FFR)诱发, 模拟树冠阴影。 我们发现了植物B的重要监管功能, 它增加了未遮蔽条件下的植物A稳定性和低R:FR的PHYA调制式表达方式。 此外,我们证明,除了作为深色感应器的作用外, 植物A是一种对树荫的分解感应器,能够检测到各种R:FR比率。</w:t>
      </w:r>
    </w:p>
    <w:p>
      <w:pPr>
        <w:spacing w:before="0" w:after="200" w:lineRule="auto" w:line="276"/>
      </w:pPr>
      <w:r>
        <w:rPr>
          <w:b/>
        </w:rPr>
        <w:t xml:space="preserve">Abstract (EN): </w:t>
      </w:r>
      <w:r>
        <w:t>Canopy shade environments can negatively impact plant growth and survival. Phytochrome A (phyA) is essential for seedling adaptation to deep shade, yet its role under moderate natural canopy conditions remains unclear. By expressing a phyA-nanoLUC reporter in</w:t>
      </w:r>
      <w:r>
        <w:t xml:space="preserve"> </w:t>
      </w:r>
      <w:r>
        <w:t>Arabidopsis thaliana</w:t>
      </w:r>
      <w:r>
        <w:t xml:space="preserve"> </w:t>
      </w:r>
      <w:r>
        <w:t>, we quantify diurnal fluctuations in phyA and its induction by low red to far-red (R:FR) ratio, simulating canopy shade. We uncover a key regulatory function for phyB, which increases phyA stability postdawn in unshaded conditions and modulates expression of</w:t>
      </w:r>
      <w:r>
        <w:t xml:space="preserve"> </w:t>
      </w:r>
      <w:r>
        <w:t>PHYA</w:t>
      </w:r>
      <w:r>
        <w:t xml:space="preserve"> </w:t>
      </w:r>
      <w:r>
        <w:t>in low R:FR. Further, we demonstrate that beyond its role as a deep shade sensor, phyA is an adept sensor of canopy shade, capable of detecting a range of R:FR ratios across light intensities. Mathematical modeling demonstrates that this property arises from the dynamic features of the phyA High Irradiance Response (HIR) mode of action. Interestingly, phyA synthesis is strongly induced by subtle reductions in R:FR ratio, and is robust to light perturbation, suggesting the phyA-sensory module is configured to detect modest shade. Spectral data from natural shade habitats provide ecological context for our laboratory findings. Physiological analysis indicates that under canopy shade phyA promotes seedling de-etiolation, organizes resource management, and accelerates reproductive development. We propose that this suite of responses, termed the “canopy adaptation strategy,” enhances survival chances under conditions where shade avoidance strategies are maladaptive.</w:t>
      </w:r>
    </w:p>
    <w:p>
      <w:pPr>
        <w:spacing w:before="120" w:after="120"/>
      </w:pPr>
      <w:r>
        <w:rPr>
          <w:sz w:val="18"/>
        </w:rPr>
        <w:t>——————————————————————————————————————————————————————————————————————</w:t>
      </w:r>
    </w:p>
    <w:p>
      <w:pPr>
        <w:spacing w:before="160" w:after="40" w:line="240" w:lineRule="auto"/>
      </w:pPr>
      <w:r>
        <w:rPr>
          <w:b/>
        </w:rPr>
        <w:t xml:space="preserve">[240] </w:t>
      </w:r>
      <w:hyperlink r:id="rId356">
        <w:r>
          <w:rPr>
            <w:color w:val="1155CC"/>
            <w:u w:val="single"/>
          </w:rPr>
          <w:t>BK 频道- NS1619 刺激复合体 揭示了分子对动脉活化聚合物的洞察力</w:t>
        </w:r>
      </w:hyperlink>
    </w:p>
    <w:p>
      <w:pPr>
        <w:spacing w:before="0" w:after="80"/>
      </w:pPr>
      <w:r>
        <w:rPr>
          <w:i/>
          <w:sz w:val="20"/>
        </w:rPr>
        <w:t>EN: The BK channel-NS1619 agonist complex reveals molecular insights into allosteric activation gating</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57">
        <w:r>
          <w:rPr>
            <w:color w:val="1155CC"/>
            <w:u w:val="single"/>
          </w:rPr>
          <w:t>10.1073/pnas.2507707123</w:t>
        </w:r>
      </w:hyperlink>
    </w:p>
    <w:p>
      <w:pPr>
        <w:spacing w:before="0" w:after="120"/>
      </w:pPr>
      <w:r>
        <w:rPr>
          <w:b/>
        </w:rPr>
        <w:t xml:space="preserve">Notes: </w:t>
      </w:r>
      <w:r>
        <w:t>abstract_source=crossref</w:t>
      </w:r>
    </w:p>
    <w:p>
      <w:pPr>
        <w:spacing w:before="0" w:after="80" w:lineRule="auto" w:line="276"/>
      </w:pPr>
      <w:r>
        <w:rPr>
          <w:b/>
        </w:rPr>
        <w:t xml:space="preserve">摘要（ZH）: </w:t>
      </w:r>
      <w:r>
        <w:t>BK频道在大量生理功能中发挥着关键作用,包括调控光滑肌肉音调和神经分质释放。 其功能性功能性变异通常由功能性变异导致,其功能性机能失灵可能导致严重的苯型,包括畸形和感官损伤。 尽管BK频道的动力学者具有治疗潜力,但是它们稳定孔孔孔的开放整形的分子机制仍然不明确。 我们发现NS1619是一个合成苯并米达佐罗酮活性模拟器,最初被描述为BK开关,在S6/RCK1链接器和S4转基因部分形成的口袋内捆绑。 我们的模拟表明,在S6部分中,软性结合能推动扭动运动,能够与关键互动。</w:t>
      </w:r>
    </w:p>
    <w:p>
      <w:pPr>
        <w:spacing w:before="0" w:after="200" w:lineRule="auto" w:line="276"/>
      </w:pPr>
      <w:r>
        <w:rPr>
          <w:b/>
        </w:rPr>
        <w:t xml:space="preserve">Abstract (EN): </w:t>
      </w:r>
      <w:r>
        <w:t>BK channels play essential roles in a wealth of physiological functions, including regulating smooth muscle tone and neurotransmitter release. Its dysfunction, often caused by loss-of-function mutations, can lead to severe phenotypes, including ataxia and sensory impairment. Despite the therapeutic potential of BK channel agonists, the molecular mechanisms by which they stabilize the pore’s open conformation remain unclear. Using cryoelectron microscopy and molecular dynamic simulations, we identified that NS1619, a synthetic benzimidazolone agonist, first described as a BK opener, binds within a pocket formed by the S6/RCK1 linker and the S4 transmembrane segment. Our simulations suggest that agonist binding promotes a twisting motion in the S6 segment, enabling critical interactions with residues K330, K331, and F223. These findings provide a molecular model for the mechanism of NS1619 and suggest that its binding site can accommodate other agonists, highlighting a promising target for therapeutic development.</w:t>
      </w:r>
    </w:p>
    <w:p>
      <w:pPr>
        <w:spacing w:before="120" w:after="120"/>
      </w:pPr>
      <w:r>
        <w:rPr>
          <w:sz w:val="18"/>
        </w:rPr>
        <w:t>——————————————————————————————————————————————————————————————————————</w:t>
      </w:r>
    </w:p>
    <w:p>
      <w:pPr>
        <w:spacing w:before="160" w:after="40" w:line="240" w:lineRule="auto"/>
      </w:pPr>
      <w:r>
        <w:rPr>
          <w:b/>
        </w:rPr>
        <w:t xml:space="preserve">[241] </w:t>
      </w:r>
      <w:hyperlink r:id="rId358">
        <w:r>
          <w:rPr>
            <w:color w:val="1155CC"/>
            <w:u w:val="single"/>
          </w:rPr>
          <w:t>非mmamalian精子中可溶性denyldylcycycase 由pH直接控制,而不是由HCO3-或Ca2+控制。</w:t>
        </w:r>
      </w:hyperlink>
    </w:p>
    <w:p>
      <w:pPr>
        <w:spacing w:before="0" w:after="80"/>
      </w:pPr>
      <w:r>
        <w:rPr>
          <w:i/>
          <w:sz w:val="20"/>
        </w:rPr>
        <w:t>EN: Soluble adenylyl cyclase in nonmammalian sperm is directly controlled by pH, not by HCO3− or Ca2+</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59">
        <w:r>
          <w:rPr>
            <w:color w:val="1155CC"/>
            <w:u w:val="single"/>
          </w:rPr>
          <w:t>10.1073/pnas.2505026123</w:t>
        </w:r>
      </w:hyperlink>
    </w:p>
    <w:p>
      <w:pPr>
        <w:spacing w:before="0" w:after="120"/>
      </w:pPr>
      <w:r>
        <w:rPr>
          <w:b/>
        </w:rPr>
        <w:t xml:space="preserve">Notes: </w:t>
      </w:r>
      <w:r>
        <w:t>abstract_source=crossref</w:t>
      </w:r>
    </w:p>
    <w:p>
      <w:pPr>
        <w:spacing w:before="0" w:after="80" w:lineRule="auto" w:line="276"/>
      </w:pPr>
      <w:r>
        <w:rPr>
          <w:b/>
        </w:rPr>
        <w:t xml:space="preserve">摘要（ZH）: </w:t>
      </w:r>
      <w:r>
        <w:t>在哺乳动物精液中,高HCO 3 - 精液中浓度高的HCO 3 - 精液中和电管活性溶溶溶性亚丁基环球酶(SAC)中,该物质合成循环AMP,以调节精子运动。这里,我们证明,在低HCO 3 - 3的水生环境中,其精子在水生环境中对卵进行授精的物种,其精子受碱pH 而非HCO 3 - 的激活。在人类的SAC中,两种充电残留物与HCO 3 3 协调,对于HCO 3 - 即电动至关重要。相比之下,pH-受控的SAC则受到碱性活性的影响。</w:t>
      </w:r>
    </w:p>
    <w:p>
      <w:pPr>
        <w:spacing w:before="0" w:after="200" w:lineRule="auto" w:line="276"/>
      </w:pPr>
      <w:r>
        <w:rPr>
          <w:b/>
        </w:rPr>
        <w:t xml:space="preserve">Abstract (EN): </w:t>
      </w:r>
      <w:r>
        <w:t>In mammalian sperm, high HCO</w:t>
      </w:r>
      <w:r>
        <w:rPr>
          <w:vertAlign w:val="subscript"/>
        </w:rPr>
        <w:t>3</w:t>
      </w:r>
      <w:r>
        <w:t>−</w:t>
      </w:r>
      <w:r>
        <w:t>concentrations in semen and the oviduct activate soluble adenylyl cyclase (sAC), which synthesizes cyclic AMP to regulate sperm motility. Here, we demonstrate that sAC orthologs in echinoderms and fish, species whose sperm fertilize eggs in aquatic environments with low HCO</w:t>
      </w:r>
      <w:r>
        <w:rPr>
          <w:vertAlign w:val="subscript"/>
        </w:rPr>
        <w:t>3</w:t>
      </w:r>
      <w:r>
        <w:t>−</w:t>
      </w:r>
      <w:r>
        <w:t>, are activated by alkaline pH rather than HCO</w:t>
      </w:r>
      <w:r>
        <w:rPr>
          <w:vertAlign w:val="subscript"/>
        </w:rPr>
        <w:t>3</w:t>
      </w:r>
      <w:r>
        <w:t>−</w:t>
      </w:r>
      <w:r>
        <w:t>. In human sAC, two charged residues coordinate HCO</w:t>
      </w:r>
      <w:r>
        <w:rPr>
          <w:vertAlign w:val="subscript"/>
        </w:rPr>
        <w:t>3</w:t>
      </w:r>
      <w:r>
        <w:t>−</w:t>
      </w:r>
      <w:r>
        <w:t>and are essential for HCO</w:t>
      </w:r>
      <w:r>
        <w:rPr>
          <w:vertAlign w:val="subscript"/>
        </w:rPr>
        <w:t>3</w:t>
      </w:r>
      <w:r>
        <w:t>−</w:t>
      </w:r>
      <w:r>
        <w:t>-mediated activation. In contrast, pH-regulated sACs and orthologs from 13 phyla have these residues replaced by neutral ones. These substitutions abolish the enzyme’s responsiveness to HCO</w:t>
      </w:r>
      <w:r>
        <w:rPr>
          <w:vertAlign w:val="subscript"/>
        </w:rPr>
        <w:t>3</w:t>
      </w:r>
      <w:r>
        <w:t>−</w:t>
      </w:r>
      <w:r>
        <w:t>and suggest that pH regulation of sAC is widespread in nonmammalian metazoans. Furthermore, we show that in sea urchin sperm, a rise of pH during spawning stimulates cAMP synthesis, a key step in the activation of motility. An evolutionarily significant pattern is emerging: Across phyla, sAC regulation by pH or HCO</w:t>
      </w:r>
      <w:r>
        <w:rPr>
          <w:vertAlign w:val="subscript"/>
        </w:rPr>
        <w:t>3</w:t>
      </w:r>
      <w:r>
        <w:t>−</w:t>
      </w:r>
      <w:r>
        <w:t>represents an adaptation to environments with low or high HCO</w:t>
      </w:r>
      <w:r>
        <w:rPr>
          <w:vertAlign w:val="subscript"/>
        </w:rPr>
        <w:t>3</w:t>
      </w:r>
      <w:r>
        <w:t>−</w:t>
      </w:r>
      <w:r>
        <w:t>, respectively.</w:t>
      </w:r>
    </w:p>
    <w:p>
      <w:pPr>
        <w:spacing w:before="120" w:after="120"/>
      </w:pPr>
      <w:r>
        <w:rPr>
          <w:sz w:val="18"/>
        </w:rPr>
        <w:t>——————————————————————————————————————————————————————————————————————</w:t>
      </w:r>
    </w:p>
    <w:p>
      <w:pPr>
        <w:spacing w:before="160" w:after="40" w:line="240" w:lineRule="auto"/>
      </w:pPr>
      <w:r>
        <w:rPr>
          <w:b/>
        </w:rPr>
        <w:t xml:space="preserve">[242] </w:t>
      </w:r>
      <w:hyperlink r:id="rId360">
        <w:r>
          <w:rPr>
            <w:color w:val="1155CC"/>
            <w:u w:val="single"/>
          </w:rPr>
          <w:t>ACCC内一个神经-天文细胞信号轴轴 持续糖尿病神经病痛</w:t>
        </w:r>
      </w:hyperlink>
    </w:p>
    <w:p>
      <w:pPr>
        <w:spacing w:before="0" w:after="80"/>
      </w:pPr>
      <w:r>
        <w:rPr>
          <w:i/>
          <w:sz w:val="20"/>
        </w:rPr>
        <w:t>EN: A neuron–astrocyte signaling axis in the ACC sustains diabetic neuropathic pain</w:t>
      </w:r>
    </w:p>
    <w:p>
      <w:pPr>
        <w:spacing w:before="0" w:after="120"/>
      </w:pPr>
      <w:r>
        <w:rPr>
          <w:b/>
        </w:rPr>
        <w:t xml:space="preserve">Source: </w:t>
      </w:r>
      <w:r>
        <w:t>Proceedings of the National Academy of Sciences: Keyword search for query</w:t>
      </w:r>
      <w:r>
        <w:t xml:space="preserve">    </w:t>
      </w:r>
      <w:r>
        <w:rPr>
          <w:b/>
        </w:rPr>
        <w:t xml:space="preserve">Pub date: </w:t>
      </w:r>
      <w:r>
        <w:t>2026-01-27 08:00:00+00:00</w:t>
      </w:r>
      <w:r>
        <w:t xml:space="preserve">    </w:t>
      </w:r>
      <w:r>
        <w:rPr>
          <w:b/>
        </w:rPr>
        <w:t xml:space="preserve">DOI: </w:t>
      </w:r>
      <w:hyperlink r:id="rId361">
        <w:r>
          <w:rPr>
            <w:color w:val="1155CC"/>
            <w:u w:val="single"/>
          </w:rPr>
          <w:t>10.1073/pnas.2533902123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362">
        <w:r>
          <w:rPr>
            <w:color w:val="1155CC"/>
            <w:u w:val="single"/>
          </w:rPr>
          <w:t>[ASAP] M-N-N-C单原子电动催化器机械学习指导协调工程,用于高级氧气减排</w:t>
        </w:r>
      </w:hyperlink>
    </w:p>
    <w:p>
      <w:pPr>
        <w:spacing w:before="0" w:after="80"/>
      </w:pPr>
      <w:r>
        <w:rPr>
          <w:i/>
          <w:sz w:val="20"/>
        </w:rPr>
        <w:t>EN: [ASAP] Machine Learning-Guided Coordination Engineering of M–N–C Single-Atom Electrocatalysts for Superior Oxygen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2026-01-27 09:32:14+00:00</w:t>
      </w:r>
      <w:r>
        <w:t xml:space="preserve">    </w:t>
      </w:r>
      <w:r>
        <w:rPr>
          <w:b/>
        </w:rPr>
        <w:t xml:space="preserve">DOI: </w:t>
      </w:r>
      <w:hyperlink r:id="rId363">
        <w:r>
          <w:rPr>
            <w:color w:val="1155CC"/>
            <w:u w:val="single"/>
          </w:rPr>
          <w:t>10.1021/jacs.5c20189</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精确地定制具有高度催化活动和特定化学反应选择性的金属-硝基-碳(M-N-C)单原子催化剂(SACs),因为其催化特性和协调的几何之间缺乏定性描述符,因此仍然具有挑战性。 在这里,我们通过将密度功能理论(DFT)的计算与机器学习算法相结合来弥合这一差距,从而将M-N-N-C的单原子催化剂(SACs)的电催化减少氧反应(ORR)活动在各种可能的协调配置中分解。通过将理论的过度潜力与结构特征联系起来,将可解释的描述符同时反映协调数字和金属支持互动被确定。这一描述符不仅可靠地描述了这些结构特征。</w:t>
      </w:r>
    </w:p>
    <w:p>
      <w:pPr>
        <w:spacing w:before="0" w:after="200" w:lineRule="auto" w:line="276"/>
      </w:pPr>
      <w:r>
        <w:rPr>
          <w:b/>
        </w:rPr>
        <w:t xml:space="preserve">Abstract (EN): </w:t>
      </w:r>
      <w:r>
        <w:t>Precisely tailoring metal-nitrogen-carbon (M-N-C) single-atom catalysts (SACs) with high catalytic activity and selectivity for specific chemical reactions remains challenging due to the lack of a qualitative descriptor between their catalytic properties and coordination geometries. Herein, we bridge this gap by integrating density functional theory (DFT) calculations with machine learning (ML) algorithms to deconvolute the electrocatalytic oxygen reduction reaction (ORR) activity of M-N-C SACs across various possible coordination configurations. By correlating the theoretical overpotentials with structural features, an interpretable descriptor simultaneously reflecting the coordination number and the metal-support interaction is identified. This descriptor not only reliably describes the ORR performance trends across diverse metal centers in SACs but also provides a general guideline for engineering coordination geometry to optimize catalytic performance. Guided by these insights, the predicted Cu-SAC featuring low-coordinated Cu-N3 moieties is synthesized, delivering remarkable ORR activity compared with the conventional Cu-N4 sites while maintaining robust structural stability under prolonged electrochemical operation. This study highlights the exceptional potential of interpretable ML combined with theoretical and experimental strategies in elucidating complex structure-property relationships in SACs and accelerating the development of next-generation electrocatalysts for sustainable and efficient energy conversion.</w:t>
      </w:r>
    </w:p>
    <w:p>
      <w:pPr>
        <w:spacing w:before="120" w:after="120"/>
      </w:pPr>
      <w:r>
        <w:rPr>
          <w:sz w:val="18"/>
        </w:rPr>
        <w:t>——————————————————————————————————————————————————————————————————————</w:t>
      </w:r>
    </w:p>
    <w:p>
      <w:pPr>
        <w:spacing w:before="160" w:after="40" w:line="240" w:lineRule="auto"/>
      </w:pPr>
      <w:r>
        <w:rPr>
          <w:b/>
        </w:rPr>
        <w:t xml:space="preserve">[244] </w:t>
      </w:r>
      <w:hyperlink r:id="rId364">
        <w:r>
          <w:rPr>
            <w:color w:val="1155CC"/>
            <w:u w:val="single"/>
          </w:rPr>
          <w:t>通过一个综合的Atrop异构体 Platinum(II) 复合体对锡质</w:t>
        </w:r>
      </w:hyperlink>
    </w:p>
    <w:p>
      <w:pPr>
        <w:spacing w:before="0" w:after="80"/>
      </w:pPr>
      <w:r>
        <w:rPr>
          <w:i/>
          <w:sz w:val="20"/>
        </w:rPr>
        <w:t>EN: Enantiospecific Optical Sensing of Terpenes by an Aggregated Atropisomeric Platinum(II) Complex</w:t>
      </w:r>
    </w:p>
    <w:p>
      <w:pPr>
        <w:spacing w:before="0" w:after="120"/>
      </w:pPr>
      <w:r>
        <w:rPr>
          <w:b/>
        </w:rPr>
        <w:t xml:space="preserve">Source: </w:t>
      </w:r>
      <w:r>
        <w:t>Wiley: Angewandte Chemie International Edition: Table of Contents</w:t>
      </w:r>
      <w:r>
        <w:t xml:space="preserve">    </w:t>
      </w:r>
      <w:r>
        <w:rPr>
          <w:b/>
        </w:rPr>
        <w:t xml:space="preserve">Pub date: </w:t>
      </w:r>
      <w:r>
        <w:t>2026-01-27 10:01:15+00:00</w:t>
      </w:r>
      <w:r>
        <w:t xml:space="preserve">    </w:t>
      </w:r>
      <w:r>
        <w:rPr>
          <w:b/>
        </w:rPr>
        <w:t xml:space="preserve">DOI: </w:t>
      </w:r>
      <w:hyperlink r:id="rId365">
        <w:r>
          <w:rPr>
            <w:color w:val="1155CC"/>
            <w:u w:val="single"/>
          </w:rPr>
          <w:t>10.1002/anie.202523522</w:t>
        </w:r>
      </w:hyperlink>
    </w:p>
    <w:p>
      <w:pPr>
        <w:spacing w:before="0" w:after="120"/>
      </w:pPr>
      <w:r>
        <w:rPr>
          <w:b/>
        </w:rPr>
        <w:t xml:space="preserve">Notes: </w:t>
      </w:r>
      <w:r>
        <w:t>abstract_source=crossref</w:t>
      </w:r>
    </w:p>
    <w:p>
      <w:pPr>
        <w:spacing w:before="0" w:after="80" w:lineRule="auto" w:line="276"/>
      </w:pPr>
      <w:r>
        <w:rPr>
          <w:b/>
        </w:rPr>
        <w:t xml:space="preserve">摘要（ZH）: </w:t>
      </w:r>
      <w:r>
        <w:t>Terpenes是自然富饶、与气候变化相关并具有潜在健康风险的不起作用的小挥发性有机化合物(VOCs ) 。 我们在此报告一种概念上创新的方法,即根据一个有原子异构体皮条的平方平面板板板板板板板板(II)综合体和亚原子立方根。 这种分子设计导致由微弱的和与典型的紫外线吸收带的金属金属-金属相互作用造成的人工合成纳米结构。 不同的紫外线吸收变化是由与不同VOCs的对应体(2丁醇、1苯乙醇、苯乙烯和豪华列苯乙烯)的分子间相互作用不力引起的,从而导致对甲状腺聚合物的扰动。 这使得一种特定的对硫、反转基因的吸收变化得以产生。</w:t>
      </w:r>
    </w:p>
    <w:p>
      <w:pPr>
        <w:spacing w:before="0" w:after="200" w:lineRule="auto" w:line="276"/>
      </w:pPr>
      <w:r>
        <w:rPr>
          <w:b/>
        </w:rPr>
        <w:t xml:space="preserve">Abstract (EN): </w:t>
      </w:r>
      <w:r>
        <w:t>Terpenes are unfunctionalized small volatile organic compounds (VOCs) that are naturally abundant, relevant to climate change, and impose potential health risks. Herein, we report a conceptually novel approach for the enantiospecific recognition of terpenes and other VOCs based on a square planar platinum(II) complex with an atropisomeric ligand. This molecular design results in chiral aggregated nanostructures caused by weak π‐π‐ and metal–metal interactions with characteristic UV–vis absorption bands. Distinct UV–vis absorption changes are induced by weak intermolecular interactions with the enantiomers of diverse VOCs (2‐butanol, 1‐phenylethanol, α‐pinene, and limonene) leading to perturbations of the chiral aggregates. This allows an enantiospecific, reversible detection of VOCs by UV–vis absorption spectroscopy in nonpolar solution. The study provides a new working principle for enantiospecific recognition with artificial optoelectronic noses, which are particularly promising for determining the enantiomers of unfunctionalized volatile organics.</w:t>
      </w:r>
    </w:p>
    <w:p>
      <w:pPr>
        <w:spacing w:before="120" w:after="120"/>
      </w:pPr>
      <w:r>
        <w:rPr>
          <w:sz w:val="18"/>
        </w:rPr>
        <w:t>——————————————————————————————————————————————————————————————————————</w:t>
      </w:r>
    </w:p>
    <w:p>
      <w:pPr>
        <w:spacing w:before="160" w:after="40" w:line="240" w:lineRule="auto"/>
      </w:pPr>
      <w:r>
        <w:rPr>
          <w:b/>
        </w:rPr>
        <w:t xml:space="preserve">[245] </w:t>
      </w:r>
      <w:hyperlink r:id="rId366">
        <w:r>
          <w:rPr>
            <w:color w:val="1155CC"/>
            <w:u w:val="single"/>
          </w:rPr>
          <w:t>[ASAP] 单步数字数字Immunoassays中的动画图 使多x量化能够跨越紫外公路动态区域</w:t>
        </w:r>
      </w:hyperlink>
    </w:p>
    <w:p>
      <w:pPr>
        <w:spacing w:before="0" w:after="80"/>
      </w:pPr>
      <w:r>
        <w:rPr>
          <w:i/>
          <w:sz w:val="20"/>
        </w:rPr>
        <w:t>EN: [ASAP] Kinetic Profiling in One-Step Digital Immunoassays Enables Multiplex Quantification across an Ultrabroad Dynamic Range</w:t>
      </w:r>
    </w:p>
    <w:p>
      <w:pPr>
        <w:spacing w:before="0" w:after="120"/>
      </w:pPr>
      <w:r>
        <w:rPr>
          <w:b/>
        </w:rPr>
        <w:t xml:space="preserve">Source: </w:t>
      </w:r>
      <w:r>
        <w:t>Journal of the American Chemical Society: Latest Articles (ACS Publications)</w:t>
      </w:r>
      <w:r>
        <w:t xml:space="preserve">    </w:t>
      </w:r>
      <w:r>
        <w:rPr>
          <w:b/>
        </w:rPr>
        <w:t xml:space="preserve">Pub date: </w:t>
      </w:r>
      <w:r>
        <w:t>2026-01-27 10:54:29+00:00</w:t>
      </w:r>
      <w:r>
        <w:t xml:space="preserve">    </w:t>
      </w:r>
      <w:r>
        <w:rPr>
          <w:b/>
        </w:rPr>
        <w:t xml:space="preserve">DOI: </w:t>
      </w:r>
      <w:hyperlink r:id="rId367">
        <w:r>
          <w:rPr>
            <w:color w:val="1155CC"/>
            <w:u w:val="single"/>
          </w:rPr>
          <w:t>10.1021/jacs.5c17838</w:t>
        </w:r>
      </w:hyperlink>
    </w:p>
    <w:p>
      <w:pPr>
        <w:spacing w:before="0" w:after="120"/>
      </w:pPr>
      <w:r>
        <w:rPr>
          <w:b/>
        </w:rPr>
        <w:t xml:space="preserve">Notes: </w:t>
      </w:r>
      <w:r>
        <w:t>abstract_source=pubmed</w:t>
      </w:r>
    </w:p>
    <w:p>
      <w:pPr>
        <w:spacing w:before="0" w:after="80" w:lineRule="auto" w:line="276"/>
      </w:pPr>
      <w:r>
        <w:rPr>
          <w:b/>
        </w:rPr>
        <w:t xml:space="preserve">摘要（ZH）: </w:t>
      </w:r>
      <w:r>
        <w:t>在一个步骤的三明治免疫实验中,所有有约束力的组成部分都同时并存,因此,过度的解析水平可以通过与标签的检测抗体竞争来抑制三明治的复杂形成,从而产生众所周知的“黑效应 ” 。 在这里,我们建立了一个动能框架,通过分析时间破解的单粒子压质信号来解决这一模糊性。我们利用纳米粒子记录员的金纳米洞阵列,不断跟踪单个的绑定事件,并将其反应时间描述与大规模运输和反应有限的模型相匹配。对合适的残留物的比较确定了每个集中制度中的主导机制,揭示了引发钩效应的动能转变,并将它转化为量化特征。数字框架还进行了分类。</w:t>
      </w:r>
    </w:p>
    <w:p>
      <w:pPr>
        <w:spacing w:before="0" w:after="200" w:lineRule="auto" w:line="276"/>
      </w:pPr>
      <w:r>
        <w:rPr>
          <w:b/>
        </w:rPr>
        <w:t xml:space="preserve">Abstract (EN): </w:t>
      </w:r>
      <w:r>
        <w:t>In one-step sandwich immunoassays, where all binding components coexist in solution, excessive analyte levels can inhibit sandwich complex formation by competing with labeled detection antibodies, producing the well-known "hook effect." Here we establish a kinetic framework that resolves this ambiguity by analyzing time-resolved single-particle plasmonic signals. Using gold nanohole arrays with nanoparticle reporters, we continuously track individual binding events and fit their response-time profiles to both mass-transport- and reaction-limited models. Comparison of fit residuals identifies the dominant mechanism in each concentration regime, revealing the kinetic transition that gives rise to the hook effect and converting it to a quantitative feature. The digital framework also classifies and mathematically decouples distinct types of cross-reactivity in multiplexed assays, minimizing off-target interference. Applied to multiplexed detection of cytokines and C-reactive protein in unprocessed human serum, our approach enables simultaneous quantification of low- and high-abundance biomarkers, ranging in total over 9 orders of magnitude, without sample splitting or analyte-specific dilution. This mechanistic strategy establishes a generalizable paradigm for kinetic, cross-reactivity-aware biosensing.</w:t>
      </w:r>
    </w:p>
    <w:p>
      <w:pPr>
        <w:spacing w:before="120" w:after="120"/>
      </w:pPr>
      <w:r>
        <w:rPr>
          <w:sz w:val="18"/>
        </w:rPr>
        <w:t>——————————————————————————————————————————————————————————————————————</w:t>
      </w:r>
    </w:p>
    <w:p>
      <w:pPr>
        <w:spacing w:before="160" w:after="40" w:line="240" w:lineRule="auto"/>
      </w:pPr>
      <w:r>
        <w:rPr>
          <w:b/>
        </w:rPr>
        <w:t xml:space="preserve">[246] </w:t>
      </w:r>
      <w:hyperlink r:id="rId368">
        <w:r>
          <w:rPr>
            <w:color w:val="1155CC"/>
            <w:u w:val="single"/>
          </w:rPr>
          <w:t>[ASAP]通过高效有机太阳能电池的分子-空间距离条例,使厚度-不敏感阴极间层</w:t>
        </w:r>
      </w:hyperlink>
    </w:p>
    <w:p>
      <w:pPr>
        <w:spacing w:before="0" w:after="80"/>
      </w:pPr>
      <w:r>
        <w:rPr>
          <w:i/>
          <w:sz w:val="20"/>
        </w:rPr>
        <w:t>EN: [ASAP] Thickness-Insensitive Cathode Interlayer via Molecular-Scale Distance Regulation for Efficient Organic Solar Cells</w:t>
      </w:r>
    </w:p>
    <w:p>
      <w:pPr>
        <w:spacing w:before="0" w:after="120"/>
      </w:pPr>
      <w:r>
        <w:rPr>
          <w:b/>
        </w:rPr>
        <w:t xml:space="preserve">Source: </w:t>
      </w:r>
      <w:r>
        <w:t>Journal of the American Chemical Society: Latest Articles (ACS Publications)</w:t>
      </w:r>
      <w:r>
        <w:t xml:space="preserve">    </w:t>
      </w:r>
      <w:r>
        <w:rPr>
          <w:b/>
        </w:rPr>
        <w:t xml:space="preserve">Pub date: </w:t>
      </w:r>
      <w:r>
        <w:t>2026-01-27 12:02:32+00:00</w:t>
      </w:r>
      <w:r>
        <w:t xml:space="preserve">    </w:t>
      </w:r>
      <w:r>
        <w:rPr>
          <w:b/>
        </w:rPr>
        <w:t xml:space="preserve">DOI: </w:t>
      </w:r>
      <w:hyperlink r:id="rId369">
        <w:r>
          <w:rPr>
            <w:color w:val="1155CC"/>
            <w:u w:val="single"/>
          </w:rPr>
          <w:t>10.1021/jacs.5c16273</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在这项工作中,我们提出了一个分子规模的远程调控战略,通过精确调整n型有机半导体装置之间的柔性共振-断裂空间长度来设计高效的CIM,从而设计高效的CIM。使用这种方法,我们合成了三种CIM(P3、P6和P9)与三甲基乙烯、六甲基乙烯和连接4,5,9,10-二酰胺(PyDI)接收单位的非甲甲基间空间器(PyDI)连接的三甲基乙烯、六甲基乙烯和非甲甲基间空间器。</w:t>
      </w:r>
    </w:p>
    <w:p>
      <w:pPr>
        <w:spacing w:before="0" w:after="200" w:lineRule="auto" w:line="276"/>
      </w:pPr>
      <w:r>
        <w:rPr>
          <w:b/>
        </w:rPr>
        <w:t xml:space="preserve">Abstract (EN): </w:t>
      </w:r>
      <w:r>
        <w:t>Cathode interlayers (CILs) are critical for optimizing the performance of organic solar cells (OSCs). However, the development of thickness-insensitive cathode interlayer materials (CIMs) suitable for large-scale printing remains an urgent yet underexplored challenge. In this work, we present a molecular-scale distance regulation strategy to design efficient CIMs by precisely tuning the flexible conjugation-break spacer lengths between n-type organic semiconducting units. Using this approach, we synthesized three CIMs (P3, P6, and P9) with trimethylene, hexamethylene, and nonamethylene spacers linking the 4,5,9,10-pyrene diimide (PyDI) acceptor units. Among them, P6 demonstrates optimal π-π stacking, efficient Br- doping, and enhanced conductivity, leading to improved charge collection and exciton utilization. As a result, P6-based binary and ternary OSCs achieved remarkably high power conversion efficiencies (PCEs) of 19.90 and 20.04%, respectively. Importantly, P6 exhibits excellent batch-to-batch consistency (&lt;1.5% PCE variation across molecular weights of 6.9-33.8 kDa), outstanding thickness tolerance (retaining 80% PCE at 133 nm), and scalability (17.26% PCE for a 1.05 cm2 device and 15.12% PCE for a 13.5 cm2 module). This facile approach for designing high-performance thickness-insensitive CIMs paves the way for the industrial-scale production of efficient OSCs.</w:t>
      </w:r>
    </w:p>
    <w:p>
      <w:pPr>
        <w:spacing w:before="120" w:after="120"/>
      </w:pPr>
      <w:r>
        <w:rPr>
          <w:sz w:val="18"/>
        </w:rPr>
        <w:t>——————————————————————————————————————————————————————————————————————</w:t>
      </w:r>
    </w:p>
    <w:p>
      <w:pPr>
        <w:spacing w:before="160" w:after="40" w:line="240" w:lineRule="auto"/>
      </w:pPr>
      <w:r>
        <w:rPr>
          <w:b/>
        </w:rPr>
        <w:t xml:space="preserve">[247] </w:t>
      </w:r>
      <w:hyperlink r:id="rId370">
        <w:r>
          <w:rPr>
            <w:color w:val="1155CC"/>
            <w:u w:val="single"/>
          </w:rPr>
          <w:t>[ASAP] 用于调控定压细胞归宿的金枪鱼可腐蚀气态矩阵模型,其组成为腹膜外细胞母体(ECM)生物物理结结壳</w:t>
        </w:r>
      </w:hyperlink>
    </w:p>
    <w:p>
      <w:pPr>
        <w:spacing w:before="0" w:after="80"/>
      </w:pPr>
      <w:r>
        <w:rPr>
          <w:i/>
          <w:sz w:val="20"/>
        </w:rPr>
        <w:t>EN: [ASAP] A Tunable Coacervate Matrix Emulates Embryonic Extracellular Matrix (ECM) Biophysical Cues To Regulate Stem Cell Fate</w:t>
      </w:r>
    </w:p>
    <w:p>
      <w:pPr>
        <w:spacing w:before="0" w:after="120"/>
      </w:pPr>
      <w:r>
        <w:rPr>
          <w:b/>
        </w:rPr>
        <w:t xml:space="preserve">Source: </w:t>
      </w:r>
      <w:r>
        <w:t>Journal of the American Chemical Society: Latest Articles (ACS Publications)</w:t>
      </w:r>
      <w:r>
        <w:t xml:space="preserve">    </w:t>
      </w:r>
      <w:r>
        <w:rPr>
          <w:b/>
        </w:rPr>
        <w:t xml:space="preserve">Pub date: </w:t>
      </w:r>
      <w:r>
        <w:t>2026-01-27 12:26:15+00:00</w:t>
      </w:r>
      <w:r>
        <w:t xml:space="preserve">    </w:t>
      </w:r>
      <w:r>
        <w:rPr>
          <w:b/>
        </w:rPr>
        <w:t xml:space="preserve">DOI: </w:t>
      </w:r>
      <w:hyperlink r:id="rId371">
        <w:r>
          <w:rPr>
            <w:color w:val="1155CC"/>
            <w:u w:val="single"/>
          </w:rPr>
          <w:t>10.1021/jacs.5c16913</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在早期胚胎诞生期间,子宫环境经历了显著的生物物理变化,指导胚胎细胞命运,然而,在体外试管中复制这些特定阶段的导线仍然具有挑战性。在此,我们引入了一种基于凝胶的凝固性凝固性凝固性凝固性矩阵,配有分阶段过渡和中间的金枪鱼分流性机械学,以总结植入前和围状阶段的生物物理导线。在可逆的疏水相互作用的驱动下,液液-液相分离产生与超动性结构的凝固性,使得细胞在植入前阶段扩散期间能够大幅膨胀。此外,液态类凝固性蒸气也模仿了子宫液体液体环境中组织松散的不成熟的不成熟的细胞外矩阵,提供了中度细胞矩阵的相互作用,从而保持了静态。</w:t>
      </w:r>
    </w:p>
    <w:p>
      <w:pPr>
        <w:spacing w:before="0" w:after="200" w:lineRule="auto" w:line="276"/>
      </w:pPr>
      <w:r>
        <w:rPr>
          <w:b/>
        </w:rPr>
        <w:t xml:space="preserve">Abstract (EN): </w:t>
      </w:r>
      <w:r>
        <w:t>During early embryogenesis, the uterine environment undergoes marked biophysical changes that guide the embryonic cell fate. However, replicating these stage-specific cues in vitro remains challenging. Herein, we introduce a gelatin-based coacervate matrix with phase-transition-mediated tunable mechanics to recapitulate the biophysical cues of pre- and peri-implantation stages. Driven by reversible hydrophobic interactions, liquid-liquid phase separation produces coacervates with ultradynamic structures that enable dramatic volume expansion during cell proliferation in preimplantation stage. Furthermore, the liquid-like coacervate emulates the loosely organized immature extracellular matrix (ECM) of the uterine fluid environment, providing moderate cell-matrix interactions that preserve stemness. Additionally, the coacervate-solution transition allows the efficient harvesting of highly viable embryonic stem cell colonies. Moreover, upon stiffening through the coacervate-hydrogel transition, the matrix promotes peri-implantation-like invasive behaviors, including enhanced cell-matrix adhesion and secretion of ECM-degrading enzymes. These findings establish the biomimetic coacervate matrix as a versatile platform for clonal growth, stemness maintenance, and lineage initiation, offering new opportunities for developmental modeling and therapeutic applications.</w:t>
      </w:r>
    </w:p>
    <w:p>
      <w:pPr>
        <w:spacing w:before="120" w:after="120"/>
      </w:pPr>
      <w:r>
        <w:rPr>
          <w:sz w:val="18"/>
        </w:rPr>
        <w:t>——————————————————————————————————————————————————————————————————————</w:t>
      </w:r>
    </w:p>
    <w:p>
      <w:pPr>
        <w:spacing w:before="160" w:after="40" w:line="240" w:lineRule="auto"/>
      </w:pPr>
      <w:r>
        <w:rPr>
          <w:b/>
        </w:rPr>
        <w:t xml:space="preserve">[248] </w:t>
      </w:r>
      <w:hyperlink r:id="rId372">
        <w:r>
          <w:rPr>
            <w:color w:val="1155CC"/>
            <w:u w:val="single"/>
          </w:rPr>
          <w:t>[ASAP]用多核固态NMR光谱仪识别合质锌氧化氧化纳米液晶体表面氢体的表面氢体功能</w:t>
        </w:r>
      </w:hyperlink>
    </w:p>
    <w:p>
      <w:pPr>
        <w:spacing w:before="0" w:after="80"/>
      </w:pPr>
      <w:r>
        <w:rPr>
          <w:i/>
          <w:sz w:val="20"/>
        </w:rPr>
        <w:t>EN: [ASAP] Identification of the Surface Hydrogen Functionalities on Colloidal Zinc Oxide Nanocrystals with Multinuclear Solid-State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2026-01-27 12:26:47+00:00</w:t>
      </w:r>
      <w:r>
        <w:t xml:space="preserve">    </w:t>
      </w:r>
      <w:r>
        <w:rPr>
          <w:b/>
        </w:rPr>
        <w:t xml:space="preserve">DOI: </w:t>
      </w:r>
      <w:hyperlink r:id="rId373">
        <w:r>
          <w:rPr>
            <w:color w:val="1155CC"/>
            <w:u w:val="single"/>
          </w:rPr>
          <w:t>10.1021/jacs.5c15840</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氧化锌(ZnO)纳米晶体表面氢(包括氢氧化锌)的纳米晶体,包括氢氧化锡组和水,在确定其化学反应性、冷合稳定性和光电子特性方面发挥着关键作用,然而,由于这些表面种的复杂性质和纳米晶体表面混乱,对这些表面物种的直接结构性识别仍具有挑战性。这里,我们用先进的多核和多核和多维多维多元固态核磁共振谱学,结合密度功能理论理论(DFT)的理论计算,全面分析了溶凝胶合成ZnO纳米晶体表面功能。我们使用1H、7Li、13C、17O和31P NMR,同时使用脱污前体、17O同位素标签、探测分子、缺陷分析分析器。</w:t>
      </w:r>
    </w:p>
    <w:p>
      <w:pPr>
        <w:spacing w:before="0" w:after="200" w:lineRule="auto" w:line="276"/>
      </w:pPr>
      <w:r>
        <w:rPr>
          <w:b/>
        </w:rPr>
        <w:t xml:space="preserve">Abstract (EN): </w:t>
      </w:r>
      <w:r>
        <w:t>The surface hydrogen species of zinc oxide (ZnO) nanocrystals, including hydroxyl groups and water, play critical roles in determining their chemical reactivity, colloidal stability, and optoelectronic properties. However, direct structural identification of these surface species remains challenging due to their complex nature and surface disorder of the nanocrystals. Here, we present a comprehensive analysis of surface functionalities on sol-gel synthesized ZnO nanocrystals using advanced multinuclear and multidimensional solid-state nuclear magnetic resonance (NMR) spectroscopy, combined with density functional theory (DFT) theoretical calculations. By employing 1H, 7Li, 13C, 17O, and 31P NMR, alongside the use of deuterated precursors, 17O isotope labeling, probe molecules, defect analysis, and electron paramagnetic resonance (EPR) spectroscopy, we resolve and assign eight distinct hydrogen species, including acetate and lithium acetate ligands, chemisorbed and physisorbed water, terminal hydroxyls (OHT), tribridged hydroxyls (μ3-OH), and defect-associated hydroxyls. Furthermore, 1H-1H homonuclear correlation SSNMR experiments elucidate the crystal facet selectivity and spatial interactions of these surface hydrogen species. Our study establishes an in-depth understanding of the rich surface hydrogen landscape on ZnO nanocrystals and offers a framework for the rational design and functional tuning of ZnO-based nanomaterials.</w:t>
      </w:r>
    </w:p>
    <w:p>
      <w:pPr>
        <w:spacing w:before="120" w:after="120"/>
      </w:pPr>
      <w:r>
        <w:rPr>
          <w:sz w:val="18"/>
        </w:rPr>
        <w:t>——————————————————————————————————————————————————————————————————————</w:t>
      </w:r>
    </w:p>
    <w:p>
      <w:pPr>
        <w:spacing w:before="160" w:after="40" w:line="240" w:lineRule="auto"/>
      </w:pPr>
      <w:r>
        <w:rPr>
          <w:b/>
        </w:rPr>
        <w:t xml:space="preserve">[249] </w:t>
      </w:r>
      <w:hyperlink r:id="rId374">
        <w:r>
          <w:rPr>
            <w:color w:val="1155CC"/>
            <w:u w:val="single"/>
          </w:rPr>
          <w:t>[ASAP] 差异化电化学:电化系统中物理法特征的典型</w:t>
        </w:r>
      </w:hyperlink>
    </w:p>
    <w:p>
      <w:pPr>
        <w:spacing w:before="0" w:after="80"/>
      </w:pPr>
      <w:r>
        <w:rPr>
          <w:i/>
          <w:sz w:val="20"/>
        </w:rPr>
        <w:t>EN: [ASAP] Differentiable Electrochemistry: A Paradigm Characterizing Physical Laws in Electrochemical Systems</w:t>
      </w:r>
    </w:p>
    <w:p>
      <w:pPr>
        <w:spacing w:before="0" w:after="120"/>
      </w:pPr>
      <w:r>
        <w:rPr>
          <w:b/>
        </w:rPr>
        <w:t xml:space="preserve">Source: </w:t>
      </w:r>
      <w:r>
        <w:t>ACS Energy Letters: Latest Articles (ACS Publications)</w:t>
      </w:r>
      <w:r>
        <w:t xml:space="preserve">    </w:t>
      </w:r>
      <w:r>
        <w:rPr>
          <w:b/>
        </w:rPr>
        <w:t xml:space="preserve">Pub date: </w:t>
      </w:r>
      <w:r>
        <w:t>2026-01-27 12:27:16+00:00</w:t>
      </w:r>
      <w:r>
        <w:t xml:space="preserve">    </w:t>
      </w:r>
      <w:r>
        <w:rPr>
          <w:b/>
        </w:rPr>
        <w:t xml:space="preserve">DOI: </w:t>
      </w:r>
      <w:hyperlink r:id="rId375">
        <w:r>
          <w:rPr>
            <w:color w:val="1155CC"/>
            <w:u w:val="single"/>
          </w:rPr>
          <w:t>10.1021/acsenergylett.5c03761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376">
        <w:r>
          <w:rPr>
            <w:color w:val="1155CC"/>
            <w:u w:val="single"/>
          </w:rPr>
          <w:t>脱钩化学和机械促进NiRich Cathodes用于以硫化为基地的所有国家电池的能力下降</w:t>
        </w:r>
      </w:hyperlink>
    </w:p>
    <w:p>
      <w:pPr>
        <w:spacing w:before="0" w:after="80"/>
      </w:pPr>
      <w:r>
        <w:rPr>
          <w:i/>
          <w:sz w:val="20"/>
        </w:rPr>
        <w:t>EN: Decoupling Chemical and Mechanical Contributions to Capacity Fading in Ni‐Rich Cathodes for Sulfide‐Based All‐Solid‐State Batteries</w:t>
      </w:r>
    </w:p>
    <w:p>
      <w:pPr>
        <w:spacing w:before="0" w:after="120"/>
      </w:pPr>
      <w:r>
        <w:rPr>
          <w:b/>
        </w:rPr>
        <w:t xml:space="preserve">Source: </w:t>
      </w:r>
      <w:r>
        <w:t>Wiley: Advanced Energy Materials: Table of Contents</w:t>
      </w:r>
      <w:r>
        <w:t xml:space="preserve">    </w:t>
      </w:r>
      <w:r>
        <w:rPr>
          <w:b/>
        </w:rPr>
        <w:t xml:space="preserve">Pub date: </w:t>
      </w:r>
      <w:r>
        <w:t>2026-01-27 13:02:23+00:00</w:t>
      </w:r>
      <w:r>
        <w:t xml:space="preserve">    </w:t>
      </w:r>
      <w:r>
        <w:rPr>
          <w:b/>
        </w:rPr>
        <w:t xml:space="preserve">DOI: </w:t>
      </w:r>
      <w:hyperlink r:id="rId377">
        <w:r>
          <w:rPr>
            <w:color w:val="1155CC"/>
            <w:u w:val="single"/>
          </w:rPr>
          <w:t>10.1002/aenm.202506351</w:t>
        </w:r>
      </w:hyperlink>
    </w:p>
    <w:p>
      <w:pPr>
        <w:spacing w:before="0" w:after="120"/>
      </w:pPr>
      <w:r>
        <w:rPr>
          <w:b/>
        </w:rPr>
        <w:t xml:space="preserve">Notes: </w:t>
      </w:r>
      <w:r>
        <w:t>abstract_source=crossref</w:t>
      </w:r>
    </w:p>
    <w:p>
      <w:pPr>
        <w:spacing w:before="0" w:after="80" w:lineRule="auto" w:line="276"/>
      </w:pPr>
      <w:r>
        <w:rPr>
          <w:b/>
        </w:rPr>
        <w:t xml:space="preserve">摘要（ZH）: </w:t>
      </w:r>
      <w:r>
        <w:t>ABSTACT ABSTACT All-SUBs 保证更安全的能源储存,并有可能超过目前的锂-离子电池。Niürich cadhodes提供高能量密度,而硫化固体电解液则提供特殊的Li+传导性和内在机械合规性,使其组合特别具有吸引力。然而,由于(电子)化学和机械降解同时在阴极内发生,它们的容量迅速下降。在这里,我们建议用一个方法将这两个因素在LiNi0.8 Co 0.1 Mn 0.1 O 2 Li中分离出来。</w:t>
      </w:r>
    </w:p>
    <w:p>
      <w:pPr>
        <w:spacing w:before="0" w:after="200" w:lineRule="auto" w:line="276"/>
      </w:pPr>
      <w:r>
        <w:rPr>
          <w:b/>
        </w:rPr>
        <w:t xml:space="preserve">Abstract (EN): </w:t>
      </w:r>
      <w:r>
        <w:t>All‐solid‐state batteries (ASSBs) promise safer energy storage and the potential to outperform current lithium‐ion batteries. Ni‐rich cathodes deliver high energy density, whereas sulfide solid electrolytes offer exceptional Li</w:t>
      </w:r>
      <w:r>
        <w:t xml:space="preserve"> </w:t>
      </w:r>
      <w:r>
        <w:t>+</w:t>
      </w:r>
      <w:r>
        <w:t xml:space="preserve"> </w:t>
      </w:r>
      <w:r>
        <w:t>conductivity and inherent mechanical compliance, making their combination particularly attractive. Yet their capacity fades rapidly because (electro)chemical and mechanical degradation occur concurrently within the cathode. Here, we propose an approach to decouple these two factors in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|Li</w:t>
      </w:r>
      <w:r>
        <w:rPr>
          <w:vertAlign w:val="subscript"/>
        </w:rPr>
        <w:t>6</w:t>
      </w:r>
      <w:r>
        <w:t>PS</w:t>
      </w:r>
      <w:r>
        <w:rPr>
          <w:vertAlign w:val="subscript"/>
        </w:rPr>
        <w:t>5</w:t>
      </w:r>
      <w:r>
        <w:t>Cl</w:t>
      </w:r>
      <w:r>
        <w:t xml:space="preserve"> </w:t>
      </w:r>
      <w:r>
        <w:t>0.5</w:t>
      </w:r>
      <w:r>
        <w:t xml:space="preserve"> </w:t>
      </w:r>
      <w:r>
        <w:t>Br</w:t>
      </w:r>
      <w:r>
        <w:t xml:space="preserve"> </w:t>
      </w:r>
      <w:r>
        <w:t>0.5</w:t>
      </w:r>
      <w:r>
        <w:t xml:space="preserve"> </w:t>
      </w:r>
      <w:r>
        <w:t>|Li metal cells by monitoring the state‐of‐charge window. Uncoated cathodes experience capacity fading primarily due to (electro)chemical degradation: interfacial reactions form resistive interphases consisting of NiO‐like rock salt, SO</w:t>
      </w:r>
      <w:r>
        <w:t xml:space="preserve"> </w:t>
      </w:r>
      <w:r>
        <w:t>x</w:t>
      </w:r>
      <w:r>
        <w:t xml:space="preserve"> </w:t>
      </w:r>
      <w:r>
        <w:t>, PO</w:t>
      </w:r>
      <w:r>
        <w:t xml:space="preserve"> </w:t>
      </w:r>
      <w:r>
        <w:t>x</w:t>
      </w:r>
      <w:r>
        <w:t xml:space="preserve"> </w:t>
      </w:r>
      <w:r>
        <w:t>, and related species that hinder Li</w:t>
      </w:r>
      <w:r>
        <w:t xml:space="preserve"> </w:t>
      </w:r>
      <w:r>
        <w:t>+</w:t>
      </w:r>
      <w:r>
        <w:t xml:space="preserve"> </w:t>
      </w:r>
      <w:r>
        <w:t>extraction, resulting in pronounced charge fading. A conformal LiNbO</w:t>
      </w:r>
      <w:r>
        <w:rPr>
          <w:vertAlign w:val="subscript"/>
        </w:rPr>
        <w:t>3</w:t>
      </w:r>
      <w:r>
        <w:t>coating on the cathode surface suppresses interfacial reactions, significantly mitigating charge fading but revealing dominant discharge fading arising from mechanical degradation, such as particle cracking and interfacial delamination. While the protective coating stabilizes the interface and improves initial performance, the increased capacity intensifies electrode volume changes, underscoring the need for integrated electro‐chemo‐mechanical design strategies. Evaluating charge and discharge fading outlines the interplay between (electro)chemical and mechanical degradation and offers a new diagnostic framework to guide the development of more durable, high‐energy‐density ASSBs.</w:t>
      </w:r>
    </w:p>
    <w:p>
      <w:pPr>
        <w:spacing w:before="120" w:after="120"/>
      </w:pPr>
      <w:r>
        <w:rPr>
          <w:sz w:val="18"/>
        </w:rPr>
        <w:t>——————————————————————————————————————————————————————————————————————</w:t>
      </w:r>
    </w:p>
    <w:p>
      <w:pPr>
        <w:spacing w:before="160" w:after="40" w:line="240" w:lineRule="auto"/>
      </w:pPr>
      <w:r>
        <w:rPr>
          <w:b/>
        </w:rPr>
        <w:t xml:space="preserve">[251] </w:t>
      </w:r>
      <w:hyperlink r:id="rId378">
        <w:r>
          <w:rPr>
            <w:color w:val="1155CC"/>
            <w:u w:val="single"/>
          </w:rPr>
          <w:t>乙烯和丙烯酸酯高温溶解高光度高光度溶化的表面中性镍和丙烯酸催化器平台</w:t>
        </w:r>
      </w:hyperlink>
    </w:p>
    <w:p>
      <w:pPr>
        <w:spacing w:before="0" w:after="80"/>
      </w:pPr>
      <w:r>
        <w:rPr>
          <w:i/>
          <w:sz w:val="20"/>
        </w:rPr>
        <w:t>EN: A Facile Neutral Nickel Catalyst Platform for High‐Temperature Solution Copolymerization of Ethylene and Acrylate</w:t>
      </w:r>
    </w:p>
    <w:p>
      <w:pPr>
        <w:spacing w:before="0" w:after="120"/>
      </w:pPr>
      <w:r>
        <w:rPr>
          <w:b/>
        </w:rPr>
        <w:t xml:space="preserve">Source: </w:t>
      </w:r>
      <w:r>
        <w:t>Wiley: Angewandte Chemie International Edition: Table of Contents</w:t>
      </w:r>
      <w:r>
        <w:t xml:space="preserve">    </w:t>
      </w:r>
      <w:r>
        <w:rPr>
          <w:b/>
        </w:rPr>
        <w:t xml:space="preserve">Pub date: </w:t>
      </w:r>
      <w:r>
        <w:t>2026-01-27 13:02:28+00:00</w:t>
      </w:r>
      <w:r>
        <w:t xml:space="preserve">    </w:t>
      </w:r>
      <w:r>
        <w:rPr>
          <w:b/>
        </w:rPr>
        <w:t xml:space="preserve">DOI: </w:t>
      </w:r>
      <w:hyperlink r:id="rId379">
        <w:r>
          <w:rPr>
            <w:color w:val="1155CC"/>
            <w:u w:val="single"/>
          </w:rPr>
          <w:t>10.1002/anie.202525742</w:t>
        </w:r>
      </w:hyperlink>
    </w:p>
    <w:p>
      <w:pPr>
        <w:spacing w:before="0" w:after="120"/>
      </w:pPr>
      <w:r>
        <w:rPr>
          <w:b/>
        </w:rPr>
        <w:t xml:space="preserve">Notes: </w:t>
      </w:r>
      <w:r>
        <w:t>abstract_source=crossref</w:t>
      </w:r>
    </w:p>
    <w:p>
      <w:pPr>
        <w:spacing w:before="0" w:after="80" w:lineRule="auto" w:line="276"/>
      </w:pPr>
      <w:r>
        <w:rPr>
          <w:b/>
        </w:rPr>
        <w:t xml:space="preserve">摘要（ZH）: </w:t>
      </w:r>
      <w:r>
        <w:t>Politefins是最重要的大型聚合物之一。高温溶解聚合是培养高性能聚醚的最有效方法之一。尽管先进的高温溶液是乙烯和极地白蚁(特别是丙烯)的共聚物,对于生产增值极极多醇芬(特别是丙烯)非常可取,但它在化学和催化方面构成重大挑战,包括在温度超过100°C时的低催化剂最接近性和低聚合分子分子重量。为解决这些问题,本研究提出了设计创新型中性卡巴卡米德镍催化剂平台而不是修改以前报告的镍催化剂的设计原则。</w:t>
      </w:r>
    </w:p>
    <w:p>
      <w:pPr>
        <w:spacing w:before="0" w:after="200" w:lineRule="auto" w:line="276"/>
      </w:pPr>
      <w:r>
        <w:rPr>
          <w:b/>
        </w:rPr>
        <w:t xml:space="preserve">Abstract (EN): </w:t>
      </w:r>
      <w:r>
        <w:t>Polyolefins are among the most important large‐scale polymers. High‐temperature solution polymerization is one of the most effective methods for preparing high‐performance polyolefins. Although advanced high‐temperature solution copolymerization of ethylene and polar olefins (especially acrylates) is highly desirable for producing value‐added polar polyolefins, it poses significant challenges in chemistry and catalysis, including low catalyst thermostability and low polymer molecular weight at temperatures exceeding 100°C. To address these issues, this study proposes design principles for an innovative neutral α‐ketocarboxamide nickel catalyst platform rather than modifying previously reported nickel catalysts. This new generation of nickel catalysts not only offers inherent advantages, including facile synthesis, air stability, and exceptional thermostability (150°C), but also enables high‐temperature solution copolymerization of ethylene and acrylates (methyl,</w:t>
      </w:r>
      <w:r>
        <w:t xml:space="preserve"> </w:t>
      </w:r>
      <w:r>
        <w:t>n</w:t>
      </w:r>
      <w:r>
        <w:t xml:space="preserve"> </w:t>
      </w:r>
      <w:r>
        <w:t>‐butyl, and</w:t>
      </w:r>
      <w:r>
        <w:t xml:space="preserve"> </w:t>
      </w:r>
      <w:r>
        <w:t>tert</w:t>
      </w:r>
      <w:r>
        <w:t xml:space="preserve"> </w:t>
      </w:r>
      <w:r>
        <w:t>‐butyl acrylates), producing high‐molecular‐weight copolymers without the need for cocatalysts. At the industrially preferred 110°C–150°C, ethylene–acrylate copolymers with molecular weights of 103–627 kDa were obtained, which are 4–19 times higher than those produced by previous catalysts. Transitioning from low‐ to high‐molecular‐weight ethylene–acrylate copolymers is vital for practical industrial applications. Mechanistic insights revealed the feasibility of ethylene–acrylate copolymerization. Overall, this study establishes a conceptual foundation for high‐temperature solution copolymerization of ethylene and acrylates.</w:t>
      </w:r>
    </w:p>
    <w:p>
      <w:pPr>
        <w:spacing w:before="120" w:after="120"/>
      </w:pPr>
      <w:r>
        <w:rPr>
          <w:sz w:val="18"/>
        </w:rPr>
        <w:t>——————————————————————————————————————————————————————————————————————</w:t>
      </w:r>
    </w:p>
    <w:p>
      <w:pPr>
        <w:spacing w:before="160" w:after="40" w:line="240" w:lineRule="auto"/>
      </w:pPr>
      <w:r>
        <w:rPr>
          <w:b/>
        </w:rPr>
        <w:t xml:space="preserve">[252] </w:t>
      </w:r>
      <w:hyperlink r:id="rId380">
        <w:r>
          <w:rPr>
            <w:color w:val="1155CC"/>
            <w:u w:val="single"/>
          </w:rPr>
          <w:t>等离子变异 Li2ZrCl6 和 Li2HfCl6</w:t>
        </w:r>
      </w:hyperlink>
    </w:p>
    <w:p>
      <w:pPr>
        <w:spacing w:before="0" w:after="80"/>
      </w:pPr>
      <w:r>
        <w:rPr>
          <w:i/>
          <w:sz w:val="20"/>
        </w:rPr>
        <w:t>EN: Superionic Amorphous Li2ZrCl6 and Li2HfCl6</w:t>
      </w:r>
    </w:p>
    <w:p>
      <w:pPr>
        <w:spacing w:before="0" w:after="120"/>
      </w:pPr>
      <w:r>
        <w:rPr>
          <w:b/>
        </w:rPr>
        <w:t xml:space="preserve">Source: </w:t>
      </w:r>
      <w:r>
        <w:t>Wiley: Advanced Materials: Table of Contents</w:t>
      </w:r>
      <w:r>
        <w:t xml:space="preserve">    </w:t>
      </w:r>
      <w:r>
        <w:rPr>
          <w:b/>
        </w:rPr>
        <w:t xml:space="preserve">Pub date: </w:t>
      </w:r>
      <w:r>
        <w:t>2026-01-27 13:02:34+00:00</w:t>
      </w:r>
      <w:r>
        <w:t xml:space="preserve">    </w:t>
      </w:r>
      <w:r>
        <w:rPr>
          <w:b/>
        </w:rPr>
        <w:t xml:space="preserve">DOI: </w:t>
      </w:r>
      <w:hyperlink r:id="rId381">
        <w:r>
          <w:rPr>
            <w:color w:val="1155CC"/>
            <w:u w:val="single"/>
          </w:rPr>
          <w:t>10.1002/adma.202521795</w:t>
        </w:r>
      </w:hyperlink>
    </w:p>
    <w:p>
      <w:pPr>
        <w:spacing w:before="0" w:after="120"/>
      </w:pPr>
      <w:r>
        <w:rPr>
          <w:b/>
        </w:rPr>
        <w:t xml:space="preserve">Notes: </w:t>
      </w:r>
      <w:r>
        <w:t>abstract_source=crossref</w:t>
      </w:r>
    </w:p>
    <w:p>
      <w:pPr>
        <w:spacing w:before="0" w:after="80" w:lineRule="auto" w:line="276"/>
      </w:pPr>
      <w:r>
        <w:rPr>
          <w:b/>
        </w:rPr>
        <w:t xml:space="preserve">摘要（ZH）: </w:t>
      </w:r>
      <w:r>
        <w:t>ABSTACT 不定的 LiTaCl 6 和 LiNbCl 6 最近在室温下达到10.0 mS.cm-1-1以上,引起人们的注意。在这里,我们预测,从与机器学习力场的分子动态模拟中,不固定的Li 2 ZrCl 6 和 Li 2 HfCl 6 的房间温度甚至更高,LiTaCl 6 和LiNbCl 6 的房间温度差和双室温度LiTaCl 6 和LiNbCl 6 的双重室温度运动。</w:t>
      </w:r>
    </w:p>
    <w:p>
      <w:pPr>
        <w:spacing w:before="0" w:after="200" w:lineRule="auto" w:line="276"/>
      </w:pPr>
      <w:r>
        <w:rPr>
          <w:b/>
        </w:rPr>
        <w:t xml:space="preserve">Abstract (EN): </w:t>
      </w:r>
      <w:r>
        <w:t>Amorphous LiTaCl</w:t>
      </w:r>
      <w:r>
        <w:rPr>
          <w:vertAlign w:val="subscript"/>
        </w:rPr>
        <w:t>6</w:t>
      </w:r>
      <w:r>
        <w:t>and LiNbCl</w:t>
      </w:r>
      <w:r>
        <w:rPr>
          <w:vertAlign w:val="subscript"/>
        </w:rPr>
        <w:t>6</w:t>
      </w:r>
      <w:r>
        <w:t>have recently achieved conductivities greater than 10.0 mS·cm</w:t>
      </w:r>
      <w:r>
        <w:t xml:space="preserve"> </w:t>
      </w:r>
      <w:r>
        <w:t>−1</w:t>
      </w:r>
      <w:r>
        <w:t xml:space="preserve"> </w:t>
      </w:r>
      <w:r>
        <w:t>at room temperature, causing an explosion of interest. Here, we predict from molecular dynamics simulations with machine learning force fields that amorphous Li</w:t>
      </w:r>
      <w:r>
        <w:rPr>
          <w:vertAlign w:val="subscript"/>
        </w:rPr>
        <w:t>2</w:t>
      </w:r>
      <w:r>
        <w:t>ZrCl</w:t>
      </w:r>
      <w:r>
        <w:rPr>
          <w:vertAlign w:val="subscript"/>
        </w:rPr>
        <w:t>6</w:t>
      </w:r>
      <w:r>
        <w:t>and Li</w:t>
      </w:r>
      <w:r>
        <w:rPr>
          <w:vertAlign w:val="subscript"/>
        </w:rPr>
        <w:t>2</w:t>
      </w:r>
      <w:r>
        <w:t>HfCl</w:t>
      </w:r>
      <w:r>
        <w:rPr>
          <w:vertAlign w:val="subscript"/>
        </w:rPr>
        <w:t>6</w:t>
      </w:r>
      <w:r>
        <w:t>have even higher room temperature Li‐ion diffusivities and double room temperature Li‐ion conductivities of LiTaCl</w:t>
      </w:r>
      <w:r>
        <w:rPr>
          <w:vertAlign w:val="subscript"/>
        </w:rPr>
        <w:t>6</w:t>
      </w:r>
      <w:r>
        <w:t>and LiNbCl</w:t>
      </w:r>
      <w:r>
        <w:rPr>
          <w:vertAlign w:val="subscript"/>
        </w:rPr>
        <w:t>6</w:t>
      </w:r>
      <w:r>
        <w:t>to over 20 mS·cm</w:t>
      </w:r>
      <w:r>
        <w:t xml:space="preserve"> </w:t>
      </w:r>
      <w:r>
        <w:t>−1</w:t>
      </w:r>
      <w:r>
        <w:t xml:space="preserve"> </w:t>
      </w:r>
      <w:r>
        <w:t>. Our analysis of anion motions and cation‐anion coupling reveals that anion vibrations (M–Cl stretching and Cl–M–Cl bending) are critical for enabling fast Li‐ion transport (contributing to 87% of total Li‐ion diffusivity), while libration/rotation of MCl</w:t>
      </w:r>
      <w:r>
        <w:rPr>
          <w:vertAlign w:val="subscript"/>
        </w:rPr>
        <w:t>6</w:t>
      </w:r>
      <w:r>
        <w:t>2−</w:t>
      </w:r>
      <w:r>
        <w:t>octahedra contributes only marginally (13%). In addition, individual hopping of Li‐ion dominates (60%) over concerted motion (40%). More importantly, we show that the superiority of Li</w:t>
      </w:r>
      <w:r>
        <w:rPr>
          <w:vertAlign w:val="subscript"/>
        </w:rPr>
        <w:t>2</w:t>
      </w:r>
      <w:r>
        <w:t>ZrCl</w:t>
      </w:r>
      <w:r>
        <w:rPr>
          <w:vertAlign w:val="subscript"/>
        </w:rPr>
        <w:t>6</w:t>
      </w:r>
      <w:r>
        <w:t>and Li</w:t>
      </w:r>
      <w:r>
        <w:rPr>
          <w:vertAlign w:val="subscript"/>
        </w:rPr>
        <w:t>2</w:t>
      </w:r>
      <w:r>
        <w:t>HfCl</w:t>
      </w:r>
      <w:r>
        <w:rPr>
          <w:vertAlign w:val="subscript"/>
        </w:rPr>
        <w:t>6</w:t>
      </w:r>
      <w:r>
        <w:t>to LiTaCl</w:t>
      </w:r>
      <w:r>
        <w:rPr>
          <w:vertAlign w:val="subscript"/>
        </w:rPr>
        <w:t>6</w:t>
      </w:r>
      <w:r>
        <w:t>and LiNbCl</w:t>
      </w:r>
      <w:r>
        <w:rPr>
          <w:vertAlign w:val="subscript"/>
        </w:rPr>
        <w:t>6</w:t>
      </w:r>
      <w:r>
        <w:t>stems from a reduction of high‐frequency modes in the Li‐ion vibrational density of states (VDOS) and from red shifts of M–Cl stretching and Cl–M–Cl bending modes in Cl‐VDOS. The Li‐VDOS center can be used as a descriptor to predict Li‐ion diffusivity in amorphous halides. These insights advance our understanding of ionic transport in amorphous materials and highlight Li</w:t>
      </w:r>
      <w:r>
        <w:rPr>
          <w:vertAlign w:val="subscript"/>
        </w:rPr>
        <w:t>2</w:t>
      </w:r>
      <w:r>
        <w:t>ZrCl</w:t>
      </w:r>
      <w:r>
        <w:rPr>
          <w:vertAlign w:val="subscript"/>
        </w:rPr>
        <w:t>6</w:t>
      </w:r>
      <w:r>
        <w:t>and Li</w:t>
      </w:r>
      <w:r>
        <w:rPr>
          <w:vertAlign w:val="subscript"/>
        </w:rPr>
        <w:t>2</w:t>
      </w:r>
      <w:r>
        <w:t>HfCl</w:t>
      </w:r>
      <w:r>
        <w:rPr>
          <w:vertAlign w:val="subscript"/>
        </w:rPr>
        <w:t>6</w:t>
      </w:r>
      <w:r>
        <w:t>(especially the former for its low cost) as promising superionic solid electrolytes for all solid‐state Li batteries.</w:t>
      </w:r>
    </w:p>
    <w:p>
      <w:pPr>
        <w:spacing w:before="120" w:after="120"/>
      </w:pPr>
      <w:r>
        <w:rPr>
          <w:sz w:val="18"/>
        </w:rPr>
        <w:t>——————————————————————————————————————————————————————————————————————</w:t>
      </w:r>
    </w:p>
    <w:p>
      <w:pPr>
        <w:spacing w:before="160" w:after="40" w:line="240" w:lineRule="auto"/>
      </w:pPr>
      <w:r>
        <w:rPr>
          <w:b/>
        </w:rPr>
        <w:t xml:space="preserve">[253] </w:t>
      </w:r>
      <w:hyperlink r:id="rId382">
        <w:r>
          <w:rPr>
            <w:color w:val="1155CC"/>
            <w:u w:val="single"/>
          </w:rPr>
          <w:t>WhearHub启发的硅阳极,高能锂电池的高度应激容忍</w:t>
        </w:r>
      </w:hyperlink>
    </w:p>
    <w:p>
      <w:pPr>
        <w:spacing w:before="0" w:after="80"/>
      </w:pPr>
      <w:r>
        <w:rPr>
          <w:i/>
          <w:sz w:val="20"/>
        </w:rPr>
        <w:t>EN: Wheel‐Hub‐Inspired Silicon Anodes with Superior Stress Tolerance for High‐Energy Lithium‐Ion Batteries</w:t>
      </w:r>
    </w:p>
    <w:p>
      <w:pPr>
        <w:spacing w:before="0" w:after="120"/>
      </w:pPr>
      <w:r>
        <w:rPr>
          <w:b/>
        </w:rPr>
        <w:t xml:space="preserve">Source: </w:t>
      </w:r>
      <w:r>
        <w:t>Wiley: Advanced Energy Materials: Table of Contents</w:t>
      </w:r>
      <w:r>
        <w:t xml:space="preserve">    </w:t>
      </w:r>
      <w:r>
        <w:rPr>
          <w:b/>
        </w:rPr>
        <w:t xml:space="preserve">Pub date: </w:t>
      </w:r>
      <w:r>
        <w:t>2026-01-27 13:03:46+00:00</w:t>
      </w:r>
      <w:r>
        <w:t xml:space="preserve">    </w:t>
      </w:r>
      <w:r>
        <w:rPr>
          <w:b/>
        </w:rPr>
        <w:t xml:space="preserve">DOI: </w:t>
      </w:r>
      <w:hyperlink r:id="rId383">
        <w:r>
          <w:rPr>
            <w:color w:val="1155CC"/>
            <w:u w:val="single"/>
          </w:rPr>
          <w:t>10.1002/aenm.202506650</w:t>
        </w:r>
      </w:hyperlink>
    </w:p>
    <w:p>
      <w:pPr>
        <w:spacing w:before="0" w:after="120"/>
      </w:pPr>
      <w:r>
        <w:rPr>
          <w:b/>
        </w:rPr>
        <w:t xml:space="preserve">Notes: </w:t>
      </w:r>
      <w:r>
        <w:t>abstract_source=crossref</w:t>
      </w:r>
    </w:p>
    <w:p>
      <w:pPr>
        <w:spacing w:before="0" w:after="80" w:lineRule="auto" w:line="276"/>
      </w:pPr>
      <w:r>
        <w:rPr>
          <w:b/>
        </w:rPr>
        <w:t xml:space="preserve">摘要（ZH）: </w:t>
      </w:r>
      <w:r>
        <w:t>在开发理想的高容量、长寿命硅(Si)阳极方面,一个关键挑战是缓冲体积扩张与保持机械完整性之间的内在冲突,这阻碍了先进的西型材料的工业使用。在这里,我们展示了一个新的轮式西碳结构(WHSi@C),其特点是封闭的近地表面间栖动物,能够缓冲体外体积扩张,并显著减少在点火期间外部碳罐体的压缩压力。加上持续的西/西/西平板接触,这种支持性框架也为卡路里和循环机械疲劳提供了强烈的承受力。完好的结构为颗粒和界面提供了稳定性,因此也使粒子和界面得以稳定。</w:t>
      </w:r>
    </w:p>
    <w:p>
      <w:pPr>
        <w:spacing w:before="0" w:after="200" w:lineRule="auto" w:line="276"/>
      </w:pPr>
      <w:r>
        <w:rPr>
          <w:b/>
        </w:rPr>
        <w:t xml:space="preserve">Abstract (EN): </w:t>
      </w:r>
      <w:r>
        <w:t>A critical challenge in developing an ideal high capacity, long lifespan silicon (Si) anodes is the inherent conflict between buffering volume expansion and maintaining mechanical integrity, which hinders the industrial use of advanced Si materials. Here, we present a novel wheel‐hub‐inspired Si‐carbon architecture (WH‐Si@C), featuring enclosed near‐surface mesopores that can buffer the outward volume expansion and significantly reduce compressive stress on the external carbon shell during lithiation. Combined with the persistent Si/C planar contact, such a supporting framework also provides strong stress tolerance to calendering and cyclic mechanical fatigue. The intact structure confers stability to the particles and interface, thereby securing the sustained stability of Li</w:t>
      </w:r>
      <w:r>
        <w:t xml:space="preserve"> </w:t>
      </w:r>
      <w:r>
        <w:t>+</w:t>
      </w:r>
      <w:r>
        <w:t xml:space="preserve"> </w:t>
      </w:r>
      <w:r>
        <w:t>transport. Consequently, the WH‐Si@C anode exhibits outstanding electrochemical performance, delivering an impressive 1824 mAh g</w:t>
      </w:r>
      <w:r>
        <w:t xml:space="preserve"> </w:t>
      </w:r>
      <w:r>
        <w:t>−1</w:t>
      </w:r>
      <w:r>
        <w:t xml:space="preserve"> </w:t>
      </w:r>
      <w:r>
        <w:t>at a high current density of 1C and a high capacity of 852 mAh g</w:t>
      </w:r>
      <w:r>
        <w:t xml:space="preserve"> </w:t>
      </w:r>
      <w:r>
        <w:t>−1</w:t>
      </w:r>
      <w:r>
        <w:t xml:space="preserve"> </w:t>
      </w:r>
      <w:r>
        <w:t>after 600 cycles at 0.2C. This work offers a feasible approach for developing durable and high‐performance Si anodes for next generation energy storage applications.</w:t>
      </w:r>
    </w:p>
    <w:p>
      <w:pPr>
        <w:spacing w:before="120" w:after="120"/>
      </w:pPr>
      <w:r>
        <w:rPr>
          <w:sz w:val="18"/>
        </w:rPr>
        <w:t>——————————————————————————————————————————————————————————————————————</w:t>
      </w:r>
    </w:p>
    <w:p>
      <w:pPr>
        <w:spacing w:before="160" w:after="40" w:line="240" w:lineRule="auto"/>
      </w:pPr>
      <w:r>
        <w:rPr>
          <w:b/>
        </w:rPr>
        <w:t xml:space="preserve">[254] </w:t>
      </w:r>
      <w:hyperlink r:id="rId384">
        <w:r>
          <w:rPr>
            <w:color w:val="1155CC"/>
            <w:u w:val="single"/>
          </w:rPr>
          <w:t>观察非赫米蒂亚切恩绝食者的异地邦和皮肤影响</w:t>
        </w:r>
      </w:hyperlink>
    </w:p>
    <w:p>
      <w:pPr>
        <w:spacing w:before="0" w:after="80"/>
      </w:pPr>
      <w:r>
        <w:rPr>
          <w:i/>
          <w:sz w:val="20"/>
        </w:rPr>
        <w:t>EN: Observation of Dislocation Bound States and Skin Effects in Non‐Hermitian Chern Insulators</w:t>
      </w:r>
    </w:p>
    <w:p>
      <w:pPr>
        <w:spacing w:before="0" w:after="120"/>
      </w:pPr>
      <w:r>
        <w:rPr>
          <w:b/>
        </w:rPr>
        <w:t xml:space="preserve">Source: </w:t>
      </w:r>
      <w:r>
        <w:t>Wiley: Advanced Materials: Table of Contents</w:t>
      </w:r>
      <w:r>
        <w:t xml:space="preserve">    </w:t>
      </w:r>
      <w:r>
        <w:rPr>
          <w:b/>
        </w:rPr>
        <w:t xml:space="preserve">Pub date: </w:t>
      </w:r>
      <w:r>
        <w:t>2026-01-27 13:04:13+00:00</w:t>
      </w:r>
      <w:r>
        <w:t xml:space="preserve">    </w:t>
      </w:r>
      <w:r>
        <w:rPr>
          <w:b/>
        </w:rPr>
        <w:t xml:space="preserve">DOI: </w:t>
      </w:r>
      <w:hyperlink r:id="rId385">
        <w:r>
          <w:rPr>
            <w:color w:val="1155CC"/>
            <w:u w:val="single"/>
          </w:rPr>
          <w:t>10.1002/adma.202515496</w:t>
        </w:r>
      </w:hyperlink>
    </w:p>
    <w:p>
      <w:pPr>
        <w:spacing w:before="0" w:after="120"/>
      </w:pPr>
      <w:r>
        <w:rPr>
          <w:b/>
        </w:rPr>
        <w:t xml:space="preserve">Notes: </w:t>
      </w:r>
      <w:r>
        <w:t>abstract_source=crossref</w:t>
      </w:r>
    </w:p>
    <w:p>
      <w:pPr>
        <w:spacing w:before="0" w:after="80" w:lineRule="auto" w:line="276"/>
      </w:pPr>
      <w:r>
        <w:rPr>
          <w:b/>
        </w:rPr>
        <w:t xml:space="preserve">摘要（ZH）: </w:t>
      </w:r>
      <w:r>
        <w:t>非Hermitian(NH)地形学和晶体缺陷的汇合已引起了极大的兴趣,然而,由于设计和测量方面的挑战,其实验探索有限。这里,我们展示了对NH离散约束状态(NHDS)的实验观测,以及2D音响NH Chern 悬浮层中因脱解而导致的NH皮肤效应。我们通过将边缘脱位对嵌入这种音响式悬浮层,并通过主动元体实施精确的受控购物和现场损益,通过实验发现在复杂能源频谱的线条间隔缝内,在离散核心中存在着强大的缺陷。我们通过光谱层和相相位,实验性地发现出现了大量例外点(EPs)。</w:t>
      </w:r>
    </w:p>
    <w:p>
      <w:pPr>
        <w:spacing w:before="0" w:after="200" w:lineRule="auto" w:line="276"/>
      </w:pPr>
      <w:r>
        <w:rPr>
          <w:b/>
        </w:rPr>
        <w:t xml:space="preserve">Abstract (EN): </w:t>
      </w:r>
      <w:r>
        <w:t>The confluence of non‐Hermitian (NH) topology and crystal defects has culminated in significant interest, yet its experimental exploration has been limited due to the challenges involved in design and measurements. Here, we showcase experimental observation of NH dislocation bound states (NHDS) and the dislocation‐induced NH skin effect in 2D acoustic NH Chern lattices. By embedding an edge dislocations‐antidislocation pair in such acoustic lattices and implementing precision‐controlled hopping and onsite gain/loss via active meta‐atoms, we reveal robust defect‐bound states localized at dislocation cores within the line gap of the complex energy spectrum. We experimentally identify the emergence of bulk exceptional points (EPs) via spectral coalescence and phase rigidity analysis. We demonstrate that the NHDS survive against moderate NH perturbations but gradually delocalize and merge with the bulk (skin) states driven by these EPs under periodic (open) boundary conditions. Furthermore, our experiments demonstrate that the dislocation core can feature weak NH skin effects when its direction is perpendicular to the Burgers vector in periodic systems. Our findings, therefore, pave an experimental pathway for probing NH topology via lattice defects and open new avenues for defect‐engineered topological devices.</w:t>
      </w:r>
    </w:p>
    <w:p>
      <w:pPr>
        <w:spacing w:before="120" w:after="120"/>
      </w:pPr>
      <w:r>
        <w:rPr>
          <w:sz w:val="18"/>
        </w:rPr>
        <w:t>——————————————————————————————————————————————————————————————————————</w:t>
      </w:r>
    </w:p>
    <w:p>
      <w:pPr>
        <w:spacing w:before="160" w:after="40" w:line="240" w:lineRule="auto"/>
      </w:pPr>
      <w:r>
        <w:rPr>
          <w:b/>
        </w:rPr>
        <w:t xml:space="preserve">[255] </w:t>
      </w:r>
      <w:hyperlink r:id="rId386">
        <w:r>
          <w:rPr>
            <w:color w:val="1155CC"/>
            <w:u w:val="single"/>
          </w:rPr>
          <w:t>Porphyrin 选择性光合作用超模分子框架中1O2和O2-O2的生成</w:t>
        </w:r>
      </w:hyperlink>
    </w:p>
    <w:p>
      <w:pPr>
        <w:spacing w:before="0" w:after="80"/>
      </w:pPr>
      <w:r>
        <w:rPr>
          <w:i/>
          <w:sz w:val="20"/>
        </w:rPr>
        <w:t>EN: Electron Transfer Mediator–Enabled Modular Control of 1O2 and O2•– Generation in Porphyrin Supramolecular Frameworks for Selective Photosynthesis</w:t>
      </w:r>
    </w:p>
    <w:p>
      <w:pPr>
        <w:spacing w:before="0" w:after="120"/>
      </w:pPr>
      <w:r>
        <w:rPr>
          <w:b/>
        </w:rPr>
        <w:t xml:space="preserve">Source: </w:t>
      </w:r>
      <w:r>
        <w:t>Wiley: Angewandte Chemie International Edition: Table of Contents</w:t>
      </w:r>
      <w:r>
        <w:t xml:space="preserve">    </w:t>
      </w:r>
      <w:r>
        <w:rPr>
          <w:b/>
        </w:rPr>
        <w:t xml:space="preserve">Pub date: </w:t>
      </w:r>
      <w:r>
        <w:t>2026-01-27 13:04:47+00:00</w:t>
      </w:r>
      <w:r>
        <w:t xml:space="preserve">    </w:t>
      </w:r>
      <w:r>
        <w:rPr>
          <w:b/>
        </w:rPr>
        <w:t xml:space="preserve">DOI: </w:t>
      </w:r>
      <w:hyperlink r:id="rId387">
        <w:r>
          <w:rPr>
            <w:color w:val="1155CC"/>
            <w:u w:val="single"/>
          </w:rPr>
          <w:t>10.1002/anie.202519699</w:t>
        </w:r>
      </w:hyperlink>
    </w:p>
    <w:p>
      <w:pPr>
        <w:spacing w:before="0" w:after="120"/>
      </w:pPr>
      <w:r>
        <w:rPr>
          <w:b/>
        </w:rPr>
        <w:t xml:space="preserve">Notes: </w:t>
      </w:r>
      <w:r>
        <w:t>abstract_source=crossref</w:t>
      </w:r>
    </w:p>
    <w:p>
      <w:pPr>
        <w:spacing w:before="0" w:after="80" w:lineRule="auto" w:line="276"/>
      </w:pPr>
      <w:r>
        <w:rPr>
          <w:b/>
        </w:rPr>
        <w:t xml:space="preserve">摘要（ZH）: </w:t>
      </w:r>
      <w:r>
        <w:t>ABSTACT 传统二型光敏化器对于通过能源传输生成单氧(1O 2)的固有偏好,对于通过电子传输开发能够生产超氧化基(O 2   ) 的第一类系统来说,是一个关键的挑战。 我们在此报告一个基于植物素的超分子有机框架(SOF,TPPBBYCB[8] ),通过宿主 — 质疑与curbit [8] uril(CB[8] ) 的相互作用组装,与单美单位TPPQBPY(74.52%)相比,它大大提高了1O 2 量产量(94.04 % ) 。</w:t>
      </w:r>
    </w:p>
    <w:p>
      <w:pPr>
        <w:spacing w:before="0" w:after="200" w:lineRule="auto" w:line="276"/>
      </w:pPr>
      <w:r>
        <w:rPr>
          <w:b/>
        </w:rPr>
        <w:t xml:space="preserve">Abstract (EN): </w:t>
      </w:r>
      <w:r>
        <w:t>The inherent preference of classical type II photosensitizers for generating singlet oxygen (</w:t>
      </w:r>
      <w:r>
        <w:rPr>
          <w:vertAlign w:val="subscript"/>
        </w:rPr>
        <w:t>1</w:t>
      </w:r>
      <w:r>
        <w:t>O</w:t>
      </w:r>
      <w:r>
        <w:rPr>
          <w:vertAlign w:val="subscript"/>
        </w:rPr>
        <w:t>2</w:t>
      </w:r>
      <w:r>
        <w:t>) via energy transfer presents a key challenge in developing type I systems capable of producing superoxide radicals (O</w:t>
      </w:r>
      <w:r>
        <w:rPr>
          <w:vertAlign w:val="subscript"/>
        </w:rPr>
        <w:t>2</w:t>
      </w:r>
      <w:r>
        <w:t>•–</w:t>
      </w:r>
      <w:r>
        <w:t xml:space="preserve"> </w:t>
      </w:r>
      <w:r>
        <w:t>) through electron transfer. Herein, we report a porphyrin‐based supramolecular organic framework (SOF, TPP‐BPY‐CB[8]) assembled via host–guest interactions with cucurbit[8]uril (CB[8]), which achieves a significantly enhanced</w:t>
      </w:r>
      <w:r>
        <w:rPr>
          <w:vertAlign w:val="subscript"/>
        </w:rPr>
        <w:t>1</w:t>
      </w:r>
      <w:r>
        <w:t>O</w:t>
      </w:r>
      <w:r>
        <w:rPr>
          <w:vertAlign w:val="subscript"/>
        </w:rPr>
        <w:t>2</w:t>
      </w:r>
      <w:r>
        <w:t>quantum yield (94.04%) compared to the monomeric unit TPP‐BPY (74.52%). To overcome the energy transfer‐dominated reactive oxygen species (ROS) pathway, a series of electron transfer mediators were introduced to modulate the excited‐state dynamics, resulting in BQ@TPP‐BPY‐CB[8] that effectively switches the ROS pathway from type II to type I. This mediator‐driven modulation not only enables O</w:t>
      </w:r>
      <w:r>
        <w:rPr>
          <w:vertAlign w:val="subscript"/>
        </w:rPr>
        <w:t>2</w:t>
      </w:r>
      <w:r>
        <w:t>•–</w:t>
      </w:r>
      <w:r>
        <w:t xml:space="preserve"> </w:t>
      </w:r>
      <w:r>
        <w:t>production under hypoxic conditions but also expands the functional diversity of the SOF system. The two ROS pathways are selectively leveraged in photocatalytic applications: TPP‐BPY‐CB[8] excels in</w:t>
      </w:r>
      <w:r>
        <w:rPr>
          <w:vertAlign w:val="subscript"/>
        </w:rPr>
        <w:t>1</w:t>
      </w:r>
      <w:r>
        <w:t>O</w:t>
      </w:r>
      <w:r>
        <w:rPr>
          <w:vertAlign w:val="subscript"/>
        </w:rPr>
        <w:t>2</w:t>
      </w:r>
      <w:r>
        <w:t>‐mediated oxidation of organophosphorus compounds, while BQ@TPP‐BPY‐CB[8] facilitates highly efficient thiol‐ene cross‐coupling via O</w:t>
      </w:r>
      <w:r>
        <w:rPr>
          <w:vertAlign w:val="subscript"/>
        </w:rPr>
        <w:t>2</w:t>
      </w:r>
      <w:r>
        <w:t>•–</w:t>
      </w:r>
      <w:r>
        <w:t xml:space="preserve"> </w:t>
      </w:r>
      <w:r>
        <w:t>promotion. This work presents a robust strategy for tailoring ROS generation in supramolecular photocatalysis, offering a new design paradigm for multifunctional, ROS‐directed photoreactive materials.</w:t>
      </w:r>
    </w:p>
    <w:p>
      <w:pPr>
        <w:spacing w:before="120" w:after="120"/>
      </w:pPr>
      <w:r>
        <w:rPr>
          <w:sz w:val="18"/>
        </w:rPr>
        <w:t>——————————————————————————————————————————————————————————————————————</w:t>
      </w:r>
    </w:p>
    <w:p>
      <w:pPr>
        <w:spacing w:before="160" w:after="40" w:line="240" w:lineRule="auto"/>
      </w:pPr>
      <w:r>
        <w:rPr>
          <w:b/>
        </w:rPr>
        <w:t xml:space="preserve">[256] </w:t>
      </w:r>
      <w:hyperlink r:id="rId388">
        <w:r>
          <w:rPr>
            <w:color w:val="1155CC"/>
            <w:u w:val="single"/>
          </w:rPr>
          <w:t>单原子和1纳米聚聚体 修改热电</w:t>
        </w:r>
      </w:hyperlink>
    </w:p>
    <w:p>
      <w:pPr>
        <w:spacing w:before="0" w:after="80"/>
      </w:pPr>
      <w:r>
        <w:rPr>
          <w:i/>
          <w:sz w:val="20"/>
        </w:rPr>
        <w:t>EN: Single‐Atom and 1 nm Cluster Co‐Modified Thermoelectrics</w:t>
      </w:r>
    </w:p>
    <w:p>
      <w:pPr>
        <w:spacing w:before="0" w:after="120"/>
      </w:pPr>
      <w:r>
        <w:rPr>
          <w:b/>
        </w:rPr>
        <w:t xml:space="preserve">Source: </w:t>
      </w:r>
      <w:r>
        <w:t>Wiley: Angewandte Chemie International Edition: Table of Contents</w:t>
      </w:r>
      <w:r>
        <w:t xml:space="preserve">    </w:t>
      </w:r>
      <w:r>
        <w:rPr>
          <w:b/>
        </w:rPr>
        <w:t xml:space="preserve">Pub date: </w:t>
      </w:r>
      <w:r>
        <w:t>2026-01-27 13:06:30+00:00</w:t>
      </w:r>
      <w:r>
        <w:t xml:space="preserve">    </w:t>
      </w:r>
      <w:r>
        <w:rPr>
          <w:b/>
        </w:rPr>
        <w:t xml:space="preserve">DOI: </w:t>
      </w:r>
      <w:hyperlink r:id="rId389">
        <w:r>
          <w:rPr>
            <w:color w:val="1155CC"/>
            <w:u w:val="single"/>
          </w:rPr>
          <w:t>10.1002/anie.3547171</w:t>
        </w:r>
      </w:hyperlink>
    </w:p>
    <w:p>
      <w:pPr>
        <w:spacing w:before="0" w:after="120"/>
      </w:pPr>
      <w:r>
        <w:rPr>
          <w:b/>
        </w:rPr>
        <w:t xml:space="preserve">Notes: </w:t>
      </w:r>
      <w:r>
        <w:t>abstract_source=crossref</w:t>
      </w:r>
    </w:p>
    <w:p>
      <w:pPr>
        <w:spacing w:before="0" w:after="80" w:lineRule="auto" w:line="276"/>
      </w:pPr>
      <w:r>
        <w:rPr>
          <w:b/>
        </w:rPr>
        <w:t xml:space="preserve">摘要（ZH）: </w:t>
      </w:r>
      <w:r>
        <w:t>ABSTACT 单原子和纳米集束的大小依赖电子和声波配置使适应性功能得以实现。它们的协同效应也吸引了人们的注意,但在高温作业期间对抗聚合状态的精确控制在燃料电池和热电等多个领域构成了巨大的挑战。在这里,我们制定了一种解决方案,将Pt物种作为孤立原子(Pt 1)和Bi 2 S 3中的亚核聚(Pt n, 1 nm)精确地纳入Bi 2 S 3中。值得注意的是,1 nm大小的Pt n</w:t>
      </w:r>
    </w:p>
    <w:p>
      <w:pPr>
        <w:spacing w:before="0" w:after="200" w:lineRule="auto" w:line="276"/>
      </w:pPr>
      <w:r>
        <w:rPr>
          <w:b/>
        </w:rPr>
        <w:t xml:space="preserve">Abstract (EN): </w:t>
      </w:r>
      <w:r>
        <w:t>The size‐dependent electronic and phononic configurations of single atoms and nanoclusters enable tailored functionalities. Their synergistic effects also attract attention, yet precise control of anti‐aggregation states during high‐temperature operations poses formidable challenges in multiple fields such as fuel cells and thermoelectrics. Herein, we develop a solution‐processed strategy to precisely incorporate Pt species as isolated atoms (Pt</w:t>
      </w:r>
      <w:r>
        <w:rPr>
          <w:vertAlign w:val="subscript"/>
        </w:rPr>
        <w:t>1</w:t>
      </w:r>
      <w:r>
        <w:t>) and sub‐nanoclusters (Pt</w:t>
      </w:r>
      <w:r>
        <w:t xml:space="preserve"> </w:t>
      </w:r>
      <w:r>
        <w:t>n</w:t>
      </w:r>
      <w:r>
        <w:t xml:space="preserve"> </w:t>
      </w:r>
      <w:r>
        <w:t>, ∼1 nm) in Bi</w:t>
      </w:r>
      <w:r>
        <w:rPr>
          <w:vertAlign w:val="subscript"/>
        </w:rPr>
        <w:t>2</w:t>
      </w:r>
      <w:r>
        <w:t>S</w:t>
      </w:r>
      <w:r>
        <w:rPr>
          <w:vertAlign w:val="subscript"/>
        </w:rPr>
        <w:t>3</w:t>
      </w:r>
      <w:r>
        <w:t>. Notably, Pt</w:t>
      </w:r>
      <w:r>
        <w:t xml:space="preserve"> </w:t>
      </w:r>
      <w:r>
        <w:t>n</w:t>
      </w:r>
      <w:r>
        <w:t xml:space="preserve"> </w:t>
      </w:r>
      <w:r>
        <w:t>of 1 nm size exhibit significant advantages over larger‐size counterparts in tuning electronic structure and optimizing charge transfer. Furthermore, Pt</w:t>
      </w:r>
      <w:r>
        <w:rPr>
          <w:vertAlign w:val="subscript"/>
        </w:rPr>
        <w:t>1</w:t>
      </w:r>
      <w:r>
        <w:t>and Pt</w:t>
      </w:r>
      <w:r>
        <w:t xml:space="preserve"> </w:t>
      </w:r>
      <w:r>
        <w:t>n</w:t>
      </w:r>
      <w:r>
        <w:t xml:space="preserve"> </w:t>
      </w:r>
      <w:r>
        <w:t>scatter 1 Å‐ to 1 nm‐ wavelength phonon that is conventionally underexplored. The 1 nm Pt</w:t>
      </w:r>
      <w:r>
        <w:t xml:space="preserve"> </w:t>
      </w:r>
      <w:r>
        <w:t>n</w:t>
      </w:r>
      <w:r>
        <w:t xml:space="preserve"> </w:t>
      </w:r>
      <w:r>
        <w:t>exhibits distinct force constant as compared to 3 nm Pt</w:t>
      </w:r>
      <w:r>
        <w:t xml:space="preserve"> </w:t>
      </w:r>
      <w:r>
        <w:t>n</w:t>
      </w:r>
      <w:r>
        <w:t xml:space="preserve"> </w:t>
      </w:r>
      <w:r>
        <w:t>, leading to ultra‐strong phonon Rayleigh scattering, which in turn significantly reduces thermal conductivity. The optimized Bi</w:t>
      </w:r>
      <w:r>
        <w:rPr>
          <w:vertAlign w:val="subscript"/>
        </w:rPr>
        <w:t>2</w:t>
      </w:r>
      <w:r>
        <w:t>S</w:t>
      </w:r>
      <w:r>
        <w:rPr>
          <w:vertAlign w:val="subscript"/>
        </w:rPr>
        <w:t>3</w:t>
      </w:r>
      <w:r>
        <w:t>‐Pt</w:t>
      </w:r>
      <w:r>
        <w:rPr>
          <w:vertAlign w:val="subscript"/>
        </w:rPr>
        <w:t>1</w:t>
      </w:r>
      <w:r>
        <w:t>/Pt</w:t>
      </w:r>
      <w:r>
        <w:t xml:space="preserve"> </w:t>
      </w:r>
      <w:r>
        <w:t>n</w:t>
      </w:r>
      <w:r>
        <w:t xml:space="preserve"> </w:t>
      </w:r>
      <w:r>
        <w:t>composite achieves breakthrough thermoelectric performance, attaining a maximum</w:t>
      </w:r>
      <w:r>
        <w:t xml:space="preserve"> </w:t>
      </w:r>
      <w:r>
        <w:t>zT</w:t>
      </w:r>
      <w:r>
        <w:t xml:space="preserve"> </w:t>
      </w:r>
      <w:r>
        <w:t>of 1.02 at 773 K and single‐leg conversion efficiency of 1.58%, both setting benchmarks for Bi</w:t>
      </w:r>
      <w:r>
        <w:rPr>
          <w:vertAlign w:val="subscript"/>
        </w:rPr>
        <w:t>2</w:t>
      </w:r>
      <w:r>
        <w:t>S</w:t>
      </w:r>
      <w:r>
        <w:rPr>
          <w:vertAlign w:val="subscript"/>
        </w:rPr>
        <w:t>3</w:t>
      </w:r>
      <w:r>
        <w:t>systems. This strategy can also be extended to other thermoelectric material systems such as Bi</w:t>
      </w:r>
      <w:r>
        <w:t xml:space="preserve"> </w:t>
      </w:r>
      <w:r>
        <w:t>0.4</w:t>
      </w:r>
      <w:r>
        <w:t xml:space="preserve"> </w:t>
      </w:r>
      <w:r>
        <w:t>Sb</w:t>
      </w:r>
      <w:r>
        <w:t xml:space="preserve"> </w:t>
      </w:r>
      <w:r>
        <w:t>1.6</w:t>
      </w:r>
      <w:r>
        <w:t xml:space="preserve"> </w:t>
      </w:r>
      <w:r>
        <w:t>Te</w:t>
      </w:r>
      <w:r>
        <w:rPr>
          <w:vertAlign w:val="subscript"/>
        </w:rPr>
        <w:t>3</w:t>
      </w:r>
      <w:r>
        <w:t>, PbTe, or other fields including solid‐state batteries and solar cells.</w:t>
      </w:r>
    </w:p>
    <w:p>
      <w:pPr>
        <w:spacing w:before="120" w:after="120"/>
      </w:pPr>
      <w:r>
        <w:rPr>
          <w:sz w:val="18"/>
        </w:rPr>
        <w:t>——————————————————————————————————————————————————————————————————————</w:t>
      </w:r>
    </w:p>
    <w:p>
      <w:pPr>
        <w:spacing w:before="160" w:after="40" w:line="240" w:lineRule="auto"/>
      </w:pPr>
      <w:r>
        <w:rPr>
          <w:b/>
        </w:rPr>
        <w:t xml:space="preserve">[257] </w:t>
      </w:r>
      <w:hyperlink r:id="rId390">
        <w:r>
          <w:rPr>
            <w:color w:val="1155CC"/>
            <w:u w:val="single"/>
          </w:rPr>
          <w:t>电离层地形边缘州立洞穴中可重新配置的超相相</w:t>
        </w:r>
      </w:hyperlink>
    </w:p>
    <w:p>
      <w:pPr>
        <w:spacing w:before="0" w:after="80"/>
      </w:pPr>
      <w:r>
        <w:rPr>
          <w:i/>
          <w:sz w:val="20"/>
        </w:rPr>
        <w:t>EN: Photo‐Reconfigurable Supercoupling Induced Transparency in On‐Chip Topological Edge State Cavities</w:t>
      </w:r>
    </w:p>
    <w:p>
      <w:pPr>
        <w:spacing w:before="0" w:after="120"/>
      </w:pPr>
      <w:r>
        <w:rPr>
          <w:b/>
        </w:rPr>
        <w:t xml:space="preserve">Source: </w:t>
      </w:r>
      <w:r>
        <w:t>Wiley: Advanced Materials: Table of Contents</w:t>
      </w:r>
      <w:r>
        <w:t xml:space="preserve">    </w:t>
      </w:r>
      <w:r>
        <w:rPr>
          <w:b/>
        </w:rPr>
        <w:t xml:space="preserve">Pub date: </w:t>
      </w:r>
      <w:r>
        <w:t>2026-01-27 13:09:42+00:00</w:t>
      </w:r>
      <w:r>
        <w:t xml:space="preserve">    </w:t>
      </w:r>
      <w:r>
        <w:rPr>
          <w:b/>
        </w:rPr>
        <w:t xml:space="preserve">DOI: </w:t>
      </w:r>
      <w:hyperlink r:id="rId391">
        <w:r>
          <w:rPr>
            <w:color w:val="1155CC"/>
            <w:u w:val="single"/>
          </w:rPr>
          <w:t>10.1002/adma.202518858</w:t>
        </w:r>
      </w:hyperlink>
    </w:p>
    <w:p>
      <w:pPr>
        <w:spacing w:before="0" w:after="120"/>
      </w:pPr>
      <w:r>
        <w:rPr>
          <w:b/>
        </w:rPr>
        <w:t xml:space="preserve">Notes: </w:t>
      </w:r>
      <w:r>
        <w:t>abstract_source=crossref</w:t>
      </w:r>
    </w:p>
    <w:p>
      <w:pPr>
        <w:spacing w:before="0" w:after="80" w:lineRule="auto" w:line="276"/>
      </w:pPr>
      <w:r>
        <w:rPr>
          <w:b/>
        </w:rPr>
        <w:t xml:space="preserve">摘要（ZH）: </w:t>
      </w:r>
      <w:r>
        <w:t>电磁诱电磁透明是消除不透明介质中光吸收的量子干扰效应,因此产生的狭窄透明窗口,加上明显的慢光效应,使得光存储、量信息处理和非线光光学等广泛应用成为了光存储、量信息处理和非线光学方面的应用。最近,表面学光感应系统逐渐形成一个强大的平台,用地形保护对芯片灯光进行强有力的操纵。在这里,我们展示了一种由泄漏和受指导的地貌边缘国家腔(TESC)之间超相连接而促成的引导透明形式。 当地的山谷园艺园区有利于TESC之间的连接,甚至跨越4.3波长的距离,并引出一个可忽略的透明窗口。</w:t>
      </w:r>
    </w:p>
    <w:p>
      <w:pPr>
        <w:spacing w:before="0" w:after="200" w:lineRule="auto" w:line="276"/>
      </w:pPr>
      <w:r>
        <w:rPr>
          <w:b/>
        </w:rPr>
        <w:t xml:space="preserve">Abstract (EN): </w:t>
      </w:r>
      <w:r>
        <w:t>Electromagnetically induced transparency is a quantum interference effect that eliminates optical absorption in an opaque medium. The resulting narrow transparency window, accompanied by a pronounced slow‐light effect, has enabled extensive applications in light storage, quantum information processing, and nonlinear optics. Recently, topological photonic systems have emerged as a powerful platform for robust on‐chip light manipulation with topological protection. Here, we demonstrate a form of induced transparency enabled by the supercoupling between a leaky and a guided topological edge state cavity (TESC). The local valley vortices facilitate coupling between TESCs even across a distance of 4.3 wavelengths and induce a transparency window with negligible reflection due to the valley‐locked momentum. When the supercoupled TESCs system operates in the strong‐driving regime, frequency detuning of TESCs leads to strong mode splitting and a clear avoided crossing. Using an optical pump to photoexcite the all‐silicon TESCs in the weak‐driving regime, we achieve photo‐reconfigurable supercoupling induced transparency (SIT), allowing dynamic control of group delay while maintaining constant transmittance. SIT opens new possibilities for manipulating light flow and controlling slow‐light effects, offering promising applications in on‐chip optical and quantum information processing.</w:t>
      </w:r>
    </w:p>
    <w:p>
      <w:pPr>
        <w:spacing w:before="120" w:after="120"/>
      </w:pPr>
      <w:r>
        <w:rPr>
          <w:sz w:val="18"/>
        </w:rPr>
        <w:t>——————————————————————————————————————————————————————————————————————</w:t>
      </w:r>
    </w:p>
    <w:p>
      <w:pPr>
        <w:spacing w:before="160" w:after="40" w:line="240" w:lineRule="auto"/>
      </w:pPr>
      <w:r>
        <w:rPr>
          <w:b/>
        </w:rPr>
        <w:t xml:space="preserve">[258] </w:t>
      </w:r>
      <w:hyperlink r:id="rId392">
        <w:r>
          <w:rPr>
            <w:color w:val="1155CC"/>
            <w:u w:val="single"/>
          </w:rPr>
          <w:t>Ligand-Engineered Metal - 高效光催化合成纯水中氢过氧化氢的高效光化催化合成有机电动增强电源分离</w:t>
        </w:r>
      </w:hyperlink>
    </w:p>
    <w:p>
      <w:pPr>
        <w:spacing w:before="0" w:after="80"/>
      </w:pPr>
      <w:r>
        <w:rPr>
          <w:i/>
          <w:sz w:val="20"/>
        </w:rPr>
        <w:t>EN: Ligand‐Engineered Metal–Organic Cages Boost Charge Separation for Efficient Photocatalytic Synthesis of Hydrogen Peroxide in Pure Water</w:t>
      </w:r>
    </w:p>
    <w:p>
      <w:pPr>
        <w:spacing w:before="0" w:after="120"/>
      </w:pPr>
      <w:r>
        <w:rPr>
          <w:b/>
        </w:rPr>
        <w:t xml:space="preserve">Source: </w:t>
      </w:r>
      <w:r>
        <w:t>Wiley: Angewandte Chemie International Edition: Table of Contents</w:t>
      </w:r>
      <w:r>
        <w:t xml:space="preserve">    </w:t>
      </w:r>
      <w:r>
        <w:rPr>
          <w:b/>
        </w:rPr>
        <w:t xml:space="preserve">Pub date: </w:t>
      </w:r>
      <w:r>
        <w:t>2026-01-27 13:10:52+00:00</w:t>
      </w:r>
      <w:r>
        <w:t xml:space="preserve">    </w:t>
      </w:r>
      <w:r>
        <w:rPr>
          <w:b/>
        </w:rPr>
        <w:t xml:space="preserve">DOI: </w:t>
      </w:r>
      <w:hyperlink r:id="rId393">
        <w:r>
          <w:rPr>
            <w:color w:val="1155CC"/>
            <w:u w:val="single"/>
          </w:rPr>
          <w:t>10.1002/anie.202522655</w:t>
        </w:r>
      </w:hyperlink>
    </w:p>
    <w:p>
      <w:pPr>
        <w:spacing w:before="0" w:after="120"/>
      </w:pPr>
      <w:r>
        <w:rPr>
          <w:b/>
        </w:rPr>
        <w:t xml:space="preserve">Notes: </w:t>
      </w:r>
      <w:r>
        <w:t>abstract_source=crossref</w:t>
      </w:r>
    </w:p>
    <w:p>
      <w:pPr>
        <w:spacing w:before="0" w:after="80" w:lineRule="auto" w:line="276"/>
      </w:pPr>
      <w:r>
        <w:rPr>
          <w:b/>
        </w:rPr>
        <w:t xml:space="preserve">摘要（ZH）: </w:t>
      </w:r>
      <w:r>
        <w:t>ABSTACT 过氧化氢(H 2 O 2)光电催化合成(H 2 O 2 ) 提供了替代传统炭角酮工艺的可持续替代品,但其效率往往由于光生电荷的快速重组和活性中间体的不稳定而受到影响。在这里,我们报告从C 3-对称离离子(H 2 O 2 ) 中建造的四面Zn(II) 协调金属-有机容器(MOC C3) C3, 含有基元素的C 3-对称离子管。</w:t>
      </w:r>
    </w:p>
    <w:p>
      <w:pPr>
        <w:spacing w:before="0" w:after="200" w:lineRule="auto" w:line="276"/>
      </w:pPr>
      <w:r>
        <w:rPr>
          <w:b/>
        </w:rPr>
        <w:t xml:space="preserve">Abstract (EN): </w:t>
      </w:r>
      <w:r>
        <w:t>Photocatalytic synthesis of hydrogen peroxide (H</w:t>
      </w:r>
      <w:r>
        <w:rPr>
          <w:vertAlign w:val="subscript"/>
        </w:rPr>
        <w:t>2</w:t>
      </w:r>
      <w:r>
        <w:t>O</w:t>
      </w:r>
      <w:r>
        <w:rPr>
          <w:vertAlign w:val="subscript"/>
        </w:rPr>
        <w:t>2</w:t>
      </w:r>
      <w:r>
        <w:t>) offers a sustainable alternative to the traditional anthraquinone process, yet its efficiency is often hampered by the rapid recombination of photogenerated charges and the instability of reactive intermediates. Herein, we report a tetrahedral Zn(II) ion coordinated metal−organic cage (</w:t>
      </w:r>
      <w:r>
        <w:t xml:space="preserve"> </w:t>
      </w:r>
      <w:r>
        <w:t>MOC</w:t>
      </w:r>
      <w:r>
        <w:t xml:space="preserve"> </w:t>
      </w:r>
      <w:r>
        <w:t>)</w:t>
      </w:r>
      <w:r>
        <w:t xml:space="preserve"> </w:t>
      </w:r>
      <w:r>
        <w:t>C3</w:t>
      </w:r>
      <w:r>
        <w:t xml:space="preserve"> </w:t>
      </w:r>
      <w:r>
        <w:t>constructed from a</w:t>
      </w:r>
      <w:r>
        <w:t xml:space="preserve"> </w:t>
      </w:r>
      <w:r>
        <w:t>C</w:t>
      </w:r>
      <w:r>
        <w:rPr>
          <w:vertAlign w:val="subscript"/>
        </w:rPr>
        <w:t>3</w:t>
      </w:r>
      <w:r>
        <w:t xml:space="preserve"> </w:t>
      </w:r>
      <w:r>
        <w:t>‐symmetric terpyridine ligand incorporating pyridinium units. In pure water under an O</w:t>
      </w:r>
      <w:r>
        <w:rPr>
          <w:vertAlign w:val="subscript"/>
        </w:rPr>
        <w:t>2</w:t>
      </w:r>
      <w:r>
        <w:t>atmosphere and without sacrificial agents,</w:t>
      </w:r>
      <w:r>
        <w:t xml:space="preserve"> </w:t>
      </w:r>
      <w:r>
        <w:t>C3</w:t>
      </w:r>
      <w:r>
        <w:t xml:space="preserve"> </w:t>
      </w:r>
      <w:r>
        <w:t>exhibits an H</w:t>
      </w:r>
      <w:r>
        <w:rPr>
          <w:vertAlign w:val="subscript"/>
        </w:rPr>
        <w:t>2</w:t>
      </w:r>
      <w:r>
        <w:t>O</w:t>
      </w:r>
      <w:r>
        <w:rPr>
          <w:vertAlign w:val="subscript"/>
        </w:rPr>
        <w:t>2</w:t>
      </w:r>
      <w:r>
        <w:t>generation rate of 678.15 µmol L</w:t>
      </w:r>
      <w:r>
        <w:t xml:space="preserve"> </w:t>
      </w:r>
      <w:r>
        <w:t>−1</w:t>
      </w:r>
      <w:r>
        <w:t xml:space="preserve"> </w:t>
      </w:r>
      <w:r>
        <w:t>h</w:t>
      </w:r>
      <w:r>
        <w:t xml:space="preserve"> </w:t>
      </w:r>
      <w:r>
        <w:t>−1</w:t>
      </w:r>
      <w:r>
        <w:t xml:space="preserve"> </w:t>
      </w:r>
      <w:r>
        <w:t>. Moreover, the confined cavity of the</w:t>
      </w:r>
      <w:r>
        <w:t xml:space="preserve"> </w:t>
      </w:r>
      <w:r>
        <w:t>MOC</w:t>
      </w:r>
      <w:r>
        <w:t xml:space="preserve"> </w:t>
      </w:r>
      <w:r>
        <w:t>is proposed to help stabilize crucial intermediates (*OH from water oxidation and *OOH from oxygen reduction), thereby further promoting the catalytic performance. This work illustrates a ligand‐engineering strategy for photocatalyst design by employing functionalized ligands to construct</w:t>
      </w:r>
      <w:r>
        <w:t xml:space="preserve"> </w:t>
      </w:r>
      <w:r>
        <w:t>MOC</w:t>
      </w:r>
      <w:r>
        <w:t xml:space="preserve"> </w:t>
      </w:r>
      <w:r>
        <w:t>that primarily improve charge‐separation efficiency and create directional electron‐transfer channels within the cage framework, while the confined microenvironment secondarily stabilizes key reactive intermediates, thus offering a route toward advanced photocatalytic H</w:t>
      </w:r>
      <w:r>
        <w:rPr>
          <w:vertAlign w:val="subscript"/>
        </w:rPr>
        <w:t>2</w:t>
      </w:r>
      <w:r>
        <w:t>O</w:t>
      </w:r>
      <w:r>
        <w:rPr>
          <w:vertAlign w:val="subscript"/>
        </w:rPr>
        <w:t>2</w:t>
      </w:r>
      <w:r>
        <w:t>generation.</w:t>
      </w:r>
    </w:p>
    <w:p>
      <w:pPr>
        <w:spacing w:before="120" w:after="120"/>
      </w:pPr>
      <w:r>
        <w:rPr>
          <w:sz w:val="18"/>
        </w:rPr>
        <w:t>——————————————————————————————————————————————————————————————————————</w:t>
      </w:r>
    </w:p>
    <w:p>
      <w:pPr>
        <w:spacing w:before="160" w:after="40" w:line="240" w:lineRule="auto"/>
      </w:pPr>
      <w:r>
        <w:rPr>
          <w:b/>
        </w:rPr>
        <w:t xml:space="preserve">[259] </w:t>
      </w:r>
      <w:hyperlink r:id="rId394">
        <w:r>
          <w:rPr>
            <w:color w:val="1155CC"/>
            <w:u w:val="single"/>
          </w:rPr>
          <w:t>火磁脊柱中单脉冲全光反光反应的探矿公司、Fe和Ni参考层的勘探公司、Fe和Ni参考层</w:t>
        </w:r>
      </w:hyperlink>
    </w:p>
    <w:p>
      <w:pPr>
        <w:spacing w:before="0" w:after="80"/>
      </w:pPr>
      <w:r>
        <w:rPr>
          <w:i/>
          <w:sz w:val="20"/>
        </w:rPr>
        <w:t>EN: Exploring Co, Fe, and Ni Reference Layers for Single‐Pulse All‐Optical Reversal in Ferromagnetic Spin Valves</w:t>
      </w:r>
    </w:p>
    <w:p>
      <w:pPr>
        <w:spacing w:before="0" w:after="120"/>
      </w:pPr>
      <w:r>
        <w:rPr>
          <w:b/>
        </w:rPr>
        <w:t xml:space="preserve">Source: </w:t>
      </w:r>
      <w:r>
        <w:t>Wiley: Advanced Materials: Table of Contents</w:t>
      </w:r>
      <w:r>
        <w:t xml:space="preserve">    </w:t>
      </w:r>
      <w:r>
        <w:rPr>
          <w:b/>
        </w:rPr>
        <w:t xml:space="preserve">Pub date: </w:t>
      </w:r>
      <w:r>
        <w:t>2026-01-27 13:11:29+00:00</w:t>
      </w:r>
      <w:r>
        <w:t xml:space="preserve">    </w:t>
      </w:r>
      <w:r>
        <w:rPr>
          <w:b/>
        </w:rPr>
        <w:t xml:space="preserve">DOI: </w:t>
      </w:r>
      <w:hyperlink r:id="rId395">
        <w:r>
          <w:rPr>
            <w:color w:val="1155CC"/>
            <w:u w:val="single"/>
          </w:rPr>
          <w:t>10.1002/adma.202522886</w:t>
        </w:r>
      </w:hyperlink>
    </w:p>
    <w:p>
      <w:pPr>
        <w:spacing w:before="0" w:after="120"/>
      </w:pPr>
      <w:r>
        <w:rPr>
          <w:b/>
        </w:rPr>
        <w:t xml:space="preserve">Notes: </w:t>
      </w:r>
      <w:r>
        <w:t>abstract_source=crossref</w:t>
      </w:r>
    </w:p>
    <w:p>
      <w:pPr>
        <w:spacing w:before="0" w:after="80" w:lineRule="auto" w:line="276"/>
      </w:pPr>
      <w:r>
        <w:rPr>
          <w:b/>
        </w:rPr>
        <w:t xml:space="preserve">摘要（ZH）: </w:t>
      </w:r>
      <w:r>
        <w:t>我们通过系统地比较纯CO、Ni和Fe组成的参照层,调查在铁磁旋阀内单纤维二次激光脉冲引发的磁化逆转过程。为避免参考层材料和厚度变化导致的垂直磁性动脉动脉动丧失,我们设计了内层磁化的旋转阀门。虽然观察到所有三个元素都存在抗parel-to-parallel开关,但平行的antiparallel开关仅与共参照层发生,与Ni和Fe没有发生。这一差异归因于参考材料独特的超快磁化动态。我们的结果支持了一种假设,即平行的对parallel开关需要快速的再磁化。我们的结果支持了一种假设,即平行的对parallel开关需要快速的再磁化。</w:t>
      </w:r>
    </w:p>
    <w:p>
      <w:pPr>
        <w:spacing w:before="0" w:after="200" w:lineRule="auto" w:line="276"/>
      </w:pPr>
      <w:r>
        <w:rPr>
          <w:b/>
        </w:rPr>
        <w:t xml:space="preserve">Abstract (EN): </w:t>
      </w:r>
      <w:r>
        <w:t>We investigate the magnetization reversal process induced by a single femtosecond laser pulse in ferromagnetic spin valves by systematically comparing reference layers composed of pure Co, Ni, and Fe. To circumvent the loss of perpendicular magnetic anisotropy associated with changes in reference layer material and thickness, we design spin valves with in‐plane magnetizations. While antiparallel‐to‐parallel switching is observed for all three elements, parallel‐to‐antiparallel switching occurs only with a Co reference layer and is absent with Ni and Fe. This difference is attributed to the distinct ultrafast magnetization dynamics of the reference materials. Our results support the hypothesis that parallel‐to‐antiparallel switching requires a rapid remagnetization of the reference layer, which generates a substantial negative spin current polarized opposite to the free layer magnetization—an essential condition for triggering its reversal.</w:t>
      </w:r>
    </w:p>
    <w:p>
      <w:pPr>
        <w:spacing w:before="120" w:after="120"/>
      </w:pPr>
      <w:r>
        <w:rPr>
          <w:sz w:val="18"/>
        </w:rPr>
        <w:t>——————————————————————————————————————————————————————————————————————</w:t>
      </w:r>
    </w:p>
    <w:p>
      <w:pPr>
        <w:spacing w:before="160" w:after="40" w:line="240" w:lineRule="auto"/>
      </w:pPr>
      <w:r>
        <w:rPr>
          <w:b/>
        </w:rPr>
        <w:t xml:space="preserve">[260] </w:t>
      </w:r>
      <w:hyperlink r:id="rId396">
        <w:r>
          <w:rPr>
            <w:color w:val="1155CC"/>
            <w:u w:val="single"/>
          </w:rPr>
          <w:t>通过电子-质中继生产多氧化氢</w:t>
        </w:r>
      </w:hyperlink>
    </w:p>
    <w:p>
      <w:pPr>
        <w:spacing w:before="0" w:after="80"/>
      </w:pPr>
      <w:r>
        <w:rPr>
          <w:i/>
          <w:sz w:val="20"/>
        </w:rPr>
        <w:t>EN: Bioinspired Quinone Redox Cycling Enables Highly Selective Photocatalytic Hydrogen Peroxide Production via Electron–Proton Relay</w:t>
      </w:r>
    </w:p>
    <w:p>
      <w:pPr>
        <w:spacing w:before="0" w:after="120"/>
      </w:pPr>
      <w:r>
        <w:rPr>
          <w:b/>
        </w:rPr>
        <w:t xml:space="preserve">Source: </w:t>
      </w:r>
      <w:r>
        <w:t>Wiley: Advanced Materials: Table of Contents</w:t>
      </w:r>
      <w:r>
        <w:t xml:space="preserve">    </w:t>
      </w:r>
      <w:r>
        <w:rPr>
          <w:b/>
        </w:rPr>
        <w:t xml:space="preserve">Pub date: </w:t>
      </w:r>
      <w:r>
        <w:t>2026-01-27 13:11:41+00:00</w:t>
      </w:r>
      <w:r>
        <w:t xml:space="preserve">    </w:t>
      </w:r>
      <w:r>
        <w:rPr>
          <w:b/>
        </w:rPr>
        <w:t xml:space="preserve">DOI: </w:t>
      </w:r>
      <w:hyperlink r:id="rId397">
        <w:r>
          <w:rPr>
            <w:color w:val="1155CC"/>
            <w:u w:val="single"/>
          </w:rPr>
          <w:t>10.1002/adma.202521050</w:t>
        </w:r>
      </w:hyperlink>
    </w:p>
    <w:p>
      <w:pPr>
        <w:spacing w:before="0" w:after="120"/>
      </w:pPr>
      <w:r>
        <w:rPr>
          <w:b/>
        </w:rPr>
        <w:t xml:space="preserve">Notes: </w:t>
      </w:r>
      <w:r>
        <w:t>abstract_source=crossref</w:t>
      </w:r>
    </w:p>
    <w:p>
      <w:pPr>
        <w:spacing w:before="0" w:after="80" w:lineRule="auto" w:line="276"/>
      </w:pPr>
      <w:r>
        <w:rPr>
          <w:b/>
        </w:rPr>
        <w:t xml:space="preserve">摘要（ZH）: </w:t>
      </w:r>
      <w:r>
        <w:t>ABSTACT 过氧化氢太阳驱动合成(H 2 O 2 ) 是炭疽(H 2 O 2 ) 工艺的一种有吸引力的替代物,但它的实际可行性却因选择性差和电荷快速重组而受到阻碍。受天然光合作用五氯代电荷管理的启发,我们设计了一个同质聚合物DBTABQ,嵌入了红氧化活性苯丙酮装置,驱动轻氧化电子质中继催解,从而能够有选择性和高效地生产H2 O 2 。光解后,苯并二苯基酮的分子会通过质子相混合电子转换成水晶体。</w:t>
      </w:r>
    </w:p>
    <w:p>
      <w:pPr>
        <w:spacing w:before="0" w:after="200" w:lineRule="auto" w:line="276"/>
      </w:pPr>
      <w:r>
        <w:rPr>
          <w:b/>
        </w:rPr>
        <w:t xml:space="preserve">Abstract (EN): </w:t>
      </w:r>
      <w:r>
        <w:t>Solar‐driven synthesis of hydrogen peroxide (H</w:t>
      </w:r>
      <w:r>
        <w:rPr>
          <w:vertAlign w:val="subscript"/>
        </w:rPr>
        <w:t>2</w:t>
      </w:r>
      <w:r>
        <w:t>O</w:t>
      </w:r>
      <w:r>
        <w:rPr>
          <w:vertAlign w:val="subscript"/>
        </w:rPr>
        <w:t>2</w:t>
      </w:r>
      <w:r>
        <w:t>) is an attractive alternative to the anthraquinone process, yet its practical viability is hindered by poor selectivity and rapid charge recombination. Inspired by quinone‐mediated charge management in natural photosynthesis, we design a conjugated polymer, DB‐TABQ, embedding redox‐active benzoquinone units that drive a light‐triggered electron‐proton relay catalysis, thereby enabling selective and efficient H</w:t>
      </w:r>
      <w:r>
        <w:rPr>
          <w:vertAlign w:val="subscript"/>
        </w:rPr>
        <w:t>2</w:t>
      </w:r>
      <w:r>
        <w:t>O</w:t>
      </w:r>
      <w:r>
        <w:rPr>
          <w:vertAlign w:val="subscript"/>
        </w:rPr>
        <w:t>2</w:t>
      </w:r>
      <w:r>
        <w:t>production. Upon photoexcitation, the benzoquinone moieties undergo proton‐coupled electron transfer to form hydroquinone intermediates that store reducing equivalents as long‐lived radical reservoirs. Subsequently, these hydroquinone intermediates adsorb and activate oxygen and initiate an inner‐sphere, concerted two‐electron transfer to produce H</w:t>
      </w:r>
      <w:r>
        <w:rPr>
          <w:vertAlign w:val="subscript"/>
        </w:rPr>
        <w:t>2</w:t>
      </w:r>
      <w:r>
        <w:t>O</w:t>
      </w:r>
      <w:r>
        <w:rPr>
          <w:vertAlign w:val="subscript"/>
        </w:rPr>
        <w:t>2</w:t>
      </w:r>
      <w:r>
        <w:t>while regenerating the benzoquinone moieties. Spectroscopic characterizations and computational investigations show that this redox‐state transformation decouples light absorption from interfacial reaction, promotes directional charge separation, enhances oxygen adsorption, and enables a selective two‐electron oxygen reduction pathway, resulting in over 95% selectivity for H</w:t>
      </w:r>
      <w:r>
        <w:rPr>
          <w:vertAlign w:val="subscript"/>
        </w:rPr>
        <w:t>2</w:t>
      </w:r>
      <w:r>
        <w:t>O</w:t>
      </w:r>
      <w:r>
        <w:rPr>
          <w:vertAlign w:val="subscript"/>
        </w:rPr>
        <w:t>2</w:t>
      </w:r>
      <w:r>
        <w:t>production. Notably, DB‐TABQ achieves a solar‐to‐chemical conversion efficiency of 1.34% under simulated solar irradiation. Embedding redox relays into conjugated polymer frameworks offers a general design principle to regulate electron‐proton coupling and selectivity in solar‐to‐chemical conversion.</w:t>
      </w:r>
    </w:p>
    <w:p>
      <w:pPr>
        <w:spacing w:before="120" w:after="120"/>
      </w:pPr>
      <w:r>
        <w:rPr>
          <w:sz w:val="18"/>
        </w:rPr>
        <w:t>——————————————————————————————————————————————————————————————————————</w:t>
      </w:r>
    </w:p>
    <w:p>
      <w:pPr>
        <w:spacing w:before="160" w:after="40" w:line="240" w:lineRule="auto"/>
      </w:pPr>
      <w:r>
        <w:rPr>
          <w:b/>
        </w:rPr>
        <w:t xml:space="preserve">[261] </w:t>
      </w:r>
      <w:hyperlink r:id="rId398">
        <w:r>
          <w:rPr>
            <w:color w:val="1155CC"/>
            <w:u w:val="single"/>
          </w:rPr>
          <w:t>利用二胺来解锁MNQMACHO在减少二氧化碳至甲醇中的催化剂</w:t>
        </w:r>
      </w:hyperlink>
    </w:p>
    <w:p>
      <w:pPr>
        <w:spacing w:before="0" w:after="80"/>
      </w:pPr>
      <w:r>
        <w:rPr>
          <w:i/>
          <w:sz w:val="20"/>
        </w:rPr>
        <w:t>EN: Leveraging Diamines to Unlock the Mn‐MACHO Catalyst in the Reduction of CO2 to Methanol</w:t>
      </w:r>
    </w:p>
    <w:p>
      <w:pPr>
        <w:spacing w:before="0" w:after="120"/>
      </w:pPr>
      <w:r>
        <w:rPr>
          <w:b/>
        </w:rPr>
        <w:t xml:space="preserve">Source: </w:t>
      </w:r>
      <w:r>
        <w:t>Wiley: Angewandte Chemie International Edition: Table of Contents</w:t>
      </w:r>
      <w:r>
        <w:t xml:space="preserve">    </w:t>
      </w:r>
      <w:r>
        <w:rPr>
          <w:b/>
        </w:rPr>
        <w:t xml:space="preserve">Pub date: </w:t>
      </w:r>
      <w:r>
        <w:t>2026-01-27 13:13:05+00:00</w:t>
      </w:r>
      <w:r>
        <w:t xml:space="preserve">    </w:t>
      </w:r>
      <w:r>
        <w:rPr>
          <w:b/>
        </w:rPr>
        <w:t xml:space="preserve">DOI: </w:t>
      </w:r>
      <w:hyperlink r:id="rId399">
        <w:r>
          <w:rPr>
            <w:color w:val="1155CC"/>
            <w:u w:val="single"/>
          </w:rPr>
          <w:t>10.1002/anie.202524012</w:t>
        </w:r>
      </w:hyperlink>
    </w:p>
    <w:p>
      <w:pPr>
        <w:spacing w:before="0" w:after="120"/>
      </w:pPr>
      <w:r>
        <w:rPr>
          <w:b/>
        </w:rPr>
        <w:t xml:space="preserve">Notes: </w:t>
      </w:r>
      <w:r>
        <w:t>abstract_source=crossref</w:t>
      </w:r>
    </w:p>
    <w:p>
      <w:pPr>
        <w:spacing w:before="0" w:after="80" w:lineRule="auto" w:line="276"/>
      </w:pPr>
      <w:r>
        <w:rPr>
          <w:b/>
        </w:rPr>
        <w:t xml:space="preserve">摘要（ZH）: </w:t>
      </w:r>
      <w:r>
        <w:t>将CO2转化为高能液体燃料(如甲醇)是可持续化学的基石。 然而,大多数同质催化系统仍然依赖高贵金属或刘易斯酸添加剂。 在这里,我们报告第一个协议,即利用无任何刘易斯酸催化剂的Mn-MACHO催化剂将碳2氢化为甲醇,实现45.2的更替率,这是Mn系统报告的最高值。 一项综合计算、微动和实验研究显示,二胺与单胺相比,通过推动高度外向双倍恐吓步骤,大大增强了活动。</w:t>
      </w:r>
    </w:p>
    <w:p>
      <w:pPr>
        <w:spacing w:before="0" w:after="200" w:lineRule="auto" w:line="276"/>
      </w:pPr>
      <w:r>
        <w:rPr>
          <w:b/>
        </w:rPr>
        <w:t xml:space="preserve">Abstract (EN): </w:t>
      </w:r>
      <w:r>
        <w:t>The conversion of CO</w:t>
      </w:r>
      <w:r>
        <w:rPr>
          <w:vertAlign w:val="subscript"/>
        </w:rPr>
        <w:t>2</w:t>
      </w:r>
      <w:r>
        <w:t>into energy‐dense liquid fuels, such as methanol, represents a cornerstone of sustainable chemistry; however, most homogeneous catalytic systems still rely on noble metals or Lewis acid additives. Here, we report the first protocol for amine‐assisted CO</w:t>
      </w:r>
      <w:r>
        <w:rPr>
          <w:vertAlign w:val="subscript"/>
        </w:rPr>
        <w:t>2</w:t>
      </w:r>
      <w:r>
        <w:t>hydrogenation to methanol using a Mn–MACHO catalyst without any Lewis acid co‐catalyst, achieving turnover numbers up to 45.2, the highest reported for Mn systems. A combined computational, microkinetic, and experimental study reveals that diamines dramatically enhance activity compared to monoamines by promoting a highly exergonic double amidation step. This thermodynamic driving force shifts the equilibrium away from formate resting states toward the active catalyst, thereby accelerating methanol formation. The correlation established between amidation free energies (Δ</w:t>
      </w:r>
      <w:r>
        <w:t xml:space="preserve"> </w:t>
      </w:r>
      <w:r>
        <w:t>G</w:t>
      </w:r>
      <w:r>
        <w:t xml:space="preserve"> </w:t>
      </w:r>
      <w:r>
        <w:t>amidation</w:t>
      </w:r>
      <w:r>
        <w:t xml:space="preserve"> </w:t>
      </w:r>
      <w:r>
        <w:t>) and methanol productivity provides a rational design principle for tailoring amine promoters across Ru‐ and Mn‐based MACHO catalysts. These insights advance the development of sustainable, base‐metal‐catalyzed CO</w:t>
      </w:r>
      <w:r>
        <w:rPr>
          <w:vertAlign w:val="subscript"/>
        </w:rPr>
        <w:t>2</w:t>
      </w:r>
      <w:r>
        <w:t>conversion strategies and open opportunities for integrated carbon capture and utilization.</w:t>
      </w:r>
    </w:p>
    <w:p>
      <w:pPr>
        <w:spacing w:before="120" w:after="120"/>
      </w:pPr>
      <w:r>
        <w:rPr>
          <w:sz w:val="18"/>
        </w:rPr>
        <w:t>——————————————————————————————————————————————————————————————————————</w:t>
      </w:r>
    </w:p>
    <w:p>
      <w:pPr>
        <w:spacing w:before="160" w:after="40" w:line="240" w:lineRule="auto"/>
      </w:pPr>
      <w:r>
        <w:rPr>
          <w:b/>
        </w:rPr>
        <w:t xml:space="preserve">[262] </w:t>
      </w:r>
      <w:hyperlink r:id="rId400">
        <w:r>
          <w:rPr>
            <w:color w:val="1155CC"/>
            <w:u w:val="single"/>
          </w:rPr>
          <w:t>三金属PtPbru/Pt纳米板的三金属PtPbru/Pt纳米板,用于促进喷雾酸氧化催氧气催化的连续地表阵列条例</w:t>
        </w:r>
      </w:hyperlink>
    </w:p>
    <w:p>
      <w:pPr>
        <w:spacing w:before="0" w:after="80"/>
      </w:pPr>
      <w:r>
        <w:rPr>
          <w:i/>
          <w:sz w:val="20"/>
        </w:rPr>
        <w:t>EN: Continuous Surface Strain Regulation in Trimetallic PtPbRu/Pt Nanoplates for Promoted Formic Acid Oxidation Catalysis</w:t>
      </w:r>
    </w:p>
    <w:p>
      <w:pPr>
        <w:spacing w:before="0" w:after="120"/>
      </w:pPr>
      <w:r>
        <w:rPr>
          <w:b/>
        </w:rPr>
        <w:t xml:space="preserve">Source: </w:t>
      </w:r>
      <w:r>
        <w:t>Wiley: Advanced Materials: Table of Contents</w:t>
      </w:r>
      <w:r>
        <w:t xml:space="preserve">    </w:t>
      </w:r>
      <w:r>
        <w:rPr>
          <w:b/>
        </w:rPr>
        <w:t xml:space="preserve">Pub date: </w:t>
      </w:r>
      <w:r>
        <w:t>2026-01-27 13:14:08+00:00</w:t>
      </w:r>
      <w:r>
        <w:t xml:space="preserve">    </w:t>
      </w:r>
      <w:r>
        <w:rPr>
          <w:b/>
        </w:rPr>
        <w:t xml:space="preserve">DOI: </w:t>
      </w:r>
      <w:hyperlink r:id="rId401">
        <w:r>
          <w:rPr>
            <w:color w:val="1155CC"/>
            <w:u w:val="single"/>
          </w:rPr>
          <w:t>10.1002/adma.202522348</w:t>
        </w:r>
      </w:hyperlink>
    </w:p>
    <w:p>
      <w:pPr>
        <w:spacing w:before="0" w:after="120"/>
      </w:pPr>
      <w:r>
        <w:rPr>
          <w:b/>
        </w:rPr>
        <w:t xml:space="preserve">Notes: </w:t>
      </w:r>
      <w:r>
        <w:t>abstract_source=crossref</w:t>
      </w:r>
    </w:p>
    <w:p>
      <w:pPr>
        <w:spacing w:before="0" w:after="80" w:lineRule="auto" w:line="276"/>
      </w:pPr>
      <w:r>
        <w:rPr>
          <w:b/>
        </w:rPr>
        <w:t xml:space="preserve">摘要（ZH）: </w:t>
      </w:r>
      <w:r>
        <w:t>ABSTACT 管理基于白金(Pt)的纳米纳米材料表面菌株以实现高效的丙酸氧化反应(FAOR)催化,用于直接的丙酸燃料电池(DFAFC)至关重要,但具有挑战性。在这里,我们采取了连续的表面抗拉菌菌株调制战略,以实现DFAFC的优异活动、极稳定、强的CO抗药性以及高直接路径选择。原子级分析表明,控制部分替代Pb的R亚原子调节了中间金属核心的粘合常数,从而能够精确控制Pt壳中的双轴菌株。 优化的2.4PtPbru/Pt纳米板/C显示了10.0 mg Pt+Ru-1的质量活动。</w:t>
      </w:r>
    </w:p>
    <w:p>
      <w:pPr>
        <w:spacing w:before="0" w:after="200" w:lineRule="auto" w:line="276"/>
      </w:pPr>
      <w:r>
        <w:rPr>
          <w:b/>
        </w:rPr>
        <w:t xml:space="preserve">Abstract (EN): </w:t>
      </w:r>
      <w:r>
        <w:t>Regulating surface strain of platinum (Pt)‐based nanomaterials to achieve efficient formic acid oxidation reaction (FAOR) catalysis for direct formic acid fuel cell (DFAFC) is crucial yet challenging. Herein, we adopt a continuous surface tensile strain modulation strategy to realize the superior activity, excellent stability, strong CO resistance, and high direct pathway selectivity for DFAFC. Atomic‐level analysis reveals that controlling the partial substitution of Pb with Ru atoms modulates the lattice constant of the intermetallic core, thereby enabling precise control of biaxial strain in the Pt shell. The optimized 2.4%‐PtPbRu/Pt nanoplates/C exhibits a mass activity of 10.0 A mg</w:t>
      </w:r>
      <w:r>
        <w:t xml:space="preserve"> </w:t>
      </w:r>
      <w:r>
        <w:t>Pt+Ru</w:t>
      </w:r>
      <w:r>
        <w:t xml:space="preserve"> </w:t>
      </w:r>
      <w:r>
        <w:t>−1</w:t>
      </w:r>
      <w:r>
        <w:t xml:space="preserve"> </w:t>
      </w:r>
      <w:r>
        <w:t>for FAOR, 100.0 times higher than that of commercial Pt/C. Furthermore, its membrane electrode assembly achieves a high power density of 465.4 W g</w:t>
      </w:r>
      <w:r>
        <w:t xml:space="preserve"> </w:t>
      </w:r>
      <w:r>
        <w:t>Pt+Ru</w:t>
      </w:r>
      <w:r>
        <w:t xml:space="preserve"> </w:t>
      </w:r>
      <w:r>
        <w:t>−1</w:t>
      </w:r>
      <w:r>
        <w:t xml:space="preserve"> </w:t>
      </w:r>
      <w:r>
        <w:t>, 3.2 times greater than that of commercial Pt/C, along with an unprecedented lifetime at 0.4 V for 469.1 h with only 7.4% power density decay, representing the best FAOR catalysts reported to date. The introduced Ru increases tensile strain and downshifts Pt‐5</w:t>
      </w:r>
      <w:r>
        <w:t xml:space="preserve"> </w:t>
      </w:r>
      <w:r>
        <w:t>d</w:t>
      </w:r>
      <w:r>
        <w:t xml:space="preserve"> </w:t>
      </w:r>
      <w:r>
        <w:t>orbitals, enhancing</w:t>
      </w:r>
      <w:r>
        <w:t xml:space="preserve"> </w:t>
      </w:r>
      <w:r>
        <w:t>d</w:t>
      </w:r>
      <w:r>
        <w:t xml:space="preserve"> </w:t>
      </w:r>
      <w:r>
        <w:t>‐</w:t>
      </w:r>
      <w:r>
        <w:t xml:space="preserve"> </w:t>
      </w:r>
      <w:r>
        <w:t>d</w:t>
      </w:r>
      <w:r>
        <w:t xml:space="preserve"> </w:t>
      </w:r>
      <w:r>
        <w:t>orbital coupling, weakening CO</w:t>
      </w:r>
      <w:r>
        <w:t xml:space="preserve"> </w:t>
      </w:r>
      <w:r>
        <w:t>*</w:t>
      </w:r>
      <w:r>
        <w:t xml:space="preserve"> </w:t>
      </w:r>
      <w:r>
        <w:t>adsorption, and promoting the HCOO</w:t>
      </w:r>
      <w:r>
        <w:t xml:space="preserve"> </w:t>
      </w:r>
      <w:r>
        <w:t>*</w:t>
      </w:r>
      <w:r>
        <w:t xml:space="preserve"> </w:t>
      </w:r>
      <w:r>
        <w:t>adsorption to facilitate the direct formate pathway. It breaks through the strain‐performance relationship bottleneck of traditional Pt‐based catalysts, providing an atomic‐scale design blueprint of efficient anodic catalysts for DFAFC.</w:t>
      </w:r>
    </w:p>
    <w:p>
      <w:pPr>
        <w:spacing w:before="120" w:after="120"/>
      </w:pPr>
      <w:r>
        <w:rPr>
          <w:sz w:val="18"/>
        </w:rPr>
        <w:t>——————————————————————————————————————————————————————————————————————</w:t>
      </w:r>
    </w:p>
    <w:p>
      <w:pPr>
        <w:spacing w:before="160" w:after="40" w:line="240" w:lineRule="auto"/>
      </w:pPr>
      <w:r>
        <w:rPr>
          <w:b/>
        </w:rPr>
        <w:t xml:space="preserve">[263] </w:t>
      </w:r>
      <w:hyperlink r:id="rId402">
        <w:r>
          <w:rPr>
            <w:color w:val="1155CC"/>
            <w:u w:val="single"/>
          </w:rPr>
          <w:t>通过对框架铝的协调环境进行操纵,形成催化酸性催化效应和催化效应</w:t>
        </w:r>
      </w:hyperlink>
    </w:p>
    <w:p>
      <w:pPr>
        <w:spacing w:before="0" w:after="80"/>
      </w:pPr>
      <w:r>
        <w:rPr>
          <w:i/>
          <w:sz w:val="20"/>
        </w:rPr>
        <w:t>EN: Steering Zeolite Brønsted Acidity and Catalytic Consequence Through Manipulating the Coordination Environment of Framework Aluminum</w:t>
      </w:r>
    </w:p>
    <w:p>
      <w:pPr>
        <w:spacing w:before="0" w:after="120"/>
      </w:pPr>
      <w:r>
        <w:rPr>
          <w:b/>
        </w:rPr>
        <w:t xml:space="preserve">Source: </w:t>
      </w:r>
      <w:r>
        <w:t>Wiley: Angewandte Chemie International Edition: Table of Contents</w:t>
      </w:r>
      <w:r>
        <w:t xml:space="preserve">    </w:t>
      </w:r>
      <w:r>
        <w:rPr>
          <w:b/>
        </w:rPr>
        <w:t xml:space="preserve">Pub date: </w:t>
      </w:r>
      <w:r>
        <w:t>2026-01-27 13:17:05+00:00</w:t>
      </w:r>
      <w:r>
        <w:t xml:space="preserve">    </w:t>
      </w:r>
      <w:r>
        <w:rPr>
          <w:b/>
        </w:rPr>
        <w:t xml:space="preserve">DOI: </w:t>
      </w:r>
      <w:hyperlink r:id="rId403">
        <w:r>
          <w:rPr>
            <w:color w:val="1155CC"/>
            <w:u w:val="single"/>
          </w:rPr>
          <w:t>10.1002/anie.202518228</w:t>
        </w:r>
      </w:hyperlink>
    </w:p>
    <w:p>
      <w:pPr>
        <w:spacing w:before="0" w:after="120"/>
      </w:pPr>
      <w:r>
        <w:rPr>
          <w:b/>
        </w:rPr>
        <w:t xml:space="preserve">Notes: </w:t>
      </w:r>
      <w:r>
        <w:t>abstract_source=crossref</w:t>
      </w:r>
    </w:p>
    <w:p>
      <w:pPr>
        <w:spacing w:before="0" w:after="80" w:lineRule="auto" w:line="276"/>
      </w:pPr>
      <w:r>
        <w:rPr>
          <w:b/>
        </w:rPr>
        <w:t xml:space="preserve">摘要（ZH）: </w:t>
      </w:r>
      <w:r>
        <w:t>Brønsted酸点在热聚苯乙烯中的强酸性常常导致无法控制的反应和迅速停止作用。因此,在战略上削弱精酸性对于平衡反应与稳定性的平衡至关重要。框架铝的当地协调环境通常决定其酸性。在高温度和湿湿性“工作”条件下,铝框架的氢化往往是不可避免的;然而,氢氧基协调对相关的酸性和催化行为的影响仍然不明确。在这里,我们展示了铝的战略中度酸性框架是如何氢化的,并增强了催化稳定性。密度功能理论(DFT)的计算预测,氢氧基群的上升将会导致碳化。</w:t>
      </w:r>
    </w:p>
    <w:p>
      <w:pPr>
        <w:spacing w:before="0" w:after="200" w:lineRule="auto" w:line="276"/>
      </w:pPr>
      <w:r>
        <w:rPr>
          <w:b/>
        </w:rPr>
        <w:t xml:space="preserve">Abstract (EN): </w:t>
      </w:r>
      <w:r>
        <w:t>The strong acidity of Brønsted acid sites in zeolites often leads to uncontrollable reactions and rapid deactivation. Therefore, strategically weakening zeolite acidity is essential for balancing reactivity with stability. The local coordination environment of framework aluminum usually governs its acidity. Hydroxylation of framework aluminum is often inevitable under high‐temperature and humid “working” conditions; however, the impact of hydroxyl coordination on the relevant acidity and catalytic behavior remains unclear. Here, we demonstrate how hydroxylation of framework aluminum strategically moderates acidity and enhances catalytic stability. Density functional theory (DFT) calculations predict that an increase in the hydroxyl groups coordinated to framework aluminum leads to a progressive weakening of Brønsted acidity. We experimentally validate this prediction by precisely manipulating hydroxylation in ZSM‐5 zeolite via steaming treatment and analyzing the effects using 2D NMR spectroscopy with 2–</w:t>
      </w:r>
      <w:r>
        <w:rPr>
          <w:vertAlign w:val="subscript"/>
        </w:rPr>
        <w:t>13</w:t>
      </w:r>
      <w:r>
        <w:t>C‐acetone as a probe molecule. The hydroxylated aluminum sites exhibit reduced adsorption and activation of methanol in the dehydration reaction, consistent with their weaker acidity. Catalytic tests reveal that the hydroxylated samples significantly enhance catalyst lifespan in the MTO process, while preserving stable reactivity. These findings provide key insights into how coordination perturbations influence zeolite acidity and catalytic performance, offering valuable guidance for designing zeolites with targeted catalytic functions.</w:t>
      </w:r>
    </w:p>
    <w:p>
      <w:pPr>
        <w:spacing w:before="120" w:after="120"/>
      </w:pPr>
      <w:r>
        <w:rPr>
          <w:sz w:val="18"/>
        </w:rPr>
        <w:t>——————————————————————————————————————————————————————————————————————</w:t>
      </w:r>
    </w:p>
    <w:p>
      <w:pPr>
        <w:spacing w:before="160" w:after="40" w:line="240" w:lineRule="auto"/>
      </w:pPr>
      <w:r>
        <w:rPr>
          <w:b/>
        </w:rPr>
        <w:t xml:space="preserve">[264] </w:t>
      </w:r>
      <w:hyperlink r:id="rId404">
        <w:r>
          <w:rPr>
            <w:color w:val="1155CC"/>
            <w:u w:val="single"/>
          </w:rPr>
          <w:t>多功能水文凝胶界面:重新塑造灵活电子的未来</w:t>
        </w:r>
      </w:hyperlink>
    </w:p>
    <w:p>
      <w:pPr>
        <w:spacing w:before="0" w:after="80"/>
      </w:pPr>
      <w:r>
        <w:rPr>
          <w:i/>
          <w:sz w:val="20"/>
        </w:rPr>
        <w:t>EN: Multifunctional Hydrogel Interfaces: Reshaping the Future of Flexible Electronics</w:t>
      </w:r>
    </w:p>
    <w:p>
      <w:pPr>
        <w:spacing w:before="0" w:after="120"/>
      </w:pPr>
      <w:r>
        <w:rPr>
          <w:b/>
        </w:rPr>
        <w:t xml:space="preserve">Source: </w:t>
      </w:r>
      <w:r>
        <w:t>Wiley: Advanced Materials: Table of Contents</w:t>
      </w:r>
      <w:r>
        <w:t xml:space="preserve">    </w:t>
      </w:r>
      <w:r>
        <w:rPr>
          <w:b/>
        </w:rPr>
        <w:t xml:space="preserve">Pub date: </w:t>
      </w:r>
      <w:r>
        <w:t>2026-01-27 13:17:20+00:00</w:t>
      </w:r>
      <w:r>
        <w:t xml:space="preserve">    </w:t>
      </w:r>
      <w:r>
        <w:rPr>
          <w:b/>
        </w:rPr>
        <w:t xml:space="preserve">DOI: </w:t>
      </w:r>
      <w:hyperlink r:id="rId405">
        <w:r>
          <w:rPr>
            <w:color w:val="1155CC"/>
            <w:u w:val="single"/>
          </w:rPr>
          <w:t>10.1002/adma.202520644</w:t>
        </w:r>
      </w:hyperlink>
    </w:p>
    <w:p>
      <w:pPr>
        <w:spacing w:before="0" w:after="120"/>
      </w:pPr>
      <w:r>
        <w:rPr>
          <w:b/>
        </w:rPr>
        <w:t xml:space="preserve">Notes: </w:t>
      </w:r>
      <w:r>
        <w:t>abstract_source=crossref</w:t>
      </w:r>
    </w:p>
    <w:p>
      <w:pPr>
        <w:spacing w:before="0" w:after="80" w:lineRule="auto" w:line="276"/>
      </w:pPr>
      <w:r>
        <w:rPr>
          <w:b/>
        </w:rPr>
        <w:t xml:space="preserve">摘要（ZH）: </w:t>
      </w:r>
      <w:r>
        <w:t>ABSTACT 灵活电子设备正在从单一功能装置向能够多式感知和闭环操作的智能系统过渡,多功能水文凝胶由于结构裁缝、生物模拟兼容性、动态响应性和特殊的交互特性,已成为下一代电子设备的核心平台。本审查报告概述了流凝电子设备跨越分子战略和微型结构结构的跨尺度设计路径,以形成宏观功能(mechano-eectrotherotherothero-homoze-化学反应)和系统级整合。我们严格地调查了基于水凝胶的应用,包括可穿式健康监测、电子皮肤、软机器人和系统级整合。</w:t>
      </w:r>
    </w:p>
    <w:p>
      <w:pPr>
        <w:spacing w:before="0" w:after="200" w:lineRule="auto" w:line="276"/>
      </w:pPr>
      <w:r>
        <w:rPr>
          <w:b/>
        </w:rPr>
        <w:t xml:space="preserve">Abstract (EN): </w:t>
      </w:r>
      <w:r>
        <w:t>Flexible electronics is undergoing a transition from single‐function devices to intelligent systems capable of multimodal perception and closed‐loop operation. Multifunctional hydrogels have emerged as a core platform for next‐generation electronics, owing to their structural tailorability, biomimetic compatibility, dynamic responsiveness, and exceptional interfacial properties. This review outlines a cross‐scale design pathway of hydrogel electronics spanning molecular strategies and microstructural architectures to macroscopic functionalities (mechano‐electro‐thermo‐chemical responses) and system‐level integration. We critically survey recent advancements in hydrogel‐based applications, including wearable health monitoring, electronic skin, soft robotics, and self‐powered devices, highlighting their unique advantages in high‐fidelity signal acquisition, autonomous energy management, and long‐term stability under complex conditions. Furthermore, we explore how AI‐driven inverse design, digital twins, and in situ characterization are accelerating the shift from empirical to model‐driven development of hydrogel electronics. A performance evaluation framework based on the “energy–signal coupling coefficient” is introduced, combining with green design principles promoting circular sustainability. Finally, we outline future challenges and opportunities to achieve extreme environmental adaptability and promote standardization and scalable manufacturing. Interdisciplinary integration and AI‐assisted multimodal data analytics will ultimately advance hydrogel electronics from functional devices to fully intelligent bio‐integrated systems.</w:t>
      </w:r>
    </w:p>
    <w:p>
      <w:pPr>
        <w:spacing w:before="120" w:after="120"/>
      </w:pPr>
      <w:r>
        <w:rPr>
          <w:sz w:val="18"/>
        </w:rPr>
        <w:t>——————————————————————————————————————————————————————————————————————</w:t>
      </w:r>
    </w:p>
    <w:p>
      <w:pPr>
        <w:spacing w:before="160" w:after="40" w:line="240" w:lineRule="auto"/>
      </w:pPr>
      <w:r>
        <w:rPr>
          <w:b/>
        </w:rPr>
        <w:t xml:space="preserve">[265] </w:t>
      </w:r>
      <w:hyperlink r:id="rId406">
        <w:r>
          <w:rPr>
            <w:color w:val="1155CC"/>
            <w:u w:val="single"/>
          </w:rPr>
          <w:t>用于加速和高能加速和高能-乙酰氯甲烷烃氢储存的超极硫氨基纳米表</w:t>
        </w:r>
      </w:hyperlink>
    </w:p>
    <w:p>
      <w:pPr>
        <w:spacing w:before="0" w:after="80"/>
      </w:pPr>
      <w:r>
        <w:rPr>
          <w:i/>
          <w:sz w:val="20"/>
        </w:rPr>
        <w:t>EN: Phosphorus Vacancy‐Engineered Ultrathin RuP Nanosheets for Accelerated and High‐Capacity N‐Ethylcarbazole Hydrogen Storage</w:t>
      </w:r>
    </w:p>
    <w:p>
      <w:pPr>
        <w:spacing w:before="0" w:after="120"/>
      </w:pPr>
      <w:r>
        <w:rPr>
          <w:b/>
        </w:rPr>
        <w:t xml:space="preserve">Source: </w:t>
      </w:r>
      <w:r>
        <w:t>Wiley: Angewandte Chemie International Edition: Table of Contents</w:t>
      </w:r>
      <w:r>
        <w:t xml:space="preserve">    </w:t>
      </w:r>
      <w:r>
        <w:rPr>
          <w:b/>
        </w:rPr>
        <w:t xml:space="preserve">Pub date: </w:t>
      </w:r>
      <w:r>
        <w:t>2026-01-27 13:17:37+00:00</w:t>
      </w:r>
      <w:r>
        <w:t xml:space="preserve">    </w:t>
      </w:r>
      <w:r>
        <w:rPr>
          <w:b/>
        </w:rPr>
        <w:t xml:space="preserve">DOI: </w:t>
      </w:r>
      <w:hyperlink r:id="rId407">
        <w:r>
          <w:rPr>
            <w:color w:val="1155CC"/>
            <w:u w:val="single"/>
          </w:rPr>
          <w:t>10.1002/anie.202512754</w:t>
        </w:r>
      </w:hyperlink>
    </w:p>
    <w:p>
      <w:pPr>
        <w:spacing w:before="0" w:after="120"/>
      </w:pPr>
      <w:r>
        <w:rPr>
          <w:b/>
        </w:rPr>
        <w:t xml:space="preserve">Notes: </w:t>
      </w:r>
      <w:r>
        <w:t>abstract_source=crossref</w:t>
      </w:r>
    </w:p>
    <w:p>
      <w:pPr>
        <w:spacing w:before="0" w:after="80" w:lineRule="auto" w:line="276"/>
      </w:pPr>
      <w:r>
        <w:rPr>
          <w:b/>
        </w:rPr>
        <w:t xml:space="preserve">摘要（ZH）: </w:t>
      </w:r>
      <w:r>
        <w:t>精确地为液体有机氢载体(LOHCs)建造高效和耐久的催化剂,对于大规模氢的储存和运输至关重要。在这项工作中,我们提供了富含磷的超硫磷纳米表盐板合成材料(URuPv),该催化剂展示了N乙基卡巴诺(NEC)氢化的显著催化性能,实现了完全的NEC转换,在180°C和7 MPa H2的1.0 h范围内实现了12HNEC的98.11%的产量。活动增加的原因是超硫氨纳米表的丰富磷含量空缺,该表对邻近的Ruoms的电子配置进行了调制,产生了电子精液Ru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0" w:after="200" w:lineRule="auto" w:line="276"/>
      </w:pPr>
      <w:r>
        <w:rPr>
          <w:b/>
        </w:rPr>
        <w:t xml:space="preserve">Abstract (EN): </w:t>
      </w:r>
      <w:r>
        <w:t>Precisely constructing efficient and durable catalysts for liquid organic hydrogen carriers (LOHCs) is essential for large‐scale hydrogen storage and transport. In this work, we present a salt‐templated synthesis of ultrathin ruthenium phosphide nanosheets enriched with phosphorus vacancy (U‐RuPv). The catalyst exhibits remarkable catalytic performance for N‐ethylcarbazole (NEC) hydrogenation, achieving complete NEC conversion and a 98.11% yield of 12H‐NEC within 1.0 h at 180 °C and 7 MPa H</w:t>
      </w:r>
      <w:r>
        <w:rPr>
          <w:vertAlign w:val="subscript"/>
        </w:rPr>
        <w:t>2</w:t>
      </w:r>
      <w:r>
        <w:t>. The enhanced activity arises from abundant phosphorus vacancies on ultrathin RuP nanosheets, which modulate the electron configuration of adjacent Ru atoms, generating electron‐rich Ru</w:t>
      </w:r>
      <w:r>
        <w:t xml:space="preserve"> </w:t>
      </w:r>
      <w:r>
        <w:t>σ+</w:t>
      </w:r>
      <w:r>
        <w:t xml:space="preserve"> </w:t>
      </w:r>
      <w:r>
        <w:t>(0&amp;lt;σ&amp;lt;3) active sites that promote efficient hydrogen activation and spillover. Density functional theory (DFT) calculations reveal that these vacancies induce local charge redistribution and a downward shift in the d‐band center, facilitating hydrogen desorption and NEC activation. This work highlights a dual‐engineering approach combining ultrathin nanoarchitectures and defect chemistry to advance LOHCs catalytic performance, offering new insights for catalyst design in hydrogen storage applications.</w:t>
      </w:r>
    </w:p>
    <w:p>
      <w:pPr>
        <w:spacing w:before="120" w:after="120"/>
      </w:pPr>
      <w:r>
        <w:rPr>
          <w:sz w:val="18"/>
        </w:rPr>
        <w:t>——————————————————————————————————————————————————————————————————————</w:t>
      </w:r>
    </w:p>
    <w:p>
      <w:pPr>
        <w:spacing w:before="160" w:after="40" w:line="240" w:lineRule="auto"/>
      </w:pPr>
      <w:r>
        <w:rPr>
          <w:b/>
        </w:rPr>
        <w:t xml:space="preserve">[266] </w:t>
      </w:r>
      <w:hyperlink r:id="rId408">
        <w:r>
          <w:rPr>
            <w:color w:val="1155CC"/>
            <w:u w:val="single"/>
          </w:rPr>
          <w:t>通过两维共值有机框架通过两层电静电反转,使两维共值有机框架中的旋转流动流动</w:t>
        </w:r>
      </w:hyperlink>
    </w:p>
    <w:p>
      <w:pPr>
        <w:spacing w:before="0" w:after="80"/>
      </w:pPr>
      <w:r>
        <w:rPr>
          <w:i/>
          <w:sz w:val="20"/>
        </w:rPr>
        <w:t>EN: Enabling Rotated Stacking Displacement in Two‐Dimensional Covalent Organic Frameworks via Interlayer Electrostatic Repulsion</w:t>
      </w:r>
    </w:p>
    <w:p>
      <w:pPr>
        <w:spacing w:before="0" w:after="120"/>
      </w:pPr>
      <w:r>
        <w:rPr>
          <w:b/>
        </w:rPr>
        <w:t xml:space="preserve">Source: </w:t>
      </w:r>
      <w:r>
        <w:t>Wiley: Angewandte Chemie International Edition: Table of Contents</w:t>
      </w:r>
      <w:r>
        <w:t xml:space="preserve">    </w:t>
      </w:r>
      <w:r>
        <w:rPr>
          <w:b/>
        </w:rPr>
        <w:t xml:space="preserve">Pub date: </w:t>
      </w:r>
      <w:r>
        <w:t>2026-01-27 13:19:44+00:00</w:t>
      </w:r>
      <w:r>
        <w:t xml:space="preserve">    </w:t>
      </w:r>
      <w:r>
        <w:rPr>
          <w:b/>
        </w:rPr>
        <w:t xml:space="preserve">DOI: </w:t>
      </w:r>
      <w:hyperlink r:id="rId409">
        <w:r>
          <w:rPr>
            <w:color w:val="1155CC"/>
            <w:u w:val="single"/>
          </w:rPr>
          <w:t>10.1002/anie.202524407</w:t>
        </w:r>
      </w:hyperlink>
    </w:p>
    <w:p>
      <w:pPr>
        <w:spacing w:before="0" w:after="120"/>
      </w:pPr>
      <w:r>
        <w:rPr>
          <w:b/>
        </w:rPr>
        <w:t xml:space="preserve">Notes: </w:t>
      </w:r>
      <w:r>
        <w:t>abstract_source=crossref</w:t>
      </w:r>
    </w:p>
    <w:p>
      <w:pPr>
        <w:spacing w:before="0" w:after="80" w:lineRule="auto" w:line="276"/>
      </w:pPr>
      <w:r>
        <w:rPr>
          <w:b/>
        </w:rPr>
        <w:t xml:space="preserve">摘要（ZH）: </w:t>
      </w:r>
      <w:r>
        <w:t>在 2D 共价有机框架(2D COF) 中测算层间堆叠的 ABSTRACT 在 2D 共价有机框架(2D COF) 中测算层层间堆叠具有独特的结构和光电子特性。 但是, 2D COF 堆叠模式的多样性仅限于日蚀、悬浮和转移堆叠。 在这项研究中,我们开发了一种方法,用调制的跨层电离电反转堆叠来构造COF 。 通过三聚胺和有或没有基替代成分的拨丁甲双甲单体之间的反应,获得了旋转或变色堆叠堆叠的COF 。 重要的是, 基次成分的调制使得不同堆叠模式的转换以及变形材料的转换成为晶体材料。 此外,基于多种成分的堆叠调节策略被发现为效果。</w:t>
      </w:r>
    </w:p>
    <w:p>
      <w:pPr>
        <w:spacing w:before="0" w:after="200" w:lineRule="auto" w:line="276"/>
      </w:pPr>
      <w:r>
        <w:rPr>
          <w:b/>
        </w:rPr>
        <w:t xml:space="preserve">Abstract (EN): </w:t>
      </w:r>
      <w:r>
        <w:t>Tuning the interlayer stacking in 2D covalent organic frameworks (2D COFs) allows unique structural and optoelectronic properties. However, the diversity of 2D COF stacking modes is limited to eclipsed, serrated, and shifted stacking. In this study, we develop a method for constructing COFs with rotated stacking by modulating interlayer electrostatic repulsion. COFs with rotated or eclipsed (AA) stacking are obtained via reactions between triamine and dialdehyde monomers with or without pyridinium substituents. Importantly, the modulation of pyridinium substituents enables the transformation of different stacking modes, as well as the conversion of amorphous to crystalline materials. Moreover, multicomponent‐based stacking regulation strategies are found to efficiently mediate photocatalytic hydrogen peroxide production, owing to their tunable photophysical properties. Our findings provide perspectives on leveraging interlayer repulsion to tailor interlayer stacking in 2D COFs, thereby diversifying their topologies and improving their optoelectronic properties.</w:t>
      </w:r>
    </w:p>
    <w:p>
      <w:pPr>
        <w:spacing w:before="120" w:after="120"/>
      </w:pPr>
      <w:r>
        <w:rPr>
          <w:sz w:val="18"/>
        </w:rPr>
        <w:t>——————————————————————————————————————————————————————————————————————</w:t>
      </w:r>
    </w:p>
    <w:p>
      <w:pPr>
        <w:spacing w:before="160" w:after="40" w:line="240" w:lineRule="auto"/>
      </w:pPr>
      <w:r>
        <w:rPr>
          <w:b/>
        </w:rPr>
        <w:t xml:space="preserve">[267] </w:t>
      </w:r>
      <w:hyperlink r:id="rId410">
        <w:r>
          <w:rPr>
            <w:color w:val="1155CC"/>
            <w:u w:val="single"/>
          </w:rPr>
          <w:t>近红外红外线活性多光速多光伏光电催化系统,通过COC发电和OH生产促进同步治疗</w:t>
        </w:r>
      </w:hyperlink>
    </w:p>
    <w:p>
      <w:pPr>
        <w:spacing w:before="0" w:after="80"/>
      </w:pPr>
      <w:r>
        <w:rPr>
          <w:i/>
          <w:sz w:val="20"/>
        </w:rPr>
        <w:t>EN: Near‐Infrared‐Activated Multiphoton Photocatalytic System for Synergistic Therapy via CO Generation and •OH Production</w:t>
      </w:r>
    </w:p>
    <w:p>
      <w:pPr>
        <w:spacing w:before="0" w:after="120"/>
      </w:pPr>
      <w:r>
        <w:rPr>
          <w:b/>
        </w:rPr>
        <w:t xml:space="preserve">Source: </w:t>
      </w:r>
      <w:r>
        <w:t>Wiley: Angewandte Chemie International Edition: Table of Contents</w:t>
      </w:r>
      <w:r>
        <w:t xml:space="preserve">    </w:t>
      </w:r>
      <w:r>
        <w:rPr>
          <w:b/>
        </w:rPr>
        <w:t xml:space="preserve">Pub date: </w:t>
      </w:r>
      <w:r>
        <w:t>2026-01-27 13:21:25+00:00</w:t>
      </w:r>
      <w:r>
        <w:t xml:space="preserve">    </w:t>
      </w:r>
      <w:r>
        <w:rPr>
          <w:b/>
        </w:rPr>
        <w:t xml:space="preserve">DOI: </w:t>
      </w:r>
      <w:hyperlink r:id="rId411">
        <w:r>
          <w:rPr>
            <w:color w:val="1155CC"/>
            <w:u w:val="single"/>
          </w:rPr>
          <w:t>10.1002/anie.202524756</w:t>
        </w:r>
      </w:hyperlink>
    </w:p>
    <w:p>
      <w:pPr>
        <w:spacing w:before="0" w:after="120"/>
      </w:pPr>
      <w:r>
        <w:rPr>
          <w:b/>
        </w:rPr>
        <w:t xml:space="preserve">Notes: </w:t>
      </w:r>
      <w:r>
        <w:t>abstract_source=crossref</w:t>
      </w:r>
    </w:p>
    <w:p>
      <w:pPr>
        <w:spacing w:before="0" w:after="80" w:lineRule="auto" w:line="276"/>
      </w:pPr>
      <w:r>
        <w:rPr>
          <w:b/>
        </w:rPr>
        <w:t xml:space="preserve">摘要（ZH）: </w:t>
      </w:r>
      <w:r>
        <w:t>ABSTACT 轻触控一氧化碳(CO)释放是一种很有希望的癌症治疗方法,但受到光的低组织渗透率和深肿瘤微环境中CO释放率不足的限制。 由近红外(NIR)的活性多光化多光化透析所启发,首次报告了一个新颖的基于锌的基于金属的金属框架(ZnTBH),通过在深层肿瘤中结合CO气体治疗和光动力学治疗(PDT),使NIR中枢的协同疗法能够有效发挥作用。 工程的MOF将V形Tröger的衍生物(TTB)与作为有机连接器的AA配置结合,协同加强CO2的吸附以克服。</w:t>
      </w:r>
    </w:p>
    <w:p>
      <w:pPr>
        <w:spacing w:before="0" w:after="200" w:lineRule="auto" w:line="276"/>
      </w:pPr>
      <w:r>
        <w:rPr>
          <w:b/>
        </w:rPr>
        <w:t xml:space="preserve">Abstract (EN): </w:t>
      </w:r>
      <w:r>
        <w:t>Light‐triggered controllable carbon monoxide (CO) release represents a promising approach for cancer therapy but is limited by the poor tissue penetration of light and insufficient CO release rates within deep tumor microenvironments. Herein, inspired by near‐infrared (NIR)‐activated multiphoton photocatalysis, a novel zinc‐based metal‐organic framework (ZnTBH) is reported, for the first time, to enable effective NIR‐mediated synergistic therapy through combined CO gas therapy and photodynamic therapy (PDT) in deep‐seated tumors. The engineered MOF integrates a V‐shaped Tröger's base (TB) derivative with an A‐π‐A configuration as the organic linker, synergistically enhancing CO</w:t>
      </w:r>
      <w:r>
        <w:rPr>
          <w:vertAlign w:val="subscript"/>
        </w:rPr>
        <w:t>2</w:t>
      </w:r>
      <w:r>
        <w:t>adsorption to overcome the “dilute CO</w:t>
      </w:r>
      <w:r>
        <w:rPr>
          <w:vertAlign w:val="subscript"/>
        </w:rPr>
        <w:t>2</w:t>
      </w:r>
      <w:r>
        <w:t>” challenge in tumors while enabling efficient endogenous CO</w:t>
      </w:r>
      <w:r>
        <w:rPr>
          <w:vertAlign w:val="subscript"/>
        </w:rPr>
        <w:t>2</w:t>
      </w:r>
      <w:r>
        <w:t>‐to‐CO conversion via NIR‐driven multiphoton photocatalysis. Moreover, the photogenerated holes localize on biphenyl‐4,4'‐dicarboxylic acid can drive water oxidation to hydroxyl radicals (•OH), thereby further improving therapeutic efficacy. This study presents a significant advancement in the design of NIR light‐driven photocatalytic systems for safe, precise, and localized CO delivery, offering new opportunities for CO‐based or combination therapies in the treatment of deep‐seated tumors.</w:t>
      </w:r>
    </w:p>
    <w:p>
      <w:pPr>
        <w:spacing w:before="120" w:after="120"/>
      </w:pPr>
      <w:r>
        <w:rPr>
          <w:sz w:val="18"/>
        </w:rPr>
        <w:t>——————————————————————————————————————————————————————————————————————</w:t>
      </w:r>
    </w:p>
    <w:p>
      <w:pPr>
        <w:spacing w:before="160" w:after="40" w:line="240" w:lineRule="auto"/>
      </w:pPr>
      <w:r>
        <w:rPr>
          <w:b/>
        </w:rPr>
        <w:t xml:space="preserve">[268] </w:t>
      </w:r>
      <w:hyperlink r:id="rId412">
        <w:r>
          <w:rPr>
            <w:color w:val="1155CC"/>
            <w:u w:val="single"/>
          </w:rPr>
          <w:t>生物模拟水囊多物理学和生物动力学动力学动力学大会</w:t>
        </w:r>
      </w:hyperlink>
    </w:p>
    <w:p>
      <w:pPr>
        <w:spacing w:before="0" w:after="80"/>
      </w:pPr>
      <w:r>
        <w:rPr>
          <w:i/>
          <w:sz w:val="20"/>
        </w:rPr>
        <w:t>EN: Multiphysics‐Driven Assembly of Biomimetic Vesicles</w:t>
      </w:r>
    </w:p>
    <w:p>
      <w:pPr>
        <w:spacing w:before="0" w:after="120"/>
      </w:pPr>
      <w:r>
        <w:rPr>
          <w:b/>
        </w:rPr>
        <w:t xml:space="preserve">Source: </w:t>
      </w:r>
      <w:r>
        <w:t>Wiley: Advanced Materials: Table of Contents</w:t>
      </w:r>
      <w:r>
        <w:t xml:space="preserve">    </w:t>
      </w:r>
      <w:r>
        <w:rPr>
          <w:b/>
        </w:rPr>
        <w:t xml:space="preserve">Pub date: </w:t>
      </w:r>
      <w:r>
        <w:t>2026-01-27 13:22:04+00:00</w:t>
      </w:r>
      <w:r>
        <w:t xml:space="preserve">    </w:t>
      </w:r>
      <w:r>
        <w:rPr>
          <w:b/>
        </w:rPr>
        <w:t xml:space="preserve">DOI: </w:t>
      </w:r>
      <w:hyperlink r:id="rId413">
        <w:r>
          <w:rPr>
            <w:color w:val="1155CC"/>
            <w:u w:val="single"/>
          </w:rPr>
          <w:t>10.1002/adma.202518755</w:t>
        </w:r>
      </w:hyperlink>
    </w:p>
    <w:p>
      <w:pPr>
        <w:spacing w:before="0" w:after="120"/>
      </w:pPr>
      <w:r>
        <w:rPr>
          <w:b/>
        </w:rPr>
        <w:t xml:space="preserve">Notes: </w:t>
      </w:r>
      <w:r>
        <w:t>abstract_source=crossref</w:t>
      </w:r>
    </w:p>
    <w:p>
      <w:pPr>
        <w:spacing w:before="0" w:after="80" w:lineRule="auto" w:line="276"/>
      </w:pPr>
      <w:r>
        <w:rPr>
          <w:b/>
        </w:rPr>
        <w:t xml:space="preserve">摘要（ZH）: </w:t>
      </w:r>
      <w:r>
        <w:t>ABSTACT 人工外细胞囊囊(AEVs)是可编程、生物模拟材料,将自然秘密外细胞囊(NEVs)的结构和生物复杂性与合成纳米纳米材料的设计灵活性相结合,并结合了自然秘密外细胞囊(NEVs)的结构和生物复杂性,开发了多物理驱动微氟化物,以便有效地将纳米刀辅助膜膜破裂与流动动态和可复制、高质量、可缩缩缩和标准化生产AEVs的声温热调节结合起来。</w:t>
      </w:r>
    </w:p>
    <w:p>
      <w:pPr>
        <w:spacing w:before="0" w:after="200" w:lineRule="auto" w:line="276"/>
      </w:pPr>
      <w:r>
        <w:rPr>
          <w:b/>
        </w:rPr>
        <w:t xml:space="preserve">Abstract (EN): </w:t>
      </w:r>
      <w:r>
        <w:t>Artificial extracellular vesicles (AEVs) are programmable, biomimetic materials that combine the structural and biological complexity of naturally secreted extracellular vesicles (NEVs) with the design flexibility of synthetic nanomaterials. A multiphysics‐driven microfluidics is developed to efficiently integrate the nanoknife‐assisted membrane rupture with flow dynamics and acoustothermal modulation for the reproducible, high‐yield, scalable, and standardized production of AEVs. Compared to empirical mechanical processes, this integrated microfluidic workflow, which exploits physical and biological insights for EV production, enables multiphysics‐based predictions for a precise control of material inputs, flow dynamics, and cell‐knife interactions within the channel. The biomimetic AEVs developed through this integrated, optimized single‐flow platform, with a sustained and efficient therapeutic encapsulation process, preserve native protein architectures to conduct biomimetic mechanisms of immune modulation and homologous targeting. The standardizable microfluidic platform paves the way for a structure–process–function design strategy, enabling the formation of scalable, adaptive biomaterials for the development of bioinspired interfacial engineering and biomedicine.</w:t>
      </w:r>
    </w:p>
    <w:p>
      <w:pPr>
        <w:spacing w:before="120" w:after="120"/>
      </w:pPr>
      <w:r>
        <w:rPr>
          <w:sz w:val="18"/>
        </w:rPr>
        <w:t>——————————————————————————————————————————————————————————————————————</w:t>
      </w:r>
    </w:p>
    <w:p>
      <w:pPr>
        <w:spacing w:before="160" w:after="40" w:line="240" w:lineRule="auto"/>
      </w:pPr>
      <w:r>
        <w:rPr>
          <w:b/>
        </w:rPr>
        <w:t xml:space="preserve">[269] </w:t>
      </w:r>
      <w:hyperlink r:id="rId414">
        <w:r>
          <w:rPr>
            <w:color w:val="1155CC"/>
            <w:u w:val="single"/>
          </w:rPr>
          <w:t>建造Chiral Frustrtraded Lewis Pair框架,以高效对称体流化和天体分离</w:t>
        </w:r>
      </w:hyperlink>
    </w:p>
    <w:p>
      <w:pPr>
        <w:spacing w:before="0" w:after="80"/>
      </w:pPr>
      <w:r>
        <w:rPr>
          <w:i/>
          <w:sz w:val="20"/>
        </w:rPr>
        <w:t>EN: Construction of Chiral Frustrated Lewis Pair Framework for Efficient Asymmetric Hydrosilylation of Imines and Enantiomeric Separation</w:t>
      </w:r>
    </w:p>
    <w:p>
      <w:pPr>
        <w:spacing w:before="0" w:after="120"/>
      </w:pPr>
      <w:r>
        <w:rPr>
          <w:b/>
        </w:rPr>
        <w:t xml:space="preserve">Source: </w:t>
      </w:r>
      <w:r>
        <w:t>Wiley: Angewandte Chemie International Edition: Table of Contents</w:t>
      </w:r>
      <w:r>
        <w:t xml:space="preserve">    </w:t>
      </w:r>
      <w:r>
        <w:rPr>
          <w:b/>
        </w:rPr>
        <w:t xml:space="preserve">Pub date: </w:t>
      </w:r>
      <w:r>
        <w:t>2026-01-27 13:24:09+00:00</w:t>
      </w:r>
      <w:r>
        <w:t xml:space="preserve">    </w:t>
      </w:r>
      <w:r>
        <w:rPr>
          <w:b/>
        </w:rPr>
        <w:t xml:space="preserve">DOI: </w:t>
      </w:r>
      <w:hyperlink r:id="rId415">
        <w:r>
          <w:rPr>
            <w:color w:val="1155CC"/>
            <w:u w:val="single"/>
          </w:rPr>
          <w:t>10.1002/anie.202524061</w:t>
        </w:r>
      </w:hyperlink>
    </w:p>
    <w:p>
      <w:pPr>
        <w:spacing w:before="0" w:after="120"/>
      </w:pPr>
      <w:r>
        <w:rPr>
          <w:b/>
        </w:rPr>
        <w:t xml:space="preserve">Notes: </w:t>
      </w:r>
      <w:r>
        <w:t>abstract_source=crossref</w:t>
      </w:r>
    </w:p>
    <w:p>
      <w:pPr>
        <w:spacing w:before="0" w:after="80" w:lineRule="auto" w:line="276"/>
      </w:pPr>
      <w:r>
        <w:rPr>
          <w:b/>
        </w:rPr>
        <w:t xml:space="preserve">摘要（ZH）: </w:t>
      </w:r>
      <w:r>
        <w:t>建立稳定而高度晶晶体气压挫败的刘易斯双胞胎(FLP)框架可以提高其在实际转化反应中应用的前景;然而,合成方法的缺乏严重妨碍了手性FLP框架的开发。根据相容性性能理论,我们通过在动态笼子向COF转变过程中利用手性记忆效应,成功地制定了一系列手性基刘易斯基共价有机框架(PCOFs),这些POFs随后与三(五氟联苯)borane提供手性FLP框架(CFLPs)相结合,从而有效地刺激了阿片非对称的氢化。CFLP1具有最佳的催化性能、地法利。</w:t>
      </w:r>
    </w:p>
    <w:p>
      <w:pPr>
        <w:spacing w:before="0" w:after="200" w:lineRule="auto" w:line="276"/>
      </w:pPr>
      <w:r>
        <w:rPr>
          <w:b/>
        </w:rPr>
        <w:t xml:space="preserve">Abstract (EN): </w:t>
      </w:r>
      <w:r>
        <w:t>Construction of stable and highly crystalline chiral frustrated Lewis pair (FLP) frameworks can enhance their prospects for application in practical transformation reactions; however, the scarcity of synthetic approaches has strongly hindered the development of chiral FLP frameworks. Based on the conformational chirality theory, we successfully prepared a series of chiral Lewis base‐centered covalent organic frameworks (PCOFs) by leveraging the chiral memory effect during the dynamic cage‐to‐COF transformation. Subsequent integration of these PCOFs with tris(pentafluorophenyl)borane afforded chiral FLP frameworks (CFLPs), which efficiently catalyzed the asymmetric hydrogenation of imines. CFLP‐1 exhibited optimal catalytic performance, facilitating the hydrosilylation of imines with a product yield exceeding 99% and an enantiomeric excess (ee) of 85%. CFLP‐1 was then deposited onto a nylon membrane to fabricate a CFLP‐nylon composite membrane. This modification not only significantly enhanced the reaction rate but also enabled chiral resolution of the product, achieving a turnover frequency (TOF) of 209.37 h</w:t>
      </w:r>
      <w:r>
        <w:t xml:space="preserve"> </w:t>
      </w:r>
      <w:r>
        <w:t>−</w:t>
      </w:r>
      <w:r>
        <w:rPr>
          <w:vertAlign w:val="subscript"/>
        </w:rPr>
        <w:t>1</w:t>
      </w:r>
      <w:r>
        <w:t>and an ee value of 98%. These results demonstrate that the novel CFLP material has broad application prospects in heterogeneous asymmetric catalysis and enantiomeric separation.</w:t>
      </w:r>
    </w:p>
    <w:p>
      <w:pPr>
        <w:spacing w:before="120" w:after="120"/>
      </w:pPr>
      <w:r>
        <w:rPr>
          <w:sz w:val="18"/>
        </w:rPr>
        <w:t>——————————————————————————————————————————————————————————————————————</w:t>
      </w:r>
    </w:p>
    <w:p>
      <w:pPr>
        <w:spacing w:before="160" w:after="40" w:line="240" w:lineRule="auto"/>
      </w:pPr>
      <w:r>
        <w:rPr>
          <w:b/>
        </w:rPr>
        <w:t xml:space="preserve">[270] </w:t>
      </w:r>
      <w:hyperlink r:id="rId416">
        <w:r>
          <w:rPr>
            <w:color w:val="1155CC"/>
            <w:u w:val="single"/>
          </w:rPr>
          <w:t>[ASAP] 由Spirobipyridine Ligand遥控雷吉控制而实现的阿雷恩斯的子子子子子(C-H)元选择性C-H振动</w:t>
        </w:r>
      </w:hyperlink>
    </w:p>
    <w:p>
      <w:pPr>
        <w:spacing w:before="0" w:after="80"/>
      </w:pPr>
      <w:r>
        <w:rPr>
          <w:i/>
          <w:sz w:val="20"/>
        </w:rPr>
        <w:t>EN: [ASAP] Iridium-Catalyzed meta-Selective C–H Silylation of Arenes Enabled by Remote Regiocontrol with a Spirobipyridine Ligand</w:t>
      </w:r>
    </w:p>
    <w:p>
      <w:pPr>
        <w:spacing w:before="0" w:after="120"/>
      </w:pPr>
      <w:r>
        <w:rPr>
          <w:b/>
        </w:rPr>
        <w:t xml:space="preserve">Source: </w:t>
      </w:r>
      <w:r>
        <w:t>Journal of the American Chemical Society: Latest Articles (ACS Publications)</w:t>
      </w:r>
      <w:r>
        <w:t xml:space="preserve">    </w:t>
      </w:r>
      <w:r>
        <w:rPr>
          <w:b/>
        </w:rPr>
        <w:t xml:space="preserve">Pub date: </w:t>
      </w:r>
      <w:r>
        <w:t>2026-01-27 13:24:13+00:00</w:t>
      </w:r>
      <w:r>
        <w:t xml:space="preserve">    </w:t>
      </w:r>
      <w:r>
        <w:rPr>
          <w:b/>
        </w:rPr>
        <w:t xml:space="preserve">DOI: </w:t>
      </w:r>
      <w:hyperlink r:id="rId417">
        <w:r>
          <w:rPr>
            <w:color w:val="1155CC"/>
            <w:u w:val="single"/>
          </w:rPr>
          <w:t>10.1021/jacs.5c21089</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有机硅衍生物是工业中的重要化合物和有机合成中有价值的合成中间体。直接引入硅功能是对这些化合物的一种吸引人、直截了当的合成方法;然而,先前报告的这些化合物的催化性通融因选址不良而受到影响。我们报告说,一种催化剂加上一种螺旋双螺旋,有选择地粉状单状和分解状的,处于较大型替代体的元体位置。催化剂承认有机基质的形状,通过远距离的僵化相互作用来控制地点选择性,适用于各种功能群体。</w:t>
      </w:r>
    </w:p>
    <w:p>
      <w:pPr>
        <w:spacing w:before="0" w:after="200" w:lineRule="auto" w:line="276"/>
      </w:pPr>
      <w:r>
        <w:rPr>
          <w:b/>
        </w:rPr>
        <w:t xml:space="preserve">Abstract (EN): </w:t>
      </w:r>
      <w:r>
        <w:t>Organosilicon derivatives are important compounds in industry and valuable synthetic intermediates in organic synthesis. Direct introduction of the silicon functionality is an attractive, straightforward synthetic approach to these compounds; however, previously reported catalytic silylation of arenes has suffered from poor site-selectivity. We report that an iridium catalyst in combination with a spirobipyridine ligand selectively silylates mono- and disubstituted arenes at the meta position relative to the larger substituent. The catalyst recognizes the shape of the organic substrate through remote steric interactions to control the site-selectivity, applicable to a variety of functional groups.</w:t>
      </w:r>
    </w:p>
    <w:p>
      <w:pPr>
        <w:spacing w:before="120" w:after="120"/>
      </w:pPr>
      <w:r>
        <w:rPr>
          <w:sz w:val="18"/>
        </w:rPr>
        <w:t>——————————————————————————————————————————————————————————————————————</w:t>
      </w:r>
    </w:p>
    <w:p>
      <w:pPr>
        <w:spacing w:before="160" w:after="40" w:line="240" w:lineRule="auto"/>
      </w:pPr>
      <w:r>
        <w:rPr>
          <w:b/>
        </w:rPr>
        <w:t xml:space="preserve">[271] </w:t>
      </w:r>
      <w:hyperlink r:id="rId418">
        <w:r>
          <w:rPr>
            <w:color w:val="1155CC"/>
            <w:u w:val="single"/>
          </w:rPr>
          <w:t>具有光活激进排放、极极极极极性紫外线和有机余光的极光光光色碳点</w:t>
        </w:r>
      </w:hyperlink>
    </w:p>
    <w:p>
      <w:pPr>
        <w:spacing w:before="0" w:after="80"/>
      </w:pPr>
      <w:r>
        <w:rPr>
          <w:i/>
          <w:sz w:val="20"/>
        </w:rPr>
        <w:t>EN: Chiral Photochromic Carbon Dots with Photoactivated Radical Emission, Circularly Polarized Luminescence and Organic Afterglow</w:t>
      </w:r>
    </w:p>
    <w:p>
      <w:pPr>
        <w:spacing w:before="0" w:after="120"/>
      </w:pPr>
      <w:r>
        <w:rPr>
          <w:b/>
        </w:rPr>
        <w:t xml:space="preserve">Source: </w:t>
      </w:r>
      <w:r>
        <w:t>Wiley: Advanced Materials: Table of Contents</w:t>
      </w:r>
      <w:r>
        <w:t xml:space="preserve">    </w:t>
      </w:r>
      <w:r>
        <w:rPr>
          <w:b/>
        </w:rPr>
        <w:t xml:space="preserve">Pub date: </w:t>
      </w:r>
      <w:r>
        <w:t>2026-01-27 13:24:39+00:00</w:t>
      </w:r>
      <w:r>
        <w:t xml:space="preserve">    </w:t>
      </w:r>
      <w:r>
        <w:rPr>
          <w:b/>
        </w:rPr>
        <w:t xml:space="preserve">DOI: </w:t>
      </w:r>
      <w:hyperlink r:id="rId419">
        <w:r>
          <w:rPr>
            <w:color w:val="1155CC"/>
            <w:u w:val="single"/>
          </w:rPr>
          <w:t>10.1002/adma.202522178</w:t>
        </w:r>
      </w:hyperlink>
    </w:p>
    <w:p>
      <w:pPr>
        <w:spacing w:before="0" w:after="120"/>
      </w:pPr>
      <w:r>
        <w:rPr>
          <w:b/>
        </w:rPr>
        <w:t xml:space="preserve">Notes: </w:t>
      </w:r>
      <w:r>
        <w:t>abstract_source=crossref</w:t>
      </w:r>
    </w:p>
    <w:p>
      <w:pPr>
        <w:spacing w:before="0" w:after="80" w:lineRule="auto" w:line="276"/>
      </w:pPr>
      <w:r>
        <w:rPr>
          <w:b/>
        </w:rPr>
        <w:t xml:space="preserve">摘要（ZH）: </w:t>
      </w:r>
      <w:r>
        <w:t>最近,ABSTACT Open-shell有机发光基最近受到相当重视,但获得循环两极化的月光后光基仍然是一项艰巨的挑战,特别是在纳米材料系统中。 这里,我们报告的是内在的手性碳点(CD)的设计和制造,其原地生成的碳聚苯酯释放基,随后是聚苯乙烯基聚硅酯封装,以抑制长期存在的非紫性衰变。 在紫外线辐照后,CDs的电不光化氯化萘(NI)的雄性逐渐转化为发光基,而Förster再共振能从纯性手动光活性光动立体转至光活性基。 在紫外线辐照后,CDs的电不光化氯化萘(NI)会逐渐转化为发光性基,而Förster再共振能转换为光活性基。</w:t>
      </w:r>
    </w:p>
    <w:p>
      <w:pPr>
        <w:spacing w:before="0" w:after="200" w:lineRule="auto" w:line="276"/>
      </w:pPr>
      <w:r>
        <w:rPr>
          <w:b/>
        </w:rPr>
        <w:t xml:space="preserve">Abstract (EN): </w:t>
      </w:r>
      <w:r>
        <w:t>Open‐shell organic luminescent radicals have received considerable attention recently, but it remains a formidable challenge to obtain circularly polarized luminescent (CPL) organic afterglow radicals, especially in nanomaterial systems. Here, we report the design and fabrication of intrinsically chiral carbon dots (CDs) with in situ generated radicals for CPL emission, followed by polyvinylpyrrolidone encapsulation to suppress non‐radiative decays for long‐lived afterglow. Upon UV irradiation, the CDs’ electron‐deficient naphthalimide (NI) moiety transforms gradually to the luminescent radicals, and the Förster resonance energy transfer from the pristine chiral CDs to the photoactivated radicals leads to the dynamically enhanced radical‐based CPL afterglow with luminescent dissymmetry of 10</w:t>
      </w:r>
      <w:r>
        <w:t xml:space="preserve"> </w:t>
      </w:r>
      <w:r>
        <w:t>−3</w:t>
      </w:r>
      <w:r>
        <w:t xml:space="preserve"> </w:t>
      </w:r>
      <w:r>
        <w:t>and an afterglow lifetime up to 265 ms. Moreover, owing to the photo‐induced formation of NI‐radical anions, photochromism from colorless to yellow and steady‐state emission from blue to yellow were also observed, and these optical responses are reversible and highly sensitive to stimuli of light, temperature, humidity, and atmosphere. With the rich and dynamic photophysical features of the stimulus‐responsive chromic and luminescent chiral nanomaterial, advanced anti‐counterfeiting and multilevel information encryption on flexible substrates were realized, representing a remarkable step forward in integrating radical luminescence, CPL, photochromism, afterglow, and stimuli‐response together for constructing multifunctional chiral nanomaterials.</w:t>
      </w:r>
    </w:p>
    <w:p>
      <w:pPr>
        <w:spacing w:before="120" w:after="120"/>
      </w:pPr>
      <w:r>
        <w:rPr>
          <w:sz w:val="18"/>
        </w:rPr>
        <w:t>——————————————————————————————————————————————————————————————————————</w:t>
      </w:r>
    </w:p>
    <w:p>
      <w:pPr>
        <w:spacing w:before="160" w:after="40" w:line="240" w:lineRule="auto"/>
      </w:pPr>
      <w:r>
        <w:rPr>
          <w:b/>
        </w:rPr>
        <w:t xml:space="preserve">[272] </w:t>
      </w:r>
      <w:hyperlink r:id="rId420">
        <w:r>
          <w:rPr>
            <w:color w:val="1155CC"/>
            <w:u w:val="single"/>
          </w:rPr>
          <w:t>硫磺- Isoquinoline 室外温度后激活磷光</w:t>
        </w:r>
      </w:hyperlink>
    </w:p>
    <w:p>
      <w:pPr>
        <w:spacing w:before="0" w:after="80"/>
      </w:pPr>
      <w:r>
        <w:rPr>
          <w:i/>
          <w:sz w:val="20"/>
        </w:rPr>
        <w:t>EN: Sulfone–Isoquinoline Dopants Activated Phosphorescence Beyond Room Temperature</w:t>
      </w:r>
    </w:p>
    <w:p>
      <w:pPr>
        <w:spacing w:before="0" w:after="120"/>
      </w:pPr>
      <w:r>
        <w:rPr>
          <w:b/>
        </w:rPr>
        <w:t xml:space="preserve">Source: </w:t>
      </w:r>
      <w:r>
        <w:t>Wiley: Angewandte Chemie International Edition: Table of Contents</w:t>
      </w:r>
      <w:r>
        <w:t xml:space="preserve">    </w:t>
      </w:r>
      <w:r>
        <w:rPr>
          <w:b/>
        </w:rPr>
        <w:t xml:space="preserve">Pub date: </w:t>
      </w:r>
      <w:r>
        <w:t>2026-01-27 13:26:40+00:00</w:t>
      </w:r>
      <w:r>
        <w:t xml:space="preserve">    </w:t>
      </w:r>
      <w:r>
        <w:rPr>
          <w:b/>
        </w:rPr>
        <w:t xml:space="preserve">DOI: </w:t>
      </w:r>
      <w:hyperlink r:id="rId421">
        <w:r>
          <w:rPr>
            <w:color w:val="1155CC"/>
            <w:u w:val="single"/>
          </w:rPr>
          <w:t>10.1002/anie.4550187</w:t>
        </w:r>
      </w:hyperlink>
    </w:p>
    <w:p>
      <w:pPr>
        <w:spacing w:before="0" w:after="120"/>
      </w:pPr>
      <w:r>
        <w:rPr>
          <w:b/>
        </w:rPr>
        <w:t xml:space="preserve">Notes: </w:t>
      </w:r>
      <w:r>
        <w:t>abstract_source=crossref</w:t>
      </w:r>
    </w:p>
    <w:p>
      <w:pPr>
        <w:spacing w:before="0" w:after="80" w:lineRule="auto" w:line="276"/>
      </w:pPr>
      <w:r>
        <w:rPr>
          <w:b/>
        </w:rPr>
        <w:t xml:space="preserve">摘要（ZH）: </w:t>
      </w:r>
      <w:r>
        <w:t>ABSTACT 纯有机室温磷(RTP) 材料对生物成像、防伪和光电子应用越来越感兴趣。然而,杂质诱发的RTP对许多报告单子成分系统的可靠性提出了挑战。在这里,我们系统地调查了一系列以全氟辛烷磺酸为基础的RTP材料,发现这些材料在严格净化后就消失了,凸显了痕量杂质的关键作用。 值得注意的是,在纯SF2Pz系统中只引入了合理设计的全氟辛烷磺酸-异索基诺碱(SO2PzQ 7)0.01 wt%的纯SF2Pz系统,在环境条件下有效激活了273 ms的强烈黄后光。</w:t>
      </w:r>
    </w:p>
    <w:p>
      <w:pPr>
        <w:spacing w:before="0" w:after="200" w:lineRule="auto" w:line="276"/>
      </w:pPr>
      <w:r>
        <w:rPr>
          <w:b/>
        </w:rPr>
        <w:t xml:space="preserve">Abstract (EN): </w:t>
      </w:r>
      <w:r>
        <w:t>Purely organic room‐temperature phosphorescence (RTP) materials are of growing interest for bioimaging, anti‐counterfeiting, and optoelectronic applications. However, impurity‐induced RTP has challenged the reliability of many reported single‐component systems. Herein, we systematically investigated a series of sulfone‐based RTP materials and observed that their phosphorescence vanished upon rigorous purification, highlighting the critical role of trace impurities. Notably, the introduction of only 0.01 wt% of a rationally designed sulfone–isoquinoline dopant (SO2PzQ7) into the pure SF2Pz system effectively activated intense yellow afterglow with a lifetime of 273 ms under ambient conditions. The doped system exhibited exceptional thermal stability, maintaining a visible afterglow up to 413 K. Notably, the phosphorescence signal almost completely recovered upon cooling after heating, and the on–off switching process was repeatable for more than six cycles, demonstrating excellent reversibility. This strategy was further extended to sulfone derivatives containing carbazole and phenothiazine units, which were RTP‐inactive alone but became RTP‐active upon doping with rationally designed sulfone–isoquinoline dopants. Theoretical calculations support a host–guest energy transfer mechanism that facilitates efficient intersystem crossing (ISC) and triplet‐state stabilization. Our findings highlight the crucial role of impurity traps in RTP and propose a generalizable, scalable approach to construct reproducible and thermally stable organic RTP systems.</w:t>
      </w:r>
    </w:p>
    <w:p>
      <w:pPr>
        <w:spacing w:before="120" w:after="120"/>
      </w:pPr>
      <w:r>
        <w:rPr>
          <w:sz w:val="18"/>
        </w:rPr>
        <w:t>——————————————————————————————————————————————————————————————————————</w:t>
      </w:r>
    </w:p>
    <w:p>
      <w:pPr>
        <w:spacing w:before="160" w:after="40" w:line="240" w:lineRule="auto"/>
      </w:pPr>
      <w:r>
        <w:rPr>
          <w:b/>
        </w:rPr>
        <w:t xml:space="preserve">[273] </w:t>
      </w:r>
      <w:hyperlink r:id="rId422">
        <w:r>
          <w:rPr>
            <w:color w:val="1155CC"/>
            <w:u w:val="single"/>
          </w:rPr>
          <w:t>用于高效锂-氧电池的动态里O2装订</w:t>
        </w:r>
      </w:hyperlink>
    </w:p>
    <w:p>
      <w:pPr>
        <w:spacing w:before="0" w:after="80"/>
      </w:pPr>
      <w:r>
        <w:rPr>
          <w:i/>
          <w:sz w:val="20"/>
        </w:rPr>
        <w:t>EN: Dual‐Site Geometry Mediates Dynamic LiO2 Binding for Efficient Lithium–Oxygen Batteries</w:t>
      </w:r>
    </w:p>
    <w:p>
      <w:pPr>
        <w:spacing w:before="0" w:after="120"/>
      </w:pPr>
      <w:r>
        <w:rPr>
          <w:b/>
        </w:rPr>
        <w:t xml:space="preserve">Source: </w:t>
      </w:r>
      <w:r>
        <w:t>Wiley: Angewandte Chemie International Edition: Table of Contents</w:t>
      </w:r>
      <w:r>
        <w:t xml:space="preserve">    </w:t>
      </w:r>
      <w:r>
        <w:rPr>
          <w:b/>
        </w:rPr>
        <w:t xml:space="preserve">Pub date: </w:t>
      </w:r>
      <w:r>
        <w:t>2026-01-27 13:34:48+00:00</w:t>
      </w:r>
      <w:r>
        <w:t xml:space="preserve">    </w:t>
      </w:r>
      <w:r>
        <w:rPr>
          <w:b/>
        </w:rPr>
        <w:t xml:space="preserve">DOI: </w:t>
      </w:r>
      <w:hyperlink r:id="rId423">
        <w:r>
          <w:rPr>
            <w:color w:val="1155CC"/>
            <w:u w:val="single"/>
          </w:rPr>
          <w:t>10.1002/anie.202523729</w:t>
        </w:r>
      </w:hyperlink>
    </w:p>
    <w:p>
      <w:pPr>
        <w:spacing w:before="0" w:after="120"/>
      </w:pPr>
      <w:r>
        <w:rPr>
          <w:b/>
        </w:rPr>
        <w:t xml:space="preserve">Notes: </w:t>
      </w:r>
      <w:r>
        <w:t>abstract_source=crossref</w:t>
      </w:r>
    </w:p>
    <w:p>
      <w:pPr>
        <w:spacing w:before="0" w:after="80" w:lineRule="auto" w:line="276"/>
      </w:pPr>
      <w:r>
        <w:rPr>
          <w:b/>
        </w:rPr>
        <w:t xml:space="preserve">摘要（ZH）: </w:t>
      </w:r>
      <w:r>
        <w:t>ABSTACT 锂-氧电池(LOBs) 通过多电子传输提供高能量密度的能量,但是它们的2e-路径产生不稳定的中间体,如超氧化锂(LiO 2),导致复杂的反应动能变化和可逆性差。在这里,我们提出了一个电子中枢战略,以动态调节对催化剂表面捆绑的LiO 2。我们通过调整双极活性点的几何和间距,重新塑造轨道互动和协调环境,对电子密度和吸附微型环境进行精确控制。</w:t>
      </w:r>
    </w:p>
    <w:p>
      <w:pPr>
        <w:spacing w:before="0" w:after="200" w:lineRule="auto" w:line="276"/>
      </w:pPr>
      <w:r>
        <w:rPr>
          <w:b/>
        </w:rPr>
        <w:t xml:space="preserve">Abstract (EN): </w:t>
      </w:r>
      <w:r>
        <w:t>Lithium–oxygen batteries (LOBs) offer high energy density through multi‐electron transfer, but their 2e</w:t>
      </w:r>
      <w:r>
        <w:t xml:space="preserve"> </w:t>
      </w:r>
      <w:r>
        <w:t>−</w:t>
      </w:r>
      <w:r>
        <w:t>pathway generates unstable intermediates such as lithium superoxide (LiO</w:t>
      </w:r>
      <w:r>
        <w:rPr>
          <w:vertAlign w:val="subscript"/>
        </w:rPr>
        <w:t>2</w:t>
      </w:r>
      <w:r>
        <w:t>), leading to complex reaction kinetics and poor reversibility. Herein, we propose an electronegativity‐mediated strategy to dynamically regulate LiO</w:t>
      </w:r>
      <w:r>
        <w:rPr>
          <w:vertAlign w:val="subscript"/>
        </w:rPr>
        <w:t>2</w:t>
      </w:r>
      <w:r>
        <w:t>binding on catalyst surfaces. By tuning the geometry and spacing of dual‐active sites (DAS), we reshape orbital interactions and coordination environments, enabling precise control over electron density and adsorption‐desorption microenvironments. This atomic‐scale regulation establishes a “bridged adsorption” mode that stabilizes key intermediates, optimizes Li‐O bond activation, and enhances the “adsorption‐activation‐dissociation” sequence of reactive species. Consequently, lithium–oxygen batteries exhibit high capacity and prolonged cycling stability. More broadly, we identify a universal DAS spacing descriptor that integrates symmetry breaking with electronic configuration, providing a general design principle to overcome linear scaling relationships (LSRs) and unlock intrinsic catalytic activity for oxygen electrocatalysis.</w:t>
      </w:r>
    </w:p>
    <w:p>
      <w:pPr>
        <w:spacing w:before="120" w:after="120"/>
      </w:pPr>
      <w:r>
        <w:rPr>
          <w:sz w:val="18"/>
        </w:rPr>
        <w:t>——————————————————————————————————————————————————————————————————————</w:t>
      </w:r>
    </w:p>
    <w:p>
      <w:pPr>
        <w:spacing w:before="160" w:after="40" w:line="240" w:lineRule="auto"/>
      </w:pPr>
      <w:r>
        <w:rPr>
          <w:b/>
        </w:rPr>
        <w:t xml:space="preserve">[274] </w:t>
      </w:r>
      <w:hyperlink r:id="rId424">
        <w:r>
          <w:rPr>
            <w:color w:val="1155CC"/>
            <w:u w:val="single"/>
          </w:rPr>
          <w:t>Neumann 原则之外无铅无铁电 Chiral Perovskites</w:t>
        </w:r>
      </w:hyperlink>
    </w:p>
    <w:p>
      <w:pPr>
        <w:spacing w:before="0" w:after="80"/>
      </w:pPr>
      <w:r>
        <w:rPr>
          <w:i/>
          <w:sz w:val="20"/>
        </w:rPr>
        <w:t>EN: Surface Ferroelectricity in Lead‐Free Nonferroelectric Chiral Perovskites Beyond Neumann's Principle</w:t>
      </w:r>
    </w:p>
    <w:p>
      <w:pPr>
        <w:spacing w:before="0" w:after="120"/>
      </w:pPr>
      <w:r>
        <w:rPr>
          <w:b/>
        </w:rPr>
        <w:t xml:space="preserve">Source: </w:t>
      </w:r>
      <w:r>
        <w:t>Wiley: Angewandte Chemie International Edition: Table of Contents</w:t>
      </w:r>
      <w:r>
        <w:t xml:space="preserve">    </w:t>
      </w:r>
      <w:r>
        <w:rPr>
          <w:b/>
        </w:rPr>
        <w:t xml:space="preserve">Pub date: </w:t>
      </w:r>
      <w:r>
        <w:t>2026-01-27 13:39:17+00:00</w:t>
      </w:r>
      <w:r>
        <w:t xml:space="preserve">    </w:t>
      </w:r>
      <w:r>
        <w:rPr>
          <w:b/>
        </w:rPr>
        <w:t xml:space="preserve">DOI: </w:t>
      </w:r>
      <w:hyperlink r:id="rId425">
        <w:r>
          <w:rPr>
            <w:color w:val="1155CC"/>
            <w:u w:val="single"/>
          </w:rPr>
          <w:t>10.1002/anie.9911471</w:t>
        </w:r>
      </w:hyperlink>
    </w:p>
    <w:p>
      <w:pPr>
        <w:spacing w:before="0" w:after="120"/>
      </w:pPr>
      <w:r>
        <w:rPr>
          <w:b/>
        </w:rPr>
        <w:t xml:space="preserve">Notes: </w:t>
      </w:r>
      <w:r>
        <w:t>abstract_source=crossref</w:t>
      </w:r>
    </w:p>
    <w:p>
      <w:pPr>
        <w:spacing w:before="0" w:after="80" w:lineRule="auto" w:line="276"/>
      </w:pPr>
      <w:r>
        <w:rPr>
          <w:b/>
        </w:rPr>
        <w:t xml:space="preserve">摘要（ZH）: </w:t>
      </w:r>
      <w:r>
        <w:t>根据Neumann的原则,人工极光光伏效应(CPPE)仅限于五个手电电空间组中的一个组的晶体,其基础假设是完美的长程周期周期和大宗对称。然而,这一框架忽略了水晶边界的对称破碎。在此,我们报告在单维天体非热电极中出现了地表电,R/S MPZSBBR 5(MPZ = 2 甲基基甲酸盐),这是通过极地Sb-Br链的跨层反平行对齐而实现的。</w:t>
      </w:r>
    </w:p>
    <w:p>
      <w:pPr>
        <w:spacing w:before="0" w:after="200" w:lineRule="auto" w:line="276"/>
      </w:pPr>
      <w:r>
        <w:rPr>
          <w:b/>
        </w:rPr>
        <w:t xml:space="preserve">Abstract (EN): </w:t>
      </w:r>
      <w:r>
        <w:t>According to Neumann's Principle, the chiral‐polar photovoltaic effect (CPPE) is restricted to crystals in one of the five chiral ferroelectric space groups—based on the assumption of perfect long‐range periodicity and bulk symmetry. However, this framework overlooks symmetry breaking at crystal boundaries. Herein, we report the emergence of surface ferroelectricity in a one‐dimensional chiral nonferroelectric perovskite,</w:t>
      </w:r>
      <w:r>
        <w:t xml:space="preserve"> </w:t>
      </w:r>
      <w:r>
        <w:t>R</w:t>
      </w:r>
      <w:r>
        <w:t xml:space="preserve"> </w:t>
      </w:r>
      <w:r>
        <w:t>/</w:t>
      </w:r>
      <w:r>
        <w:t>S</w:t>
      </w:r>
      <w:r>
        <w:t xml:space="preserve"> </w:t>
      </w:r>
      <w:r>
        <w:t>‐MPZSbBr</w:t>
      </w:r>
      <w:r>
        <w:rPr>
          <w:vertAlign w:val="subscript"/>
        </w:rPr>
        <w:t>5</w:t>
      </w:r>
      <w:r>
        <w:t>(MPZ = 2‐methylpiperazine), achieved through interlayer antiparallel alignment of polar Sb–Br chains. The bulk structure adopts a nonferroelectric phase with alternating polar domains, resulting in net‐zero polarization. Yet, at the (001) surface, the breaking of continuous translational symmetry gives rise to local ferroelectricity. This surface‐driven polarization, coupled with the intrinsic chirality of the crystal, enables a localized CPPE. Moreover, the synergy between surface ferroelectricity and pyro‐photovoltaic effects significantly enhances the performance of self‐powered circularly polarized light (CPL) detection. Our work reveals the limitations of Neumann's Principle at crystal interfaces and opens new avenues for engineering ferroelectricity and chiral optoelectronics in nonferroelectric systems.</w:t>
      </w:r>
    </w:p>
    <w:p>
      <w:pPr>
        <w:spacing w:before="120" w:after="120"/>
      </w:pPr>
      <w:r>
        <w:rPr>
          <w:sz w:val="18"/>
        </w:rPr>
        <w:t>——————————————————————————————————————————————————————————————————————</w:t>
      </w:r>
    </w:p>
    <w:p>
      <w:pPr>
        <w:spacing w:before="160" w:after="40" w:line="240" w:lineRule="auto"/>
      </w:pPr>
      <w:r>
        <w:rPr>
          <w:b/>
        </w:rPr>
        <w:t xml:space="preserve">[275] </w:t>
      </w:r>
      <w:hyperlink r:id="rId426">
        <w:r>
          <w:rPr>
            <w:color w:val="1155CC"/>
            <w:u w:val="single"/>
          </w:rPr>
          <w:t>PType热电SnAgBiTeSe2 中的热电集成和同质结构分离电荷和 Phonon 属性</w:t>
        </w:r>
      </w:hyperlink>
    </w:p>
    <w:p>
      <w:pPr>
        <w:spacing w:before="0" w:after="80"/>
      </w:pPr>
      <w:r>
        <w:rPr>
          <w:i/>
          <w:sz w:val="20"/>
        </w:rPr>
        <w:t>EN: Hetero‐Composition and Homo‐Structure Decoupling Charge and Phonon Properties in p‐Type Thermoelectric SnAgBiTeSe2</w:t>
      </w:r>
    </w:p>
    <w:p>
      <w:pPr>
        <w:spacing w:before="0" w:after="120"/>
      </w:pPr>
      <w:r>
        <w:rPr>
          <w:b/>
        </w:rPr>
        <w:t xml:space="preserve">Source: </w:t>
      </w:r>
      <w:r>
        <w:t>Wiley: Angewandte Chemie International Edition: Table of Contents</w:t>
      </w:r>
      <w:r>
        <w:t xml:space="preserve">    </w:t>
      </w:r>
      <w:r>
        <w:rPr>
          <w:b/>
        </w:rPr>
        <w:t xml:space="preserve">Pub date: </w:t>
      </w:r>
      <w:r>
        <w:t>2026-01-27 13:40:57+00:00</w:t>
      </w:r>
      <w:r>
        <w:t xml:space="preserve">    </w:t>
      </w:r>
      <w:r>
        <w:rPr>
          <w:b/>
        </w:rPr>
        <w:t xml:space="preserve">DOI: </w:t>
      </w:r>
      <w:hyperlink r:id="rId427">
        <w:r>
          <w:rPr>
            <w:color w:val="1155CC"/>
            <w:u w:val="single"/>
          </w:rPr>
          <w:t>10.1002/anie.202521387</w:t>
        </w:r>
      </w:hyperlink>
    </w:p>
    <w:p>
      <w:pPr>
        <w:spacing w:before="0" w:after="120"/>
      </w:pPr>
      <w:r>
        <w:rPr>
          <w:b/>
        </w:rPr>
        <w:t xml:space="preserve">Notes: </w:t>
      </w:r>
      <w:r>
        <w:t>abstract_source=crossref</w:t>
      </w:r>
    </w:p>
    <w:p>
      <w:pPr>
        <w:spacing w:before="0" w:after="80" w:lineRule="auto" w:line="276"/>
      </w:pPr>
      <w:r>
        <w:rPr>
          <w:b/>
        </w:rPr>
        <w:t xml:space="preserve">摘要（ZH）: </w:t>
      </w:r>
      <w:r>
        <w:t>ABSTACT ABSTACT 电荷流动性和光电运输之间的固有妥协要求等级结构模块化,以在同质材料中实现高数值的“ZT ” 。 由此,我们把重点从常规谷物边界转移到谷物内部,我们利用配置的酶和元值连接,设计了一部新型SnAgBiTeSe 2固态溶解合金,配有一个单立立方晶体结构,代表一个真正的异异异化/homoiquat(heC/hoS)系统。由于该材料具有高度两极化的元值联系,因此保持了统一的宏观对称,纳米级的强度波动防止了宏观阶段的分离。</w:t>
      </w:r>
    </w:p>
    <w:p>
      <w:pPr>
        <w:spacing w:before="0" w:after="200" w:lineRule="auto" w:line="276"/>
      </w:pPr>
      <w:r>
        <w:rPr>
          <w:b/>
        </w:rPr>
        <w:t xml:space="preserve">Abstract (EN): </w:t>
      </w:r>
      <w:r>
        <w:t>The inherent compromise between charge mobility and phonon transport necessitates hierarchical structural modularity to achieve a high figure‐of‐merit (</w:t>
      </w:r>
      <w:r>
        <w:t xml:space="preserve"> </w:t>
      </w:r>
      <w:r>
        <w:t>ZT</w:t>
      </w:r>
      <w:r>
        <w:t xml:space="preserve"> </w:t>
      </w:r>
      <w:r>
        <w:t>) in homogeneous materials. Herein, shifting our focus from conventional grain boundaries to grain interiors, we leverage configurational entropy and metavalent bonding to design a novel SnAgBiTeSe</w:t>
      </w:r>
      <w:r>
        <w:rPr>
          <w:vertAlign w:val="subscript"/>
        </w:rPr>
        <w:t>2</w:t>
      </w:r>
      <w:r>
        <w:t>solid solution alloy with a single cubic crystal structure, representing a true hetero‐composition/homo‐structure (heC/hoS) system. Due to its highly polarizable metavalent bonds, the material maintains a uniform macroscopic symmetry, with strain fluctuations at the nanoscale preventing macroscopic phase separation. This dual mechanism strongly suppresses phonon propagation without significantly compromising charge transport. Its electronic structure exhibits a pronounced Rashba effect, which simultaneously modulates both valley and spin degeneracies. This leads to the formation of highly converged, multi‐spin‐split bands that facilitate efficient charge carrier transport. Moreover, owing to the suppression of Bi</w:t>
      </w:r>
      <w:r>
        <w:t xml:space="preserve"> </w:t>
      </w:r>
      <w:r>
        <w:t>Ag</w:t>
      </w:r>
      <w:r>
        <w:t xml:space="preserve"> </w:t>
      </w:r>
      <w:r>
        <w:t>antisite defect enabled by the heC/hoS architecture, slight Ag doping successfully induces rare p‐type conductivity. These features collectively yield a record‐low lattice thermal conductivity (</w:t>
      </w:r>
      <w:r>
        <w:t xml:space="preserve"> </w:t>
      </w:r>
      <w:r>
        <w:t>κ</w:t>
      </w:r>
      <w:r>
        <w:t xml:space="preserve"> </w:t>
      </w:r>
      <w:r>
        <w:t>l</w:t>
      </w:r>
      <w:r>
        <w:t xml:space="preserve"> </w:t>
      </w:r>
      <w:r>
        <w:t>= 0.35 Wm</w:t>
      </w:r>
      <w:r>
        <w:t xml:space="preserve"> </w:t>
      </w:r>
      <w:r>
        <w:t>−1</w:t>
      </w:r>
      <w:r>
        <w:t xml:space="preserve"> </w:t>
      </w:r>
      <w:r>
        <w:t>K</w:t>
      </w:r>
      <w:r>
        <w:t xml:space="preserve"> </w:t>
      </w:r>
      <w:r>
        <w:t>−1</w:t>
      </w:r>
      <w:r>
        <w:t xml:space="preserve"> </w:t>
      </w:r>
      <w:r>
        <w:t>at 300 K) and high</w:t>
      </w:r>
      <w:r>
        <w:t xml:space="preserve"> </w:t>
      </w:r>
      <w:r>
        <w:t>ZT</w:t>
      </w:r>
      <w:r>
        <w:t xml:space="preserve"> </w:t>
      </w:r>
      <w:r>
        <w:t>values of 0.42 at 300 K and 0.6 at 402 K for SnAg</w:t>
      </w:r>
      <w:r>
        <w:t xml:space="preserve"> </w:t>
      </w:r>
      <w:r>
        <w:t>1.03</w:t>
      </w:r>
      <w:r>
        <w:t xml:space="preserve"> </w:t>
      </w:r>
      <w:r>
        <w:t>Bi</w:t>
      </w:r>
      <w:r>
        <w:t xml:space="preserve"> </w:t>
      </w:r>
      <w:r>
        <w:t>0.97</w:t>
      </w:r>
      <w:r>
        <w:t xml:space="preserve"> </w:t>
      </w:r>
      <w:r>
        <w:t>TeSe</w:t>
      </w:r>
      <w:r>
        <w:rPr>
          <w:vertAlign w:val="subscript"/>
        </w:rPr>
        <w:t>2</w:t>
      </w:r>
      <w:r>
        <w:t>, outperforming all reported AgBiSe</w:t>
      </w:r>
      <w:r>
        <w:rPr>
          <w:vertAlign w:val="subscript"/>
        </w:rPr>
        <w:t>2</w:t>
      </w:r>
      <w:r>
        <w:t>‐based counterparts across the 300–500 K temperature window.</w:t>
      </w:r>
    </w:p>
    <w:p>
      <w:pPr>
        <w:spacing w:before="120" w:after="120"/>
      </w:pPr>
      <w:r>
        <w:rPr>
          <w:sz w:val="18"/>
        </w:rPr>
        <w:t>——————————————————————————————————————————————————————————————————————</w:t>
      </w:r>
    </w:p>
    <w:p>
      <w:pPr>
        <w:spacing w:before="160" w:after="40" w:line="240" w:lineRule="auto"/>
      </w:pPr>
      <w:r>
        <w:rPr>
          <w:b/>
        </w:rPr>
        <w:t xml:space="preserve">[276] </w:t>
      </w:r>
      <w:hyperlink r:id="rId428">
        <w:r>
          <w:rPr>
            <w:color w:val="1155CC"/>
            <w:u w:val="single"/>
          </w:rPr>
          <w:t>关于Fast-Charking LiIon 电池的石墨导体图象线中间点的LIPF6分解以建构LIF 裂变的温度和潜在结合条例</w:t>
        </w:r>
      </w:hyperlink>
    </w:p>
    <w:p>
      <w:pPr>
        <w:spacing w:before="0" w:after="80"/>
      </w:pPr>
      <w:r>
        <w:rPr>
          <w:i/>
          <w:sz w:val="20"/>
        </w:rPr>
        <w:t>EN: Temperature‐Potential Coupled Regulation of LiPF6 Decomposition to Construct LiF Grain Boundary‐Rich Interphase on Graphite Anode for Fast‐Charging Li‐Ion Batteries</w:t>
      </w:r>
    </w:p>
    <w:p>
      <w:pPr>
        <w:spacing w:before="0" w:after="120"/>
      </w:pPr>
      <w:r>
        <w:rPr>
          <w:b/>
        </w:rPr>
        <w:t xml:space="preserve">Source: </w:t>
      </w:r>
      <w:r>
        <w:t>Wiley: Angewandte Chemie International Edition: Table of Contents</w:t>
      </w:r>
      <w:r>
        <w:t xml:space="preserve">    </w:t>
      </w:r>
      <w:r>
        <w:rPr>
          <w:b/>
        </w:rPr>
        <w:t xml:space="preserve">Pub date: </w:t>
      </w:r>
      <w:r>
        <w:t>2026-01-27 13:54:10+00:00</w:t>
      </w:r>
      <w:r>
        <w:t xml:space="preserve">    </w:t>
      </w:r>
      <w:r>
        <w:rPr>
          <w:b/>
        </w:rPr>
        <w:t xml:space="preserve">DOI: </w:t>
      </w:r>
      <w:hyperlink r:id="rId429">
        <w:r>
          <w:rPr>
            <w:color w:val="1155CC"/>
            <w:u w:val="single"/>
          </w:rPr>
          <w:t>10.1002/anie.202525822</w:t>
        </w:r>
      </w:hyperlink>
    </w:p>
    <w:p>
      <w:pPr>
        <w:spacing w:before="0" w:after="120"/>
      </w:pPr>
      <w:r>
        <w:rPr>
          <w:b/>
        </w:rPr>
        <w:t xml:space="preserve">Notes: </w:t>
      </w:r>
      <w:r>
        <w:t>abstract_source=crossref</w:t>
      </w:r>
    </w:p>
    <w:p>
      <w:pPr>
        <w:spacing w:before="0" w:after="80" w:lineRule="auto" w:line="276"/>
      </w:pPr>
      <w:r>
        <w:rPr>
          <w:b/>
        </w:rPr>
        <w:t xml:space="preserve">摘要（ZH）: </w:t>
      </w:r>
      <w:r>
        <w:t>ABSTACT 管理电解分解以进化液溶解固体电极间联相(SEI),可以减少向快速充电器锂电池输送的隔膜利流传输的能量屏障。由于分解动力学缓慢,作为商业细胞中广泛使用的利盐,LIPF 6无法建造利利盐。因此,需要昂贵的氟化电解电解添加剂。在此,根据LIPF 6的微妙电化学分解,在 °C 80 时 发生 + + / li,我们开发了一个温度热合体(TPCF) Pro 。</w:t>
      </w:r>
    </w:p>
    <w:p>
      <w:pPr>
        <w:spacing w:before="0" w:after="200" w:lineRule="auto" w:line="276"/>
      </w:pPr>
      <w:r>
        <w:rPr>
          <w:b/>
        </w:rPr>
        <w:t xml:space="preserve">Abstract (EN): </w:t>
      </w:r>
      <w:r>
        <w:t>Regulating the electrolyte decomposition to evolve a LiF‐rich solid‐electrolyte interphase (SEI) can reduce the energy barrier of the interfacial Li‐ion transport toward fast‐charging lithium‐ion batteries. Due to the sluggish decomposition kinetics, LiPF</w:t>
      </w:r>
      <w:r>
        <w:rPr>
          <w:vertAlign w:val="subscript"/>
        </w:rPr>
        <w:t>6</w:t>
      </w:r>
      <w:r>
        <w:t>, as a widely used Li salt in commercial cells, is unable to build a LiF‐rich SEI. Therefore, expensive fluorinated electrolyte additives are needed. Herein, to eliminate the use of extra fluorinated species, based on the subtle electrochemical decomposition of LiPF</w:t>
      </w:r>
      <w:r>
        <w:rPr>
          <w:vertAlign w:val="subscript"/>
        </w:rPr>
        <w:t>6</w:t>
      </w:r>
      <w:r>
        <w:t>occurring ∼2.28 V vs. Li</w:t>
      </w:r>
      <w:r>
        <w:t xml:space="preserve"> </w:t>
      </w:r>
      <w:r>
        <w:t>+</w:t>
      </w:r>
      <w:r>
        <w:t xml:space="preserve"> </w:t>
      </w:r>
      <w:r>
        <w:t>/Li at 80°C, we developed a temperature‐potential coupled formation (TPCF) protocol, which incorporates a constant‐voltage step (2.28 V) at 80°C to stimulate LiPF</w:t>
      </w:r>
      <w:r>
        <w:rPr>
          <w:vertAlign w:val="subscript"/>
        </w:rPr>
        <w:t>6</w:t>
      </w:r>
      <w:r>
        <w:t>decomposition deeply, thereby generating a high‐quality SEI uniformly covering the graphite particle surfaces. This TPCF‐derived SEI is thin and dense, full of LiF grain boundaries, which could reduce the energy barriers of Li</w:t>
      </w:r>
      <w:r>
        <w:t xml:space="preserve"> </w:t>
      </w:r>
      <w:r>
        <w:t>+</w:t>
      </w:r>
      <w:r>
        <w:t xml:space="preserve"> </w:t>
      </w:r>
      <w:r>
        <w:t>desolvation and interfacial Li</w:t>
      </w:r>
      <w:r>
        <w:t xml:space="preserve"> </w:t>
      </w:r>
      <w:r>
        <w:t>+</w:t>
      </w:r>
      <w:r>
        <w:t xml:space="preserve"> </w:t>
      </w:r>
      <w:r>
        <w:t>diffusion. Simultaneously, this SEI exhibits a higher work function, effectively suppressing electron leakage to reduce the degeneration of the electrolyte and interphase. Consequently, after a simple TPCF process, the assembled graphite||LiFePO</w:t>
      </w:r>
      <w:r>
        <w:rPr>
          <w:vertAlign w:val="subscript"/>
        </w:rPr>
        <w:t>4</w:t>
      </w:r>
      <w:r>
        <w:t>full cell achieves stable cycling at a 6C rate, retaining 80% of its capacity after 3304 cycles and 70.5% after 8940 cycles, outperforming the counterparts.</w:t>
      </w:r>
    </w:p>
    <w:p>
      <w:pPr>
        <w:spacing w:before="120" w:after="120"/>
      </w:pPr>
      <w:r>
        <w:rPr>
          <w:sz w:val="18"/>
        </w:rPr>
        <w:t>——————————————————————————————————————————————————————————————————————</w:t>
      </w:r>
    </w:p>
    <w:p>
      <w:pPr>
        <w:spacing w:before="160" w:after="40" w:line="240" w:lineRule="auto"/>
      </w:pPr>
      <w:r>
        <w:rPr>
          <w:b/>
        </w:rPr>
        <w:t xml:space="preserve">[277] </w:t>
      </w:r>
      <w:hyperlink r:id="rId430">
        <w:r>
          <w:rPr>
            <w:color w:val="1155CC"/>
            <w:u w:val="single"/>
          </w:rPr>
          <w:t>以独有建筑块破纪录的越境水晶和独特建筑块</w:t>
        </w:r>
      </w:hyperlink>
    </w:p>
    <w:p>
      <w:pPr>
        <w:spacing w:before="0" w:after="80"/>
      </w:pPr>
      <w:r>
        <w:rPr>
          <w:i/>
          <w:sz w:val="20"/>
        </w:rPr>
        <w:t>EN: Unveiling the Superior Birefringence Property of a Record‐Birefringent Crystal with Unique Building Block</w:t>
      </w:r>
    </w:p>
    <w:p>
      <w:pPr>
        <w:spacing w:before="0" w:after="120"/>
      </w:pPr>
      <w:r>
        <w:rPr>
          <w:b/>
        </w:rPr>
        <w:t xml:space="preserve">Source: </w:t>
      </w:r>
      <w:r>
        <w:t>Wiley: Angewandte Chemie International Edition: Table of Contents</w:t>
      </w:r>
      <w:r>
        <w:t xml:space="preserve">    </w:t>
      </w:r>
      <w:r>
        <w:rPr>
          <w:b/>
        </w:rPr>
        <w:t xml:space="preserve">Pub date: </w:t>
      </w:r>
      <w:r>
        <w:t>2026-01-27 13:58:52+00:00</w:t>
      </w:r>
      <w:r>
        <w:t xml:space="preserve">    </w:t>
      </w:r>
      <w:r>
        <w:rPr>
          <w:b/>
        </w:rPr>
        <w:t xml:space="preserve">DOI: </w:t>
      </w:r>
      <w:hyperlink r:id="rId431">
        <w:r>
          <w:rPr>
            <w:color w:val="1155CC"/>
            <w:u w:val="single"/>
          </w:rPr>
          <w:t>10.1002/anie.202524729</w:t>
        </w:r>
      </w:hyperlink>
    </w:p>
    <w:p>
      <w:pPr>
        <w:spacing w:before="0" w:after="120"/>
      </w:pPr>
      <w:r>
        <w:rPr>
          <w:b/>
        </w:rPr>
        <w:t xml:space="preserve">Notes: </w:t>
      </w:r>
      <w:r>
        <w:t>abstract_source=crossref</w:t>
      </w:r>
    </w:p>
    <w:p>
      <w:pPr>
        <w:spacing w:before="0" w:after="80" w:lineRule="auto" w:line="276"/>
      </w:pPr>
      <w:r>
        <w:rPr>
          <w:b/>
        </w:rPr>
        <w:t xml:space="preserve">摘要（ZH）: </w:t>
      </w:r>
      <w:r>
        <w:t>摘要摘要尽管对各种先进的光学部件至关重要,但获得具有巨大双倍特征(例如, n   1.0)的光学厌异晶体(例如, n  1.0)仍是一项艰巨的挑战。流行战略通常依靠通过循环聚合加强分子构件的去地方化。在这里,我们展示了一种新的方法——通过线性聚合化将相系的圆环沿着一个特定方向简单连接起来。这个概念以新型混合晶体BIQCdCl 4(BIQ = C 18 H 14 N 2)为很好的例证。</w:t>
      </w:r>
    </w:p>
    <w:p>
      <w:pPr>
        <w:spacing w:before="0" w:after="200" w:lineRule="auto" w:line="276"/>
      </w:pPr>
      <w:r>
        <w:rPr>
          <w:b/>
        </w:rPr>
        <w:t xml:space="preserve">Abstract (EN): </w:t>
      </w:r>
      <w:r>
        <w:t>Despite being crucial for various advanced optical components, obtaining optically anisotropic crystals with giant birefringence (e.g., Δ</w:t>
      </w:r>
      <w:r>
        <w:t xml:space="preserve"> </w:t>
      </w:r>
      <w:r>
        <w:t>n</w:t>
      </w:r>
      <w:r>
        <w:t xml:space="preserve"> </w:t>
      </w:r>
      <w:r>
        <w:t>≥ 1.0) remains a formidable challenge. Prevailing strategies typically rely on enhancing the π‐delocalization of molecular building blocks by cyclic polymerization. Here, we demonstrate a new approach—simply connecting the π‐conjugated rings along a specific direction via linear polymerization. This concept is well exemplified by a novel hybrid crystal, BIQCdCl</w:t>
      </w:r>
      <w:r>
        <w:rPr>
          <w:vertAlign w:val="subscript"/>
        </w:rPr>
        <w:t>4</w:t>
      </w:r>
      <w:r>
        <w:t>(BIQ = C</w:t>
      </w:r>
      <w:r>
        <w:rPr>
          <w:vertAlign w:val="subscript"/>
        </w:rPr>
        <w:t>18</w:t>
      </w:r>
      <w:r>
        <w:t>H</w:t>
      </w:r>
      <w:r>
        <w:rPr>
          <w:vertAlign w:val="subscript"/>
        </w:rPr>
        <w:t>14</w:t>
      </w:r>
      <w:r>
        <w:t>N</w:t>
      </w:r>
      <w:r>
        <w:rPr>
          <w:vertAlign w:val="subscript"/>
        </w:rPr>
        <w:t>2</w:t>
      </w:r>
      <w:r>
        <w:t>, the protonated form of 2,2′‐biquinoline). Although in accordance with Hückel's rule, the π‐electrons within two quinoline subunits are not fully delocalized over the entire BIQ molecule, this compound exhibits a record‐high birefringence value of Δ</w:t>
      </w:r>
      <w:r>
        <w:t xml:space="preserve"> </w:t>
      </w:r>
      <w:r>
        <w:t>n</w:t>
      </w:r>
      <w:r>
        <w:t xml:space="preserve"> </w:t>
      </w:r>
      <w:r>
        <w:t>exp</w:t>
      </w:r>
      <w:r>
        <w:t xml:space="preserve"> </w:t>
      </w:r>
      <w:r>
        <w:t>= 1.017@546 nm, surpassing all commercial birefringent crystals and many newly developed birefringent crystals, thereby setting a new benchmark for such materials. Detailed electronic structure investigation indicates that while the C─C linkage limits π‐delocalization extension, linear polymerization enhances the disparity in the in‐plane (</w:t>
      </w:r>
      <w:r>
        <w:t xml:space="preserve"> </w:t>
      </w:r>
      <w:r>
        <w:t>X</w:t>
      </w:r>
      <w:r>
        <w:t xml:space="preserve"> </w:t>
      </w:r>
      <w:r>
        <w:t>,</w:t>
      </w:r>
      <w:r>
        <w:t xml:space="preserve"> </w:t>
      </w:r>
      <w:r>
        <w:t>Y</w:t>
      </w:r>
      <w:r>
        <w:t xml:space="preserve"> </w:t>
      </w:r>
      <w:r>
        <w:t>) π‐electron distribution, thereby maximizing the polarizability contrast between two specific polarization directions (i.e.,</w:t>
      </w:r>
      <w:r>
        <w:t xml:space="preserve"> </w:t>
      </w:r>
      <w:r>
        <w:t>Y</w:t>
      </w:r>
      <w:r>
        <w:t xml:space="preserve"> </w:t>
      </w:r>
      <w:r>
        <w:t>and</w:t>
      </w:r>
      <w:r>
        <w:t xml:space="preserve"> </w:t>
      </w:r>
      <w:r>
        <w:t>Z</w:t>
      </w:r>
      <w:r>
        <w:t xml:space="preserve"> </w:t>
      </w:r>
      <w:r>
        <w:t>). This leads to exceptional polarizability anisotropy of the BIQ molecules, which, combined with their uniform alignment directed by [CdCl</w:t>
      </w:r>
      <w:r>
        <w:rPr>
          <w:vertAlign w:val="subscript"/>
        </w:rPr>
        <w:t>4</w:t>
      </w:r>
      <w:r>
        <w:t>] tetrahedra and hydrogen bonding, ultimately results in the giant birefringence of BIQCdCl</w:t>
      </w:r>
      <w:r>
        <w:rPr>
          <w:vertAlign w:val="subscript"/>
        </w:rPr>
        <w:t>4</w:t>
      </w:r>
      <w:r>
        <w:t>.</w:t>
      </w:r>
    </w:p>
    <w:p>
      <w:pPr>
        <w:spacing w:before="120" w:after="120"/>
      </w:pPr>
      <w:r>
        <w:rPr>
          <w:sz w:val="18"/>
        </w:rPr>
        <w:t>——————————————————————————————————————————————————————————————————————</w:t>
      </w:r>
    </w:p>
    <w:p>
      <w:pPr>
        <w:spacing w:before="160" w:after="40" w:line="240" w:lineRule="auto"/>
      </w:pPr>
      <w:r>
        <w:rPr>
          <w:b/>
        </w:rPr>
        <w:t xml:space="preserve">[278] </w:t>
      </w:r>
      <w:hyperlink r:id="rId432">
        <w:r>
          <w:rPr>
            <w:color w:val="1155CC"/>
            <w:u w:val="single"/>
          </w:rPr>
          <w:t>[ASAP]关于核查双重原子催化剂存在及其相对于单一原子催化剂的威力的挑战</w:t>
        </w:r>
      </w:hyperlink>
    </w:p>
    <w:p>
      <w:pPr>
        <w:spacing w:before="0" w:after="80"/>
      </w:pPr>
      <w:r>
        <w:rPr>
          <w:i/>
          <w:sz w:val="20"/>
        </w:rPr>
        <w:t>EN: [ASAP] On the Challenge of Verifying Dual Atom Catalyst Presence and Their Superiority over Single Atom Catalysts</w:t>
      </w:r>
    </w:p>
    <w:p>
      <w:pPr>
        <w:spacing w:before="0" w:after="120"/>
      </w:pPr>
      <w:r>
        <w:rPr>
          <w:b/>
        </w:rPr>
        <w:t xml:space="preserve">Source: </w:t>
      </w:r>
      <w:r>
        <w:t>ACS Energy Letters: Latest Articles (ACS Publications)</w:t>
      </w:r>
      <w:r>
        <w:t xml:space="preserve">    </w:t>
      </w:r>
      <w:r>
        <w:rPr>
          <w:b/>
        </w:rPr>
        <w:t xml:space="preserve">Pub date: </w:t>
      </w:r>
      <w:r>
        <w:t>2026-01-27 14:06:00+00:00</w:t>
      </w:r>
      <w:r>
        <w:t xml:space="preserve">    </w:t>
      </w:r>
      <w:r>
        <w:rPr>
          <w:b/>
        </w:rPr>
        <w:t xml:space="preserve">DOI: </w:t>
      </w:r>
      <w:hyperlink r:id="rId433">
        <w:r>
          <w:rPr>
            <w:color w:val="1155CC"/>
            <w:u w:val="single"/>
          </w:rPr>
          <w:t>10.1021/acsenergylett.5c04220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[279] </w:t>
      </w:r>
      <w:hyperlink r:id="rId434">
        <w:r>
          <w:rPr>
            <w:color w:val="1155CC"/>
            <w:u w:val="single"/>
          </w:rPr>
          <w:t>[ASAP]通过电催化法将CO2和H2O升级为分析层,通过单原子催化剂的热催化中继</w:t>
        </w:r>
      </w:hyperlink>
    </w:p>
    <w:p>
      <w:pPr>
        <w:spacing w:before="0" w:after="80"/>
      </w:pPr>
      <w:r>
        <w:rPr>
          <w:i/>
          <w:sz w:val="20"/>
        </w:rPr>
        <w:t>EN: [ASAP] Upgrading CO2 and H2O to Analytical-Grade Propanal via an Electrocatalysis–Thermal Catalysis Relay on Single-Atom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2026-01-27 14:33:48+00:00</w:t>
      </w:r>
      <w:r>
        <w:t xml:space="preserve">    </w:t>
      </w:r>
      <w:r>
        <w:rPr>
          <w:b/>
        </w:rPr>
        <w:t xml:space="preserve">DOI: </w:t>
      </w:r>
      <w:hyperlink r:id="rId435">
        <w:r>
          <w:rPr>
            <w:color w:val="1155CC"/>
            <w:u w:val="single"/>
          </w:rPr>
          <w:t>10.1021/jacs.5c22374</w:t>
        </w:r>
      </w:hyperlink>
    </w:p>
    <w:p>
      <w:pPr>
        <w:spacing w:before="0" w:after="120"/>
      </w:pPr>
      <w:r>
        <w:rPr>
          <w:b/>
        </w:rPr>
        <w:t xml:space="preserve">Notes: </w:t>
      </w:r>
      <w:r>
        <w:t>abstract_source=pubmed</w:t>
      </w:r>
    </w:p>
    <w:p>
      <w:pPr>
        <w:spacing w:before="0" w:after="80" w:lineRule="auto" w:line="276"/>
      </w:pPr>
      <w:r>
        <w:rPr>
          <w:b/>
        </w:rPr>
        <w:t xml:space="preserve">摘要（ZH）: </w:t>
      </w:r>
      <w:r>
        <w:t>通过电热级联工艺对CO2和H2O的分析级散状物进行可持续的合成,具有很高的吸引力,但由于CO2电压有限地选择性地减少气体产品(CO/C2H4),以及随后在环境压力下热催化步骤的动能迟缓,因此仍然具有挑战性。在这项工作中,我们展示了一条通过电减速-流成型级联变将CO2和H2O对合理设计的单原子催化剂(SACs)进行无净化分析级散状直接合成的新途径。Sn1Cu单原子合金催化剂展示了一种特别的、可能依赖CO2的降低电动能选择,以C2H4和CO为目标,而C2H4对CO的比率在0的潜在范围内增加了2个数量级。</w:t>
      </w:r>
    </w:p>
    <w:p>
      <w:pPr>
        <w:spacing w:before="0" w:after="200" w:lineRule="auto" w:line="276"/>
      </w:pPr>
      <w:r>
        <w:rPr>
          <w:b/>
        </w:rPr>
        <w:t xml:space="preserve">Abstract (EN): </w:t>
      </w:r>
      <w:r>
        <w:t>Sustainable synthesis of analytical-grade propanal from CO2 and H2O via an electro-thermal cascade process is highly attractive but remains challenging due to the limited selectivity of CO2 electroreduction to gaseous products (CO/C2H4) and the sluggish kinetics of the subsequent thermal catalytic step at ambient pressure. In this work, we demonstrate a new pathway for the direct synthesis of purification-free analytical-grade propanal via electroreduction-hydroformylation cascade conversion of CO2 and H2O over rationally designed single-atom catalysts (SACs). The Sn1Cu single-atom alloy (SAA) catalyst exhibits an exceptional potential-dependent CO2 electroreduction selectivity toward C2H4 and CO, with the C2H4 to CO ratio increasing by 2 orders of magnitude in the potential range from -0.6 to -2.3 V (vs RHE). Results from in situ/operando characterizations and density functional theory (DFT) calculations reveal that the enhanced ethylene selectivity over Sn1Cu SAA arises from the high *CO coverage generated over a single-Sn-atom-modified Cu site, which promotes the symmetric *CO-*CO coupling, thereby significantly enhancing the electrochemical CO2 reduction to ethylene. The resulting C2H4/CO/H2 mixture is directly converted in a fixed-bed hydroformylation reactor over a triphenylphosphine-modified Rh SAC (PPh3-Rh1/ZnO), achieving an optimized ethylene-to-propanal selectivity of up to 98%. Analytical-grade propanal (∼99%) is obtained without further purification, and stable production was maintained for 200 h with a maximum C3H6O rate of 3.8 mg h-1 cm-2 under ambient pressure. This work establishes a general framework for integrating electrochemical and thermal catalysis to convert CO2 and H2O into value-added aldehydes, offering a sustainable route for synthesizing value-added chemicals from basic feedstocks.</w:t>
      </w:r>
    </w:p>
    <w:p>
      <w:pPr>
        <w:spacing w:before="120" w:after="120"/>
      </w:pPr>
      <w:r>
        <w:rPr>
          <w:sz w:val="18"/>
        </w:rPr>
        <w:t>——————————————————————————————————————————————————————————————————————</w:t>
      </w:r>
    </w:p>
    <w:p>
      <w:pPr>
        <w:spacing w:before="160" w:after="40" w:line="240" w:lineRule="auto"/>
      </w:pPr>
      <w:r>
        <w:rPr>
          <w:b/>
        </w:rPr>
        <w:t xml:space="preserve">[280] </w:t>
      </w:r>
      <w:hyperlink r:id="rId436">
        <w:r>
          <w:rPr>
            <w:color w:val="1155CC"/>
            <w:u w:val="single"/>
          </w:rPr>
          <w:t>[ASAP] NiSO4-Driven in Situ合金培养成水电池中解锁高可逆铁电化学</w:t>
        </w:r>
      </w:hyperlink>
    </w:p>
    <w:p>
      <w:pPr>
        <w:spacing w:before="0" w:after="80"/>
      </w:pPr>
      <w:r>
        <w:rPr>
          <w:i/>
          <w:sz w:val="20"/>
        </w:rPr>
        <w:t>EN: [ASAP] NiSO4-Driven In Situ Alloy Formation To Unlock Highly Reversible Iron Electrochemistry in Aqueous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2026-01-27 14:51:31+00:00</w:t>
      </w:r>
      <w:r>
        <w:t xml:space="preserve">    </w:t>
      </w:r>
      <w:r>
        <w:rPr>
          <w:b/>
        </w:rPr>
        <w:t xml:space="preserve">DOI: </w:t>
      </w:r>
      <w:hyperlink r:id="rId437">
        <w:r>
          <w:rPr>
            <w:color w:val="1155CC"/>
            <w:u w:val="single"/>
          </w:rPr>
          <w:t>10.1021/jacs.5c15954</w:t>
        </w:r>
      </w:hyperlink>
    </w:p>
    <w:p>
      <w:pPr>
        <w:spacing w:before="0" w:after="120"/>
      </w:pPr>
      <w:r>
        <w:rPr>
          <w:b/>
        </w:rPr>
        <w:t xml:space="preserve">Notes: </w:t>
      </w:r>
      <w:r>
        <w:t>abstract_source=pubmed</w:t>
      </w:r>
    </w:p>
    <w:p>
      <w:pPr>
        <w:spacing w:before="0" w:after="80" w:lineRule="auto" w:line="276"/>
      </w:pPr>
      <w:r>
        <w:rPr>
          <w:b/>
        </w:rPr>
        <w:t xml:space="preserve">摘要（ZH）: </w:t>
      </w:r>
      <w:r>
        <w:t>铁(Fe)金属基水电池由于铁的丰度、低成本和环保性而提供了一种有吸引力的选择,但由于氢的无节制进化以及铁电镀和剥离的可逆性差,这些电池的发展受到了阻碍。在这里,我们报告使用硫酸镍(NISO4)作为电解添加剂,诱导在早期循环过程中就地形成一个FeNi3合金交点。这种合金降低了铁的核核分离屏障,促进了统一的铁沉积。此外,与Fe一起的动态编码定位和剥离也维持了快速反应动力学,稳定了长期循环过程中的合金相向相向。结果,FeFe对称细胞(achie achie)。</w:t>
      </w:r>
    </w:p>
    <w:p>
      <w:pPr>
        <w:spacing w:before="0" w:after="200" w:lineRule="auto" w:line="276"/>
      </w:pPr>
      <w:r>
        <w:rPr>
          <w:b/>
        </w:rPr>
        <w:t xml:space="preserve">Abstract (EN): </w:t>
      </w:r>
      <w:r>
        <w:t>Grid-scale stationary energy storage requires technologies that are both safe and economically viable. Iron (Fe) metal-based aqueous batteries offer an attractive option owing to the abundance, low cost, and environmental benignity of iron, but their development has been hampered by uncontrolled hydrogen evolution and poor reversibility of iron plating and stripping. Here, we report using nickel sulfate (NiSO4) as an electrolyte additive to induce the in situ formation of a FeNi3 alloy interphase during early cycling. This alloy lowers the Fe nucleation barrier and promotes uniform iron deposition. Moreover, dynamic codeposition and stripping of Ni with Fe sustains fast reaction kinetics and stabilizes the alloy interphase during long-term cycling. As a result, Fe||Fe symmetric cells achieve over 3000 h of stable cycling, nearly an order of magnitude improvement over the baseline electrolyte. Fe||Cu cells with NiSO4 additives enable stable long-term cycling with a high average Coulombic efficiency (CE) of ∼99.4%, while the control electrolyte rapidly fails with an average CE of 82.9%. These findings demonstrate that functional electrolyte additives and the controlled alloying interphase provide a viable pathway to high-performance, cost-effective iron metal-based aqueous batteries for large-scale energy storage.</w:t>
      </w:r>
    </w:p>
    <w:p>
      <w:pPr>
        <w:spacing w:before="120" w:after="120"/>
      </w:pPr>
      <w:r>
        <w:rPr>
          <w:sz w:val="18"/>
        </w:rPr>
        <w:t>——————————————————————————————————————————————————————————————————————</w:t>
      </w:r>
    </w:p>
    <w:p>
      <w:pPr>
        <w:spacing w:before="160" w:after="40" w:line="240" w:lineRule="auto"/>
      </w:pPr>
      <w:r>
        <w:rPr>
          <w:b/>
        </w:rPr>
        <w:t xml:space="preserve">[281] </w:t>
      </w:r>
      <w:hyperlink r:id="rId438">
        <w:r>
          <w:rPr>
            <w:color w:val="1155CC"/>
            <w:u w:val="single"/>
          </w:rPr>
          <w:t>[ASAP] 当现实缺陷预测:多形态主义、结对和手风水晶</w:t>
        </w:r>
      </w:hyperlink>
    </w:p>
    <w:p>
      <w:pPr>
        <w:spacing w:before="0" w:after="80"/>
      </w:pPr>
      <w:r>
        <w:rPr>
          <w:i/>
          <w:sz w:val="20"/>
        </w:rPr>
        <w:t>EN: [ASAP] When Reality Defies Prediction: Polymorphism, Twinning, and Accordion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2026-01-27 15:00:55+00:00</w:t>
      </w:r>
      <w:r>
        <w:t xml:space="preserve">    </w:t>
      </w:r>
      <w:r>
        <w:rPr>
          <w:b/>
        </w:rPr>
        <w:t xml:space="preserve">DOI: </w:t>
      </w:r>
      <w:hyperlink r:id="rId439">
        <w:r>
          <w:rPr>
            <w:color w:val="1155CC"/>
            <w:u w:val="single"/>
          </w:rPr>
          <w:t>10.1021/jacs.5c22213</w:t>
        </w:r>
      </w:hyperlink>
    </w:p>
    <w:p>
      <w:pPr>
        <w:spacing w:before="0" w:after="120"/>
      </w:pPr>
      <w:r>
        <w:rPr>
          <w:b/>
        </w:rPr>
        <w:t xml:space="preserve">Notes: </w:t>
      </w:r>
      <w:r>
        <w:t>abstract_source=pubmed</w:t>
      </w:r>
    </w:p>
    <w:p>
      <w:pPr>
        <w:spacing w:before="0" w:after="80" w:lineRule="auto" w:line="276"/>
      </w:pPr>
      <w:r>
        <w:rPr>
          <w:b/>
        </w:rPr>
        <w:t xml:space="preserve">摘要（ZH）: </w:t>
      </w:r>
      <w:r>
        <w:t>理解结晶和预测由此形成的系统固态形式的能力并非总能容易实现,但它至关重要,特别是在材料科学领域。对(和以前未报告的)结晶行为,以Tedi(Tedi)观测到有趣的(和以前未报告的)结晶行为,因为它在溶液冷却后迅速形成两个伴随的晶状多元体。在有机系统中,没有看到表I(FI)的晶体形态,它涉及令人印象深刻的、类似手风琴的堆叠,由众多的双体域组成,多年来在溶解中保持稳定。表二(FII)作为大型针头存在,20小时后在溶液中消失。所有实验方法都表明,FI是最稳定的多元体。相反,所有计算方法都使用了(co)。</w:t>
      </w:r>
    </w:p>
    <w:p>
      <w:pPr>
        <w:spacing w:before="0" w:after="200" w:lineRule="auto" w:line="276"/>
      </w:pPr>
      <w:r>
        <w:rPr>
          <w:b/>
        </w:rPr>
        <w:t xml:space="preserve">Abstract (EN): </w:t>
      </w:r>
      <w:r>
        <w:t>The ability to understand crystallization and predict the resulting solid form of a system is not always easily achieved, but it is critical, particularly in the field of materials science. Intriguing (and previously unreported) crystallization behavior is observed with terephthalic dihydrazide (TeDi) as it rapidly forms two concomitant crystalline polymorphs upon cooling in solution. The crystal morphology of Form I (FI) has not been seen before in organic systems and involves impressive, accordion-like stacks, composed of numerous twin domains and remains stable in solution for years. Form II (FII) exists as large needles that disappear in solution after 20 h. All experimental methods employed reveal that FI is the most stable polymorph. Conversely, all computational methods utilized (conformational analyses, lattice energy calculations, and crystal structure prediction) suggest that FII is the most stable polymorph. Isolation of FII was achieved by the crystallization of TeDi powder with a supramolecular mimetic gelator, as the gel fibers act as a template for the preferential crystallization of FII, due to the comparable crystal packing of FII and the gelator. This work highlights the impact of crystallization behavior in a real laboratory and the defects, disorder, and twinning that lead to remarkable crystal morphologies that may not be accounted for with idealized calculations, and also explores approaches for controlling and directing crystallization outcomes.</w:t>
      </w:r>
    </w:p>
    <w:p>
      <w:pPr>
        <w:spacing w:before="120" w:after="120"/>
      </w:pPr>
      <w:r>
        <w:rPr>
          <w:sz w:val="18"/>
        </w:rPr>
        <w:t>——————————————————————————————————————————————————————————————————————</w:t>
      </w:r>
    </w:p>
    <w:p>
      <w:pPr>
        <w:spacing w:before="160" w:after="40" w:line="240" w:lineRule="auto"/>
      </w:pPr>
      <w:r>
        <w:rPr>
          <w:b/>
        </w:rPr>
        <w:t xml:space="preserve">[282] </w:t>
      </w:r>
      <w:hyperlink r:id="rId440">
        <w:r>
          <w:rPr>
            <w:color w:val="1155CC"/>
            <w:u w:val="single"/>
          </w:rPr>
          <w:t>[ASAP] 长寿命和机械-机械-自用-耐用半固体浆浆电池</w:t>
        </w:r>
      </w:hyperlink>
    </w:p>
    <w:p>
      <w:pPr>
        <w:spacing w:before="0" w:after="80"/>
      </w:pPr>
      <w:r>
        <w:rPr>
          <w:i/>
          <w:sz w:val="20"/>
        </w:rPr>
        <w:t>EN: [ASAP] Long-Lived and Mechanical-Abuse-Tolerant Semisolid Slurry Batteries</w:t>
      </w:r>
    </w:p>
    <w:p>
      <w:pPr>
        <w:spacing w:before="0" w:after="120"/>
      </w:pPr>
      <w:r>
        <w:rPr>
          <w:b/>
        </w:rPr>
        <w:t xml:space="preserve">Source: </w:t>
      </w:r>
      <w:r>
        <w:t>ACS Energy Letters: Latest Articles (ACS Publications)</w:t>
      </w:r>
      <w:r>
        <w:t xml:space="preserve">    </w:t>
      </w:r>
      <w:r>
        <w:rPr>
          <w:b/>
        </w:rPr>
        <w:t xml:space="preserve">Pub date: </w:t>
      </w:r>
      <w:r>
        <w:t>2026-01-27 15:25:40+00:00</w:t>
      </w:r>
      <w:r>
        <w:t xml:space="preserve">    </w:t>
      </w:r>
      <w:r>
        <w:rPr>
          <w:b/>
        </w:rPr>
        <w:t xml:space="preserve">DOI: </w:t>
      </w:r>
      <w:hyperlink r:id="rId441">
        <w:r>
          <w:rPr>
            <w:color w:val="1155CC"/>
            <w:u w:val="single"/>
          </w:rPr>
          <w:t>10.1021/acsenergylett.5c03717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442">
        <w:r>
          <w:rPr>
            <w:color w:val="1155CC"/>
            <w:u w:val="single"/>
          </w:rPr>
          <w:t>[ASAP]中度溶解结构设计中度结构设计定线长筒,由5个V-克快速收集锂离子电池组成</w:t>
        </w:r>
      </w:hyperlink>
    </w:p>
    <w:p>
      <w:pPr>
        <w:spacing w:before="0" w:after="80"/>
      </w:pPr>
      <w:r>
        <w:rPr>
          <w:i/>
          <w:sz w:val="20"/>
        </w:rPr>
        <w:t>EN: [ASAP] Moderate Solvation Structure Design Endows Long Cycling of 5 V-Class Fast-Charging Lithium-Ion Batteries</w:t>
      </w:r>
    </w:p>
    <w:p>
      <w:pPr>
        <w:spacing w:before="0" w:after="120"/>
      </w:pPr>
      <w:r>
        <w:rPr>
          <w:b/>
        </w:rPr>
        <w:t xml:space="preserve">Source: </w:t>
      </w:r>
      <w:r>
        <w:t>ACS Energy Letters: Latest Articles (ACS Publications)</w:t>
      </w:r>
      <w:r>
        <w:t xml:space="preserve">    </w:t>
      </w:r>
      <w:r>
        <w:rPr>
          <w:b/>
        </w:rPr>
        <w:t xml:space="preserve">Pub date: </w:t>
      </w:r>
      <w:r>
        <w:t>2026-01-27 15:36:12+00:00</w:t>
      </w:r>
      <w:r>
        <w:t xml:space="preserve">    </w:t>
      </w:r>
      <w:r>
        <w:rPr>
          <w:b/>
        </w:rPr>
        <w:t xml:space="preserve">DOI: </w:t>
      </w:r>
      <w:hyperlink r:id="rId443">
        <w:r>
          <w:rPr>
            <w:color w:val="1155CC"/>
            <w:u w:val="single"/>
          </w:rPr>
          <w:t>10.1021/acsenergylett.5c03751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444">
        <w:r>
          <w:rPr>
            <w:color w:val="1155CC"/>
            <w:u w:val="single"/>
          </w:rPr>
          <w:t>[ASAP]共价有机框架中的钾-离离子电离导</w:t>
        </w:r>
      </w:hyperlink>
    </w:p>
    <w:p>
      <w:pPr>
        <w:spacing w:before="0" w:after="80"/>
      </w:pPr>
      <w:r>
        <w:rPr>
          <w:i/>
          <w:sz w:val="20"/>
        </w:rPr>
        <w:t>EN: [ASAP] Potassium-Ion Conduction in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2026-01-27 15:37:56+00:00</w:t>
      </w:r>
      <w:r>
        <w:t xml:space="preserve">    </w:t>
      </w:r>
      <w:r>
        <w:rPr>
          <w:b/>
        </w:rPr>
        <w:t xml:space="preserve">DOI: </w:t>
      </w:r>
      <w:hyperlink r:id="rId445">
        <w:r>
          <w:rPr>
            <w:color w:val="1155CC"/>
            <w:u w:val="single"/>
          </w:rPr>
          <w:t>10.1021/jacs.5c19643</w:t>
        </w:r>
      </w:hyperlink>
    </w:p>
    <w:p>
      <w:pPr>
        <w:spacing w:before="0" w:after="120"/>
      </w:pPr>
      <w:r>
        <w:rPr>
          <w:b/>
        </w:rPr>
        <w:t xml:space="preserve">Notes: </w:t>
      </w:r>
      <w:r>
        <w:t>abstract_source=pubmed</w:t>
      </w:r>
    </w:p>
    <w:p>
      <w:pPr>
        <w:spacing w:before="0" w:after="80" w:lineRule="auto" w:line="276"/>
      </w:pPr>
      <w:r>
        <w:rPr>
          <w:b/>
        </w:rPr>
        <w:t xml:space="preserve">摘要（ZH）: </w:t>
      </w:r>
      <w:r>
        <w:t>共价有机框架可以作为独特的大众运输材料加以探索,因为它们拥有源自其明确界定的单维通道的内在路径。钾导电具有重要的科学意义和技术相关性。然而,关于钾离子导材料的研究仍处于初级阶段,而钾离子如何通过人工孔径移动仍然不明确。我们报告了一项战略,通过设计聚电解介面和揭示控制钾离子运动的关键结构参数,使钾离子导导流在稳定的晶体多孔框架中得以进行。对不同数量寡头(环氧乙烷)链的孔墙进行系统工程,创造了相互连接的但离散的多元电解介面。</w:t>
      </w:r>
    </w:p>
    <w:p>
      <w:pPr>
        <w:spacing w:before="0" w:after="200" w:lineRule="auto" w:line="276"/>
      </w:pPr>
      <w:r>
        <w:rPr>
          <w:b/>
        </w:rPr>
        <w:t xml:space="preserve">Abstract (EN): </w:t>
      </w:r>
      <w:r>
        <w:t>Covalent organic frameworks could be explored as unique materials for mass transport, as they possess built-in pathways originating from their well-defined one-dimensional channels. Potassium-ion conduction holds significant scientific interest and technological relevance. However, the study on potassium-ion-conducting materials is still in its infancy, and how potassium ions move through artificial pores remains unclear. Here, we report a strategy for enabling potassium-ion conduction in stable crystalline porous frameworks by designing polyelectrolyte interfaces and revealing key structural parameters that control potassium-ion motion. Systematic engineering of pore walls with different numbers of oligo(ethylene oxide) chains creates covalently linked yet discrete polyelectrolyte interfaces at predesigned density in the pores. We found that polyelectrolyte interfaces offer a scaffold to anchor counteranions on pore walls through single-file nitrogen chains via electrostatic interactions and release potassium ions to the "pool" of electrolyte chains, constituting well-defined lanes for potassium-ion transport. Remarkably, we observed that the effect of the polyelectrolyte interface on conductivity is not a simple linear summation of individual chains but rather a nonlinear exponential increment, achieving exceptional conductivities and allowing low-energy-barrier transport via ion hopping in the electrolyte network. These results and insights revealed the essence of polyelectrolyte frameworks in developing potassium-ion-conducting materials and pave the way to all-solid potassium-ion batteries and devices.</w:t>
      </w:r>
    </w:p>
    <w:p>
      <w:pPr>
        <w:spacing w:before="120" w:after="120"/>
      </w:pPr>
      <w:r>
        <w:rPr>
          <w:sz w:val="18"/>
        </w:rPr>
        <w:t>——————————————————————————————————————————————————————————————————————</w:t>
      </w:r>
    </w:p>
    <w:p>
      <w:pPr>
        <w:spacing w:before="160" w:after="40" w:line="240" w:lineRule="auto"/>
      </w:pPr>
      <w:r>
        <w:rPr>
          <w:b/>
        </w:rPr>
        <w:t xml:space="preserve">[285] </w:t>
      </w:r>
      <w:hyperlink r:id="rId446">
        <w:r>
          <w:rPr>
            <w:color w:val="1155CC"/>
            <w:u w:val="single"/>
          </w:rPr>
          <w:t>[ASAP]由1,8-Naphthyridine Ligond:生物铜系统电子通信模型所支持的混合-Valent Tetracopper 狄硫化物</w:t>
        </w:r>
      </w:hyperlink>
    </w:p>
    <w:p>
      <w:pPr>
        <w:spacing w:before="0" w:after="80"/>
      </w:pPr>
      <w:r>
        <w:rPr>
          <w:i/>
          <w:sz w:val="20"/>
        </w:rPr>
        <w:t>EN: [ASAP] Mixed-Valent Tetracopper Disulfides Supported by a 1,8-Naphthyridine-Based Ligand: Models for Electronic Communication in Biological Copper Systems</w:t>
      </w:r>
    </w:p>
    <w:p>
      <w:pPr>
        <w:spacing w:before="0" w:after="120"/>
      </w:pPr>
      <w:r>
        <w:rPr>
          <w:b/>
        </w:rPr>
        <w:t xml:space="preserve">Source: </w:t>
      </w:r>
      <w:r>
        <w:t>Journal of the American Chemical Society: Latest Articles (ACS Publications)</w:t>
      </w:r>
      <w:r>
        <w:t xml:space="preserve">    </w:t>
      </w:r>
      <w:r>
        <w:rPr>
          <w:b/>
        </w:rPr>
        <w:t xml:space="preserve">Pub date: </w:t>
      </w:r>
      <w:r>
        <w:t>2026-01-27 15:38:01+00:00</w:t>
      </w:r>
      <w:r>
        <w:t xml:space="preserve">    </w:t>
      </w:r>
      <w:r>
        <w:rPr>
          <w:b/>
        </w:rPr>
        <w:t xml:space="preserve">DOI: </w:t>
      </w:r>
      <w:hyperlink r:id="rId447">
        <w:r>
          <w:rPr>
            <w:color w:val="1155CC"/>
            <w:u w:val="single"/>
          </w:rPr>
          <w:t>10.1021/jacs.5c19068</w:t>
        </w:r>
      </w:hyperlink>
    </w:p>
    <w:p>
      <w:pPr>
        <w:spacing w:before="0" w:after="120"/>
      </w:pPr>
      <w:r>
        <w:rPr>
          <w:b/>
        </w:rPr>
        <w:t xml:space="preserve">Notes: </w:t>
      </w:r>
      <w:r>
        <w:t>abstract_source=pubmed</w:t>
      </w:r>
    </w:p>
    <w:p>
      <w:pPr>
        <w:spacing w:before="0" w:after="80" w:lineRule="auto" w:line="276"/>
      </w:pPr>
      <w:r>
        <w:rPr>
          <w:b/>
        </w:rPr>
        <w:t xml:space="preserve">摘要（ZH）: </w:t>
      </w:r>
      <w:r>
        <w:t>与元素硫硫的二氯(I)乙酰乙酰共聚物的反反应(1)与元素硫磺的反作用(1)导致正式形成2CI:2C二二二二二四氯二氯二氯二氯二氯混价微分硫化合物(2).(与富钴)或氧化(与Ag[NTf2]2]、[NTf2]=双(三氟乙烷乙烷)硫化硫化物)导致复合物2、正式的3CuI:CuII物种(3)和4CuI物种之间可逆的相互转换(4).鉴于这些复合物的结构性质,对2、3和4个金属中心之间的电子通信进行了光谱学调查,通过UV-vis和ERP技术,揭示了所有4个铜中心2和3个2、3个和4个变量温度磁度计2、2个和4个电离地的电离电孔的相对脱落地作用。</w:t>
      </w:r>
    </w:p>
    <w:p>
      <w:pPr>
        <w:spacing w:before="0" w:after="200" w:lineRule="auto" w:line="276"/>
      </w:pPr>
      <w:r>
        <w:rPr>
          <w:b/>
        </w:rPr>
        <w:t xml:space="preserve">Abstract (EN): </w:t>
      </w:r>
      <w:r>
        <w:t>Reaction of a dicopper(I) acetonitrile complex (1) with elemental sulfur resulted in a formally 2CuI:2CuII tetracopper mixed-valent μ-disulfide complex (2). Stoichiometric reduction (with cobaltocene) or oxidation (with Ag[NTf2], [NTf2] = bis(trifluoromethane)sulfonimide) result in reversible interconversions between complex 2, a formally 3CuI:CuII species (3), and a 4CuI species (4). Given the isostructural nature of these complexes, the electronic communication between the metal centers of 2, 3, and 4 were spectroscopically investigated with UV-vis and EPR techniques, revealing the relative delocalization of electron holes on all four copper centers of 2 and 3. Variable temperature magnetometry of 2, 3, and 4 also reveal antiferromagnetic, ferromagnetic, and temperature-independent paramagnetic behavior, respectively. The formally spin-paired (d10)4 complex 4 displays unusual magnetic behavior, exhibiting field-induced paramagnetism.</w:t>
      </w:r>
    </w:p>
    <w:p>
      <w:pPr>
        <w:spacing w:before="120" w:after="120"/>
      </w:pPr>
      <w:r>
        <w:rPr>
          <w:sz w:val="18"/>
        </w:rPr>
        <w:t>——————————————————————————————————————————————————————————————————————</w:t>
      </w:r>
    </w:p>
    <w:p>
      <w:pPr>
        <w:spacing w:before="160" w:after="40" w:line="240" w:lineRule="auto"/>
      </w:pPr>
      <w:r>
        <w:rPr>
          <w:b/>
        </w:rPr>
        <w:t xml:space="preserve">[286] </w:t>
      </w:r>
      <w:hyperlink r:id="rId448">
        <w:r>
          <w:rPr>
            <w:color w:val="1155CC"/>
            <w:u w:val="single"/>
          </w:rPr>
          <w:t>[ASAP] 具有实验精确度的小型分子的计算机解解解自由能源</w:t>
        </w:r>
      </w:hyperlink>
    </w:p>
    <w:p>
      <w:pPr>
        <w:spacing w:before="0" w:after="80"/>
      </w:pPr>
      <w:r>
        <w:rPr>
          <w:i/>
          <w:sz w:val="20"/>
        </w:rPr>
        <w:t>EN: [ASAP] Computing Solvation Free Energies of Small Molecules with Experimental Accuracy</w:t>
      </w:r>
    </w:p>
    <w:p>
      <w:pPr>
        <w:spacing w:before="0" w:after="120"/>
      </w:pPr>
      <w:r>
        <w:rPr>
          <w:b/>
        </w:rPr>
        <w:t xml:space="preserve">Source: </w:t>
      </w:r>
      <w:r>
        <w:t>Journal of the American Chemical Society: Latest Articles (ACS Publications)</w:t>
      </w:r>
      <w:r>
        <w:t xml:space="preserve">    </w:t>
      </w:r>
      <w:r>
        <w:rPr>
          <w:b/>
        </w:rPr>
        <w:t xml:space="preserve">Pub date: </w:t>
      </w:r>
      <w:r>
        <w:t>2026-01-27 15:41:39+00:00</w:t>
      </w:r>
      <w:r>
        <w:t xml:space="preserve">    </w:t>
      </w:r>
      <w:r>
        <w:rPr>
          <w:b/>
        </w:rPr>
        <w:t xml:space="preserve">DOI: </w:t>
      </w:r>
      <w:hyperlink r:id="rId449">
        <w:r>
          <w:rPr>
            <w:color w:val="1155CC"/>
            <w:u w:val="single"/>
          </w:rPr>
          <w:t>10.1021/jacs.5c10940</w:t>
        </w:r>
      </w:hyperlink>
    </w:p>
    <w:p>
      <w:pPr>
        <w:spacing w:before="0" w:after="120"/>
      </w:pPr>
      <w:r>
        <w:rPr>
          <w:b/>
        </w:rPr>
        <w:t xml:space="preserve">Notes: </w:t>
      </w:r>
      <w:r>
        <w:t>abstract_source=semanticscholar</w:t>
      </w:r>
    </w:p>
    <w:p>
      <w:pPr>
        <w:spacing w:before="0" w:after="80" w:lineRule="auto" w:line="276"/>
      </w:pPr>
      <w:r>
        <w:rPr>
          <w:b/>
        </w:rPr>
        <w:t xml:space="preserve">摘要（ZH）: </w:t>
      </w:r>
      <w:r>
        <w:t>自由能源在化学系统行为特征化方面发挥着核心作用,是分子动态模拟所能计算的最重要数量之一。 特别是,各种有机溶剂中的解冻自由能源是药物类分子的精密物理化学特性,通常用于评估和优化实验力领域非生物参数的准确性,同时也是蛋白-定线和约束性自由能源估算的快速至计算性能替代物。 机器学习的潜力(MLPs)作为实证力场的更准确替代物表现出巨大的希望,但并不很容易分解成物理动力功能形式,因此迄今为止,这些潜力与标准的无化学环境不相容。</w:t>
      </w:r>
    </w:p>
    <w:p>
      <w:pPr>
        <w:spacing w:before="0" w:after="200" w:lineRule="auto" w:line="276"/>
      </w:pPr>
      <w:r>
        <w:rPr>
          <w:b/>
        </w:rPr>
        <w:t xml:space="preserve">Abstract (EN): </w:t>
      </w:r>
      <w:r>
        <w:t>Free energies play a central role in characterizing the behavior of chemical systems and are among the most important quantities that can be calculated by molecular dynamics simulations. Solvation free energies in various organic solvents, in particular, are well-studied physicochemical properties of drug-like molecules and are commonly used to assess and optimize the accuracy of nonbonded parameters in empirical force fields and also as a fast-to-compute surrogate of performance for protein-ligand binding free energy estimation. Machine learned potentials (MLPs) show great promise as more accurate alternatives to empirical force fields but are not readily decomposed into physically motivated functional forms, which has thus far rendered them incompatible with standard alchemical free energy methods that manipulate individual pairwise interaction terms. However, since the accuracy of free energy calculations is highly sensitive to the force field, this is a key area in which MLPs have the potential to address the shortcomings of empirical force fields. In this work, we introduce an efficient alchemical free energy protocol that enables calculations of rigorous free energy differences in condensed phase systems modeled entirely by MLPs. Using a pretrained, transferable, alchemically equipped MLP model, we demonstrate subchemical accuracy for the solvation free energies of a wide range of organic molecules.</w:t>
      </w:r>
    </w:p>
    <w:p>
      <w:pPr>
        <w:spacing w:before="120" w:after="120"/>
      </w:pPr>
      <w:r>
        <w:rPr>
          <w:sz w:val="18"/>
        </w:rPr>
        <w:t>——————————————————————————————————————————————————————————————————————</w:t>
      </w:r>
    </w:p>
    <w:p>
      <w:pPr>
        <w:spacing w:before="160" w:after="40" w:line="240" w:lineRule="auto"/>
      </w:pPr>
      <w:r>
        <w:rPr>
          <w:b/>
        </w:rPr>
        <w:t xml:space="preserve">[287] </w:t>
      </w:r>
      <w:hyperlink r:id="rId450">
        <w:r>
          <w:rPr>
            <w:color w:val="1155CC"/>
            <w:u w:val="single"/>
          </w:rPr>
          <w:t>[ASAP] Oxygen 脱氧-经测量的热对称对称对称双活性场地打破高效酸水氧化活动-稳定交易</w:t>
        </w:r>
      </w:hyperlink>
    </w:p>
    <w:p>
      <w:pPr>
        <w:spacing w:before="0" w:after="80"/>
      </w:pPr>
      <w:r>
        <w:rPr>
          <w:i/>
          <w:sz w:val="20"/>
        </w:rPr>
        <w:t>EN: [ASAP] Oxygen Vacancy-Mediated Hetero-Asymmetrical Dual Active Sites Break the Activity-Stability Trade-Off for Efficient Acidic Water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2026-01-27 16:03:45+00:00</w:t>
      </w:r>
      <w:r>
        <w:t xml:space="preserve">    </w:t>
      </w:r>
      <w:r>
        <w:rPr>
          <w:b/>
        </w:rPr>
        <w:t xml:space="preserve">DOI: </w:t>
      </w:r>
      <w:hyperlink r:id="rId451">
        <w:r>
          <w:rPr>
            <w:color w:val="1155CC"/>
            <w:u w:val="single"/>
          </w:rPr>
          <w:t>10.1021/jacs.5c09492</w:t>
        </w:r>
      </w:hyperlink>
    </w:p>
    <w:p>
      <w:pPr>
        <w:spacing w:before="0" w:after="120"/>
      </w:pPr>
      <w:r>
        <w:rPr>
          <w:b/>
        </w:rPr>
        <w:t xml:space="preserve">Notes: </w:t>
      </w:r>
      <w:r>
        <w:t>abstract_source=pubmed</w:t>
      </w:r>
    </w:p>
    <w:p>
      <w:pPr>
        <w:spacing w:before="0" w:after="80" w:lineRule="auto" w:line="276"/>
      </w:pPr>
      <w:r>
        <w:rPr>
          <w:b/>
        </w:rPr>
        <w:t xml:space="preserve">摘要（ZH）: </w:t>
      </w:r>
      <w:r>
        <w:t>管理克服催化剂活动稳定性平衡的反反应途径是十分重要的,但在酸氧进化反应(OERs)中仍然极具挑战性。 在这里,我们通过热热液反应、方-方-广场的轰炸和无形态替代相结合,将原散射鲁鲁(Ru)纳入一个含氧量丰富的(Ovc) MnO2-x宿主(Ovc) 氧气挥发(MnO2x),结果产生了一种独特的催化剂(Ru-AP-MnO2-x(Ru-AP-AP-MnOc-Ru),以Ovc-Excial 反应(OERs)为主。 令人印象深刻的是,Ru-AP-MnO2-x(Ru-AP-MnO2x)催化剂在100 mA cm-2时实现了233 mV的低超潜能值,在0.5 MH2-SO4中,在10 mA cm-2时表现出超5000 h的异常稳定性。 当用于质交换Mmbrane水解水解器时,只需要1.76 V(PEMWE)达到3 A时,</w:t>
      </w:r>
    </w:p>
    <w:p>
      <w:pPr>
        <w:spacing w:before="0" w:after="200" w:lineRule="auto" w:line="276"/>
      </w:pPr>
      <w:r>
        <w:rPr>
          <w:b/>
        </w:rPr>
        <w:t xml:space="preserve">Abstract (EN): </w:t>
      </w:r>
      <w:r>
        <w:t>Regulating the reaction pathway to overcome the activity-stability trade-off of catalysts is significant but remains highly challenging in acidic oxygen evolution reactions (OERs). Herein, we incorporated atomically dispersed Ru into an oxygen vacancy-rich (Ovc) MnO2-x host through a combination of hydrothermal reaction, argon-plasma bombardment, and isomorphic substitution, resulting in a distinctive catalyst (Ru-AP-MnO2-x) featuring Ovc-mediated heteroasymmetric dual-active-site Mn-Ovc-Ru units. Impressively, the Ru-AP-MnO2-x catalyst achieved a low overpotential of 233 mV at 100 mA cm-2 and demonstrated an exceptional stability for &gt;5000 h at 10 mA cm-2 in 0.5 M H2SO4. When used in a proton exchange membrane water electrolyzer (PEMWE), it required a potential of only 1.76 V to reach 3 A cm-2 (surpassing the DOE 2026 target: 1.8 V at 3 A cm-2) and operated stably at 1 A cm-2 for up to 2200 h with an extremely low potential decay rate of only 22.3 μV h-1, positioning it among the top-ranked Ru/Ir-based catalysts. Operando characterizations and theoretical calculations demonstrated that enhanced Ru-O covalency and reduced Ru-Mn distance in the unique Mn-Ovc-Ru unit enabled a heteroasymmetrical-dual-active-site-assisted lattice oxygen mechanism (HADAS-LOM) for OER, where the *O intermediates transferred from Ru to Mn sites coupled lattice O (Olat) for rapid O2 release. Moreover, the bridged Ovc increased the electron density at Ru sites to mitigate overoxidation, while synergistic Ru-Mn dual sites allowed Olat around Mn instead of Ru sites to form an *OO intermediate, effectively protecting Ru from dissolution. This work offers a blueprint for engineering Ovc and multiple active-site synergy in the design of acid-stable, high-efficiency OER electrocatalysts.</w:t>
      </w:r>
    </w:p>
    <w:p>
      <w:pPr>
        <w:spacing w:before="120" w:after="120"/>
      </w:pPr>
      <w:r>
        <w:rPr>
          <w:sz w:val="18"/>
        </w:rPr>
        <w:t>——————————————————————————————————————————————————————————————————————</w:t>
      </w:r>
    </w:p>
    <w:p>
      <w:pPr>
        <w:spacing w:before="160" w:after="40" w:line="240" w:lineRule="auto"/>
      </w:pPr>
      <w:r>
        <w:rPr>
          <w:b/>
        </w:rPr>
        <w:t xml:space="preserve">[288] </w:t>
      </w:r>
      <w:hyperlink r:id="rId452">
        <w:r>
          <w:rPr>
            <w:color w:val="1155CC"/>
            <w:u w:val="single"/>
          </w:rPr>
          <w:t>[ASAP] 用于后阶段药物修改和Sp3-Rich Spiro周期合成的轻动力有机分析irch</w:t>
        </w:r>
      </w:hyperlink>
    </w:p>
    <w:p>
      <w:pPr>
        <w:spacing w:before="0" w:after="80"/>
      </w:pPr>
      <w:r>
        <w:rPr>
          <w:i/>
          <w:sz w:val="20"/>
        </w:rPr>
        <w:t>EN: [ASAP] Light-Driven Organocatalytic Birch Reduction for Late-Stage Drug Modification and sp3-Rich Spirocycle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2026-01-27 16:04:16+00:00</w:t>
      </w:r>
      <w:r>
        <w:t xml:space="preserve">    </w:t>
      </w:r>
      <w:r>
        <w:rPr>
          <w:b/>
        </w:rPr>
        <w:t xml:space="preserve">DOI: </w:t>
      </w:r>
      <w:hyperlink r:id="rId453">
        <w:r>
          <w:rPr>
            <w:color w:val="1155CC"/>
            <w:u w:val="single"/>
          </w:rPr>
          <w:t>10.1021/jacs.5c17373</w:t>
        </w:r>
      </w:hyperlink>
    </w:p>
    <w:p>
      <w:pPr>
        <w:spacing w:before="0" w:after="120"/>
      </w:pPr>
      <w:r>
        <w:rPr>
          <w:b/>
        </w:rPr>
        <w:t xml:space="preserve">Notes: </w:t>
      </w:r>
      <w:r>
        <w:t>abstract_source=pubmed</w:t>
      </w:r>
    </w:p>
    <w:p>
      <w:pPr>
        <w:spacing w:before="0" w:after="80" w:lineRule="auto" w:line="276"/>
      </w:pPr>
      <w:r>
        <w:rPr>
          <w:b/>
        </w:rPr>
        <w:t xml:space="preserve">摘要（ZH）: </w:t>
      </w:r>
      <w:r>
        <w:t>Birch的减少是合成化学的基石转变,然而其广泛应用受到严酷条件、功能性群体容忍度和安全关切的限制,最近的光化战略提供了较温和的替代品,但主要限于多环类物质(Ered -2.6 V vs SCE),不适于具有制药相关性的复杂分子。我们在此报告一个实用的有机化学分析系统,它使Birch型的富电子苯(Ered = &lt;-3.4 Vs SCE)和在轻度辐照和温度条件下的异丙烯得以减少,该方法以我们以前报告的有机超级减低光化分子开发的一离子二硫磷催化剂为基础。</w:t>
      </w:r>
    </w:p>
    <w:p>
      <w:pPr>
        <w:spacing w:before="0" w:after="200" w:lineRule="auto" w:line="276"/>
      </w:pPr>
      <w:r>
        <w:rPr>
          <w:b/>
        </w:rPr>
        <w:t xml:space="preserve">Abstract (EN): </w:t>
      </w:r>
      <w:r>
        <w:t>The Birch reduction is a cornerstone transformation in synthetic chemistry, yet its widespread application is limited by harsh conditions, poor functional group tolerance, and safety concerns. Recent photochemical strategies have offered milder alternatives but have largely been restricted to polycyclic arenes (Ered ∼ -2.6 V vs SCE) and poorly suited for complex molecules of pharmaceutical relevance. Here, we report a practical organocatalytic system that enables Birch-type reductions of electron-rich benzenes (Ered = &lt;-3.4 V vs SCE) and heteroarenes under light irradiation and mild conditions. The method is based on an indoline-2-thione anion catalyst developed from our previously reported organic super-reducing photocatalysts. The protocol exhibits a broad substrate scope, including the late-stage functionalization of drug molecules bearing sensitive functional groups. Moreover, the synthetic utility of 1,4-dihydro products bearing an alcohol side chain was showcased through a two-step telescoped Birch reduction/spirocyclization sequence, granting streamlined access to sp3-rich spirocyclic scaffolds, a valuable motif in medicinal chemistry. Demonstrated scalability in both batch and continuous-flow operation further underscores the translational potential of this system. This collaborative work with colleagues at Johnson &amp; Johnson highlights the power of light-driven organocatalysis to deliver industrially relevant methods for the synthesis of complex drug-like molecules.</w:t>
      </w:r>
    </w:p>
    <w:p>
      <w:pPr>
        <w:spacing w:before="120" w:after="120"/>
      </w:pPr>
      <w:r>
        <w:rPr>
          <w:sz w:val="18"/>
        </w:rPr>
        <w:t>——————————————————————————————————————————————————————————————————————</w:t>
      </w:r>
    </w:p>
    <w:p>
      <w:pPr>
        <w:spacing w:before="160" w:after="40" w:line="240" w:lineRule="auto"/>
      </w:pPr>
      <w:r>
        <w:rPr>
          <w:b/>
        </w:rPr>
        <w:t xml:space="preserve">[289] </w:t>
      </w:r>
      <w:hyperlink r:id="rId454">
        <w:r>
          <w:rPr>
            <w:color w:val="1155CC"/>
            <w:u w:val="single"/>
          </w:rPr>
          <w:t>[ASAP] 用于选择性减少二氧化碳电解的钴-磷共效有机框架抑制非活性桥梁-CO中间体的碳空间设计</w:t>
        </w:r>
      </w:hyperlink>
    </w:p>
    <w:p>
      <w:pPr>
        <w:spacing w:before="0" w:after="80"/>
      </w:pPr>
      <w:r>
        <w:rPr>
          <w:i/>
          <w:sz w:val="20"/>
        </w:rPr>
        <w:t>EN: [ASAP] Pore-Space Design of Cobalt–Porphyrin Covalent Organic Frameworks Suppresses Inactive Bridged-CO Intermediates for Selective CO2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2026-01-27 16:04:57+00:00</w:t>
      </w:r>
      <w:r>
        <w:t xml:space="preserve">    </w:t>
      </w:r>
      <w:r>
        <w:rPr>
          <w:b/>
        </w:rPr>
        <w:t xml:space="preserve">DOI: </w:t>
      </w:r>
      <w:hyperlink r:id="rId455">
        <w:r>
          <w:rPr>
            <w:color w:val="1155CC"/>
            <w:u w:val="single"/>
          </w:rPr>
          <w:t>10.1021/jacs.5c18778</w:t>
        </w:r>
      </w:hyperlink>
    </w:p>
    <w:p>
      <w:pPr>
        <w:spacing w:before="0" w:after="120"/>
      </w:pPr>
      <w:r>
        <w:rPr>
          <w:b/>
        </w:rPr>
        <w:t xml:space="preserve">Notes: </w:t>
      </w:r>
      <w:r>
        <w:t>abstract_source=pubmed</w:t>
      </w:r>
    </w:p>
    <w:p>
      <w:pPr>
        <w:spacing w:before="0" w:after="80" w:lineRule="auto" w:line="276"/>
      </w:pPr>
      <w:r>
        <w:rPr>
          <w:b/>
        </w:rPr>
        <w:t xml:space="preserve">摘要（ZH）: </w:t>
      </w:r>
      <w:r>
        <w:t>金属共价有机框架(M-COFs)具有二氧化碳捕获和电催化转换的希望,它们有其金枪鱼的洞穴、定义明确的金属中心以及延伸的电荷迁移;然而,框架结构对CO2电还原选择性的系统性影响仍未得到充分探讨;我们在此报告了一系列钴-植物素有机框架,即共同-TBCOF、共同-TTCOF和共同-TQCOF,通过扩展线性拨丁链路,将孔孔孔从2.5到3.2和3.8纳米扩大;实验和计算证实,从3.64到4.01和4.81增加层间间间间隔,提高了CO2吸收能力;结构扩展还促进了电离地化,提高了Co地点的电容性,并加强了CO2的激活。</w:t>
      </w:r>
    </w:p>
    <w:p>
      <w:pPr>
        <w:spacing w:before="0" w:after="200" w:lineRule="auto" w:line="276"/>
      </w:pPr>
      <w:r>
        <w:rPr>
          <w:b/>
        </w:rPr>
        <w:t xml:space="preserve">Abstract (EN): </w:t>
      </w:r>
      <w:r>
        <w:t>Metalated covalent organic frameworks (M-COFs) hold promise for CO2 capture and electrocatalytic conversion with their tunable cavities, well-defined metal centers, and extended charge delocalization. However, the systematic impact of the framework architecture on the CO2 electroreduction selectivity remains underexplored. Herein, we report a series of cobalt-porphyrin COFs, namely, Co-TBCOF, Co-TTCOF, and Co-TQCOF, with enlarged cavity apertures from 2.5 to 3.2 and 3.8 nm by extending linear dialdehyde linkers. Experiment and computation confirm increased interlayer spacing from 3.64 to 4.01 and 4.81 Å, enhancing the CO2 adsorption capacity. The structural expansion also promotes charge delocalization, increasing the electropositivity of the Co sites and strengthening the CO2 activation. During electrocatalytic CO2 reduction, the CO Faradaic efficiency rises from 84.3% (Co-TBCOF) and 78.2% (Co-TTCOF) to 93.3% (Co-TQCOF) in H-cell. In situ ATR-SEIRAS and theoretical calculations reveal that the smaller-pore COFs (Co-TBCOF and Co-TTCOF) stabilize both active terminally bound *CO (τ-CO) and an inactive interlayer-bridged *CO (η2-CO) that hinders desorption. In contrast, the larger interlayer spacing in Co-TQCOF prevents stable η2-CO formation, enabling highly selective CO production solely via the τ-CO pathway. This work demonstrates that linker-mediated control over cavity size, stacking, and charge distribution in M-COFs enhances CO2 capture and conversion, offering design insights for molecularly defined porous electrocatalysts.</w:t>
      </w:r>
    </w:p>
    <w:p>
      <w:pPr>
        <w:spacing w:before="120" w:after="120"/>
      </w:pPr>
      <w:r>
        <w:rPr>
          <w:sz w:val="18"/>
        </w:rPr>
        <w:t>——————————————————————————————————————————————————————————————————————</w:t>
      </w:r>
    </w:p>
    <w:p>
      <w:pPr>
        <w:spacing w:before="160" w:after="40" w:line="240" w:lineRule="auto"/>
      </w:pPr>
      <w:r>
        <w:rPr>
          <w:b/>
        </w:rPr>
        <w:t xml:space="preserve">[290] </w:t>
      </w:r>
      <w:hyperlink r:id="rId456">
        <w:r>
          <w:rPr>
            <w:color w:val="1155CC"/>
            <w:u w:val="single"/>
          </w:rPr>
          <w:t>[ASAP] 金属元体:固体电解中间相和脱尘动力学的作用</w:t>
        </w:r>
      </w:hyperlink>
    </w:p>
    <w:p>
      <w:pPr>
        <w:spacing w:before="0" w:after="80"/>
      </w:pPr>
      <w:r>
        <w:rPr>
          <w:i/>
          <w:sz w:val="20"/>
        </w:rPr>
        <w:t>EN: [ASAP] Morphological Stability of Metal Anodes: Roles of Solid Electrolyte Interphases (SEIs) and Desolvation Kinetics</w:t>
      </w:r>
    </w:p>
    <w:p>
      <w:pPr>
        <w:spacing w:before="0" w:after="120"/>
      </w:pPr>
      <w:r>
        <w:rPr>
          <w:b/>
        </w:rPr>
        <w:t xml:space="preserve">Source: </w:t>
      </w:r>
      <w:r>
        <w:t>ACS Energy Letters: Latest Articles (ACS Publications)</w:t>
      </w:r>
      <w:r>
        <w:t xml:space="preserve">    </w:t>
      </w:r>
      <w:r>
        <w:rPr>
          <w:b/>
        </w:rPr>
        <w:t xml:space="preserve">Pub date: </w:t>
      </w:r>
      <w:r>
        <w:t>2026-01-27 16:54:07+00:00</w:t>
      </w:r>
      <w:r>
        <w:t xml:space="preserve">    </w:t>
      </w:r>
      <w:r>
        <w:rPr>
          <w:b/>
        </w:rPr>
        <w:t xml:space="preserve">DOI: </w:t>
      </w:r>
      <w:hyperlink r:id="rId457">
        <w:r>
          <w:rPr>
            <w:color w:val="1155CC"/>
            <w:u w:val="single"/>
          </w:rPr>
          <w:t>10.1021/acsenergylett.5c03690</w:t>
        </w:r>
      </w:hyperlink>
    </w:p>
    <w:p>
      <w:pPr>
        <w:spacing w:before="0" w:after="120"/>
      </w:pPr>
      <w:r>
        <w:rPr>
          <w:b/>
        </w:rPr>
        <w:t xml:space="preserve">Notes: </w:t>
      </w:r>
      <w:r>
        <w:t>abstract_source=semanticscholar; must_have_abstract=True</w:t>
      </w:r>
    </w:p>
    <w:p>
      <w:pPr>
        <w:spacing w:before="0" w:after="80" w:lineRule="auto" w:line="276"/>
      </w:pPr>
      <w:r>
        <w:rPr>
          <w:b/>
        </w:rPr>
        <w:t xml:space="preserve">摘要（ZH）: </w:t>
      </w:r>
      <w:r>
        <w:t>实现稳定的锂金属阳极需要控制固电相和溶解动力学。 在这里, 我们开发一个统一的理论框架, 将离子传输、 解溶、 电源转移和 SEI 分解结合起来, 以预测电极期间的形态不稳定性。 我们通过线性稳定性分析, 确定六个无维的参数, 指导不稳定的开始和演变。 我们显示 SEI 运输和脱解率有效地调节表面反应动能学, 将系统转向一个稳定、 反应有限的制度。 我们扩展传统的限制当前概念, 我们证明一个浓厚、 低导力的 SEI 和缓慢解脱尘能会显著减少限制电流。 我们引入了一个明显的 Damk\ 。</w:t>
      </w:r>
    </w:p>
    <w:p>
      <w:pPr>
        <w:spacing w:before="0" w:after="200" w:lineRule="auto" w:line="276"/>
      </w:pPr>
      <w:r>
        <w:rPr>
          <w:b/>
        </w:rPr>
        <w:t xml:space="preserve">Abstract (EN): </w:t>
      </w:r>
      <w:r>
        <w:t>Achieving stable lithium metal anodes requires control over the solid-electrolyte interphase (SEI) and desolvation kinetics. Here, we develop a unified theoretical framework integrating ion transport, desolvation, charge transfer, and SEI breakdown to predict morphological instabilities during electrodeposition. Using linear stability analysis, we identify six dimensionless parameters that govern the onset and evolution of instabilities. We show that SEI transport and desolvation rate effectively modulate apparent reaction kinetics, shifting the system toward a stable, reaction-limited regime. Extending the classical limiting current concept, we demonstrate that a thick, poorly conductive SEI and sluggish desolvation significantly reduce the limiting current. We introduce an apparent Damk\"ohler number to quantify the critical balance: suppressing diffusion-limited instabilities by reaction rate reduction, while maintaining a high limiting current. Our theory enables predictive mapping of electrodeposition morphologies across diverse materials and operating conditions, guiding the rational design of stable lithium metal anodes.</w:t>
      </w:r>
    </w:p>
    <w:p>
      <w:pPr>
        <w:spacing w:before="120" w:after="120"/>
      </w:pPr>
      <w:r>
        <w:rPr>
          <w:sz w:val="18"/>
        </w:rPr>
        <w:t>——————————————————————————————————————————————————————————————————————</w:t>
      </w:r>
    </w:p>
    <w:p>
      <w:pPr>
        <w:spacing w:before="160" w:after="40" w:line="240" w:lineRule="auto"/>
      </w:pPr>
      <w:r>
        <w:rPr>
          <w:b/>
        </w:rPr>
        <w:t xml:space="preserve">[291] </w:t>
      </w:r>
      <w:hyperlink r:id="rId458">
        <w:r>
          <w:rPr>
            <w:color w:val="1155CC"/>
            <w:u w:val="single"/>
          </w:rPr>
          <w:t>[ASAP] 通过对固态电池中稳定硅阳极的空间重组,逐步地内固态电解电解电解相联器</w:t>
        </w:r>
      </w:hyperlink>
    </w:p>
    <w:p>
      <w:pPr>
        <w:spacing w:before="0" w:after="80"/>
      </w:pPr>
      <w:r>
        <w:rPr>
          <w:i/>
          <w:sz w:val="20"/>
        </w:rPr>
        <w:t>EN: [ASAP] Gradient-Interlocked Solid Electrolyte Interphase via Spatial Reconfiguration for Stable Silicon Anodes in Solid-State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2026-01-27 17:50:17+00:00</w:t>
      </w:r>
      <w:r>
        <w:t xml:space="preserve">    </w:t>
      </w:r>
      <w:r>
        <w:rPr>
          <w:b/>
        </w:rPr>
        <w:t xml:space="preserve">DOI: </w:t>
      </w:r>
      <w:hyperlink r:id="rId459">
        <w:r>
          <w:rPr>
            <w:color w:val="1155CC"/>
            <w:u w:val="single"/>
          </w:rPr>
          <w:t>10.1021/jacs.5c17488</w:t>
        </w:r>
      </w:hyperlink>
    </w:p>
    <w:p>
      <w:pPr>
        <w:spacing w:before="0" w:after="120"/>
      </w:pPr>
      <w:r>
        <w:rPr>
          <w:b/>
        </w:rPr>
        <w:t xml:space="preserve">Notes: </w:t>
      </w:r>
      <w:r>
        <w:t>abstract_source=pubmed</w:t>
      </w:r>
    </w:p>
    <w:p>
      <w:pPr>
        <w:spacing w:before="0" w:after="80" w:lineRule="auto" w:line="276"/>
      </w:pPr>
      <w:r>
        <w:rPr>
          <w:b/>
        </w:rPr>
        <w:t xml:space="preserve">摘要（ZH）: </w:t>
      </w:r>
      <w:r>
        <w:t>硅(Si)阳极对于高能密度固态电池(SSBs)来说很有希望,但循环循环过程中的体积变化巨大,导致持续固态电解相相相相断断裂和电极不稳定的电极界面。在固态电池中,硬硬性、非移动界面的机械缓冲功能差,这一挑战更加严峻。在此,一个奇特的“聚态-超离子”结构SEI通过将环球硅氧烷引入聚合体电解槽,以促进SEI精确的空间重组,实现环球硅氧和富液态无机级之间的连接,确保SEI在大容量变化下具有很强的吸附性和结构稳定性。因此,SiLi半细胞在一时具有1553.6 mAh-1的高容量。</w:t>
      </w:r>
    </w:p>
    <w:p>
      <w:pPr>
        <w:spacing w:before="0" w:after="200" w:lineRule="auto" w:line="276"/>
      </w:pPr>
      <w:r>
        <w:rPr>
          <w:b/>
        </w:rPr>
        <w:t xml:space="preserve">Abstract (EN): </w:t>
      </w:r>
      <w:r>
        <w:t>Silicon (Si) anodes are highly promising for high-energy-density solid-state batteries (SSBs), but substantial volume changes during cycling cause persistent solid electrolyte interphase (SEI) fracture and an unstable electrode interface. This challenge is exacerbated in solid-state batteries, where rigid, immobile interfaces present poor mechanical buffering. Herein, an ingenious "mortise-tenon" structural SEI is built by introducing the cyclotetrasiloxane into polymer electrolytes to promote the precise spatial reconfiguration of SEI, achieving an interlock between the cyclotetrasiloxane and LiF-rich inorganic phase, which ensures robust adhesion and structural stability of the SEI under large volume changes. The resulting Si||Li half cells deliver a high capacity of 1553.6 mAh g-1 at a high current density of 12 A g-1. The NCM811||Si full cells achieve a high-capacity retention of 97.6% at 0.5 C, showing only 0.12% capacity decay per cycle over 300 cycles. The LFP||Si full cells also show a low decay rate of 0.07‰ per cycle across 700 cycles. This strategy provides stable SEI engineering for the practical application of high-energy-density Si-based SSBs.</w:t>
      </w:r>
    </w:p>
    <w:p>
      <w:pPr>
        <w:spacing w:before="120" w:after="120"/>
      </w:pPr>
      <w:r>
        <w:rPr>
          <w:sz w:val="18"/>
        </w:rPr>
        <w:t>——————————————————————————————————————————————————————————————————————</w:t>
      </w:r>
    </w:p>
    <w:p>
      <w:pPr>
        <w:spacing w:before="160" w:after="40" w:line="240" w:lineRule="auto"/>
      </w:pPr>
      <w:r>
        <w:rPr>
          <w:b/>
        </w:rPr>
        <w:t xml:space="preserve">[292] </w:t>
      </w:r>
      <w:hyperlink r:id="rId460">
        <w:r>
          <w:rPr>
            <w:color w:val="1155CC"/>
            <w:u w:val="single"/>
          </w:rPr>
          <w:t>[ASAP] 用于电化学能源储存的高化学材料化学</w:t>
        </w:r>
      </w:hyperlink>
    </w:p>
    <w:p>
      <w:pPr>
        <w:spacing w:before="0" w:after="80"/>
      </w:pPr>
      <w:r>
        <w:rPr>
          <w:i/>
          <w:sz w:val="20"/>
        </w:rPr>
        <w:t>EN: [ASAP] High-Entropy Materials Chemistry for Electrochemical Energy Storage</w:t>
      </w:r>
    </w:p>
    <w:p>
      <w:pPr>
        <w:spacing w:before="0" w:after="120"/>
      </w:pPr>
      <w:r>
        <w:rPr>
          <w:b/>
        </w:rPr>
        <w:t xml:space="preserve">Source: </w:t>
      </w:r>
      <w:r>
        <w:t>Chemical Reviews: Latest Articles (ACS Publications)</w:t>
      </w:r>
      <w:r>
        <w:t xml:space="preserve">    </w:t>
      </w:r>
      <w:r>
        <w:rPr>
          <w:b/>
        </w:rPr>
        <w:t xml:space="preserve">Pub date: </w:t>
      </w:r>
      <w:r>
        <w:t>2026-01-27 18:19:47+00:00</w:t>
      </w:r>
      <w:r>
        <w:t xml:space="preserve">    </w:t>
      </w:r>
      <w:r>
        <w:rPr>
          <w:b/>
        </w:rPr>
        <w:t xml:space="preserve">DOI: </w:t>
      </w:r>
      <w:hyperlink r:id="rId461">
        <w:r>
          <w:rPr>
            <w:color w:val="1155CC"/>
            <w:u w:val="single"/>
          </w:rPr>
          <w:t>10.1021/acs.chemrev.5c00783</w:t>
        </w:r>
      </w:hyperlink>
    </w:p>
    <w:p>
      <w:pPr>
        <w:spacing w:before="0" w:after="120"/>
      </w:pPr>
      <w:r>
        <w:rPr>
          <w:b/>
        </w:rPr>
        <w:t xml:space="preserve">Notes: </w:t>
      </w:r>
      <w:r>
        <w:t>abstract_source=pubmed</w:t>
      </w:r>
    </w:p>
    <w:p>
      <w:pPr>
        <w:spacing w:before="0" w:after="80" w:lineRule="auto" w:line="276"/>
      </w:pPr>
      <w:r>
        <w:rPr>
          <w:b/>
        </w:rPr>
        <w:t xml:space="preserve">摘要（ZH）: </w:t>
      </w:r>
      <w:r>
        <w:t>由于材料创新步伐缓慢,对耐受极端条件和使用土富元素的高能量密度电池的追求受到物质创新速度缓慢的根本性制约。高湿度战略通过促成广泛的成分调制和优化地产,界定了电池材料化学的新设计范式。高湿度概念适用于各种电池部件,从固体到液体不等。然而,这一领域仍处于初级阶段,需要大量的基础来解决模糊的定义、不明确或甚至相互矛盾的增强性能机制以及缺乏合理的设计原则等问题。因此,迫切需要全面审查整个电池系统当前问题和今后的发展情况。b</w:t>
      </w:r>
    </w:p>
    <w:p>
      <w:pPr>
        <w:spacing w:before="0" w:after="200" w:lineRule="auto" w:line="276"/>
      </w:pPr>
      <w:r>
        <w:rPr>
          <w:b/>
        </w:rPr>
        <w:t xml:space="preserve">Abstract (EN): </w:t>
      </w:r>
      <w:r>
        <w:t>The pursuit of high-energy-density batteries that tolerate extreme conditions and use earth-abundant elements is fundamentally constrained by the slow pace of materials innovation. By enabling broad compositional tuning and property optimization, the high-entropy strategy defines a new design paradigm for battery materials chemistry. High-entropy concepts were applied to various battery components, ranging from solids to liquids. However, this field is still in its infancy, requiring substantial groundwork to address the ambiguous definitions, unclear or even contradictory performance-enhancement mechanisms, and a lack of rational design principles. Therefore, a comprehensive review summarizing current issues and future developments across the entire battery system is urgently needed. It begins with the fundamental principles of high-entropy materials chemistry (HEMC) and their applications in batteries, followed by a systematic discussion of entropy-driven mechanisms in both solid and liquid phases. An integrated perspective on the challenges and opportunities across the full battery system is presented. Furthermore, we highlight recent advances in synthesis and characterization techniques, multiscale computation, and the integration of artificial intelligence in accelerating the development of HEMC in batteries.</w:t>
      </w:r>
    </w:p>
    <w:p>
      <w:pPr>
        <w:spacing w:before="120" w:after="120"/>
      </w:pPr>
      <w:r>
        <w:rPr>
          <w:sz w:val="18"/>
        </w:rPr>
        <w:t>——————————————————————————————————————————————————————————————————————</w:t>
      </w:r>
    </w:p>
    <w:p>
      <w:pPr>
        <w:spacing w:before="160" w:after="40" w:line="240" w:lineRule="auto"/>
      </w:pPr>
      <w:r>
        <w:rPr>
          <w:b/>
        </w:rPr>
        <w:t xml:space="preserve">[293] </w:t>
      </w:r>
      <w:hyperlink r:id="rId462">
        <w:r>
          <w:rPr>
            <w:color w:val="1155CC"/>
            <w:u w:val="single"/>
          </w:rPr>
          <w:t>[ASAP] 高性能锂电池用以电解解解的以乙为基的电解溶剂分子设计</w:t>
        </w:r>
      </w:hyperlink>
    </w:p>
    <w:p>
      <w:pPr>
        <w:spacing w:before="0" w:after="80"/>
      </w:pPr>
      <w:r>
        <w:rPr>
          <w:i/>
          <w:sz w:val="20"/>
        </w:rPr>
        <w:t>EN: [ASAP] Molecular Design of Ether-Based Electrolyte Solvents for High-Performance Lithium Batteries</w:t>
      </w:r>
    </w:p>
    <w:p>
      <w:pPr>
        <w:spacing w:before="0" w:after="120"/>
      </w:pPr>
      <w:r>
        <w:rPr>
          <w:b/>
        </w:rPr>
        <w:t xml:space="preserve">Source: </w:t>
      </w:r>
      <w:r>
        <w:t>ACS Energy Letters: Latest Articles (ACS Publications)</w:t>
      </w:r>
      <w:r>
        <w:t xml:space="preserve">    </w:t>
      </w:r>
      <w:r>
        <w:rPr>
          <w:b/>
        </w:rPr>
        <w:t xml:space="preserve">Pub date: </w:t>
      </w:r>
      <w:r>
        <w:t>2026-01-27 18:24:42+00:00</w:t>
      </w:r>
      <w:r>
        <w:t xml:space="preserve">    </w:t>
      </w:r>
      <w:r>
        <w:rPr>
          <w:b/>
        </w:rPr>
        <w:t xml:space="preserve">DOI: </w:t>
      </w:r>
      <w:hyperlink r:id="rId463">
        <w:r>
          <w:rPr>
            <w:color w:val="1155CC"/>
            <w:u w:val="single"/>
          </w:rPr>
          <w:t>10.1021/acsenergylett.5c03396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464">
        <w:r>
          <w:rPr>
            <w:color w:val="1155CC"/>
            <w:u w:val="single"/>
          </w:rPr>
          <w:t>[ASAP] 低温条件下的热卤化混合性 SEI 重新构筑图表天线干涉动力学</w:t>
        </w:r>
      </w:hyperlink>
    </w:p>
    <w:p>
      <w:pPr>
        <w:spacing w:before="0" w:after="80"/>
      </w:pPr>
      <w:r>
        <w:rPr>
          <w:i/>
          <w:sz w:val="20"/>
        </w:rPr>
        <w:t>EN: [ASAP] Heterohalogenated Hybrid SEI Reconstructs Graphite Anode Interfacial Kinetics at Low Temperatures</w:t>
      </w:r>
    </w:p>
    <w:p>
      <w:pPr>
        <w:spacing w:before="0" w:after="120"/>
      </w:pPr>
      <w:r>
        <w:rPr>
          <w:b/>
        </w:rPr>
        <w:t xml:space="preserve">Source: </w:t>
      </w:r>
      <w:r>
        <w:t>ACS Energy Letters: Latest Articles (ACS Publications)</w:t>
      </w:r>
      <w:r>
        <w:t xml:space="preserve">    </w:t>
      </w:r>
      <w:r>
        <w:rPr>
          <w:b/>
        </w:rPr>
        <w:t xml:space="preserve">Pub date: </w:t>
      </w:r>
      <w:r>
        <w:t>2026-01-27 18:41:12+00:00</w:t>
      </w:r>
      <w:r>
        <w:t xml:space="preserve">    </w:t>
      </w:r>
      <w:r>
        <w:rPr>
          <w:b/>
        </w:rPr>
        <w:t xml:space="preserve">DOI: </w:t>
      </w:r>
      <w:hyperlink r:id="rId465">
        <w:r>
          <w:rPr>
            <w:color w:val="1155CC"/>
            <w:u w:val="single"/>
          </w:rPr>
          <w:t>10.1021/acsenergylett.5c03992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466">
        <w:r>
          <w:rPr>
            <w:color w:val="1155CC"/>
            <w:u w:val="single"/>
          </w:rPr>
          <w:t>[ASAP] Li+/H+ 固态氧化二氧化二硅载体交换器</w:t>
        </w:r>
      </w:hyperlink>
    </w:p>
    <w:p>
      <w:pPr>
        <w:spacing w:before="0" w:after="80"/>
      </w:pPr>
      <w:r>
        <w:rPr>
          <w:i/>
          <w:sz w:val="20"/>
        </w:rPr>
        <w:t>EN: [ASAP] Li+/H+ Exchange in Solid-State Oxide Li-Ion Conductors</w:t>
      </w:r>
    </w:p>
    <w:p>
      <w:pPr>
        <w:spacing w:before="0" w:after="120"/>
      </w:pPr>
      <w:r>
        <w:rPr>
          <w:b/>
        </w:rPr>
        <w:t xml:space="preserve">Source: </w:t>
      </w:r>
      <w:r>
        <w:t>ACS Energy Letters: Latest Articles (ACS Publications)</w:t>
      </w:r>
      <w:r>
        <w:t xml:space="preserve">    </w:t>
      </w:r>
      <w:r>
        <w:rPr>
          <w:b/>
        </w:rPr>
        <w:t xml:space="preserve">Pub date: </w:t>
      </w:r>
      <w:r>
        <w:t>2026-01-27 18:55:59+00:00</w:t>
      </w:r>
      <w:r>
        <w:t xml:space="preserve">    </w:t>
      </w:r>
      <w:r>
        <w:rPr>
          <w:b/>
        </w:rPr>
        <w:t xml:space="preserve">DOI: </w:t>
      </w:r>
      <w:hyperlink r:id="rId467">
        <w:r>
          <w:rPr>
            <w:color w:val="1155CC"/>
            <w:u w:val="single"/>
          </w:rPr>
          <w:t>10.1021/acsenergylett.5c02980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[296] </w:t>
      </w:r>
      <w:hyperlink r:id="rId468">
        <w:r>
          <w:rPr>
            <w:color w:val="1155CC"/>
            <w:u w:val="single"/>
          </w:rPr>
          <w:t>[ASAP]解除水成体对高性能水流光电层的影响</w:t>
        </w:r>
      </w:hyperlink>
    </w:p>
    <w:p>
      <w:pPr>
        <w:spacing w:before="0" w:after="80"/>
      </w:pPr>
      <w:r>
        <w:rPr>
          <w:i/>
          <w:sz w:val="20"/>
        </w:rPr>
        <w:t>EN: [ASAP] Unraveling the Effects of Fe Incorporation on High-Performance Water-Splitting Photoanodes</w:t>
      </w:r>
    </w:p>
    <w:p>
      <w:pPr>
        <w:spacing w:before="0" w:after="120"/>
      </w:pPr>
      <w:r>
        <w:rPr>
          <w:b/>
        </w:rPr>
        <w:t xml:space="preserve">Source: </w:t>
      </w:r>
      <w:r>
        <w:t>Journal of the American Chemical Society: Latest Articles (ACS Publications)</w:t>
      </w:r>
      <w:r>
        <w:t xml:space="preserve">    </w:t>
      </w:r>
      <w:r>
        <w:rPr>
          <w:b/>
        </w:rPr>
        <w:t xml:space="preserve">Pub date: </w:t>
      </w:r>
      <w:r>
        <w:t>2026-01-27 19:30:19+00:00</w:t>
      </w:r>
      <w:r>
        <w:t xml:space="preserve">    </w:t>
      </w:r>
      <w:r>
        <w:rPr>
          <w:b/>
        </w:rPr>
        <w:t xml:space="preserve">DOI: </w:t>
      </w:r>
      <w:hyperlink r:id="rId469">
        <w:r>
          <w:rPr>
            <w:color w:val="1155CC"/>
            <w:u w:val="single"/>
          </w:rPr>
          <w:t>10.1021/jacs.5c19704</w:t>
        </w:r>
      </w:hyperlink>
    </w:p>
    <w:p>
      <w:pPr>
        <w:spacing w:before="0" w:after="120"/>
      </w:pPr>
      <w:r>
        <w:rPr>
          <w:b/>
        </w:rPr>
        <w:t xml:space="preserve">Notes: </w:t>
      </w:r>
      <w:r>
        <w:t>abstract_source=pubmed</w:t>
      </w:r>
    </w:p>
    <w:p>
      <w:pPr>
        <w:spacing w:before="0" w:after="80" w:lineRule="auto" w:line="276"/>
      </w:pPr>
      <w:r>
        <w:rPr>
          <w:b/>
        </w:rPr>
        <w:t xml:space="preserve">摘要（ZH）: </w:t>
      </w:r>
      <w:r>
        <w:t>虽然众所周知,铁(Fe)显著改变了镍(Ni)基材料的电阻活动,但很少注意Fe杂质对太阳能驱动水分分光电化学特性的影响。在这里,我们阐明了Fe在金属-隔热-半导体模型(MIS)中的关键作用,该模型以尼纳米粒子(NPs)的高性能而著称。我们的结果表明,残余的Fe对光电极交叉能和光伏特性产生了强烈的影响。我们表明,Fe doping造成的协同效应(电化学/光伏)说明了以前报告的这些模型光电学高性能的原因。</w:t>
      </w:r>
    </w:p>
    <w:p>
      <w:pPr>
        <w:spacing w:before="0" w:after="200" w:lineRule="auto" w:line="276"/>
      </w:pPr>
      <w:r>
        <w:rPr>
          <w:b/>
        </w:rPr>
        <w:t xml:space="preserve">Abstract (EN): </w:t>
      </w:r>
      <w:r>
        <w:t>Although it is known that iron (Fe) significantly alters the electrocatalytic activity of nickel (Ni)-based materials, little attention has been paid to the effects of Fe impurities on the photoelectrochemical (PEC) properties of solar-driven water-splitting photoanodes. Herein, we elucidate the crucial role of Fe in model metal-insulator-semiconductor (MIS) Si photoanodes decorated with Ni nanoparticles (NPs), known for their high performance in photoinduced water splitting. Our results demonstrate that residual Fe strongly influences the photoanodes' junction energetics and photovoltaic properties. We show that the synergistic effects (electrocatalytic/photovoltaic) caused by Fe doping explain the high performance previously reported for these model photoanodes. Crucially, Fe incorporation into the outer shell of Ni NPs and the electrolyte is essential to achieve the reported photovoltage up to 500 mV. Our investigations emphasize the importance of Fe in PEC devices, which has always been neglected in the past.</w:t>
      </w:r>
    </w:p>
    <w:p>
      <w:pPr>
        <w:spacing w:before="120" w:after="120"/>
      </w:pPr>
      <w:r>
        <w:rPr>
          <w:sz w:val="18"/>
        </w:rPr>
        <w:t>——————————————————————————————————————————————————————————————————————</w:t>
      </w:r>
    </w:p>
    <w:p>
      <w:pPr>
        <w:spacing w:before="160" w:after="40" w:line="240" w:lineRule="auto"/>
      </w:pPr>
      <w:r>
        <w:rPr>
          <w:b/>
        </w:rPr>
        <w:t xml:space="preserve">[297] </w:t>
      </w:r>
      <w:hyperlink r:id="rId470">
        <w:r>
          <w:rPr>
            <w:color w:val="1155CC"/>
            <w:u w:val="single"/>
          </w:rPr>
          <w:t>[ASAP]以纳米体为基础的作为艾滋病毒进入的能动和广泛活跃的免疫注射者的生物结合</w:t>
        </w:r>
      </w:hyperlink>
    </w:p>
    <w:p>
      <w:pPr>
        <w:spacing w:before="0" w:after="80"/>
      </w:pPr>
      <w:r>
        <w:rPr>
          <w:i/>
          <w:sz w:val="20"/>
        </w:rPr>
        <w:t>EN: [ASAP] Nanobody-Based Bioconjugates as Potent and Broadly Active Inhibitors of HIV Entry</w:t>
      </w:r>
    </w:p>
    <w:p>
      <w:pPr>
        <w:spacing w:before="0" w:after="120"/>
      </w:pPr>
      <w:r>
        <w:rPr>
          <w:b/>
        </w:rPr>
        <w:t xml:space="preserve">Source: </w:t>
      </w:r>
      <w:r>
        <w:t>Journal of the American Chemical Society: Latest Articles (ACS Publications)</w:t>
      </w:r>
      <w:r>
        <w:t xml:space="preserve">    </w:t>
      </w:r>
      <w:r>
        <w:rPr>
          <w:b/>
        </w:rPr>
        <w:t xml:space="preserve">Pub date: </w:t>
      </w:r>
      <w:r>
        <w:t>2026-01-27 19:31:16+00:00</w:t>
      </w:r>
      <w:r>
        <w:t xml:space="preserve">    </w:t>
      </w:r>
      <w:r>
        <w:rPr>
          <w:b/>
        </w:rPr>
        <w:t xml:space="preserve">DOI: </w:t>
      </w:r>
      <w:hyperlink r:id="rId471">
        <w:r>
          <w:rPr>
            <w:color w:val="1155CC"/>
            <w:u w:val="single"/>
          </w:rPr>
          <w:t>10.1021/jacs.5c22670</w:t>
        </w:r>
      </w:hyperlink>
    </w:p>
    <w:p>
      <w:pPr>
        <w:spacing w:before="0" w:after="120"/>
      </w:pPr>
      <w:r>
        <w:rPr>
          <w:b/>
        </w:rPr>
        <w:t xml:space="preserve">Notes: </w:t>
      </w:r>
      <w:r>
        <w:t>abstract_source=pubmed</w:t>
      </w:r>
    </w:p>
    <w:p>
      <w:pPr>
        <w:spacing w:before="0" w:after="80" w:lineRule="auto" w:line="276"/>
      </w:pPr>
      <w:r>
        <w:rPr>
          <w:b/>
        </w:rPr>
        <w:t xml:space="preserve">摘要（ZH）: </w:t>
      </w:r>
      <w:r>
        <w:t>我们描述一种半合成战略,将化学浸泡物合成的多功能性与抗体碎片的高度亲近性和特殊性结合起来,形成与非常强大的抗艾滋病毒活动的共鸣。我们利用现场选择性酶结扎和点击化学,将合成HIV-1聚变抑制剂与纳米体联系起来,针对主机受体。这种模块化方法能够改变Nb-FI联系的几何学,包括遗传聚合无法进入的C-C终端表象。某些半合成聚合物展示了10 000倍的抗病毒能力,比参照的peptides和各种艾滋病毒菌株的广谱活动要好。铅半合成同源体也超越了相似的基因。</w:t>
      </w:r>
    </w:p>
    <w:p>
      <w:pPr>
        <w:spacing w:before="0" w:after="200" w:lineRule="auto" w:line="276"/>
      </w:pPr>
      <w:r>
        <w:rPr>
          <w:b/>
        </w:rPr>
        <w:t xml:space="preserve">Abstract (EN): </w:t>
      </w:r>
      <w:r>
        <w:t>We describe a semisynthetic strategy that unites the versatility of chemical peptide synthesis with the high affinity and specificity of antibody fragments to create conjugates with remarkably potent anti-HIV activity. Using site-selective enzymatic ligation and click chemistry, we assembled nanobody-fusion inhibitor peptide (Nb-FI) conjugates that link synthetic HIV-1 fusion inhibitor peptides to nanobodies targeting host receptors. This modular approach enables variation of Nb-FI linkage geometry, including C-to-C terminal topologies inaccessible by genetic fusion. Selected semisynthetic conjugates exhibit antiviral potencies up to 10,000-fold better than comparator peptides and broad-spectrum activity across diverse HIV strains. Lead semisynthetic conjugates also outperform analogous genetic fusions. These findings underscore the power of combining chemical synthesis, protein engineering, and antibody delivery to leverage proximity effects in blocking viral infection.</w:t>
      </w:r>
    </w:p>
    <w:p>
      <w:pPr>
        <w:spacing w:before="120" w:after="120"/>
      </w:pPr>
      <w:r>
        <w:rPr>
          <w:sz w:val="18"/>
        </w:rPr>
        <w:t>——————————————————————————————————————————————————————————————————————</w:t>
      </w:r>
    </w:p>
    <w:p>
      <w:pPr>
        <w:spacing w:before="160" w:after="40" w:line="240" w:lineRule="auto"/>
      </w:pPr>
      <w:r>
        <w:rPr>
          <w:b/>
        </w:rPr>
        <w:t xml:space="preserve">[298] </w:t>
      </w:r>
      <w:hyperlink r:id="rId472">
        <w:r>
          <w:rPr>
            <w:color w:val="1155CC"/>
            <w:u w:val="single"/>
          </w:rPr>
          <w:t>[ASAP]从矿石中提取关键元素的低温和选择性阿尔卡哈斯特(Alkahest-encable)电化学</w:t>
        </w:r>
      </w:hyperlink>
    </w:p>
    <w:p>
      <w:pPr>
        <w:spacing w:before="0" w:after="80"/>
      </w:pPr>
      <w:r>
        <w:rPr>
          <w:i/>
          <w:sz w:val="20"/>
        </w:rPr>
        <w:t>EN: [ASAP] Mild and Selective Alkahest-Enabled Electrochemical Extraction of Critical Elements from Ores</w:t>
      </w:r>
    </w:p>
    <w:p>
      <w:pPr>
        <w:spacing w:before="0" w:after="120"/>
      </w:pPr>
      <w:r>
        <w:rPr>
          <w:b/>
        </w:rPr>
        <w:t xml:space="preserve">Source: </w:t>
      </w:r>
      <w:r>
        <w:t>ACS Energy Letters: Latest Articles (ACS Publications)</w:t>
      </w:r>
      <w:r>
        <w:t xml:space="preserve">    </w:t>
      </w:r>
      <w:r>
        <w:rPr>
          <w:b/>
        </w:rPr>
        <w:t xml:space="preserve">Pub date: </w:t>
      </w:r>
      <w:r>
        <w:t>2026-01-27 19:51:19+00:00</w:t>
      </w:r>
      <w:r>
        <w:t xml:space="preserve">    </w:t>
      </w:r>
      <w:r>
        <w:rPr>
          <w:b/>
        </w:rPr>
        <w:t xml:space="preserve">DOI: </w:t>
      </w:r>
      <w:hyperlink r:id="rId473">
        <w:r>
          <w:rPr>
            <w:color w:val="1155CC"/>
            <w:u w:val="single"/>
          </w:rPr>
          <w:t>10.1021/acsenergylett.5c04247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474">
        <w:r>
          <w:rPr>
            <w:color w:val="1155CC"/>
            <w:u w:val="single"/>
          </w:rPr>
          <w:t>[ASAP] 处于溶解阶段的Porphyrin-功用成形成像纳米虫</w:t>
        </w:r>
      </w:hyperlink>
    </w:p>
    <w:p>
      <w:pPr>
        <w:spacing w:before="0" w:after="80"/>
      </w:pPr>
      <w:r>
        <w:rPr>
          <w:i/>
          <w:sz w:val="20"/>
        </w:rPr>
        <w:t>EN: [ASAP] Porphyrin-Functionalized Graphene Nanoribbons in Solution Phase</w:t>
      </w:r>
    </w:p>
    <w:p>
      <w:pPr>
        <w:spacing w:before="0" w:after="120"/>
      </w:pPr>
      <w:r>
        <w:rPr>
          <w:b/>
        </w:rPr>
        <w:t xml:space="preserve">Source: </w:t>
      </w:r>
      <w:r>
        <w:t>Journal of the American Chemical Society: Latest Articles (ACS Publications)</w:t>
      </w:r>
      <w:r>
        <w:t xml:space="preserve">    </w:t>
      </w:r>
      <w:r>
        <w:rPr>
          <w:b/>
        </w:rPr>
        <w:t xml:space="preserve">Pub date: </w:t>
      </w:r>
      <w:r>
        <w:t>2026-01-27 20:00:00+00:00</w:t>
      </w:r>
      <w:r>
        <w:t xml:space="preserve">    </w:t>
      </w:r>
      <w:r>
        <w:rPr>
          <w:b/>
        </w:rPr>
        <w:t xml:space="preserve">DOI: </w:t>
      </w:r>
      <w:hyperlink r:id="rId475">
        <w:r>
          <w:rPr>
            <w:color w:val="1155CC"/>
            <w:u w:val="single"/>
          </w:rPr>
          <w:t>10.1021/jacs.5c15646</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结构界定的石墨纳米纤维素(sd-GNRs)因其在光电子装置中具有物理特性和潜在应用作用而引起注意。GNR的边缘功能化已证明是调整其光电子特性的有效战略,然而,由于对Sd-GNRs进行有控制的合成,致使对边缘功能化变异物的探索有限,阻碍了这一领域的进展。在这里,我们报告了在溶解阶段,在对面边缘(称为GNR-Por)与Porphyrin组一起发挥作用的Sd-GNRs合成。GNR的脊椎具有划线型结构,其统一宽度为0.94纳米,平均长度为60纳米。我们计算出,大宗的porphyrin次体可以将GNRs用成一个</w:t>
      </w:r>
    </w:p>
    <w:p>
      <w:pPr>
        <w:spacing w:before="0" w:after="200" w:lineRule="auto" w:line="276"/>
      </w:pPr>
      <w:r>
        <w:rPr>
          <w:b/>
        </w:rPr>
        <w:t xml:space="preserve">Abstract (EN): </w:t>
      </w:r>
      <w:r>
        <w:t>Structurally defined graphene nanoribbons (sd-GNRs) have gained attention due to their alluring physical properties and potential applications in optoelectronic devices. Edge functionalization of GNRs has proven to be an effective strategy to tailor their optoelectronic properties. However, progress in this area has been hindered by challenges associated with the controlled synthesis of sd-GNRs, resulting in limited exploration of edge-functionalized variants. Here, we report the synthesis of sd-GNRs functionalized with porphyrin groups at opposite edges (denoted as GNR-Por) in the solution phase. The GNR backbones feature a chevron-type structure with a uniform width of 0.94 nm and an average length of 60 nm. It is calculated that the bulky porphyrin substituents can endow the GNRs with a periodic wavy geometry unprecedented in the reported GNRs, which facilitates single-ribbon dispersibility in common organic solvents (e.g., &lt;5 μg mL-1 in tetrahydrofuran). For the achieved GNRs, the longest variant exhibits a long charge scattering time of 70 ± 5 fs and demonstrates exceptionally high charge-carrier mobility of ∼460 ± 30 cm2 V-1 s-1, among one of the highest reported values for GNR-based materials. A distinct energy transfer process occurs from the porphyrin to the backbone of the longest GNR with a high-rate constant of 6.7 ps-1. Solid-state GNR-Por displays room-temperature phosphorescence emission, a new emission behavior in GNRs, within a near-infrared window having a lifetime of 1.3 μs. The present synthesis enables single-ribbon dispersibility of GNRs in the solution phase and confers new optoelectronic properties through edge engineering.</w:t>
      </w:r>
    </w:p>
    <w:p>
      <w:pPr>
        <w:spacing w:before="120" w:after="120"/>
      </w:pPr>
      <w:r>
        <w:rPr>
          <w:sz w:val="18"/>
        </w:rPr>
        <w:t>——————————————————————————————————————————————————————————————————————</w:t>
      </w:r>
    </w:p>
    <w:p>
      <w:pPr>
        <w:spacing w:before="160" w:after="40" w:line="240" w:lineRule="auto"/>
      </w:pPr>
      <w:r>
        <w:rPr>
          <w:b/>
        </w:rPr>
        <w:t xml:space="preserve">[300] </w:t>
      </w:r>
      <w:hyperlink r:id="rId476">
        <w:r>
          <w:rPr>
            <w:color w:val="1155CC"/>
            <w:u w:val="single"/>
          </w:rPr>
          <w:t>含有由钙化石引起的碳 -- -- 氧双重债券的水文凝胶的出人意料的强大磁力的强大副磁力</w:t>
        </w:r>
      </w:hyperlink>
    </w:p>
    <w:p>
      <w:pPr>
        <w:spacing w:before="0" w:after="80"/>
      </w:pPr>
      <w:r>
        <w:rPr>
          <w:i/>
          <w:sz w:val="20"/>
        </w:rPr>
        <w:t>EN: Unexpected strong paramagnetism of hydrogels containing carbon–oxygen double bonds induced by calcium cations</w:t>
      </w:r>
    </w:p>
    <w:p>
      <w:pPr>
        <w:spacing w:before="0" w:after="120"/>
      </w:pPr>
      <w:r>
        <w:rPr>
          <w:b/>
        </w:rPr>
        <w:t xml:space="preserve">Source: </w:t>
      </w:r>
      <w:r>
        <w:t>Nature Materials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氢凝胶对外部磁场没有可观测的反应,因为通常认为外部磁场是二磁性。 这些材料需要磁控添加剂,由于潜在的副作用限制了生物医学应用。 我们在这里表明,钙化可以诱发富含碳-氧二联的液凝胶的强烈副磁性,包括高酸盐、碳白甲基焦油、聚丙烯酸酯和N-isoprocyl 丙烯酸盐。 这两种实验和计算结果都表明,在大型钙化超量条件下,单钙化和碳基体组的意外结合引发了净磁时的无处不在的存在,而这种净磁性时点是准磁性的关键。 在内生生物分子 sodiu中也观察到过量的磁性现象。</w:t>
      </w:r>
    </w:p>
    <w:p>
      <w:pPr>
        <w:spacing w:before="0" w:after="200" w:lineRule="auto" w:line="276"/>
      </w:pPr>
      <w:r>
        <w:rPr>
          <w:b/>
        </w:rPr>
        <w:t xml:space="preserve">Abstract (EN): </w:t>
      </w:r>
      <w:r>
        <w:t>Hydrogels do not have observable responses to external magnetic fields as they are conventionally thought to be diamagnetic. These materials require additives for magnetic control, limiting biomedical applications due to potential side effects. Here we show that calcium cations can induce strong paramagnetism of hydrogels rich in groups containing carbon–oxygen double bonds, including alginate, carboxymethyl chitosan, polyacrylamide and N-isopropyl acrylamide. Both experiments and computations reveal that the ubiquitous presence of net magnetic moments, the key to paramagnetism, is induced by the unexpected coupling of a single calcium cation and one carbonyl group under large calcium cation excess conditions. The paramagnetic phenomenon is also observed in the endogenous biomolecule sodium hyaluronate with calcium cations. We further demonstrate the applications of the strongly paramagnetic alginate-calcium hydrogel as a contrast agent in magnetic resonance imaging and a carrier in magnetic drug delivery. Our findings provide insights into the origin of magnetism and advance magnetism-related biomedical innovations.</w:t>
      </w:r>
    </w:p>
    <w:p>
      <w:pPr>
        <w:spacing w:before="120" w:after="120"/>
      </w:pPr>
      <w:r>
        <w:rPr>
          <w:sz w:val="18"/>
        </w:rPr>
        <w:t>——————————————————————————————————————————————————————————————————————</w:t>
      </w:r>
    </w:p>
    <w:p>
      <w:pPr>
        <w:spacing w:before="160" w:after="40" w:line="240" w:lineRule="auto"/>
      </w:pPr>
      <w:r>
        <w:rPr>
          <w:b/>
        </w:rPr>
        <w:t xml:space="preserve">[301] </w:t>
      </w:r>
      <w:hyperlink r:id="rId477">
        <w:r>
          <w:rPr>
            <w:color w:val="1155CC"/>
            <w:u w:val="single"/>
          </w:rPr>
          <w:t>整数和分切切子绝热器的光学控制</w:t>
        </w:r>
      </w:hyperlink>
    </w:p>
    <w:p>
      <w:pPr>
        <w:spacing w:before="0" w:after="80"/>
      </w:pPr>
      <w:r>
        <w:rPr>
          <w:i/>
          <w:sz w:val="20"/>
        </w:rPr>
        <w:t>EN: Optical control of integer and fractional Chern insulators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对地形的光学控制,特别是在存在电子相关关系的情况下,是一个具有广泛的科学和技术影响的有趣主题,1,2,3,4.4。转动的MoTe2双层(tMoTe2)是一个零场分切子绝缘器(FCI)5,6,7,8,8,9,10,展示了分分数的异常大厅效应11,12,13,14。由于边缘状态的天性以及切恩数字的标志是由基本铁磁极化(15,16)、16、操纵铁磁化(CI)/FCI州实现控制。在这里,我们展示了对铁磁极化(Chern)/FTI州的控制,因此通过在tMoTe2中循环对极化的光泵,CI和FCI州实现了按需准备的铁磁极化,通过光电车进行。</w:t>
      </w:r>
    </w:p>
    <w:p>
      <w:pPr>
        <w:spacing w:before="0" w:after="200" w:lineRule="auto" w:line="276"/>
      </w:pPr>
      <w:r>
        <w:rPr>
          <w:b/>
        </w:rPr>
        <w:t xml:space="preserve">Abstract (EN): </w:t>
      </w:r>
      <w:r>
        <w:t>Optical control of topology, particularly in the presence of electron correlations, is an interesting topic with broad scientific and technological impact1,2,3,4. Twisted MoTe2 bilayer (tMoTe2) is a zero-field fractional Chern insulator (FCI)5,6,7,8,9,10, exhibiting the fractionally quantized anomalous Hall effect11,12,13,14. As the chirality of the edge states and sign of the Chern number are determined by the underlying ferromagnetic polarization15,16, manipulation of ferromagnetism would realize control of the Chern insulator (CI)/FCI states. Here we demonstrate control of ferromagnetic polarization, and thus the CI and FCI states, by circularly polarized optical pumping in tMoTe2. At low excitation power, we achieve on-demand preparation of ferromagnetic polarization by optical training, that is, electrically tuning the system from non-ferromagnetic to desirable ferromagnetic states under helicity-selective optical pumping. With increased excitation power, we further realize direct optical switching of ferromagnetic polarization at a temperature far below the Curie temperature17,18. Both optical training and direct switching are most effective near CI and FCI states, which we attribute to a gap-enhanced valley polarization of optically pumped holes. The magnetization can be dynamically switched by modulating the helicity of optical excitation. Spatially resolved measurements further demonstrate optical writing of ferromagnetic, and thus CI (or FCI) domains. Our work realizes precise optical control of a topological quantum many-body system with potential applications in topological spintronics, quantum memories and creation of exotic edge states by programmable patterning of integer and fractionally quantized anomalous Hall domains4,19.</w:t>
      </w:r>
    </w:p>
    <w:p>
      <w:pPr>
        <w:spacing w:before="120" w:after="120"/>
      </w:pPr>
      <w:r>
        <w:rPr>
          <w:sz w:val="18"/>
        </w:rPr>
        <w:t>——————————————————————————————————————————————————————————————————————</w:t>
      </w:r>
    </w:p>
    <w:p>
      <w:pPr>
        <w:spacing w:before="160" w:after="40" w:line="240" w:lineRule="auto"/>
      </w:pPr>
      <w:r>
        <w:rPr>
          <w:b/>
        </w:rPr>
        <w:t xml:space="preserve">[302] </w:t>
      </w:r>
      <w:hyperlink r:id="rId478">
        <w:r>
          <w:rPr>
            <w:color w:val="1155CC"/>
            <w:u w:val="single"/>
          </w:rPr>
          <w:t>固体轻排放的统一模式</w:t>
        </w:r>
      </w:hyperlink>
    </w:p>
    <w:p>
      <w:pPr>
        <w:spacing w:before="0" w:after="80"/>
      </w:pPr>
      <w:r>
        <w:rPr>
          <w:i/>
          <w:sz w:val="20"/>
        </w:rPr>
        <w:t>EN: A unified model for light emission from solids</w:t>
      </w:r>
    </w:p>
    <w:p>
      <w:pPr>
        <w:spacing w:before="0" w:after="120"/>
      </w:pPr>
      <w:r>
        <w:rPr>
          <w:b/>
        </w:rPr>
        <w:t xml:space="preserve">Source: </w:t>
      </w:r>
      <w:r>
        <w:t>Nature Nanotechnology</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来自固体的电磁波排放包括一系列广泛的过程,包括不耐测、荧光、电光、闪光、闪烁、阴极光和无弹性隧道的光排放。可以使用不同的模型来描述它们。例如,热体的热排放是用统计物理学计算的,兴奋电子的光排放是用量子力学处理的,天线中流体的光排放是由Maxwell的方程式量化描述的。然而,大多数排放系统都包含与复杂的电磁环境相互作用的兴奋电子的统计集合,因此需要三种方法的混合。本审查的目的是提供一个统一的框架,将最近的电磁环境结合起来。</w:t>
      </w:r>
    </w:p>
    <w:p>
      <w:pPr>
        <w:spacing w:before="0" w:after="200" w:lineRule="auto" w:line="276"/>
      </w:pPr>
      <w:r>
        <w:rPr>
          <w:b/>
        </w:rPr>
        <w:t xml:space="preserve">Abstract (EN): </w:t>
      </w:r>
      <w:r>
        <w:t>The emission of electromagnetic waves from solids encompasses a wide range of processes, including incandescence, fluorescence, electroluminescence, scintillation, cathodoluminescence and light emission from inelastic tunnelling. Different models can be used to describe them; for example, thermal emission from hot bodies is computed using statistical physics, photon emission from an excited electron is treated with quantum mechanics and emission from a current in an antenna is quantitatively described by Maxwell’s equations. However, most emitting systems involve statistical ensembles of excited electrons interacting with complex electromagnetic environments, so a blend of the three approaches is needed. The purpose of this Review is to provide a unified framework that combines recent theoretical works that have been developed to quantitatively account for light emission processes in solids. We begin with an overview of the electrodynamics approach used to model incandescence. This framework is then extended to describe light emission from optically or electrically pumped semiconductors. Finally, we generalize the procedure to strongly non-equilibrium systems and illustrate its application through several examples.</w:t>
      </w:r>
    </w:p>
    <w:p>
      <w:pPr>
        <w:spacing w:before="120" w:after="120"/>
      </w:pPr>
      <w:r>
        <w:rPr>
          <w:sz w:val="18"/>
        </w:rPr>
        <w:t>——————————————————————————————————————————————————————————————————————</w:t>
      </w:r>
    </w:p>
    <w:p>
      <w:pPr>
        <w:spacing w:before="160" w:after="40" w:line="240" w:lineRule="auto"/>
      </w:pPr>
      <w:r>
        <w:rPr>
          <w:b/>
        </w:rPr>
        <w:t xml:space="preserve">[303] </w:t>
      </w:r>
      <w:hyperlink r:id="rId479">
        <w:r>
          <w:rPr>
            <w:color w:val="1155CC"/>
            <w:u w:val="single"/>
          </w:rPr>
          <w:t>校正:利用建筑级数据库绘制欧洲屋顶光伏发电潜力图</w:t>
        </w:r>
      </w:hyperlink>
    </w:p>
    <w:p>
      <w:pPr>
        <w:spacing w:before="0" w:after="80"/>
      </w:pPr>
      <w:r>
        <w:rPr>
          <w:i/>
          <w:sz w:val="20"/>
        </w:rPr>
        <w:t>EN: Author Correction: Mapping Europe’s rooftop photovoltaic potential with a building-level database</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[304] </w:t>
      </w:r>
      <w:hyperlink r:id="rId480">
        <w:r>
          <w:rPr>
            <w:color w:val="1155CC"/>
            <w:u w:val="single"/>
          </w:rPr>
          <w:t>为可逆硫磷在不固定聚合聚合硫硫中进行再生的关键结构拆卸关键结构</w:t>
        </w:r>
      </w:hyperlink>
    </w:p>
    <w:p>
      <w:pPr>
        <w:spacing w:before="0" w:after="80"/>
      </w:pPr>
      <w:r>
        <w:rPr>
          <w:i/>
          <w:sz w:val="20"/>
        </w:rPr>
        <w:t>EN: Revealing key structures for reversible sulfur redox in amorphous polymeric sulfur</w:t>
      </w:r>
    </w:p>
    <w:p>
      <w:pPr>
        <w:spacing w:before="0" w:after="120"/>
      </w:pPr>
      <w:r>
        <w:rPr>
          <w:b/>
        </w:rPr>
        <w:t xml:space="preserve">Source: </w:t>
      </w:r>
      <w:r>
        <w:t>Nature Materials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无定形聚合硫硫化碳,如硫化聚丙烯三烯(SPAN),使高能锂电池-没有钴或镍的硫电池-没有钴或镍的硫电池能够利用富含硫磺,然而,由于当地对其合成和电化学的有限了解,妨碍了目标优化。 我们在这里整合了高能同硫磺的甘地高能量总散射,以实时监测SPAN的形成和循环。 我们的结果表明,S-C债券形成停止了循环聚丙烯三烯的进一步融合,促进堆叠和从长链到短链硫红氧化的转变。 这些特征在协同上将聚硫化物的解体和排气阻力降到最低,使优化的SPAN能够达到峰值。</w:t>
      </w:r>
    </w:p>
    <w:p>
      <w:pPr>
        <w:spacing w:before="0" w:after="200" w:lineRule="auto" w:line="276"/>
      </w:pPr>
      <w:r>
        <w:rPr>
          <w:b/>
        </w:rPr>
        <w:t xml:space="preserve">Abstract (EN): </w:t>
      </w:r>
      <w:r>
        <w:t>Amorphous polymeric sulfur cathodes, such as sulfurized polyacrylonitrile (SPAN), enable high-energy lithium–sulfur batteries without cobalt or nickel, leveraging abundant sulfur. However, the limited in situ understanding of their synthesis and electrochemistry has impeded targeted optimization. Here we integrate operando high-energy total scattering with sulfur K-edge X-ray absorption spectroscopy to monitor SPAN’s formation and cycling in real time. Our results show that S–C bond formation halts further fusion of cyclized polyacrylonitrile, fostering π–π stacking and a transition from long-chain to short-chain sulfur—critical for reversible sulfur redox. These features synergistically minimize polysulfide dissolution and charge-transfer resistance, enabling optimized SPAN to achieve high capacity retention over 1,000 cycles. Operando X-ray absorption spectroscopy reveals that residual protons drive thiol–thione tautomerism, with lithium replacement during the first discharge causing ~20% irreversible capacity loss. To enhance performance, minimizing –NH groups and expanding pyridine networks are key. These findings transform SPAN optimization from empirical tuning to mechanism‑guided engineering and point the way towards sulfur loadings and energy densities competitive with state‑of‑the‑art Li‑ion cathodes.</w:t>
      </w:r>
    </w:p>
    <w:p>
      <w:pPr>
        <w:spacing w:before="120" w:after="120"/>
      </w:pPr>
      <w:r>
        <w:rPr>
          <w:sz w:val="18"/>
        </w:rPr>
        <w:t>——————————————————————————————————————————————————————————————————————</w:t>
      </w:r>
    </w:p>
    <w:p>
      <w:pPr>
        <w:spacing w:before="160" w:after="40" w:line="240" w:lineRule="auto"/>
      </w:pPr>
      <w:r>
        <w:rPr>
          <w:b/>
        </w:rPr>
        <w:t xml:space="preserve">[305] </w:t>
      </w:r>
      <w:hyperlink r:id="rId481">
        <w:r>
          <w:rPr>
            <w:color w:val="1155CC"/>
            <w:u w:val="single"/>
          </w:rPr>
          <w:t>利用推广强化学习,节能温室气候控制</w:t>
        </w:r>
      </w:hyperlink>
    </w:p>
    <w:p>
      <w:pPr>
        <w:spacing w:before="0" w:after="80"/>
      </w:pPr>
      <w:r>
        <w:rPr>
          <w:i/>
          <w:sz w:val="20"/>
        </w:rPr>
        <w:t>EN: Energy-efficient greenhouse climate control with diffusion reinforcement learning</w:t>
      </w:r>
    </w:p>
    <w:p>
      <w:pPr>
        <w:spacing w:before="0" w:after="120"/>
      </w:pPr>
      <w:r>
        <w:rPr>
          <w:b/>
        </w:rPr>
        <w:t xml:space="preserve">Source: </w:t>
      </w:r>
      <w:r>
        <w:t>ScienceDirect Publication: Applied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[306] </w:t>
      </w:r>
      <w:hyperlink r:id="rId482">
        <w:r>
          <w:rPr>
            <w:color w:val="1155CC"/>
            <w:u w:val="single"/>
          </w:rPr>
          <w:t>从远程向机载电子控制过渡的模块微机器人</w:t>
        </w:r>
      </w:hyperlink>
    </w:p>
    <w:p>
      <w:pPr>
        <w:spacing w:before="0" w:after="80"/>
      </w:pPr>
      <w:r>
        <w:rPr>
          <w:i/>
          <w:sz w:val="20"/>
        </w:rPr>
        <w:t>EN: Modular microrobotics transitioning from remote to on-board electronic control</w:t>
      </w:r>
    </w:p>
    <w:p>
      <w:pPr>
        <w:spacing w:before="0" w:after="120"/>
      </w:pPr>
      <w:r>
        <w:rPr>
          <w:b/>
        </w:rPr>
        <w:t xml:space="preserve">Source: </w:t>
      </w:r>
      <w:r>
        <w:t>Nature Reviews Materials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微生物传统上依赖宏观控制系统来引导那些过于小而不能自主行动的微型生物体的行为。然而在许多应用中,自主行动至关重要:人类干预往往过于不精确、遥远或缓慢,难以实际操作。在本评论中,我们阐明了模块式微机器人领域,侧重于实现机载控制和自主的机会和障碍。在将电子纳入3D微型结构的可扩缩方法方面取得进展,最终使微型机器人(1毫米)得以大规模生产和系统缩小规模,使信息处理和材料制造技术在这种规模上变得可行,甚至在复杂形式上与内船相结合。</w:t>
      </w:r>
    </w:p>
    <w:p>
      <w:pPr>
        <w:spacing w:before="0" w:after="200" w:lineRule="auto" w:line="276"/>
      </w:pPr>
      <w:r>
        <w:rPr>
          <w:b/>
        </w:rPr>
        <w:t xml:space="preserve">Abstract (EN): </w:t>
      </w:r>
      <w:r>
        <w:t>Microrobotics has traditionally relied on macroscopic control systems to direct the behaviour of microscopic entities that are too small to act autonomously. Yet in many applications, autonomous action is essential: human intervention is often too imprecise, remote or slow to be practical. In this Review, we illuminate the field of modular microrobotics, focusing on the opportunities and obstacles in achieving on-board control and autonomy. Advances in scalable methods to integrate electronics into 3D microscopic structures have finally enabled mass production and systematic downscaling of microrobots (≤1 mm), with the convergence of information processing and material fabrication technologies making on-board electronics feasible at this size, even within complex forms with interior vessels. These developments promise to disrupt current approaches based as a whole on larger, externally controlled marionette microrobots by delivering true microrobots down to the scale of biological cells. Self-assembling autonomous microrobots equipped with high-density on-board electronics are now technologically within reach, bringing learning capabilities and the coevolution of morphology and control to modular microrobotic systems.</w:t>
      </w:r>
    </w:p>
    <w:p>
      <w:pPr>
        <w:spacing w:before="120" w:after="120"/>
      </w:pPr>
      <w:r>
        <w:rPr>
          <w:sz w:val="18"/>
        </w:rPr>
        <w:t>——————————————————————————————————————————————————————————————————————</w:t>
      </w:r>
    </w:p>
    <w:p>
      <w:pPr>
        <w:spacing w:before="160" w:after="40" w:line="240" w:lineRule="auto"/>
      </w:pPr>
      <w:r>
        <w:rPr>
          <w:b/>
        </w:rPr>
        <w:t xml:space="preserve">[307] </w:t>
      </w:r>
      <w:hyperlink r:id="rId483">
        <w:r>
          <w:rPr>
            <w:color w:val="1155CC"/>
            <w:u w:val="single"/>
          </w:rPr>
          <w:t>欧洲能否实现无碳化? 对欧盟成员国可持续绿色钢生产绩效的评价</w:t>
        </w:r>
      </w:hyperlink>
    </w:p>
    <w:p>
      <w:pPr>
        <w:spacing w:before="0" w:after="80"/>
      </w:pPr>
      <w:r>
        <w:rPr>
          <w:i/>
          <w:sz w:val="20"/>
        </w:rPr>
        <w:t>EN: Is a carbon-free Europe possible? Evaluation of sustainable green steel production performance in EU member states</w:t>
      </w:r>
    </w:p>
    <w:p>
      <w:pPr>
        <w:spacing w:before="0" w:after="120"/>
      </w:pPr>
      <w:r>
        <w:rPr>
          <w:b/>
        </w:rPr>
        <w:t xml:space="preserve">Source: </w:t>
      </w:r>
      <w:r>
        <w:t>ScienceDirect Publication: Applied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[308] </w:t>
      </w:r>
      <w:hyperlink r:id="rId484">
        <w:r>
          <w:rPr>
            <w:color w:val="1155CC"/>
            <w:u w:val="single"/>
          </w:rPr>
          <w:t>在弹性交合空洞中切换图形式多类型</w:t>
        </w:r>
      </w:hyperlink>
    </w:p>
    <w:p>
      <w:pPr>
        <w:spacing w:before="0" w:after="80"/>
      </w:pPr>
      <w:r>
        <w:rPr>
          <w:i/>
          <w:sz w:val="20"/>
        </w:rPr>
        <w:t>EN: Switching graphitic polytypes in elastically coupled cavities</w:t>
      </w:r>
    </w:p>
    <w:p>
      <w:pPr>
        <w:spacing w:before="0" w:after="120"/>
      </w:pPr>
      <w:r>
        <w:rPr>
          <w:b/>
        </w:rPr>
        <w:t xml:space="preserve">Source: </w:t>
      </w:r>
      <w:r>
        <w:t>Nature Nanotechnology</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前几次试图在这些多类型之间转换需要微米规模的域和微牛顿装载力,严重限制了实用的多发性功能。在这里,我们展示了伯尔诺四层完全可逆的转化,用它向下至30纳米尺寸的红血球晶体转化。</w:t>
      </w:r>
    </w:p>
    <w:p>
      <w:pPr>
        <w:spacing w:before="0" w:after="200" w:lineRule="auto" w:line="276"/>
      </w:pPr>
      <w:r>
        <w:rPr>
          <w:b/>
        </w:rPr>
        <w:t xml:space="preserve">Abstract (EN): </w:t>
      </w:r>
      <w:r>
        <w:t>Graphitic polytypes—commensurate stacking variants of graphene layers—exhibit pronounced stacking-dependent properties, including intrinsic polarization, orbital magnetism and unconventional superconductivity. Previous attempts to switch between these polytypes required micrometre-scale domains and micronewton loading forces, severely limiting practical multi-ferroic functionality. Here we demonstrate fully reversible transformations of Bernal tetralayers to rhombohedral crystals down to 30-nanometre-scale dimensions, using</w:t>
      </w:r>
    </w:p>
    <w:p>
      <w:pPr>
        <w:spacing w:before="120" w:after="120"/>
      </w:pPr>
      <w:r>
        <w:rPr>
          <w:sz w:val="18"/>
        </w:rPr>
        <w:t>——————————————————————————————————————————————————————————————————————</w:t>
      </w:r>
    </w:p>
    <w:p>
      <w:pPr>
        <w:spacing w:before="160" w:after="40" w:line="240" w:lineRule="auto"/>
      </w:pPr>
      <w:r>
        <w:rPr>
          <w:b/>
        </w:rPr>
        <w:t xml:space="preserve">[309] </w:t>
      </w:r>
      <w:hyperlink r:id="rId485">
        <w:r>
          <w:rPr>
            <w:color w:val="1155CC"/>
            <w:u w:val="single"/>
          </w:rPr>
          <w:t>对Moiré 材料中肿瘤细胞编号的光学控制</w:t>
        </w:r>
      </w:hyperlink>
    </w:p>
    <w:p>
      <w:pPr>
        <w:spacing w:before="0" w:after="80"/>
      </w:pPr>
      <w:r>
        <w:rPr>
          <w:i/>
          <w:sz w:val="20"/>
        </w:rPr>
        <w:t>EN: Optical control over topological Chern number in moiré materials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光线控制量量物质为动态调控其从波段表层1、2到超导体3等多体特性提供了充满希望的途径。 然而,在稳定状态下对紧密关联的电子系统实现这种光学控制仍然遥不可及。 在这里,我们展示了扭曲的MoTe2(t-MoTe2)同族双层中流动铁磁铁管的旋转-valle自由度的光学转换。 这个系统独特的特征是平平的山谷波纹切尔恩带,在包括切尔恩绝缘器和铁磁性金属4、5、6、7、7在内的各种摩岩填充物中展示了一系列密切相关的阶段。 我们显示,所有这些阶段的旋转-valley方向可以通过振动的外生-极-波龙8转换而动态逆转。</w:t>
      </w:r>
    </w:p>
    <w:p>
      <w:pPr>
        <w:spacing w:before="0" w:after="200" w:lineRule="auto" w:line="276"/>
      </w:pPr>
      <w:r>
        <w:rPr>
          <w:b/>
        </w:rPr>
        <w:t xml:space="preserve">Abstract (EN): </w:t>
      </w:r>
      <w:r>
        <w:t>Controlling quantum matter with light offers a promising route to dynamically tune its many-body properties, ranging from band topology1,2 to superconductivity3. However, achieving such optical control for strongly correlated electron systems in the steady state has remained elusive. Here we demonstrate optical switching of the spin–valley degree of freedom of itinerant ferromagnets in twisted MoTe2 (t-MoTe2) homobilayers. This system uniquely features flat valley-contrasting Chern bands and exhibits a range of strongly correlated phases at various moiré lattice fillings, including Chern insulators and ferromagnetic metals4,5,6,7. We show that the spin–valley orientation of all of these phases can be dynamically reversed by resonantly exciting the exciton–polaron8 transitions with circularly polarized light. These findings not only provide direct evidence for non-thermal optical switching of a ferromagnetic spin state at zero magnetic field but also demonstrate the possibility of dynamical control over a topological order parameter, paving the way for optical generation of chiral edge modes and topological quantum circuits.</w:t>
      </w:r>
    </w:p>
    <w:p>
      <w:pPr>
        <w:spacing w:before="120" w:after="120"/>
      </w:pPr>
      <w:r>
        <w:rPr>
          <w:sz w:val="18"/>
        </w:rPr>
        <w:t>——————————————————————————————————————————————————————————————————————</w:t>
      </w:r>
    </w:p>
    <w:p>
      <w:pPr>
        <w:spacing w:before="160" w:after="40" w:line="240" w:lineRule="auto"/>
      </w:pPr>
      <w:r>
        <w:rPr>
          <w:b/>
        </w:rPr>
        <w:t xml:space="preserve">[310] </w:t>
      </w:r>
      <w:hyperlink r:id="rId486">
        <w:r>
          <w:rPr>
            <w:color w:val="1155CC"/>
            <w:u w:val="single"/>
          </w:rPr>
          <w:t>推进H2、H2、H2O2和CO2至多产品人工光合和</w:t>
        </w:r>
      </w:hyperlink>
    </w:p>
    <w:p>
      <w:pPr>
        <w:spacing w:before="0" w:after="80"/>
      </w:pPr>
      <w:r>
        <w:rPr>
          <w:i/>
          <w:sz w:val="20"/>
        </w:rPr>
        <w:t>EN: Dynamics of charges and redox sites for advancing artificial photosynthesis of H2, H2O2, and CO2-to-multiproducts</w:t>
      </w:r>
    </w:p>
    <w:p>
      <w:pPr>
        <w:spacing w:before="0" w:after="120"/>
      </w:pPr>
      <w:r>
        <w:rPr>
          <w:b/>
        </w:rPr>
        <w:t xml:space="preserve">Source: </w:t>
      </w:r>
      <w:r>
        <w:t>ScienceDirect Publication: Materials Today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[311] </w:t>
      </w:r>
      <w:hyperlink r:id="rId487">
        <w:r>
          <w:rPr>
            <w:color w:val="1155CC"/>
            <w:u w:val="single"/>
          </w:rPr>
          <w:t>Moiré Chern 铁磁网的光学转换</w:t>
        </w:r>
      </w:hyperlink>
    </w:p>
    <w:p>
      <w:pPr>
        <w:spacing w:before="0" w:after="80"/>
      </w:pPr>
      <w:r>
        <w:rPr>
          <w:i/>
          <w:sz w:val="20"/>
        </w:rPr>
        <w:t>EN: Optical switching of a moiré Chern ferromagnet</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光学控制提供了一种非接触、高精度和超快的路线,用于操纵量子物质属性1、2、3、4、5。 莫伊雷超极极极中的分心切尔铁磁州是一个很有希望的平台,可借以追踪地表量计算6、8、9、10,但有效的光学控制协议仍然难以实现。在这里,我们展示了扭曲的摩里顿聚聚二星(MoTe2)中整形和分形切尔铁磁网的强光转换,利用连续波环极光来对准双层双层。在零场,利用低至28nW 微米的泵光电源,对表层铁磁铁磁系统旋转方向进行高效的光学操纵。利用这种光学引导的转换,我们还展示了磁性双环和空间再演。</w:t>
      </w:r>
    </w:p>
    <w:p>
      <w:pPr>
        <w:spacing w:before="0" w:after="200" w:lineRule="auto" w:line="276"/>
      </w:pPr>
      <w:r>
        <w:rPr>
          <w:b/>
        </w:rPr>
        <w:t xml:space="preserve">Abstract (EN): </w:t>
      </w:r>
      <w:r>
        <w:t>Optical control offers a non-contact, high-precision and ultrafast route to manipulating quantum material properties1,2,3,4,5. Fractional Chern ferromagnetic states in moiré superlattices are a promising platform by which to pursue topological quantum computing6,7,8,9,10, but an effective optical control protocol has remained elusive. Here we demonstrate robust optical switching of integer and fractional Chern ferromagnets in twisted molybdenum ditelluride (MoTe2) bilayers using continuous-wave circularly polarized light. Highly efficient optical manipulation of spin orientations in the topological ferromagnet regime is realized at zero field using a pump light power as low as 28 nW µm−2. Using this optically induced transition, we also demonstrate magnetic bistate cycling and spatially resolved writing of ferromagnetic domain walls. This work establishes a reliable and efficient optical control scheme for moiré Chern ferromagnets, paving the way for dissipationless spintronics and quantized Chern junction devices.</w:t>
      </w:r>
    </w:p>
    <w:p>
      <w:pPr>
        <w:spacing w:before="120" w:after="120"/>
      </w:pPr>
      <w:r>
        <w:rPr>
          <w:sz w:val="18"/>
        </w:rPr>
        <w:t>——————————————————————————————————————————————————————————————————————</w:t>
      </w:r>
    </w:p>
    <w:p>
      <w:pPr>
        <w:spacing w:before="160" w:after="40" w:line="240" w:lineRule="auto"/>
      </w:pPr>
      <w:r>
        <w:rPr>
          <w:b/>
        </w:rPr>
        <w:t xml:space="preserve">[312] </w:t>
      </w:r>
      <w:hyperlink r:id="rId488">
        <w:r>
          <w:rPr>
            <w:color w:val="1155CC"/>
            <w:u w:val="single"/>
          </w:rPr>
          <w:t>限制对无定形纳米粒子进行原子分辨率摄影重建</w:t>
        </w:r>
      </w:hyperlink>
    </w:p>
    <w:p>
      <w:pPr>
        <w:spacing w:before="0" w:after="80"/>
      </w:pPr>
      <w:r>
        <w:rPr>
          <w:i/>
          <w:sz w:val="20"/>
        </w:rPr>
        <w:t>EN: Limit of atomic-resolution-tomography reconstruction of amorphous nanoparticles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三维原子结构是定期确定周期晶体的常态。然而,将这种分析扩大到无定形材料仍是一个重大挑战,尽管科学和技术重要性1 。2 在这方面,最近一份报告描述使用原子分辨率电子断层摄影(AET)确定一个无定形固态的三维结构,确实令人瞩目的。3 如果得到验证,这种分析将是开创性的。我们在这里讨论这一问题,并调查是否以及何时AET能够识别一个无定形纳米粒子中的所有或大多数原子。通过模拟AET,我们揭示了对结构和化学信息的限制,AET能够从噪音电子图像中确定。对于单原子纳米粒子来说,这种结构可以用原子粒子来确定。</w:t>
      </w:r>
    </w:p>
    <w:p>
      <w:pPr>
        <w:spacing w:before="0" w:after="200" w:lineRule="auto" w:line="276"/>
      </w:pPr>
      <w:r>
        <w:rPr>
          <w:b/>
        </w:rPr>
        <w:t xml:space="preserve">Abstract (EN): </w:t>
      </w:r>
      <w:r>
        <w:t>Three-dimensional atomic structure is routinely determined for periodic crystals. However, extending such analysis to amorphous materials remains a substantial challenge, despite the scientific and technological importance1,2. In this context, a recent report describing the three-dimensional structure determination of an amorphous solid using atomic-resolution electron tomography (AET) is truly remarkable3. If validated, such an analysis would be groundbreaking. Here we address this issue and investigate whether and when AET can identify all or most atoms in an amorphous nanoparticle. By simulating AET, we reveal limitations on the structural and chemical information AET can determine from noisy electron images. For monoatomic nanoparticles, the structure can be determined with an atomic-position accuracy of tens of picometres under stringent fluence, sampling and projection requirements. For multi-element amorphous nanoparticles, chemical identification resolution is determined by noise and experimental sampling. Heavier atoms are more easily resolved than lighter ones, and large chemical analysis uncertainties emerge when atomic peak and background intensities overlap. Using these insights, we delineate nanoparticle size, composition, electron fluence and image sampling requirements for AET. The results serve as a benchmark for future experiment design and demonstrate a viable approach for amorphous structure determination validation using AET.</w:t>
      </w:r>
    </w:p>
    <w:p>
      <w:pPr>
        <w:spacing w:before="120" w:after="120"/>
      </w:pPr>
      <w:r>
        <w:rPr>
          <w:sz w:val="18"/>
        </w:rPr>
        <w:t>——————————————————————————————————————————————————————————————————————</w:t>
      </w:r>
    </w:p>
    <w:p>
      <w:pPr>
        <w:spacing w:before="160" w:after="40" w:line="240" w:lineRule="auto"/>
      </w:pPr>
      <w:r>
        <w:rPr>
          <w:b/>
        </w:rPr>
        <w:t xml:space="preserve">[313] </w:t>
      </w:r>
      <w:hyperlink r:id="rId489">
        <w:r>
          <w:rPr>
            <w:color w:val="1155CC"/>
            <w:u w:val="single"/>
          </w:rPr>
          <w:t>Ostα/β结构显示一种独特的折叠和易腐酸转移机制。</w:t>
        </w:r>
      </w:hyperlink>
    </w:p>
    <w:p>
      <w:pPr>
        <w:spacing w:before="0" w:after="80"/>
      </w:pPr>
      <w:r>
        <w:rPr>
          <w:i/>
          <w:sz w:val="20"/>
        </w:rPr>
        <w:t>EN: Structures of Ostα/β reveal a unique fold and bile acid transport mechanism</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Bile酸和类固醇原状对人类健康至关重要,其干扰与代谢和内分泌紊乱有关,1,2. 有机溶液运输器Ostα/β,在肠内环循环中对二二酸酸增殖必不可少的有机溶液Ostα/β,3 长期以来一直无法进行机械解说。在这里,我们用2.6-3.1 度的分辨率和基底约束状态展示了人类奥斯特α/β的低温电子显微镜结构,揭示了一种独特的薄膜蛋白结构,该结构定义了一个新的运输器类别。奥斯特α/β形成一种对称的异丙胺体四聚苯酯,每个奥斯特亚子单位都展示了一个新的七度跨模朗的折体,并辅之以一个单倍的转基因膜螺旋。这一结构通过广泛的脂质修改而稳定下来,包括一个以后形成的棕榈基细胞富质模型。</w:t>
      </w:r>
    </w:p>
    <w:p>
      <w:pPr>
        <w:spacing w:before="0" w:after="200" w:lineRule="auto" w:line="276"/>
      </w:pPr>
      <w:r>
        <w:rPr>
          <w:b/>
        </w:rPr>
        <w:t xml:space="preserve">Abstract (EN): </w:t>
      </w:r>
      <w:r>
        <w:t>Bile acid and steroid hormone homeostasis are critical for human health, with disruptions linked to metabolic and endocrine disorders1,2. The organic solute transporter Ostα/β, essential for bile acid efflux in enterohepatic circulation3, has long defied mechanistic elucidation. Here we present cryogenic electron microscopy structures of human Ostα/β in apo and substrate-bound states at 2.6–3.1 Å resolution, revealing a distinctive membrane protein architecture that defines a new transporter class. Ostα/β forms a symmetric tetramer of heterodimers, with each Ostα subunit showing a new seven-transmembrane fold, augmented by a single transmembrane helix of Ostβ. This architecture is stabilized by extensive lipid modifications, including a palmitoylated cysteine-rich motif that forms a lateral substrate-binding groove. The structures uncover a unique transport pathway featuring two substrate-binding sites connected by an amphipathic helix-gated conduit. This design, conserved in the evolutionarily related TMEM184 family, suggests an ancient mechanism for substrate translocation. Electrophysiological studies demonstrate voltage-sensitive, bidirectional transport driven by electrochemical gradients, elucidating the efflux role of Ostα/β in vivo. Lipid interactions, notably palmitoylation-dependent trafficking, emerge as critical for stability and function. These findings clarify the molecular mechanism of Ostα/β, provide a structural basis for disease-associated mutations4,5 and establish a paradigm for lipid-modified membrane transport.</w:t>
      </w:r>
    </w:p>
    <w:p>
      <w:pPr>
        <w:spacing w:before="120" w:after="120"/>
      </w:pPr>
      <w:r>
        <w:rPr>
          <w:sz w:val="18"/>
        </w:rPr>
        <w:t>——————————————————————————————————————————————————————————————————————</w:t>
      </w:r>
    </w:p>
    <w:p>
      <w:pPr>
        <w:spacing w:before="160" w:after="40" w:line="240" w:lineRule="auto"/>
      </w:pPr>
      <w:r>
        <w:rPr>
          <w:b/>
        </w:rPr>
        <w:t xml:space="preserve">[314] </w:t>
      </w:r>
      <w:hyperlink r:id="rId490">
        <w:r>
          <w:rPr>
            <w:color w:val="1155CC"/>
            <w:u w:val="single"/>
          </w:rPr>
          <w:t>在第一次Phanerozoic大规模灭绝之后,一个坎布里安软体生物群</w:t>
        </w:r>
      </w:hyperlink>
    </w:p>
    <w:p>
      <w:pPr>
        <w:spacing w:before="0" w:after="80"/>
      </w:pPr>
      <w:r>
        <w:rPr>
          <w:i/>
          <w:sz w:val="20"/>
        </w:rPr>
        <w:t>EN: A Cambrian soft-bodied biota after the first Phanerozoic mass extinction</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Cambrian Burgess Shale-类(BST)化石生物群(BST)记录了最古老的Phanerozoic海洋生态系统近乎完整的肖像,1,2,3,4,4,4;然而,含有生物多样性程度高的BST生物群5 的矿床的罕见性限制了我们对Cambrian爆炸的进化和生态动态的了解。这里我们报告的是Huayuan生物群——一个更低的Cambrian生物群(大约5亿12亿年前的4层)——BST Lagerstätte,来自中国南部湖南长江长江长泽区深水区。怀源生物群产生了显著的分类丰富性,由153种动物组成,由节肢动物、毛利动物和白鲸组成,其中59%是新物种。这些生物群主要由软体形式组成,其中包括保存的细胞组织。</w:t>
      </w:r>
    </w:p>
    <w:p>
      <w:pPr>
        <w:spacing w:before="0" w:after="200" w:lineRule="auto" w:line="276"/>
      </w:pPr>
      <w:r>
        <w:rPr>
          <w:b/>
        </w:rPr>
        <w:t xml:space="preserve">Abstract (EN): </w:t>
      </w:r>
      <w:r>
        <w:t>Cambrian Burgess Shale-type (BST) fossil biotas document nearly complete snapshots of the oldest Phanerozoic marine ecosystems1,2,3,4. However, the rarity of deposits bearing high-diversity BST biotas5 has restricted our understanding of the evolutionary and ecological dynamics of the Cambrian explosion. Here we report the Huayuan biota—a lower Cambrian (Stage 4, approximately 512 million years ago) BST Lagerstätte from an outer shelf, deep-water setting of the Yangtze Block in Hunan, South China. The Huayuan biota yields remarkable taxonomic richness, comprising 153 animal species of 16 phylum-level clades dominated by arthropods, poriferans and cnidarians, among which 59% of species are new. The biota is comprised overwhelmingly of soft-bodied forms that include preserved cellular tissues. The complex ecosystem contained diverse radiodonts and pelagic tunicates, filling a gap of high-diversity BST biotas from the Cambrian Stage 4. Critically, multivariate ordination based on a global dataset of Cambrian BST biotas places the Huayuan biota within a main transition of marine animal ecosystems between Cambrian Age 3 and Age 4. Network analysis reveals close faunal connections between the Huayuan and Burgess Shale biotas, indicating transoceanic dispersal. Dated shortly after the Sinsk event6,7,8, the Huayuan biota illuminates differences in the impacts of this extinction in shallow- versus deep-water settings during the first Phanerozoic mass extinction and offers critical insights into the transformation of global ecosystems in the early Cambrian.</w:t>
      </w:r>
    </w:p>
    <w:p>
      <w:pPr>
        <w:spacing w:before="120" w:after="120"/>
      </w:pPr>
      <w:r>
        <w:rPr>
          <w:sz w:val="18"/>
        </w:rPr>
        <w:t>——————————————————————————————————————————————————————————————————————</w:t>
      </w:r>
    </w:p>
    <w:p>
      <w:pPr>
        <w:spacing w:before="160" w:after="40" w:line="240" w:lineRule="auto"/>
      </w:pPr>
      <w:r>
        <w:rPr>
          <w:b/>
        </w:rPr>
        <w:t xml:space="preserve">[315] </w:t>
      </w:r>
      <w:hyperlink r:id="rId491">
        <w:r>
          <w:rPr>
            <w:color w:val="1155CC"/>
            <w:u w:val="single"/>
          </w:rPr>
          <w:t>有机氟化三维微制造和纳米制造</w:t>
        </w:r>
      </w:hyperlink>
    </w:p>
    <w:p>
      <w:pPr>
        <w:spacing w:before="0" w:after="80"/>
      </w:pPr>
      <w:r>
        <w:rPr>
          <w:i/>
          <w:sz w:val="20"/>
        </w:rPr>
        <w:t>EN: Optofluidic three-dimensional microfabrication and nanofabrication</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三维(3D)微制造/纳米制造技术通过精确建造复杂的微结构/纳米结构1,2,3,4,4,5,6,6;然而,现有方法在从常规聚合物以外的多种材料中构建复杂的三维结构方面面临着挑战。 我们在此引入了与广泛材料相兼容的通用三维微制造/纳米制造战略,精确地在封闭的三维空间内操纵优化优化的相互作用,从而能够创建量体型、自由型三维微结构/纳米结构。Fempto第二激光器引发的热点产生了局部热梯度,为纳米粒子拉子的选择性互动提供了精确的线性控制。</w:t>
      </w:r>
    </w:p>
    <w:p>
      <w:pPr>
        <w:spacing w:before="0" w:after="200" w:lineRule="auto" w:line="276"/>
      </w:pPr>
      <w:r>
        <w:rPr>
          <w:b/>
        </w:rPr>
        <w:t xml:space="preserve">Abstract (EN): </w:t>
      </w:r>
      <w:r>
        <w:t>Three-dimensional (3D) microfabrication/nanofabrication technologies have revolutionized various fields by enabling the precise construction of complex microstructures/nanostructures1,2,3,4,5,6. However, existing methods face challenges in fabricating intricate 3D architectures from a diverse range of materials beyond conventional polymers. Here we introduce a universal 3D microfabrication/nanofabrication strategy compatible with a broad range of materials by precisely manipulating optofluidic interactions within a confined 3D space, enabling the creation of volumetric, free-form 3D microstructures/nanostructures. A femtosecond-laser-induced heating spot generates a localized thermal gradient, providing precise spatiotemporal control over optofluidic interactions of the nanoparticle-laden dispersions. This enables the rapid and highly localized assembly of nanoparticles with diverse shapes and compositions—including metals, metal oxides, carbon nanomaterials and quantum dots—into complex 3D microstructures. To demonstrate its versatility, we fabricate multifunctional microdevices, such as 3D microfluidic valves with size-selective sieving functionality, achieving fast separation of microparticles/nanoparticles with distinct dimensions, as well as microrobots integrated with four distinct functional materials, achieving multimodal locomotion powered by different external stimuli. This optofluidic 3D microfabrication/nanofabrication method unlocks new opportunities for advanced material innovation and miniaturized device development, paving the way for broad applications in colloidal robotics7, microphotonics/nanophotonics, catalysis and microfluidics.</w:t>
      </w:r>
    </w:p>
    <w:p>
      <w:pPr>
        <w:spacing w:before="120" w:after="120"/>
      </w:pPr>
      <w:r>
        <w:rPr>
          <w:sz w:val="18"/>
        </w:rPr>
        <w:t>——————————————————————————————————————————————————————————————————————</w:t>
      </w:r>
    </w:p>
    <w:p>
      <w:pPr>
        <w:spacing w:before="160" w:after="40" w:line="240" w:lineRule="auto"/>
      </w:pPr>
      <w:r>
        <w:rPr>
          <w:b/>
        </w:rPr>
        <w:t xml:space="preserve">[316] </w:t>
      </w:r>
      <w:hyperlink r:id="rId492">
        <w:r>
          <w:rPr>
            <w:color w:val="1155CC"/>
            <w:u w:val="single"/>
          </w:rPr>
          <w:t>分布式城市间量子传感器对xxion暗物质的限制</w:t>
        </w:r>
      </w:hyperlink>
    </w:p>
    <w:p>
      <w:pPr>
        <w:spacing w:before="0" w:after="80"/>
      </w:pPr>
      <w:r>
        <w:rPr>
          <w:i/>
          <w:sz w:val="20"/>
        </w:rPr>
        <w:t>EN: Constraints on axion dark matter by distributed intercity quantum sensors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极光轴粒子是暗质的候选物,1 被推断成在三维空间形成稳定、宏观的场外配置,从而有可能形成表层缺陷暗物质2,3,4(TDM),3,4(TDM)。 通过现实的参数空间探索其可能存在的可能性,需要考虑超越恒星冷却过程天体物理观测所施加的限制的相互作用。 5 我们在这里报告一项实验的结果,该实验通过在两个城市的5个高温实验室设置的相互联系,监测极地旋转可能发生的瞬时性旋转,这种旋转可能由与地形缺陷的相互作用引起。 在超极化的惰性气体旋转中放大和最佳的噪音过滤将大大增强敏感度。</w:t>
      </w:r>
    </w:p>
    <w:p>
      <w:pPr>
        <w:spacing w:before="0" w:after="200" w:lineRule="auto" w:line="276"/>
      </w:pPr>
      <w:r>
        <w:rPr>
          <w:b/>
        </w:rPr>
        <w:t xml:space="preserve">Abstract (EN): </w:t>
      </w:r>
      <w:r>
        <w:t>Ultralight axion particles are candidates for dark matter1, conjectured to form stable, macroscopic field configurations in three-dimensional space, resulting in the possible formation of topological defect dark matter2,3,4 (TDM). Exploring their possible existence through a realistic parameter space requires considering interactions that extend beyond the constraints imposed by astrophysical observations of stellar cooling processes5. Here we report the outcome of an experiment that monitors possible transient rotations of polarized spins, which could be induced by the interaction with topological defects, carried out by correlating five noble-gas laboratory set-ups located in two cities. Amplification and optimal noise filtering in hyperpolarized noble-gas spins greatly enhance the sensitivity to TDM-induced spin rotations, reaching approximately 10−6 rad. Through this, we set constraints on the axion–nucleon coupling across an axion mass range from 10 peV to 0.2 μeV, achieving 4.1 × 1010 GeV at 84 peV. These values exceed known constraints imposed by astrophysical observations, although these are obtained under different model assumptions. Our approach could further stimulate broad beyond-Standard Model physics searches, such as transient axion waves, axion stars, axion strings and Q-balls.</w:t>
      </w:r>
    </w:p>
    <w:p>
      <w:pPr>
        <w:spacing w:before="120" w:after="120"/>
      </w:pPr>
      <w:r>
        <w:rPr>
          <w:sz w:val="18"/>
        </w:rPr>
        <w:t>——————————————————————————————————————————————————————————————————————</w:t>
      </w:r>
    </w:p>
    <w:p>
      <w:pPr>
        <w:spacing w:before="160" w:after="40" w:line="240" w:lineRule="auto"/>
      </w:pPr>
      <w:r>
        <w:rPr>
          <w:b/>
        </w:rPr>
        <w:t xml:space="preserve">[317] </w:t>
      </w:r>
      <w:hyperlink r:id="rId493">
        <w:r>
          <w:rPr>
            <w:color w:val="1155CC"/>
            <w:u w:val="single"/>
          </w:rPr>
          <w:t>用于平行单原子接口的阴道阵列显微镜</w:t>
        </w:r>
      </w:hyperlink>
    </w:p>
    <w:p>
      <w:pPr>
        <w:spacing w:before="0" w:after="80"/>
      </w:pPr>
      <w:r>
        <w:rPr>
          <w:i/>
          <w:sz w:val="20"/>
        </w:rPr>
        <w:t>EN: A cavity-array microscope for parallel single-atom interfacing</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中原子阵列和光导洞穴量子电动力系统作为现代实验量子科学的中心支柱而同时发展,1,2,3。 虽然每个平台都表现出了非凡的能力 — — 如高纤维量子逻辑4,5,6,7,7在原子阵列中,以及强光-物质在空洞中相联8,9,9,10 — — 它们的组合有望实现快速和非破坏性原子测量11,建立大型量子网络12,13,14,15,16,17和工程原子-磷-汉密尔顿核18,19,20。 然而,迄今为止,两个平台的整合实验仅限于将整个原子阵列与一个全球电流模式21,22,23,24,25,26,这种配置限制了可处理性、平行性和可扩缩性。</w:t>
      </w:r>
    </w:p>
    <w:p>
      <w:pPr>
        <w:spacing w:before="0" w:after="200" w:lineRule="auto" w:line="276"/>
      </w:pPr>
      <w:r>
        <w:rPr>
          <w:b/>
        </w:rPr>
        <w:t xml:space="preserve">Abstract (EN): </w:t>
      </w:r>
      <w:r>
        <w:t>Neutral-atom arrays and optical cavity quantum electrodynamics systems have developed in parallel as central pillars of modern experimental quantum science1,2,3. Although each platform has shown exceptional capabilities—such as high-fidelity quantum logic4,5,6,7 in atom arrays and strong light–matter coupling in cavities8,9,10—their combination holds promise for realizing fast and non-destructive atom measurement11, building large-scale quantum networks12,13,14,15,16,17 and engineering hybrid atom–photon Hamiltonians18,19,20. However, so far, experiments integrating the two platforms have been limited to spatially interfacing the entire atom array with one global cavity mode21,22,23,24,25,26, a configuration that constrains addressability, parallelism and scalability. Here we introduce the cavity-array microscope, an experimental platform where each individual atom is strongly coupled to its own individual cavity across a two-dimensional array of over 40 modes. Our approach requires no nanophotonic elements26,27, and instead uses a free-space cavity geometry with intra-cavity lenses28,29 to realize above-unity peak cooperativity with micrometre-scale mode waists and spacings, compatible with typical atom-array length scales while keeping atoms far from dielectric surfaces. We achieve homogeneous atom–cavity coupling and show fast, non-destructive, parallel readout on millisecond timescales, including through a fibre array as a proof of principle for networking applications30. As an outlook, we realize a next-generation iteration of the platform with over 500 cavities and a nearly 10-fold improvement in finesse. Our work unlocks the regime of many-cavity quantum electrodynamics and opens an unexplored frontier of large-scale quantum networking with atom arrays.</w:t>
      </w:r>
    </w:p>
    <w:p>
      <w:pPr>
        <w:spacing w:before="120" w:after="120"/>
      </w:pPr>
      <w:r>
        <w:rPr>
          <w:sz w:val="18"/>
        </w:rPr>
        <w:t>——————————————————————————————————————————————————————————————————————</w:t>
      </w:r>
    </w:p>
    <w:p>
      <w:pPr>
        <w:spacing w:before="160" w:after="40" w:line="240" w:lineRule="auto"/>
      </w:pPr>
      <w:r>
        <w:rPr>
          <w:b/>
        </w:rPr>
        <w:t xml:space="preserve">[318] </w:t>
      </w:r>
      <w:hyperlink r:id="rId494">
        <w:r>
          <w:rPr>
            <w:color w:val="1155CC"/>
            <w:u w:val="single"/>
          </w:rPr>
          <w:t>人体和细菌遗传变异形态 口服微生物体和健康</w:t>
        </w:r>
      </w:hyperlink>
    </w:p>
    <w:p>
      <w:pPr>
        <w:spacing w:before="0" w:after="80"/>
      </w:pPr>
      <w:r>
        <w:rPr>
          <w:i/>
          <w:sz w:val="20"/>
        </w:rPr>
        <w:t>EN: Human and bacterial genetic variation shape oral microbiomes and health</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人类基因变异影响我们生物学的所有方面,包括口腔腔1,2,3,养分和微生物进入人体的口腔腔1,2,3,3,3,3,然而,人们基本上不知道人类基因变异是什么塑造一个人的口腔微生物,并有可能促进其衰变3,4,5。 我们通过重新分析整个基因序列来确定12,519人的口腔微生物,这些口腔微生物是来自以前顺序排列的唾液衍生的DNA。与口腔微生物组成变化有关的11 oci(10个新)人类基因变异,其中几处与碳水化合物供应有关;最强大的关联(P=3.0×10-188)涉及常见的FUT2 W154X功能变异,这与58种细菌物种的丰富性有关。人类宿主遗传学似乎也形成了强大的形状。</w:t>
      </w:r>
    </w:p>
    <w:p>
      <w:pPr>
        <w:spacing w:before="0" w:after="200" w:lineRule="auto" w:line="276"/>
      </w:pPr>
      <w:r>
        <w:rPr>
          <w:b/>
        </w:rPr>
        <w:t xml:space="preserve">Abstract (EN): </w:t>
      </w:r>
      <w:r>
        <w:t>Human genetic variation influences all aspects of our biology, including the oral cavity1,2,3, through which nutrients and microbes enter the body. Yet it is largely unknown which human genetic variants shape a person’s oral microbiome and potentially promote its dysbiosis3,4,5. We characterized the oral microbiomes of 12,519 people by re-analysing whole-genome sequencing reads from previously sequenced saliva-derived DNA. Human genetic variation at 11 loci (10 new) associated with variation in oral microbiome composition. Several of these related to carbohydrate availability; the strongest association (P = 3.0 × 10−188) involved the common FUT2 W154X loss-of-function variant, which associated with the abundances of 58 bacterial species. Human host genetics also seemed to powerfully shape genetic variation in oral bacterial species: these 11 host genetic variants also associated with variation of gene dosages in 68 regions of bacterial genomes. Common, multi-allelic copy number variation of AMY1, which encodes salivary amylase, associated with oral microbiome composition (P = 1.5 × 10−53) and with dentures use in UK Biobank (P = 5.9 × 10−35, n = 418,039) but not with body mass index (P = 0.85), suggesting that salivary amylase abundance impacts health by influencing the oral microbiome. Two other microbiome composition-associated loci, FUT2 and PITX1, also significantly associated with dentures risk, collectively nominating numerous host–microbial interactions that contribute to tooth decay.</w:t>
      </w:r>
    </w:p>
    <w:p>
      <w:pPr>
        <w:spacing w:before="120" w:after="120"/>
      </w:pPr>
      <w:r>
        <w:rPr>
          <w:sz w:val="18"/>
        </w:rPr>
        <w:t>——————————————————————————————————————————————————————————————————————</w:t>
      </w:r>
    </w:p>
    <w:p>
      <w:pPr>
        <w:spacing w:before="160" w:after="40" w:line="240" w:lineRule="auto"/>
      </w:pPr>
      <w:r>
        <w:rPr>
          <w:b/>
        </w:rPr>
        <w:t xml:space="preserve">[319] </w:t>
      </w:r>
      <w:hyperlink r:id="rId495">
        <w:r>
          <w:rPr>
            <w:color w:val="1155CC"/>
            <w:u w:val="single"/>
          </w:rPr>
          <w:t>对大型多式联运模式进行次位预测的多式学习</w:t>
        </w:r>
      </w:hyperlink>
    </w:p>
    <w:p>
      <w:pPr>
        <w:spacing w:before="0" w:after="80"/>
      </w:pPr>
      <w:r>
        <w:rPr>
          <w:i/>
          <w:sz w:val="20"/>
        </w:rPr>
        <w:t>EN: Multimodal learning with next-token prediction for large multimodal models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开发一种能够从文本、图像和视频等不同模式中学习和生成的统一算法,一直是人工智能的一个根本挑战。虽然次位预测推动了大型语言模型的重大进步,1 但其在多式联运领域的扩展仍然有限,将图像和视频合成2、3 以及将愿景编码器与语言模型融合在一起的构成框架的推广模式4 仍然占主导地位。这里我们介绍Emu3, 一组仅受过次位预测培训的多式联运模型。Emu3在认知和代代际之间都等同于完善的任务特定模型的性能,匹配旗舰系统,同时消除传播或构成结构的需要。它进一步展示了一致性。</w:t>
      </w:r>
    </w:p>
    <w:p>
      <w:pPr>
        <w:spacing w:before="0" w:after="200" w:lineRule="auto" w:line="276"/>
      </w:pPr>
      <w:r>
        <w:rPr>
          <w:b/>
        </w:rPr>
        <w:t xml:space="preserve">Abstract (EN): </w:t>
      </w:r>
      <w:r>
        <w:t>Developing a unified algorithm that can learn from and generate across modalities such as text, images and video has been a fundamental challenge in artificial intelligence. Although next-token prediction has driven major advances in large language models1, its extension to multimodal domains has remained limited, and diffusion models for image and video synthesis2,3 and compositional frameworks that integrate vision encoders with language models4 still dominate. Here we introduce Emu3, a family of multimodal models trained solely with next-token prediction. Emu3 equals the performance of well-established task-specific models across both perception and generation, matching flagship systems while removing the need for diffusion or compositional architectures. It further demonstrates coherent, high-fidelity video generation, interleaved vision–language generation and vision–language–action modelling for robotic manipulation. By reducing multimodal learning to unified token prediction, Emu3 establishes a robust foundation for large-scale multimodal modelling and offers a promising route towards unified multimodal intelligence.</w:t>
      </w:r>
    </w:p>
    <w:p>
      <w:pPr>
        <w:spacing w:before="120" w:after="120"/>
      </w:pPr>
      <w:r>
        <w:rPr>
          <w:sz w:val="18"/>
        </w:rPr>
        <w:t>——————————————————————————————————————————————————————————————————————</w:t>
      </w:r>
    </w:p>
    <w:p>
      <w:pPr>
        <w:spacing w:before="160" w:after="40" w:line="240" w:lineRule="auto"/>
      </w:pPr>
      <w:r>
        <w:rPr>
          <w:b/>
        </w:rPr>
        <w:t xml:space="preserve">[320] </w:t>
      </w:r>
      <w:hyperlink r:id="rId496">
        <w:r>
          <w:rPr>
            <w:color w:val="1155CC"/>
            <w:u w:val="single"/>
          </w:rPr>
          <w:t>多巴胺释放动力运动的辛勤行为</w:t>
        </w:r>
      </w:hyperlink>
    </w:p>
    <w:p>
      <w:pPr>
        <w:spacing w:before="0" w:after="80"/>
      </w:pPr>
      <w:r>
        <w:rPr>
          <w:i/>
          <w:sz w:val="20"/>
        </w:rPr>
        <w:t>EN: Cholinergic modulation of dopamine release drives effortful behaviour</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努力的代价是昂贵的:给一个选择,我们倾向于避免它。1 但是,在许多情况下,努力增加了随之而来的奖励的价值。 从蚂蚁3到人类4,个人更喜欢更难实现的奖励。从蚂蚁3到人类4,个人更喜欢更难实现的奖励。这一反直觉过程可能会促进甚至在资源贫乏的环境中寻求的奖励,从而增进进化健康。5 尽管其普遍存在,但支持这种行为效应的神经机制却鲜为人所理解。我们在这里表明,努力将多巴胺的响应放大到一种本来相同的奖励,而这种放大取决于乙酰胆碱对多巴胺的局部调制。高效果奖励会快速地从核心堆积的当地中中释放乙酰胆碱。</w:t>
      </w:r>
    </w:p>
    <w:p>
      <w:pPr>
        <w:spacing w:before="0" w:after="200" w:lineRule="auto" w:line="276"/>
      </w:pPr>
      <w:r>
        <w:rPr>
          <w:b/>
        </w:rPr>
        <w:t xml:space="preserve">Abstract (EN): </w:t>
      </w:r>
      <w:r>
        <w:t>Effort is costly: given a choice, we tend to avoid it1. However, in many cases, effort adds value to the ensuing rewards2. From ants3 to humans4, individuals prefer rewards that had been harder to achieve. This counterintuitive process may promote reward seeking even in resource-poor environments, thus enhancing evolutionary fitness5. Despite its ubiquity, the neural mechanisms supporting this behavioural effect are poorly understood. Here we show that effort amplifies the dopamine response to an otherwise identical reward, and this amplification depends on local modulation of dopamine axons by acetylcholine. High-effort rewards evoke rapid acetylcholine release from local interneurons in the nucleus accumbens. Acetylcholine then binds to nicotinic receptors on dopamine axon terminals to augment dopamine release when reward is delivered. Blocking the cholinergic modulation blunts dopamine release selectively in high-effort contexts, impairing effortful behaviour while leaving low-effort reward consumption intact. These results reconcile in vitro studies, which have long demonstrated that acetylcholine can trigger dopamine release directly through dopamine axons6,7,8,9,10,11, with in vivo studies that failed to observe such modulation12,13,14, but did not examine high-effort contexts. Our findings uncover a mechanism that drives effortful behaviour through context-dependent local interactions between acetylcholine and dopamine axons.</w:t>
      </w:r>
    </w:p>
    <w:p>
      <w:pPr>
        <w:spacing w:before="120" w:after="120"/>
      </w:pPr>
      <w:r>
        <w:rPr>
          <w:sz w:val="18"/>
        </w:rPr>
        <w:t>——————————————————————————————————————————————————————————————————————</w:t>
      </w:r>
    </w:p>
    <w:p>
      <w:pPr>
        <w:spacing w:before="160" w:after="40" w:line="240" w:lineRule="auto"/>
      </w:pPr>
      <w:r>
        <w:rPr>
          <w:b/>
        </w:rPr>
        <w:t xml:space="preserve">[321] </w:t>
      </w:r>
      <w:hyperlink r:id="rId497">
        <w:r>
          <w:rPr>
            <w:color w:val="1155CC"/>
            <w:u w:val="single"/>
          </w:rPr>
          <w:t>用于空间通信的辐射-可容忍原子-层空间通信的RF系统</w:t>
        </w:r>
      </w:hyperlink>
    </w:p>
    <w:p>
      <w:pPr>
        <w:spacing w:before="0" w:after="80"/>
      </w:pPr>
      <w:r>
        <w:rPr>
          <w:i/>
          <w:sz w:val="20"/>
        </w:rPr>
        <w:t>EN: Radiation-tolerant atomic-layer-scale RF system for spaceborne communication</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在外层空间探索方面,综合通信电路由于其小足迹小和低体重1,2,2,3而起促进作用。 然而,由于空间高能粒子产生的严重辐照效应,实施辐射耐受性电子电路仍然是一个挑战4,565。 我们在这里报告了对卫星设备空间辐射效应的观测,并发现原原子薄材料原则上预计会积累最小的辐射诱发损害。 因此,基于4英寸的单层2DMOS2 程序,我们实施了原子层晶体管辐射耐受辐射无线电频率系统(RF, 12-18 GHz),同时配备了空间通信的发射器和接收器。对于轨道实验来说,我们实施了一个基于原子层晶体晶体辐射耐受性无线电频率(RF, 12-18 GHz)系统。</w:t>
      </w:r>
    </w:p>
    <w:p>
      <w:pPr>
        <w:spacing w:before="0" w:after="200" w:lineRule="auto" w:line="276"/>
      </w:pPr>
      <w:r>
        <w:rPr>
          <w:b/>
        </w:rPr>
        <w:t xml:space="preserve">Abstract (EN): </w:t>
      </w:r>
      <w:r>
        <w:t>Integrated circuits for communications play an enabling role when it comes to outer-space exploration thanks to their small footprint and low weight1,2,3. However, owing to the severe irradiation effects of space energetic particles, the implementation of radiation-tolerant electronic circuits remains a challenge4,5,6. Here we report the observation of the space radiation effect on a satellite-based device and find that atomically thin materials are expected to accumulate minimal radiation-induced damage in principle. Accordingly, on the basis of a 4-inch wafer-scale monolayer 2D MoS2 process, we implement an atomic-layer transistor-based radiation-tolerant radio frequency (RF, 12–18 GHz) system with both transmitters and receivers for spaceborne communication. For on-orbit experiments, the 2D communication system was successfully launched to the approximately 517 km low Earth orbit. Notably, the system maintains a bit error rate (BER) of less than 10−8 in the transmitted data after 9 months of on-orbit operation, indicating substantial radiation tolerance and long stability. The lifespan of the 2D communication system is predicted to be about 271 years even on the geosynchronous orbit with a much harsher radiation environment. This work showcases the unique prospects of 2D electronics for spaceborne applications.</w:t>
      </w:r>
    </w:p>
    <w:p>
      <w:pPr>
        <w:spacing w:before="120" w:after="120"/>
      </w:pPr>
      <w:r>
        <w:rPr>
          <w:sz w:val="18"/>
        </w:rPr>
        <w:t>——————————————————————————————————————————————————————————————————————</w:t>
      </w:r>
    </w:p>
    <w:p>
      <w:pPr>
        <w:spacing w:before="160" w:after="40" w:line="240" w:lineRule="auto"/>
      </w:pPr>
      <w:r>
        <w:rPr>
          <w:b/>
        </w:rPr>
        <w:t xml:space="preserve">[322] </w:t>
      </w:r>
      <w:hyperlink r:id="rId498">
        <w:r>
          <w:rPr>
            <w:color w:val="1155CC"/>
            <w:u w:val="single"/>
          </w:rPr>
          <w:t>Moiré WSe2中的超导力转型和超导力</w:t>
        </w:r>
      </w:hyperlink>
    </w:p>
    <w:p>
      <w:pPr>
        <w:spacing w:before="0" w:after="80"/>
      </w:pPr>
      <w:r>
        <w:rPr>
          <w:i/>
          <w:sz w:val="20"/>
        </w:rPr>
        <w:t>EN: Bandwidth-tuned Mott transition and superconductivity in moiré WSe2</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高过渡-温度(Tc)超导性在高度相关材料中出现,仍然是物理学中尚未解决的主要问题。高技术材料,如杯子,一般是复杂的,不容易解决,因此难以进行理论建模。虽然据信赫巴德模型 — — 一种简单的高技术材料互动电子的理论模型 — — 能够捕捉到高技术材料的基本物理、1、2、3、4、5, 获得该模型的准确解决方案,特别是在中度相关制度下,具有挑战性。 6 最近在摩伊尔WSe2(refs. 7.8)中表现出强力超导性,其中低能电子波段可以由赫巴德模型描述,并且具有高度的金枪鱼ble9、10、11, 提供了研究高技术问题的新平台。</w:t>
      </w:r>
    </w:p>
    <w:p>
      <w:pPr>
        <w:spacing w:before="0" w:after="200" w:lineRule="auto" w:line="276"/>
      </w:pPr>
      <w:r>
        <w:rPr>
          <w:b/>
        </w:rPr>
        <w:t xml:space="preserve">Abstract (EN): </w:t>
      </w:r>
      <w:r>
        <w:t>The emergence of high-transition-temperature (Tc) superconductivity in strongly correlated materials remains the main unsolved problem in physics. High-Tc materials, such as cuprates, are generally complex and not easily tunable, making theoretical modelling difficult. Although the Hubbard model—a simple theoretical model of interacting electrons on a lattice—is believed to capture the essential physics of high-Tc materials1,2,3,4,5, obtaining accurate solutions of the model, especially in the relevant regime of moderate correlation, is challenging6. The recent demonstration of robust superconductivity in moiré WSe2 (refs. 7,8), in which low-energy electronic bands can be described by the Hubbard model and are highly tunable9,10,11, presents a new platform for studying the high-Tc problem. Here we tune moiré WSe2 bilayers to the moderate correlation regime through the twist angle and map the phase diagram around one hole per moiré unit cell (ν = 1) by electrostatic gating and electrical transport and magneto-optical measurements. We observe a range of high-Tc phenomenology, including an antiferromagnetic insulator at ν = 1, superconducting domes on electron and hole doping, and unusual metallic states such as strange metals12,13,14. Twist-angle dependence studies further show that the highest Tc always occurs adjacent to the Mott transition3,15. Our results indicate strong correlation as the key to superconductivity in moiré WSe2 and establish a new material system for studying high-Tc superconductivity in a controllable manner.</w:t>
      </w:r>
    </w:p>
    <w:p>
      <w:pPr>
        <w:spacing w:before="120" w:after="120"/>
      </w:pPr>
      <w:r>
        <w:rPr>
          <w:sz w:val="18"/>
        </w:rPr>
        <w:t>——————————————————————————————————————————————————————————————————————</w:t>
      </w:r>
    </w:p>
    <w:p>
      <w:pPr>
        <w:spacing w:before="160" w:after="40" w:line="240" w:lineRule="auto"/>
      </w:pPr>
      <w:r>
        <w:rPr>
          <w:b/>
        </w:rPr>
        <w:t xml:space="preserve">[323] </w:t>
      </w:r>
      <w:hyperlink r:id="rId499">
        <w:r>
          <w:rPr>
            <w:color w:val="1155CC"/>
            <w:u w:val="single"/>
          </w:rPr>
          <w:t>跨人口基因与环境相互作用简编</w:t>
        </w:r>
      </w:hyperlink>
    </w:p>
    <w:p>
      <w:pPr>
        <w:spacing w:before="0" w:after="80"/>
      </w:pPr>
      <w:r>
        <w:rPr>
          <w:i/>
          <w:sz w:val="20"/>
        </w:rPr>
        <w:t>EN: A cross-population compendium of gene–environment interactions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基因效应大小的环境差异,即基因与环境的相互作用,可能暴露出雌性可塑性1,2,3的遗传编码。 我们提供了由欧洲和日本人口440,210人组成的跨人口基因环境相互作用图集,复制了539,794人,来自不同人口。 通过分解年龄、性别和生活方式的贡献,我们划定了这些基因的生态学 — — 环境相互作用,包括与疾病有关的饮食变化的逆致癌。 基因组分析发现基因组和环境的协同效应(这些效应系统地影响了多源预测准确性和跨人口可移动性)所连接的遗传性和特异性关系。</w:t>
      </w:r>
    </w:p>
    <w:p>
      <w:pPr>
        <w:spacing w:before="0" w:after="200" w:lineRule="auto" w:line="276"/>
      </w:pPr>
      <w:r>
        <w:rPr>
          <w:b/>
        </w:rPr>
        <w:t xml:space="preserve">Abstract (EN): </w:t>
      </w:r>
      <w:r>
        <w:t>Environmental differences in genetic effect sizes, namely, gene–environment interactions, may uncover the genetic encoding of phenotypic plasticity1,2,3. We provide a cross-population atlas of gene–environment interactions comprising 440,210 individuals from European and Japanese populations, with replication in 539,794 individuals from diverse populations. By decomposing the contributions from age, sex and lifestyles, we delineate the aetiology of these gene–environment interactions, including a reverse-causality from a disease-related dietary change. Genome-wide analyses uncovered missing heritability and trait–trait relationships connected by the synergistic effects of genome and environments, which systematically affected polygenic prediction accuracy and cross-population portability. Single-cell projection revealed aging shift of pathways and cell types responsible for genetic regulation. Omics-level gene–environment analyses identified multiple sex-discordant genetic effects in lipid metabolism, informing clinical trial failures for genetically supported drug development. Our comprehensive gene–environment study decodes the dynamics of genetic associations, offering insights into complex trait biology, personalized medicine and drug development.</w:t>
      </w:r>
    </w:p>
    <w:p>
      <w:pPr>
        <w:spacing w:before="120" w:after="120"/>
      </w:pPr>
      <w:r>
        <w:rPr>
          <w:sz w:val="18"/>
        </w:rPr>
        <w:t>——————————————————————————————————————————————————————————————————————</w:t>
      </w:r>
    </w:p>
    <w:p>
      <w:pPr>
        <w:spacing w:before="160" w:after="40" w:line="240" w:lineRule="auto"/>
      </w:pPr>
      <w:r>
        <w:rPr>
          <w:b/>
        </w:rPr>
        <w:t xml:space="preserve">[324] </w:t>
      </w:r>
      <w:hyperlink r:id="rId500">
        <w:r>
          <w:rPr>
            <w:color w:val="1155CC"/>
            <w:u w:val="single"/>
          </w:rPr>
          <w:t>5-HT2A受体受体受体受管Gi信号</w:t>
        </w:r>
      </w:hyperlink>
    </w:p>
    <w:p>
      <w:pPr>
        <w:spacing w:before="0" w:after="80"/>
      </w:pPr>
      <w:r>
        <w:rPr>
          <w:i/>
          <w:sz w:val="20"/>
        </w:rPr>
        <w:t>EN: Psychedelics elicit their effects by 5-HT2A receptor-mediated Gi signalling</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精神病精神病患者正在作为一种潜在的精神病治疗疗法进行复兴,正在几个国家研究200多个临床试验,1,2,3。然而,这些药物带来好处和潜在临床风险的确切机制还尚未完全理解。 据报道,血清2A受体(5-HT2AR)是一种Gq混合受体,是精神病患者的主要感知目标,4,5。 我们在这里比较了使用体外和体外方法的精神病及其非健康类比(nHAs),发现5-HT2AR代导的非卡尼基信号对于致幻效果至关重要。我们还介绍了五种与精神病患者或非HAs复合的5-HT2AR-Gi/Gq低温显微镜结构。 结构分析和伤害。</w:t>
      </w:r>
    </w:p>
    <w:p>
      <w:pPr>
        <w:spacing w:before="0" w:after="200" w:lineRule="auto" w:line="276"/>
      </w:pPr>
      <w:r>
        <w:rPr>
          <w:b/>
        </w:rPr>
        <w:t xml:space="preserve">Abstract (EN): </w:t>
      </w:r>
      <w:r>
        <w:t>Psychedelics are undergoing a renaissance as potential therapy for psychiatric disorders, with more than 200 clinical trials being studied across several countries1,2,3. However, the precise mechanisms by which these drugs bring about benefits and the potential clinical risks are not yet fully understood. The serotonin 2A receptor (5-HT2AR) was reported to be a Gq-coupled receptor and the primary interoceptive target of psychedelics4,5. Here we compared psychedelics and their non-hallucinogenic analogues (nHAs) using in vitro and in vivo approaches, finding that 5-HT2AR-mediated non-canonical Gi signalling is essential for hallucinogenic effect. We further presented five cryo-electron microscopy structures of 5-HT2AR–Gi/Gq in complex with psychedelics or nHAs. Structural analysis and pharmacological investigation revealed that a special contact between nHAs with 5-HT2AR mediated the signalling bias. Building on this insight, we identified a 2,5-dimethoxy-4-iodoamphetamine derivative, DOI-NBOMe, which exhibits potent and selective Gq-biased activity, and demonstrates promising therapeutic effects in mouse models without hallucinogenic effect. Our finding uncovers the functional mechanisms underlying the Gi signalling mediated by 5-HT2AR and provides valuable insights for designing psychedelic-based drugs with minimized risk from hallucinogenic effects.</w:t>
      </w:r>
    </w:p>
    <w:p>
      <w:pPr>
        <w:spacing w:before="120" w:after="120"/>
      </w:pPr>
      <w:r>
        <w:rPr>
          <w:sz w:val="18"/>
        </w:rPr>
        <w:t>——————————————————————————————————————————————————————————————————————</w:t>
      </w:r>
    </w:p>
    <w:p>
      <w:pPr>
        <w:spacing w:before="160" w:after="40" w:line="240" w:lineRule="auto"/>
      </w:pPr>
      <w:r>
        <w:rPr>
          <w:b/>
        </w:rPr>
        <w:t xml:space="preserve">[325] </w:t>
      </w:r>
      <w:hyperlink r:id="rId501">
        <w:r>
          <w:rPr>
            <w:color w:val="1155CC"/>
            <w:u w:val="single"/>
          </w:rPr>
          <w:t>对Zebra finch 歌曲音调序列的全面运动控制</w:t>
        </w:r>
      </w:hyperlink>
    </w:p>
    <w:p>
      <w:pPr>
        <w:spacing w:before="0" w:after="80"/>
      </w:pPr>
      <w:r>
        <w:rPr>
          <w:i/>
          <w:sz w:val="20"/>
        </w:rPr>
        <w:t>EN: Holistic motor control of zebra finch song syllable sequences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如何组织大脑电路来巧妙地生成学习到的行为序列仍不为人所知。 我们在这里从功能上考察了Zebra finch Song1 所需的圆形歌前HVC 区域HVC, 如何控制连续制作有知识的歌曲音频。 我们发现, HVC 可以在独立于其主要合成输入路径的情况下生成全序的有知识的歌曲音频。 启动歌曲需要HVC 的泰拉米输入, 但是在音频或完成歌曲之间过渡不需要这种输入。 我们显示, 歌曲中HVC 神经元的解析可靠导致音调回到歌曲的开始, 其方式可以与跳过的记录相仿。 这种可调序列的重现可以在任何时刻被导出。</w:t>
      </w:r>
    </w:p>
    <w:p>
      <w:pPr>
        <w:spacing w:before="0" w:after="200" w:lineRule="auto" w:line="276"/>
      </w:pPr>
      <w:r>
        <w:rPr>
          <w:b/>
        </w:rPr>
        <w:t xml:space="preserve">Abstract (EN): </w:t>
      </w:r>
      <w:r>
        <w:t>How brain circuits are organized to skillfully produce learned sequences of behaviours is still poorly understood. Here we functionally examined how the cortical song premotor region HVC, which is necessary for zebra finch song1, controls the sequential production of learned song syllables. We found that HVC could generate the complete sequence of learned song syllables independently of its main synaptic input pathways. Thalamic input to HVC was needed for song initiation, but it was not required for transitions between syllables or for song completion. We showed that excitation of HVC neurons during song reliably caused vocalizations to skip back to the beginning of the song, in a manner reminiscent of a skipping record. This restarting of syllable sequences could be induced at any moment of the song and relied on local circuits within HVC. We identified and computationally modelled a synaptic network, including intratelencephalic premotor and corticostriatal neurons within HVC that are essential for completing song syllable sequences. Together, our results show that the learned zebra finch song is controlled by a cortical sequence-generating network in HVC that, once started, can sustain production of all song syllables independent of major extrinsic input pathways. Thus, sequential neuronal activity can be organized to fuse well-learned vocal motor sequences, ultimately achieving holistic control of this naturally learned behaviour.</w:t>
      </w:r>
    </w:p>
    <w:p>
      <w:pPr>
        <w:spacing w:before="120" w:after="120"/>
      </w:pPr>
      <w:r>
        <w:rPr>
          <w:sz w:val="18"/>
        </w:rPr>
        <w:t>——————————————————————————————————————————————————————————————————————</w:t>
      </w:r>
    </w:p>
    <w:p>
      <w:pPr>
        <w:spacing w:before="160" w:after="40" w:line="240" w:lineRule="auto"/>
      </w:pPr>
      <w:r>
        <w:rPr>
          <w:b/>
        </w:rPr>
        <w:t xml:space="preserve">[326] </w:t>
      </w:r>
      <w:hyperlink r:id="rId502">
        <w:r>
          <w:rPr>
            <w:color w:val="1155CC"/>
            <w:u w:val="single"/>
          </w:rPr>
          <w:t>蛋白质保留宿主,并传播各种蛋白质。</w:t>
        </w:r>
      </w:hyperlink>
    </w:p>
    <w:p>
      <w:pPr>
        <w:spacing w:before="0" w:after="80"/>
      </w:pPr>
      <w:r>
        <w:rPr>
          <w:i/>
          <w:sz w:val="20"/>
        </w:rPr>
        <w:t>EN: A prophage-encoded abortive infection protein preserves host and prophage spread</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多数细菌病原体是多细菌原体,含有多种垂直传播的生殖器1,2,3,3,这些原体通过对毒理因素和抗phage防御系统进行编码,在保持横向转移能力的同时,又保留了横向转移的能力,从而增加了细菌致病性和生存能力,因此,各种成文的抗phy-docod 防phage防御必须阻止外部phage的传播,而不妨碍这些原体的传播。我们在这里发现了HepS-一种由单一的HEPN域蛋白组成的Gifsy-1生殖器编码的流产感染系统,它限制了Sphophiridae家族的口音。我们证明,在其原宿的Salmonella etica eroval Typhimmurium环境中, HepS 两种感官的感染和导致流产感染。HepS的结构揭示了一种四甲基病毒。</w:t>
      </w:r>
    </w:p>
    <w:p>
      <w:pPr>
        <w:spacing w:before="0" w:after="200" w:lineRule="auto" w:line="276"/>
      </w:pPr>
      <w:r>
        <w:rPr>
          <w:b/>
        </w:rPr>
        <w:t xml:space="preserve">Abstract (EN): </w:t>
      </w:r>
      <w:r>
        <w:t>Most bacterial pathogens are polylysogens, harbouring multiple vertically transmitted prophages1,2,3. These prophages enhance bacterial pathogenicity and survival by encoding virulence factors and anti-phage defence systems while retaining the capacity for horizontal transfer. Thus, prophage-encoded anti-phage defences must block propagation of external phages without inhibiting the spread of the prophages that encode them. Here we identify HepS—an abortive infection system encoded on the Gifsy-1 prophage constituted of a single HEPN domain protein—which restricts phages of the Siphoviridae family. We demonstrate that in its native host context of Salmonella enterica serovar Typhimurium, HepS both senses phage infection and enacts abortive infection. Structures of HepS reveal a tetrameric nuclease complex that undergoes allosteric activation upon recognition of Siphoviridae tail tip proteins during production of new phage particles. Once activated, HepS cleaves specific transfer RNA anticodon loops and arrests phage replication. Gifsy-1, a Siphoviridae itself, evades self-targeting by expressing a tail tip variant that does not trigger HepS, as do co-resident Siphoviridae prophages Gifsy-2 and Gifsy-3. This evasion permits Gifsy-1 to spread despite encoding HepS. These findings reveal a mechanism by which a prophage defends the host while maintaining its propagation abilities.</w:t>
      </w:r>
    </w:p>
    <w:p>
      <w:pPr>
        <w:spacing w:before="120" w:after="120"/>
      </w:pPr>
      <w:r>
        <w:rPr>
          <w:sz w:val="18"/>
        </w:rPr>
        <w:t>——————————————————————————————————————————————————————————————————————</w:t>
      </w:r>
    </w:p>
    <w:p>
      <w:pPr>
        <w:spacing w:before="160" w:after="40" w:line="240" w:lineRule="auto"/>
      </w:pPr>
      <w:r>
        <w:rPr>
          <w:b/>
        </w:rPr>
        <w:t xml:space="preserve">[327] </w:t>
      </w:r>
      <w:hyperlink r:id="rId503">
        <w:r>
          <w:rPr>
            <w:color w:val="1155CC"/>
            <w:u w:val="single"/>
          </w:rPr>
          <w:t>生物分子凝聚种子预组驱动RSV复制</w:t>
        </w:r>
      </w:hyperlink>
    </w:p>
    <w:p>
      <w:pPr>
        <w:spacing w:before="0" w:after="80"/>
      </w:pPr>
      <w:r>
        <w:rPr>
          <w:i/>
          <w:sz w:val="20"/>
        </w:rPr>
        <w:t>EN: Pre-assembly of biomolecular condensate seeds drives RSV replication</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在感染期间,许多RNA病毒,包括呼吸同步病毒(RSV),形成专门的生物分子凝聚器,病毒工厂(VFs),病毒转录和复制发生,1,2 2 。自相矛盾的是,凝聚核3 通常需要高蛋白浓度,但据认为,感染中达到足够的蛋白浓度需要VFs进行病毒转录和复制。 在这里,为了发现病毒如何解决这一悖论,建立VFs,我们通过单一基因组病毒(VRNP)决议实时地将RSV早期感染。 我们的结果表明,VFs从感染VRNPs中分离出来,而不是在细胞图谱中脱去。 VF核分离还需要病毒蛋白-protein互动网络在VRNP上进行病毒预组装。</w:t>
      </w:r>
    </w:p>
    <w:p>
      <w:pPr>
        <w:spacing w:before="0" w:after="200" w:lineRule="auto" w:line="276"/>
      </w:pPr>
      <w:r>
        <w:rPr>
          <w:b/>
        </w:rPr>
        <w:t xml:space="preserve">Abstract (EN): </w:t>
      </w:r>
      <w:r>
        <w:t>During infection, many RNA viruses, including respiratory syncytial virus (RSV), form specialized biomolecular condensates, viral factories (VFs), where viral transcription and replication occur1,2. Paradoxically, high protein concentrations are typically required for condensate nucleation3, yet attaining sufficient protein levels in infection is thought to require VFs for viral transcription and replication. Here, to uncover how viruses solve this paradox to establish VFs, we visualized early infection of RSV in real time with single genomic viral ribonucleoprotein (vRNP) resolution. Our results reveal that VFs are nucleated from infecting vRNPs rather than de novo in the cytoplasm. VF nucleation further requires in-virion pre-assembly of viral protein–protein interaction networks on vRNPs to form ‘pre-replication centres’ (PRCs). PRCs are potent condensate nucleation seeds due to their efficient recruitment and retention of viral proteins. The high affinity of PRCs also results in increased association of the viral polymerase and its co-factors, allowing efficient viral transcription even in the absence of VFs. Together, these activities create a feed-forward loop that drives rapid VF formation. PRC assembly depends on in-virion viral protein levels and is highly heterogeneous among virions, explaining cell-to-cell heterogeneity in infection progression, and identifying heterogeneous virions as an important origin of infection heterogeneity. Together, our results show that in-virion pre-assembly of PRCs kick-starts viral condensate nucleation upon host-cell entry and explains cell-to-cell heterogeneity in RSV infection.</w:t>
      </w:r>
    </w:p>
    <w:p>
      <w:pPr>
        <w:spacing w:before="120" w:after="120"/>
      </w:pPr>
      <w:r>
        <w:rPr>
          <w:sz w:val="18"/>
        </w:rPr>
        <w:t>——————————————————————————————————————————————————————————————————————</w:t>
      </w:r>
    </w:p>
    <w:p>
      <w:pPr>
        <w:spacing w:before="160" w:after="40" w:line="240" w:lineRule="auto"/>
      </w:pPr>
      <w:r>
        <w:rPr>
          <w:b/>
        </w:rPr>
        <w:t xml:space="preserve">[328] </w:t>
      </w:r>
      <w:hyperlink r:id="rId504">
        <w:r>
          <w:rPr>
            <w:color w:val="1155CC"/>
            <w:u w:val="single"/>
          </w:rPr>
          <w:t>解决能源过渡金属短缺问题的技术灵活性和清醒度</w:t>
        </w:r>
      </w:hyperlink>
    </w:p>
    <w:p>
      <w:pPr>
        <w:spacing w:before="0" w:after="80"/>
      </w:pPr>
      <w:r>
        <w:rPr>
          <w:i/>
          <w:sz w:val="20"/>
        </w:rPr>
        <w:t>EN: Technology flexibility and sobriety to address shortage of energy-transition metals</w:t>
      </w:r>
    </w:p>
    <w:p>
      <w:pPr>
        <w:spacing w:before="0" w:after="120"/>
      </w:pPr>
      <w:r>
        <w:rPr>
          <w:b/>
        </w:rPr>
        <w:t xml:space="preserve">Source: </w:t>
      </w:r>
      <w:r>
        <w:t>Nature Sustainability</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成功的能源转型对于减缓气候变化至关重要,但可能受到关键金属供应瓶颈的阻碍。 政府间气候变化专门委员会的能源转型方案忽略了这些风险,提出了过去研究认为不现实的能源和运输途径。 然而,这些研究通过依赖固定市场份额,忽略了市场转向需要较少供应限制的金属的(次)技术组合的能力。 在这里,最严格的去碳化方案显示,最佳技术组合将受采矿能力制约的金属清单从13个减为铜、锂和。 关键杠杆包括太阳能技术中的替代银和,将变速箱风力涡轮机列为优先事项。</w:t>
      </w:r>
    </w:p>
    <w:p>
      <w:pPr>
        <w:spacing w:before="0" w:after="200" w:lineRule="auto" w:line="276"/>
      </w:pPr>
      <w:r>
        <w:rPr>
          <w:b/>
        </w:rPr>
        <w:t xml:space="preserve">Abstract (EN): </w:t>
      </w:r>
      <w:r>
        <w:t>A successful energy transition is crucial for mitigating climate change but may be hindered by bottlenecks in the availability of critical metals. The energy transition scenarios of the Intergovernmental Panel on Climate Change overlook such risks, proposing energy and transport pathways deemed unrealistic by past studies. Yet by relying on fixed market shares, those studies ignore the market’s ability to shift towards a (sub)technological mix requiring fewer supply-constrained metals. Here, for the most stringent decarbonization scenarios, we show that an optimized technology mix trims the list of metals constrained by mining capacities from 13 to copper, lithium and vanadium only. Key levers include substituting silver and gallium in solar technologies, prioritizing gearbox wind turbines and induction-motor electric vehicles without permanent magnets, and replacing part of the grid’s copper with aluminium. Sixteen other metals remain under pressure, but because over 90% of their demand stems from sectors outside the energy transition, our results underscore the need for economy-wide metallic sobriety.</w:t>
      </w:r>
    </w:p>
    <w:p>
      <w:pPr>
        <w:spacing w:before="120" w:after="120"/>
      </w:pPr>
      <w:r>
        <w:rPr>
          <w:sz w:val="18"/>
        </w:rPr>
        <w:t>——————————————————————————————————————————————————————————————————————</w:t>
      </w:r>
    </w:p>
    <w:p>
      <w:pPr>
        <w:spacing w:before="160" w:after="40" w:line="240" w:lineRule="auto"/>
      </w:pPr>
      <w:r>
        <w:rPr>
          <w:b/>
        </w:rPr>
        <w:t xml:space="preserve">[329] </w:t>
      </w:r>
      <w:hyperlink r:id="rId505">
        <w:r>
          <w:rPr>
            <w:color w:val="1155CC"/>
            <w:u w:val="single"/>
          </w:rPr>
          <w:t>使用 Kalman 过滤器估计电池充电状态</w:t>
        </w:r>
      </w:hyperlink>
    </w:p>
    <w:p>
      <w:pPr>
        <w:spacing w:before="0" w:after="80"/>
      </w:pPr>
      <w:r>
        <w:rPr>
          <w:i/>
          <w:sz w:val="20"/>
        </w:rPr>
        <w:t>EN: Estimating battery state of charge using Kalman filters</w:t>
      </w:r>
    </w:p>
    <w:p>
      <w:pPr>
        <w:spacing w:before="0" w:after="120"/>
      </w:pPr>
      <w:r>
        <w:rPr>
          <w:b/>
        </w:rPr>
        <w:t xml:space="preserve">Source: </w:t>
      </w:r>
      <w:r>
        <w:t>Nature Reviews Clean Technology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[330] </w:t>
      </w:r>
      <w:hyperlink r:id="rId506">
        <w:r>
          <w:rPr>
            <w:color w:val="1155CC"/>
            <w:u w:val="single"/>
          </w:rPr>
          <w:t>电池和前进道路的意外胜利</w:t>
        </w:r>
      </w:hyperlink>
    </w:p>
    <w:p>
      <w:pPr>
        <w:spacing w:before="0" w:after="80"/>
      </w:pPr>
      <w:r>
        <w:rPr>
          <w:i/>
          <w:sz w:val="20"/>
        </w:rPr>
        <w:t>EN: Unforeseen triumphs in batteries and the road ahead</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[331] </w:t>
      </w:r>
      <w:hyperlink r:id="rId507">
        <w:r>
          <w:rPr>
            <w:color w:val="1155CC"/>
            <w:u w:val="single"/>
          </w:rPr>
          <w:t>GlycoRNA 与 heparan sulfate 复合的 GlycoRNA 调节 VEGF-A 信号</w:t>
        </w:r>
      </w:hyperlink>
    </w:p>
    <w:p>
      <w:pPr>
        <w:spacing w:before="0" w:after="80"/>
      </w:pPr>
      <w:r>
        <w:rPr>
          <w:i/>
          <w:sz w:val="20"/>
        </w:rPr>
        <w:t>EN: GlycoRNA complexed with heparan sulfate regulates VEGF-A signalling</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2. 然而,HSPG在细胞表面机械地介介于细胞表面——特别是在细胞表面RNA的情况下——如何仍然不甚了解。 在发育和疾病过程期间,血管内皮生长因子(VEGF-A),一个具有肝素结合作用的因素,即脉冲内膜生长系数(VEGF-A),控制直肠细胞生长和血管生长。 3 选择性地通过静脉冲-A(VEGF-A)约束和活动的内皮细胞中介,其监管范式主要侧重于了解电离-肝素硫酸链的选择性硫化,4,5,6,7,8。</w:t>
      </w:r>
    </w:p>
    <w:p>
      <w:pPr>
        <w:spacing w:before="0" w:after="200" w:lineRule="auto" w:line="276"/>
      </w:pPr>
      <w:r>
        <w:rPr>
          <w:b/>
        </w:rPr>
        <w:t xml:space="preserve">Abstract (EN): </w:t>
      </w:r>
      <w:r>
        <w:t>Heparan sulfate proteoglycans (HSPGs) have been recognized as key plasma membrane-tethered co-receptors for a broad range of growth factors and cytokines containing cationic heparan-binding domains1,2. However, how HSPGs mechanistically mediate signalling at the cell surface—particularly in the context of cell surface RNA—remain poorly understood. During developmental and disease processes, vascular endothelial growth factor (VEGF-A), a heparan sulfate-binding factor, regulates endothelial cell growth and angiogenesis3. The regulatory paradigm for endothelial cell-mediated selectively of VEGF-A binding and activity has largely been focused on understanding the selective sulfation of the anionic heparan sulfate chains4,5,6,7,8. Here we examine the organizational rules of a new class of anionic cell surface conjugates, glycoRNAs9,10, and cell surface RNA-binding proteins (csRBPs11,12). Leveraging genome-scale knockout screens, we discovered that heparan sulfate biosynthesis and specifically the 6-O-sulfated forms of heparan sulfate chains are critical for the assembly of clusters of glycoRNAs and csRBPs (cell surface ribonucleoproteins (csRNPs)). Mechanistically, we show that these clusters antagonize heparan sulfate-mediated activation of ERK signalling downstream of VEGF-A. We demonstrate that the heparan sulfate-binding domain of VEGF-A165 is responsible for binding RNA, and that disrupting this interaction enhances ERK signalling and impairs vascular development both in vitro and in vivo and is conserved across species. Our study thus uncovers a previously unrecognized regulatory axis by which csRNPs negatively modulate heparan sulfate-mediated signalling in the context of angiogenesis driven by VEGF-A.</w:t>
      </w:r>
    </w:p>
    <w:p>
      <w:pPr>
        <w:spacing w:before="120" w:after="120"/>
      </w:pPr>
      <w:r>
        <w:rPr>
          <w:sz w:val="18"/>
        </w:rPr>
        <w:t>——————————————————————————————————————————————————————————————————————</w:t>
      </w:r>
    </w:p>
    <w:p>
      <w:pPr>
        <w:spacing w:before="160" w:after="40" w:line="240" w:lineRule="auto"/>
      </w:pPr>
      <w:r>
        <w:rPr>
          <w:b/>
        </w:rPr>
        <w:t xml:space="preserve">[332] </w:t>
      </w:r>
      <w:hyperlink r:id="rId508">
        <w:r>
          <w:rPr>
            <w:color w:val="1155CC"/>
            <w:u w:val="single"/>
          </w:rPr>
          <w:t>以腔基X光源为基X射线源的激光</w:t>
        </w:r>
      </w:hyperlink>
    </w:p>
    <w:p>
      <w:pPr>
        <w:spacing w:before="0" w:after="80"/>
      </w:pPr>
      <w:r>
        <w:rPr>
          <w:i/>
          <w:sz w:val="20"/>
        </w:rPr>
        <w:t>EN: Lasing of a cavity-based X-ray source</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通过在可见区域提供密集、连贯的光照,将这一概念扩大到X光的发明在可见区域提供了密集、连贯的光,但由于缺乏适当的增益介质和镜像而阻碍了这个概念的发明。目前硬X射线自由电子激光设施1,2,3,4,5,5 克服了这一点,通过自我强化的自发自发排放器,在单关口通过自增自发自发自发自发自发的高射线6 在一个单关口中放大高峰流电子组的射线噪音,提供非常高的亮度,但具有噪音、多射速的时间和光谱剖面。建议以碳基XFELs (CBXFELs) 7,8,9 将光谱透透透的X光脉冲用布拉格-反射性电光脉冲与高重复率电波束相同步,从而缩小这一差距。我们在这里展示在132.8米圆的6.952 KEV上以多射速增益。</w:t>
      </w:r>
    </w:p>
    <w:p>
      <w:pPr>
        <w:spacing w:before="0" w:after="200" w:lineRule="auto" w:line="276"/>
      </w:pPr>
      <w:r>
        <w:rPr>
          <w:b/>
        </w:rPr>
        <w:t xml:space="preserve">Abstract (EN): </w:t>
      </w:r>
      <w:r>
        <w:t>The invention of the laser transformed optics by providing intense, coherent light in the visible region, but extending this concept to X-rays has been hindered by a lack of suitable gain media and mirrors. Current hard X-ray free-electron laser (XFEL) facilities1,2,3,4,5 overcome this by amplifying shot noise from a high-peak-current electron bunch via self-amplified spontaneous emission6 in a single pass through long undulators, delivering very high brightness but with a noisy, multi-spiked temporal and spectral profile. Cavity-based XFELs (CBXFELs)7,8,9 were proposed to close this gap by recirculating spectrally filtered X-ray pulses in a Bragg-reflecting cavity synchronized to a high-repetition-rate electron beam. Here we show lasing with multi-pass gain at 6.952 keV in a 132.8-m round-trip diamond-based Bragg cavity10 at the European XFEL, matched to the 2.23-MHz bunch spacing of the superconducting accelerator5. Under stringent length and angular stability requirements, a ring-up in the cavity across successive bunches was observed, producing spectrally pure, microjoule-level pulses. This establishes the feasibility of CBXFELs in an accelerator environment and validates diamond Bragg optics for X-ray resonators. The demonstrated spectral purity opens a path to next-generation X-ray science, which demands highly coherent, stable sources.</w:t>
      </w:r>
    </w:p>
    <w:p>
      <w:pPr>
        <w:spacing w:before="120" w:after="120"/>
      </w:pPr>
      <w:r>
        <w:rPr>
          <w:sz w:val="18"/>
        </w:rPr>
        <w:t>——————————————————————————————————————————————————————————————————————</w:t>
      </w:r>
    </w:p>
    <w:p>
      <w:pPr>
        <w:spacing w:before="160" w:after="40" w:line="240" w:lineRule="auto"/>
      </w:pPr>
      <w:r>
        <w:rPr>
          <w:b/>
        </w:rPr>
        <w:t xml:space="preserve">[333] </w:t>
      </w:r>
      <w:hyperlink r:id="rId509">
        <w:r>
          <w:rPr>
            <w:color w:val="1155CC"/>
            <w:u w:val="single"/>
          </w:rPr>
          <w:t>通过解决细胞骨骼不稳定性,实现硬性细胞构造分裂</w:t>
        </w:r>
      </w:hyperlink>
    </w:p>
    <w:p>
      <w:pPr>
        <w:spacing w:before="0" w:after="80"/>
      </w:pPr>
      <w:r>
        <w:rPr>
          <w:i/>
          <w:sz w:val="20"/>
        </w:rPr>
        <w:t>EN: Robust cytoplasmic partitioning by solving a cytoskeletal instability</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脊椎动物和昆虫的早期发育严重依赖对受精卵的细胞图层进行有力的重组,将其变成个性化细胞,1,2。这一复杂的过程是由绕过胚胎的大型微囊结构促成的,将细胞图层分割成物理上独特和稳定的隔间3。 尽管胚胎发育非常稳健,但我们发现了细胞图层分离的内在不稳定性。通过结合细胞图层提取和活体实验,我们发现胚胎通过两种不同的机制绕过这种不稳定性:要么将细胞周期的时间与出现不稳定所需的时间相匹配,要么限制微囊核。</w:t>
      </w:r>
    </w:p>
    <w:p>
      <w:pPr>
        <w:spacing w:before="0" w:after="200" w:lineRule="auto" w:line="276"/>
      </w:pPr>
      <w:r>
        <w:rPr>
          <w:b/>
        </w:rPr>
        <w:t xml:space="preserve">Abstract (EN): </w:t>
      </w:r>
      <w:r>
        <w:t>Early development across vertebrates and insects critically relies on robustly reorganizing the cytoplasm of fertilized eggs into individualized cells1,2. This intricate process is orchestrated by large microtubule structures that traverse the embryo, partitioning the cytoplasm into physically distinct and stable compartments3,4. Here, despite the robustness of embryonic development, we uncover an intrinsic instability in cytoplasmic partitioning driven by the microtubule cytoskeleton. By combining experiments in cytoplasmic extract and in vivo, we reveal that embryos circumvent this instability through two distinct mechanisms: either by matching the cell-cycle duration to the time needed for the instability to unfold or by limiting microtubule nucleation. These regulatory mechanisms give rise to two possible strategies to fill the cytoplasm, which we experimentally demonstrate in zebrafish and Drosophila embryos, respectively. In zebrafish embryos, unstable microtubule waves fill the geometry of the entire embryo from the first division. Conversely, in Drosophila embryos, stable microtubule asters resulting from reduced microtubule nucleation gradually fill the cytoplasm throughout multiple divisions. Our results indicate that the temporal control of microtubule dynamics could have driven the evolutionary emergence of species-specific mechanisms for effective cytoplasmic organization. Furthermore, our study unveils a fundamental synergy between physical instabilities and biological clocks, uncovering universal strategies for rapid, robust and efficient spatial ordering in biological systems.</w:t>
      </w:r>
    </w:p>
    <w:p>
      <w:pPr>
        <w:spacing w:before="120" w:after="120"/>
      </w:pPr>
      <w:r>
        <w:rPr>
          <w:sz w:val="18"/>
        </w:rPr>
        <w:t>——————————————————————————————————————————————————————————————————————</w:t>
      </w:r>
    </w:p>
    <w:p>
      <w:pPr>
        <w:spacing w:before="160" w:after="40" w:line="240" w:lineRule="auto"/>
      </w:pPr>
      <w:r>
        <w:rPr>
          <w:b/>
        </w:rPr>
        <w:t xml:space="preserve">[334] </w:t>
      </w:r>
      <w:hyperlink r:id="rId510">
        <w:r>
          <w:rPr>
            <w:color w:val="1155CC"/>
            <w:u w:val="single"/>
          </w:rPr>
          <w:t>人口规模测序解决持久性乙型乙型乙型乙型乙型乙型乙型乙型乙型乙型乙型苯的决定因素</w:t>
        </w:r>
      </w:hyperlink>
    </w:p>
    <w:p>
      <w:pPr>
        <w:spacing w:before="0" w:after="80"/>
      </w:pPr>
      <w:r>
        <w:rPr>
          <w:i/>
          <w:sz w:val="20"/>
        </w:rPr>
        <w:t>EN: Population-scale sequencing resolves determinants of persistent EBV DNA</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Epstein-Barr病毒(Ebstein-Barr病毒)是一种与自发性、癌症和神经系统紊乱有关的地方性除草病毒(EBV),尽管初级感染往往是次临床的,但持久性的EBV感染会引发免疫紊乱和长期并发症。 尽管感染的普遍存在,但基本接触后EBV持久性的决定因素仍然不甚为人所知,尽管人类基因变异部分地促成了这种血型谱1,2,3。 我们在这里证明,现有的整个人类基因组测序(WGS)数据可以用来量化持久性的EBVDNA。 我们利用WGS和来自英国生物库(n=490,560)和我们所有人(n=245,394)的健康记录数据,我们发现了血源EBVDNA定量和呼吸系统、自动免疫系统之间的可复制联系。</w:t>
      </w:r>
    </w:p>
    <w:p>
      <w:pPr>
        <w:spacing w:before="0" w:after="200" w:lineRule="auto" w:line="276"/>
      </w:pPr>
      <w:r>
        <w:rPr>
          <w:b/>
        </w:rPr>
        <w:t xml:space="preserve">Abstract (EN): </w:t>
      </w:r>
      <w:r>
        <w:t>Epstein–Barr virus (EBV) is an endemic herpesvirus implicated in autoimmunity, cancer and neurological disorders. Although primary infection is often subclinical, persistent EBV infection can drive immune dysregulation and long-term complications. Despite the ubiquity of infection, the determinants of EBV persistence following primary exposure remain poorly understood, although human genetic variation partially contributes to this phenotypic spectrum1,2,3. Here we demonstrate that existing whole genome sequencing (WGS) data of human populations can be used to quantify persistent EBV DNA. Using WGS and health record data from the UK Biobank (n = 490,560) and All of Us (n = 245,394), we uncover reproducible associations between blood-derived EBV DNA quantifications and respiratory, autoimmune, neurological and cardiovascular diseases. We evaluate genetic determinants of persistent EBV DNA via genome association studies, revealing heritability enrichment in immune-associated regulatory regions and protein-altering variants in 148 genes. Single-cell and pathway level analyses of these loci implicate variable antigen processing as a primary determinant of EBV DNA persistence. Further, relevant gene programs were enriched in B cells and antigen-presenting cells, consistent with their roles in viral reservoir and clearance. Human leukocyte antigen genotyping and predicted viral epitope presentation affinities implicate major histocompatibility complex class II variation as a key modulator of EBV persistence. Together, our analyses demonstrate how re-analysis of human population-scale WGS data can elucidate the genetic architecture of viral DNA persistence, a framework generalizable to the broader human virome4.</w:t>
      </w:r>
    </w:p>
    <w:p>
      <w:pPr>
        <w:spacing w:before="120" w:after="120"/>
      </w:pPr>
      <w:r>
        <w:rPr>
          <w:sz w:val="18"/>
        </w:rPr>
        <w:t>——————————————————————————————————————————————————————————————————————</w:t>
      </w:r>
    </w:p>
    <w:p>
      <w:pPr>
        <w:spacing w:before="160" w:after="40" w:line="240" w:lineRule="auto"/>
      </w:pPr>
      <w:r>
        <w:rPr>
          <w:b/>
        </w:rPr>
        <w:t xml:space="preserve">[335] </w:t>
      </w:r>
      <w:hyperlink r:id="rId511">
        <w:r>
          <w:rPr>
            <w:color w:val="1155CC"/>
            <w:u w:val="single"/>
          </w:rPr>
          <w:t>用于边缘智能的灵活数字计算模拟芯片</w:t>
        </w:r>
      </w:hyperlink>
    </w:p>
    <w:p>
      <w:pPr>
        <w:spacing w:before="0" w:after="80"/>
      </w:pPr>
      <w:r>
        <w:rPr>
          <w:i/>
          <w:sz w:val="20"/>
        </w:rPr>
        <w:t>EN: A flexible digital compute-in-memory chip for edge intelligence</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灵活电子,加上人工智能,都有可能使机器人、可磨损和医疗设备、人类机器界面、人类机器界面、以及其它新出现的应用3。 然而,开发灵活的计算机硬件,以便利用平行计算高效执行神经-网络-推断任务,这仍是一个重大挑战。 5 我们在这里展示了FLEXI,一种薄薄、轻量和强健的灵活数字人工智能集成电路,以迎接这一挑战。 我们的方法使用流程-电路-电算法共同优化和数字动态重组的可调整计算-分子结构。 关键特征包括高达12.5兆赫的时频运行和低至2.52兆瓦的电耗,所有功能都同时达到每单位的亚元元。</w:t>
      </w:r>
    </w:p>
    <w:p>
      <w:pPr>
        <w:spacing w:before="0" w:after="200" w:lineRule="auto" w:line="276"/>
      </w:pPr>
      <w:r>
        <w:rPr>
          <w:b/>
        </w:rPr>
        <w:t xml:space="preserve">Abstract (EN): </w:t>
      </w:r>
      <w:r>
        <w:t>Flexible electronics, coupled with artificial intelligence, hold the potential to revolutionize robotics, wearable and healthcare devices1, human–machine interfaces2, and other emerging applications3,4. However, the development of flexible computing hardware that can efficiently execute neural-network-inference tasks using parallel computing remains a substantial challenge5. Here we present FLEXI, a thin, lightweight and robust flexible digital artificial intelligence integrated circuit to address this challenge. Our approach uses process-circuit-algorithm co-optimization and a digital dynamically reconfigurable compute-in-memory architecture. Key features include clock frequency operation of up to 12.5 MHz and power consumption as low as 2.52 mW, all while achieving subdollar-per-unit cost and an operational circuit yield of between approximately 70% and 92%. Our circuits can perform 1010 fixed and random multiplications without error, withstand over 40,000 bending cycles and maintain stable performance for a period exceeding 6 months. A one-shot on-chip neural network deployment eliminates the power consumption and latency associated with sequential weight writing, achieving up to 99.2% accuracy in temporal arrhythmia detection tasks on a single 1-kb chip. In addition, FLEXI demonstrates over 97.4% accuracy in human daily activity monitoring using multimodal physiological signals.</w:t>
      </w:r>
    </w:p>
    <w:p>
      <w:pPr>
        <w:spacing w:before="120" w:after="120"/>
      </w:pPr>
      <w:r>
        <w:rPr>
          <w:sz w:val="18"/>
        </w:rPr>
        <w:t>——————————————————————————————————————————————————————————————————————</w:t>
      </w:r>
    </w:p>
    <w:p>
      <w:pPr>
        <w:spacing w:before="160" w:after="40" w:line="240" w:lineRule="auto"/>
      </w:pPr>
      <w:r>
        <w:rPr>
          <w:b/>
        </w:rPr>
        <w:t xml:space="preserve">[336] </w:t>
      </w:r>
      <w:hyperlink r:id="rId512">
        <w:r>
          <w:rPr>
            <w:color w:val="1155CC"/>
            <w:u w:val="single"/>
          </w:rPr>
          <w:t>人体二恶英酸转移器的结构和机制 OSTOSTβ</w:t>
        </w:r>
      </w:hyperlink>
    </w:p>
    <w:p>
      <w:pPr>
        <w:spacing w:before="0" w:after="80"/>
      </w:pPr>
      <w:r>
        <w:rPr>
          <w:i/>
          <w:sz w:val="20"/>
        </w:rPr>
        <w:t>EN: Structure and mechanism of the human bile acid transporter OSTα–OSTβ</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硅酸(BAs)是关键的两栖病状表面活性剂,在各种生理过程,包括营养吸收和分布、脂肪新陈代谢和炎炎1,2。 2 人体有机溶液运输器(OSTOSTβ;以下称为OSTα/β)是BA运输器,在BA3,4,5,6,6在BA的分解和分布中起着关键作用。 OSTα/β的诱发性突变与胆固态7,8. 尽管OSTα/β在软体保持中具有功能重要性,但该复合体的测量和组装以及支撑OSTα/β的BA运输的分子机制仍然不为人所知。这里我们展示了与胆固醇和内生基质复杂的人类OSTα/β的冷冻-电子显微结构。</w:t>
      </w:r>
    </w:p>
    <w:p>
      <w:pPr>
        <w:spacing w:before="0" w:after="200" w:lineRule="auto" w:line="276"/>
      </w:pPr>
      <w:r>
        <w:rPr>
          <w:b/>
        </w:rPr>
        <w:t xml:space="preserve">Abstract (EN): </w:t>
      </w:r>
      <w:r>
        <w:t>Bile acids (BAs) are crucial amphipathic surfactants that function as multifaceted regulators in various physiological processes, including nutrient absorption and distribution, lipid metabolism and inflammation1,2. The human organic solute transporter αβ (OSTα–OSTβ; hereafter referred to as OSTα/β) is a BA transporter that has a key role in the secretion and distribution of BAs3,4,5,6. Pathogenic mutations in OSTα/β have been associated with cholestasis7,8. Despite the functional importance of OSTα/β in BA homeostasis, the stoichiometry and assembly of the complex and the molecular mechanism that underlies BA transport by OSTα/β remain unknown. Here we present cryo-electron microscopy structures of human OSTα/β in complex with cholesterols and an endogenous substrate, elucidating the structural basis for the function of OSTα/β. OSTα/β is assembled in a novel dimer-of-heterodimers manner: two OSTα units form the homodimeric core, with two OSTβ units bound to the periphery. OSTα adopts the G-protein-coupled-receptor (GPCR) fold and contains a unique cysteine-rich loop with seven palmitoylation sites; these cooperate with transmembrane helices 5 and 6, constituting a BA recognition site. A positive cavity in OSTα connects the BA site and facilitates the transmembrane translocation of BAs through OSTα/β. Together, this study reveals the architecture and transport mechanism of OSTα/β and provides insights into the structure–function relationships of this crucial transporter in BA homeostasis.</w:t>
      </w:r>
    </w:p>
    <w:p>
      <w:pPr>
        <w:spacing w:before="120" w:after="120"/>
      </w:pPr>
      <w:r>
        <w:rPr>
          <w:sz w:val="18"/>
        </w:rPr>
        <w:t>——————————————————————————————————————————————————————————————————————</w:t>
      </w:r>
    </w:p>
    <w:p>
      <w:pPr>
        <w:spacing w:before="160" w:after="40" w:line="240" w:lineRule="auto"/>
      </w:pPr>
      <w:r>
        <w:rPr>
          <w:b/>
        </w:rPr>
        <w:t xml:space="preserve">[337] </w:t>
      </w:r>
      <w:hyperlink r:id="rId513">
        <w:r>
          <w:rPr>
            <w:color w:val="1155CC"/>
            <w:u w:val="single"/>
          </w:rPr>
          <w:t>通过二调共振共振,低功功率集集光光光放大</w:t>
        </w:r>
      </w:hyperlink>
    </w:p>
    <w:p>
      <w:pPr>
        <w:spacing w:before="0" w:after="80"/>
      </w:pPr>
      <w:r>
        <w:rPr>
          <w:i/>
          <w:sz w:val="20"/>
        </w:rPr>
        <w:t>EN: Low-power integrated optical amplification through second-harmonic resonance</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光学放大器是现代光子学的基础,使长距离通信、精密遥感2、3和量量信息处理4、5、5. 倾覆放大器在电信中占主导地位,但仅限于特定的波长波长波段1、6,而半导体放大器的覆盖范围较广,但有较高的噪音和非线性扭曲。 光学准准光度放大器(OPAs)有望在任意波长之间实现宽带,数量有限放大。 然而,它们的微型化和部署受到瓦特级电力要求的阻碍。 我们在这里展示了对薄膜锂硝酸盐的综合OPA,实现了 &gt; 17 dB的增益。</w:t>
      </w:r>
    </w:p>
    <w:p>
      <w:pPr>
        <w:spacing w:before="0" w:after="200" w:lineRule="auto" w:line="276"/>
      </w:pPr>
      <w:r>
        <w:rPr>
          <w:b/>
        </w:rPr>
        <w:t xml:space="preserve">Abstract (EN): </w:t>
      </w:r>
      <w:r>
        <w:t>Optical amplifiers are fundamental to modern photonics, enabling long-distance communications1, precision sensing2,3 and quantum information processing4,5. Erbium-doped amplifiers dominate telecommunications but are restricted to specific wavelength bands1,6, whereas semiconductor amplifiers offer broader coverage but suffer from high noise and nonlinear distortions7. Optical parametric amplifiers (OPAs) promise broadband, quantum-limited amplification across arbitrary wavelengths8. However, their miniaturization and deployment have been hampered by watt-level power requirements. Here we demonstrate an integrated OPA on thin-film lithium niobate that achieves &gt;17 dB gain with</w:t>
      </w:r>
    </w:p>
    <w:p>
      <w:pPr>
        <w:spacing w:before="120" w:after="120"/>
      </w:pPr>
      <w:r>
        <w:rPr>
          <w:sz w:val="18"/>
        </w:rPr>
        <w:t>——————————————————————————————————————————————————————————————————————</w:t>
      </w:r>
    </w:p>
    <w:p>
      <w:pPr>
        <w:spacing w:before="160" w:after="40" w:line="240" w:lineRule="auto"/>
      </w:pPr>
      <w:r>
        <w:rPr>
          <w:b/>
        </w:rPr>
        <w:t xml:space="preserve">[338] </w:t>
      </w:r>
      <w:hyperlink r:id="rId514">
        <w:r>
          <w:rPr>
            <w:color w:val="1155CC"/>
            <w:u w:val="single"/>
          </w:rPr>
          <w:t>专家级学术问题基准,用以评估AI能力</w:t>
        </w:r>
      </w:hyperlink>
    </w:p>
    <w:p>
      <w:pPr>
        <w:spacing w:before="0" w:after="80"/>
      </w:pPr>
      <w:r>
        <w:rPr>
          <w:i/>
          <w:sz w:val="20"/>
        </w:rPr>
        <w:t>EN: A benchmark of expert-level academic questions to assess AI capabilities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基准是跟踪大型语言模式能力快速进步的重要工具,但基准没有跟上步步:LLMM现在在计量大规模多任务语言理解1 等流行基准方面实现了90%以上的准确性,限制了对最新LLM能力的知情计量。 作为回应,我们引入了人类最后一次考试(HLE),这是人类知识前沿的多模式基准,旨在成为专家级封闭式学术基准,涵盖广泛的主题。 HLM由数学、人文和自然科学等数十个学科的2 500个问题组成。HLE由专题专家在全球开发,由多选题和短答问题组成。</w:t>
      </w:r>
    </w:p>
    <w:p>
      <w:pPr>
        <w:spacing w:before="0" w:after="200" w:lineRule="auto" w:line="276"/>
      </w:pPr>
      <w:r>
        <w:rPr>
          <w:b/>
        </w:rPr>
        <w:t xml:space="preserve">Abstract (EN): </w:t>
      </w:r>
      <w:r>
        <w:t>Benchmarks are important tools for tracking the rapid advancements in large language model (LLM) capabilities. However, benchmarks are not keeping pace in difficulty: LLMs now achieve more than 90% accuracy on popular benchmarks such as Measuring Massive Multitask Language Understanding1, limiting informed measurement of state-of-the-art LLM capabilities. Here, in response, we introduce Humanity’s Last Exam (HLE), a multi-modal benchmark at the frontier of human knowledge, designed to be an expert-level closed-ended academic benchmark with broad subject coverage. HLE consists of 2,500 questions across dozens of subjects, including mathematics, humanities and the natural sciences. HLE is developed globally by subject-matter experts and consists of multiple-choice and short-answer questions suitable for automated grading. Each question has a known solution that is unambiguous and easily verifiable but cannot be quickly answered by internet retrieval. State-of-the-art LLMs demonstrate low accuracy and calibration on HLE, highlighting a marked gap between current LLM capabilities and the expert human frontier on closed-ended academic questions. To inform research and policymaking upon a clear understanding of model capabilities, we publicly release HLE at https://lastexam.ai.</w:t>
      </w:r>
    </w:p>
    <w:p>
      <w:pPr>
        <w:spacing w:before="120" w:after="120"/>
      </w:pPr>
      <w:r>
        <w:rPr>
          <w:sz w:val="18"/>
        </w:rPr>
        <w:t>——————————————————————————————————————————————————————————————————————</w:t>
      </w:r>
    </w:p>
    <w:p>
      <w:pPr>
        <w:spacing w:before="160" w:after="40" w:line="240" w:lineRule="auto"/>
      </w:pPr>
      <w:r>
        <w:rPr>
          <w:b/>
        </w:rPr>
        <w:t xml:space="preserve">[339] </w:t>
      </w:r>
      <w:hyperlink r:id="rId515">
        <w:r>
          <w:rPr>
            <w:color w:val="1155CC"/>
            <w:u w:val="single"/>
          </w:rPr>
          <w:t>X射线发射的原质聚集在 z  5.7 中,显示结构迅速增长。</w:t>
        </w:r>
      </w:hyperlink>
    </w:p>
    <w:p>
      <w:pPr>
        <w:spacing w:before="0" w:after="80"/>
      </w:pPr>
      <w:r>
        <w:rPr>
          <w:i/>
          <w:sz w:val="20"/>
        </w:rPr>
        <w:t>EN: An X-ray-emitting protocluster at z ≈ 5.7 reveals rapid structure growth</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银河系系系系是宇宙中最大的重力捆绑结构,是大型结构组群的跟踪器。1 研究其后代、原集束,揭示集群形成最初阶段的情况。然而,探测原集束要求很高:其成员星系的界限松散,新兴的热质团内介质(ICM)可能只是在病毒化的初期阶段,2,3,4。最近詹姆斯·韦伯空间望远镜(JWST)观测发现一些原集聚物候选物,查明5个星系5,6,7,8,5个与FRESCO(FRESCO):在HDF850.1亚毫米星系和周围高密度结构中检测Hα。Mon.not.R.Astron. Soc. 537,788-808 (2025).href="/articles41586,025-093-1#ref-CR9” id=“ref-linkection”</w:t>
      </w:r>
    </w:p>
    <w:p>
      <w:pPr>
        <w:spacing w:before="0" w:after="200" w:lineRule="auto" w:line="276"/>
      </w:pPr>
      <w:r>
        <w:rPr>
          <w:b/>
        </w:rPr>
        <w:t xml:space="preserve">Abstract (EN): </w:t>
      </w:r>
      <w:r>
        <w:t>Galaxy clusters are the most massive gravitationally bound structures in the universe and serve as tracers of the assembly of large-scale structure1. Studying their progenitors, protoclusters, sheds light on the earliest stages of cluster formation. However, detecting protoclusters is demanding: their member galaxies are loosely bound and the emerging hot intracluster medium (ICM) may only be in the initial stages of virialization2,3,4. Recent James Webb Space Telescope (JWST) observations located several protocluster candidates by identifying overdensities of z ≳ 5 galaxies5,6,7,8, 5 with FRESCO: detection of Hα in submm galaxy HDF850.1 and the surrounding overdense structures. Mon. Not. R. Astron. Soc. 537, 788–808 (2025)." href="/articles/s41586-025-09973-1#ref-CR9" id="ref-link-section-d83557465e400"&gt;9. However, none of these candidates was detected by X-ray observations, which offer a powerful way to unveil the hot ICM. Here we report the combined Chandra and JWST detection of a protocluster, JADES-ID1, at z ≈ 5.68, merely one billion years after the Big Bang. We measure a bolometric X-ray luminosity of Lbol=(1.5&amp;#x2212;0.6+0.5)&amp;#x00D7;1044ergs&amp;#x2212;1" role="presentation"&gt;Lbol=(1.5−0.6+0.5)×1044ergs−1{L}_{{\rm{bol}}}=(1.{5}_{-0.6}^{+0.5})\times 1{0}^{44}\,{\rm{erg}}\,{{\rm{s}}}^{-1} and infer a total gravitating mass of M500=(1.8&amp;#x2212;0.7+0.6)&amp;#x00D7;1013M&amp;#x2299;" role="presentation"&gt;M500=(1.8−0.7+0.6)×1013M⊙{M}_{500}=(1.{8}_{-0.7}^{+0.6})\times 1{0}^{13}\,{M}_{\odot }, making this system a progenitor of today’s most massive galaxy clusters. The detection of extended, shock-heated gas indicates that substantial ICM heating can occur in massive halos as early as z ≈ 5.7. Also, given the limited survey volume, the discovery of such a massive cluster is statistically unlikely10, implying that the formation of the large-scale structure must have occurred more rapidly in some regions of the early universe than standard cosmological models predict.</w:t>
      </w:r>
    </w:p>
    <w:p>
      <w:pPr>
        <w:spacing w:before="120" w:after="120"/>
      </w:pPr>
      <w:r>
        <w:rPr>
          <w:sz w:val="18"/>
        </w:rPr>
        <w:t>——————————————————————————————————————————————————————————————————————</w:t>
      </w:r>
    </w:p>
    <w:p>
      <w:pPr>
        <w:spacing w:before="160" w:after="40" w:line="240" w:lineRule="auto"/>
      </w:pPr>
      <w:r>
        <w:rPr>
          <w:b/>
        </w:rPr>
        <w:t xml:space="preserve">[340] </w:t>
      </w:r>
      <w:hyperlink r:id="rId516">
        <w:r>
          <w:rPr>
            <w:color w:val="1155CC"/>
            <w:u w:val="single"/>
          </w:rPr>
          <w:t>海洋公平指数</w:t>
        </w:r>
      </w:hyperlink>
    </w:p>
    <w:p>
      <w:pPr>
        <w:spacing w:before="0" w:after="80"/>
      </w:pPr>
      <w:r>
        <w:rPr>
          <w:i/>
          <w:sz w:val="20"/>
        </w:rPr>
        <w:t>EN: The Ocean Equity Index</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海洋对人类1,2,3. 海洋至关重要,人类、1,2,3. 然而,海洋活动的不公平现象普遍存在,加速了4,5,6,7,88。 要解决这一问题,需要采取治理办法,能够系统地衡量公平情况并跟踪进展。 我们在此提出海洋公平指数——一个评估和增进海洋倡议、项目和政策公平性的框架——我们把该指数用于地方、国家和全球规模的案例研究,该指数得分达12个标准。我们表明,海洋公平指数可以产生结构化数据,支持海洋部门和规模的循证决策。作为一个理论上强有力和广泛应用的工具,海洋公平指数可以指导设计更公平的海洋倡议、项目或政策,确保沿海人民和海洋生态界取得更好的结果。</w:t>
      </w:r>
    </w:p>
    <w:p>
      <w:pPr>
        <w:spacing w:before="0" w:after="200" w:lineRule="auto" w:line="276"/>
      </w:pPr>
      <w:r>
        <w:rPr>
          <w:b/>
        </w:rPr>
        <w:t xml:space="preserve">Abstract (EN): </w:t>
      </w:r>
      <w:r>
        <w:t>The ocean is essential for humanity1,2,3. Yet, inequity in ocean-based activities is widespread and accelerating4,5,6,7,8. Addressing this requires governance approaches that can systematically measure equity and track progress9. Here we present the Ocean Equity Index (OEI)—a framework for assessing and improving equity in ocean initiatives, projects and policies. We apply the index, which scores twelve criteria, to case studies at local, national and global scales. We show that the OEI can generate structured data to support evidence-based decision-making across ocean sectors and scales. As a theoretically robust and widely applicable tool, the OEI can guide the design of more equitable ocean initiatives, projects or policies, ensuring better outcomes for coastal people and marine ecosystems.</w:t>
      </w:r>
    </w:p>
    <w:p>
      <w:pPr>
        <w:spacing w:before="120" w:after="120"/>
      </w:pPr>
      <w:r>
        <w:rPr>
          <w:sz w:val="18"/>
        </w:rPr>
        <w:t>——————————————————————————————————————————————————————————————————————</w:t>
      </w:r>
    </w:p>
    <w:p>
      <w:pPr>
        <w:spacing w:before="160" w:after="40" w:line="240" w:lineRule="auto"/>
      </w:pPr>
      <w:r>
        <w:rPr>
          <w:b/>
        </w:rPr>
        <w:t xml:space="preserve">[341] </w:t>
      </w:r>
      <w:hyperlink r:id="rId517">
        <w:r>
          <w:rPr>
            <w:color w:val="1155CC"/>
            <w:u w:val="single"/>
          </w:rPr>
          <w:t>由78-qqit 处理器上随机多极驱动的78-qqqit 处理器造成的前热化</w:t>
        </w:r>
      </w:hyperlink>
    </w:p>
    <w:p>
      <w:pPr>
        <w:spacing w:before="0" w:after="80"/>
      </w:pPr>
      <w:r>
        <w:rPr>
          <w:i/>
          <w:sz w:val="20"/>
        </w:rPr>
        <w:t>EN: Prethermalization by random multipolar driving on a 78-qubit processor</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取决于时间的驱动驱动器有望实现非平衡性多体现象,这些现象在非驱动系统1,2,33. 然而,驱动器引起的加热通常会破坏系统4,5 的稳定性,在高频系统中,通过使用定期(Floquet)驱动器6,6,7来对系统进行对准抑制。对于高度可控量模拟器在非周期驱动系统中能在多大程度上抑制加热,仍基本不知道。在这里,我们使用78quit超导量量子处理器Chuang-tzu 2.0,报告了在许多机体系统中对长寿命前热级的实验观测,这些系统由结构性随机协议驱动,其特点是以正多极时间相关性为特征。通过测量粒子不平衡和次子缠绕酶酶酶,我们报告了在多个机体系统中对长寿命前热级的实验性观测。</w:t>
      </w:r>
    </w:p>
    <w:p>
      <w:pPr>
        <w:spacing w:before="0" w:after="200" w:lineRule="auto" w:line="276"/>
      </w:pPr>
      <w:r>
        <w:rPr>
          <w:b/>
        </w:rPr>
        <w:t xml:space="preserve">Abstract (EN): </w:t>
      </w:r>
      <w:r>
        <w:t>Time-dependent drives hold promise for realizing non-equilibrium many-body phenomena that are absent in undriven systems1,2,3. Yet, drive-induced heating normally destabilizes the systems4,5, which can be parametrically suppressed in the high-frequency regime by using periodic (Floquet) drives6,7. It remains largely unknown to what extent highly controllable quantum simulators can suppress heating in non-periodically driven systems. Here, using the 78-qubit superconducting quantum processor, Chuang-tzu 2.0, we report the experimental observation of long-lived prethermal phases in many-body systems with tunable heating rates, driven by structured random protocols, characterized by n-multipolar temporal correlations. By measuring both the particle imbalance and subsystem entanglement entropy, we monitor the entire heating process over 1,000 driving cycles and observe the existence of the prethermal plateau. The prethermal lifetime is ‘doubly tunable’: one way by driving frequency, the other way by multipolar order; it grows algebraically with the frequency with the universal scaling exponent 2n + 1. Using quantum-state tomography on different subsystems, we demonstrate a non-uniform spatial entanglement distribution and observe a crossover from area-law to volume-law entanglement scaling. With 78 qubits and 137 couplers in a two-dimensional configuration, the entire far-from-equilibrium heating dynamics are beyond the reach of simulation using tensor-network numerical techniques. Our work highlights superconducting quantum processors as a powerful platform for exploring universal scaling laws and non-equilibrium phases of matter in driven systems in regimes where classical simulation faces formidable challenges.</w:t>
      </w:r>
    </w:p>
    <w:p>
      <w:pPr>
        <w:spacing w:before="120" w:after="120"/>
      </w:pPr>
      <w:r>
        <w:rPr>
          <w:sz w:val="18"/>
        </w:rPr>
        <w:t>——————————————————————————————————————————————————————————————————————</w:t>
      </w:r>
    </w:p>
    <w:p>
      <w:pPr>
        <w:spacing w:before="160" w:after="40" w:line="240" w:lineRule="auto"/>
      </w:pPr>
      <w:r>
        <w:rPr>
          <w:b/>
        </w:rPr>
        <w:t xml:space="preserve">[342] </w:t>
      </w:r>
      <w:hyperlink r:id="rId518">
        <w:r>
          <w:rPr>
            <w:color w:val="1155CC"/>
            <w:u w:val="single"/>
          </w:rPr>
          <w:t>沿直肠-脑轴调节核核感应反应</w:t>
        </w:r>
      </w:hyperlink>
    </w:p>
    <w:p>
      <w:pPr>
        <w:spacing w:before="0" w:after="80"/>
      </w:pPr>
      <w:r>
        <w:rPr>
          <w:i/>
          <w:sz w:val="20"/>
        </w:rPr>
        <w:t>EN: Intestinal macrophages modulate synucleinopathy along the gut–brain axis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新出现的证据表明,帕金森病(Papkinson)可能起源于腹神经系统(ENS),从α-精神核素病原体扩散到大脑,12,2,3.4。 在运动症状出现之前的几十年,PD病人便秘,并出现与αS有关的循环T细胞,表明在ENS中启动的外围免疫反应可能在P1,5,6,77.7的早期阶段涉及PD1,5,6.7。然而,在ENS中引发α-精神神经系统病理的细胞机制及其在内肠-脑轴的传播仍然遥不可及。 在这里,我们证明肌肉巨形(ME-Macs)、免疫系统完整性和肠内软体功能的管家、调节αS病理和神经衰变的PD8,9. ME-Macs含有错误的αS,采用反映e的信号。</w:t>
      </w:r>
    </w:p>
    <w:p>
      <w:pPr>
        <w:spacing w:before="0" w:after="200" w:lineRule="auto" w:line="276"/>
      </w:pPr>
      <w:r>
        <w:rPr>
          <w:b/>
        </w:rPr>
        <w:t xml:space="preserve">Abstract (EN): </w:t>
      </w:r>
      <w:r>
        <w:t>Emerging evidence suggests that Parkinson’s disease (PD) may have its origin in the enteric nervous system (ENS), from where α-synuclein (αS) pathology spreads to the brain1,2,3,4. Decades before the onset of motor symptoms, patients with PD suffer from constipation and present with circulating T cells responsive to αS, suggesting that peripheral immune responses initiated in the ENS may be involved in the early stages of PD1,5,6,7. However, cellular mechanisms that trigger αS pathology in the ENS and its spread along the gut–brain axis remain elusive. Here we demonstrate that muscularis macrophages (ME-Macs), housekeepers of ENS integrity and intestinal homeostasis, modulate αS pathology and neurodegeneration in models of PD8,9. ME-Macs contain misfolded αS, adopt a signature reflecting endolysosomal dysfunction and modulate the expansion of T cells that travel from the ENS to the brain through the dura mater as αS pathology progresses. Directed ME-Mac depletion leads to reduced αS pathology in the ENS and central nervous system, prevents T cell expansion and mitigates neurodegeneration and motor dysfunction, suggesting a role for ME-Macs as early cellular initiators of αS pathology along the gut–brain axis. Understanding these mechanisms could pave the way for early-stage biomarkers in PD.</w:t>
      </w:r>
    </w:p>
    <w:p>
      <w:pPr>
        <w:spacing w:before="120" w:after="120"/>
      </w:pPr>
      <w:r>
        <w:rPr>
          <w:sz w:val="18"/>
        </w:rPr>
        <w:t>——————————————————————————————————————————————————————————————————————</w:t>
      </w:r>
    </w:p>
    <w:p>
      <w:pPr>
        <w:spacing w:before="160" w:after="40" w:line="240" w:lineRule="auto"/>
      </w:pPr>
      <w:r>
        <w:rPr>
          <w:b/>
        </w:rPr>
        <w:t xml:space="preserve">[343] </w:t>
      </w:r>
      <w:hyperlink r:id="rId519">
        <w:r>
          <w:rPr>
            <w:color w:val="1155CC"/>
            <w:u w:val="single"/>
          </w:rPr>
          <w:t>观测双层突变的超浮流向循环器的转换</w:t>
        </w:r>
      </w:hyperlink>
    </w:p>
    <w:p>
      <w:pPr>
        <w:spacing w:before="0" w:after="80"/>
      </w:pPr>
      <w:r>
        <w:rPr>
          <w:i/>
          <w:sz w:val="20"/>
        </w:rPr>
        <w:t>EN: Observation of a superfluid-to-insulator transition of bilayer excitons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与Bose-Einstein凝结(BEC)最显著的特性之一与Bose-Einstein凝结(BEC)相关的最显著特性之一,就是超流体,在超流体中,系统显示零粘度和流流,而不会散散。 超流体阶段已经观测到广泛波状的波状系统,覆盖自然产生的量子液体,如液体氦等,形成设计平台,如双层蒸发和冷原子系统,12,3,4,4。 理论研究表明,相互作用可以将BEC地面状态推向另一个奇异的阶段,同时显示晶状固体和超流状固体的特性。 78. 然而,确定一个纯粹受相互作用驱动且不施加外壳体潜力的预测BEC固体阶段的物质系统仍然沉没。</w:t>
      </w:r>
    </w:p>
    <w:p>
      <w:pPr>
        <w:spacing w:before="0" w:after="200" w:lineRule="auto" w:line="276"/>
      </w:pPr>
      <w:r>
        <w:rPr>
          <w:b/>
        </w:rPr>
        <w:t xml:space="preserve">Abstract (EN): </w:t>
      </w:r>
      <w:r>
        <w:t>One of the most remarkable properties associated with Bose–Einstein condensation (BEC) is superfluidity, in which the system exhibits zero viscosity and flows without dissipation. The superfluid phase has been observed in wide-ranging bosonic systems spanning naturally occurring quantum fluids, such as liquid helium, to engineered platforms such as bilayer excitons and cold atom systems1,2,3,4. Theoretical works have proposed that interactions could drive the BEC ground state into another exotic phase that simultaneously exhibits properties of both a crystalline solid and a superfluid—termed a supersolid5,6,7,8. Identifying a material system, however, that hosts the predicted BEC solid phase, driven purely by interactions and without imposing an external lattice potential, has remained unknown9,10,11. Here we report observation of a superfluid-to-insulator transition in the layer-imbalanced regime of bilayer magnetoexcitons. Mapping the transport behaviour of the bilayer condensate as a function of density and temperature suggests that the insulating phase is an ordered state of dilute excitons, stabilized by dipole interactions. The insulator melts into a recovered superfluid on increasing the temperature, which could indicate that the low-temperature solid is also a quantum coherent phase.</w:t>
      </w:r>
    </w:p>
    <w:p>
      <w:pPr>
        <w:spacing w:before="120" w:after="120"/>
      </w:pPr>
      <w:r>
        <w:rPr>
          <w:sz w:val="18"/>
        </w:rPr>
        <w:t>——————————————————————————————————————————————————————————————————————</w:t>
      </w:r>
    </w:p>
    <w:p>
      <w:pPr>
        <w:spacing w:before="160" w:after="40" w:line="240" w:lineRule="auto"/>
      </w:pPr>
      <w:r>
        <w:rPr>
          <w:b/>
        </w:rPr>
        <w:t xml:space="preserve">[344] </w:t>
      </w:r>
      <w:hyperlink r:id="rId520">
        <w:r>
          <w:rPr>
            <w:color w:val="1155CC"/>
            <w:u w:val="single"/>
          </w:rPr>
          <w:t>农药残留物改变土壤中的分类和功能生物多样性</w:t>
        </w:r>
      </w:hyperlink>
    </w:p>
    <w:p>
      <w:pPr>
        <w:spacing w:before="0" w:after="80"/>
      </w:pPr>
      <w:r>
        <w:rPr>
          <w:i/>
          <w:sz w:val="20"/>
        </w:rPr>
        <w:t>EN: Pesticide residues alter taxonomic and functional biodiversity in soils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我们在这里审查了63种农药对土壤原体、细菌、真菌、原生动物、线虫、线虫、节肢动物和关键功能基因组的影响,这些农药分布于26个欧洲国家的林地、草原和耕地的373个地点;农药残留在70%的场地中被检测到,并成为土壤特性之后土壤生物多样性模式的第二强驱动力;我们的分析进一步揭示了生物体和功能特有的模式,强调了对土壤生物多样性的复杂和广泛的非目标影响;农药改变了微生物功能,包括磷和氮循环,以及被抑制的有益分类,包括芳香的甲菌菌菌菌菌菌。</w:t>
      </w:r>
    </w:p>
    <w:p>
      <w:pPr>
        <w:spacing w:before="0" w:after="200" w:lineRule="auto" w:line="276"/>
      </w:pPr>
      <w:r>
        <w:rPr>
          <w:b/>
        </w:rPr>
        <w:t xml:space="preserve">Abstract (EN): </w:t>
      </w:r>
      <w:r>
        <w:t>Pesticides are widely distributed in soils1,2,3, yet their effects on soil biodiversity remain poorly understood4,5,6,7. Here we examined the effects of 63 pesticides on soil archaea, bacteria, fungi, protists, nematodes, arthropods and key functional gene groups across 373 sites spanning woodlands, grasslands and croplands in 26 European countries. Pesticide residues were detected in 70% of sites and emerged as the second strongest driver of soil biodiversity patterns after soil properties. Our analysis further revealed organism- and function-specific patterns, emphasizing complex and widespread non-target effects on soil biodiversity. Pesticides altered microbial functions, including phosphorus and nitrogen cycling, and suppressed beneficial taxa, including arbuscular mycorrhizal fungi and bacterivore nematodes. Our findings highlight the need to integrate functional and taxonomic characteristics into future risk assessment methodology to safeguard soil biodiversity, a cornerstone of ecosystem functioning.</w:t>
      </w:r>
    </w:p>
    <w:p>
      <w:pPr>
        <w:spacing w:before="120" w:after="120"/>
      </w:pPr>
      <w:r>
        <w:rPr>
          <w:sz w:val="18"/>
        </w:rPr>
        <w:t>——————————————————————————————————————————————————————————————————————</w:t>
      </w:r>
    </w:p>
    <w:p>
      <w:pPr>
        <w:spacing w:before="160" w:after="40" w:line="240" w:lineRule="auto"/>
      </w:pPr>
      <w:r>
        <w:rPr>
          <w:b/>
        </w:rPr>
        <w:t xml:space="preserve">[345] </w:t>
      </w:r>
      <w:hyperlink r:id="rId521">
        <w:r>
          <w:rPr>
            <w:color w:val="1155CC"/>
            <w:u w:val="single"/>
          </w:rPr>
          <w:t>固态-229核钟的频率可再复制</w:t>
        </w:r>
      </w:hyperlink>
    </w:p>
    <w:p>
      <w:pPr>
        <w:spacing w:before="0" w:after="80"/>
      </w:pPr>
      <w:r>
        <w:rPr>
          <w:i/>
          <w:sz w:val="20"/>
        </w:rPr>
        <w:t>EN: Frequency reproducibility of solid-state thorium-229 nuclear clocks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固态-229(229TH)核时钟1、22、3、4、5,用于为精确计量和基本物理学6、7、7、8、8、利用核向环境的内在低灵敏度提供新的机会。 9 与当前光学拉蒂原子时钟相比,更多的发射量级可以存放在固态晶体中10。此外,仅需要简单热控的固态系统11 是开发实地可部署的紧时钟的关键。我们在这里探讨和描述229TH:CaF2核时钟转换的频率可复制性,这是所有时钟的关键性能指标。我们测量过渡线和中位频率是剂量浓度、温度和时间的函数。我们报告浓度-剂量的频率。</w:t>
      </w:r>
    </w:p>
    <w:p>
      <w:pPr>
        <w:spacing w:before="0" w:after="200" w:lineRule="auto" w:line="276"/>
      </w:pPr>
      <w:r>
        <w:rPr>
          <w:b/>
        </w:rPr>
        <w:t xml:space="preserve">Abstract (EN): </w:t>
      </w:r>
      <w:r>
        <w:t>Solid-state thorium-229 (229Th) nuclear clocks1,2,3,4,5 are set to provide new opportunities for precision metrology and fundamental physics6,7,8. Taking advantage of inherent low sensitivity of a nuclear transition to its environment9, orders of magnitude more emitters can be hosted in a solid-state crystal compared with current optical lattice atomic clocks10. Furthermore, solid-state systems needing only simple thermal control11 are key to the development of field-deployable compact clocks. Here we explore and characterize the frequency reproducibility of the 229Th:CaF2 nuclear clock transition, a key performance metric for all clocks. We measure the transition linewidth and centre frequency as a function of the doping concentration, temperature and time. We report the concentration-dependent inhomogeneous linewidth of the nuclear transition, limited by the intrinsic host crystal12 properties. We determine an optimal working temperature for the 229Th:CaF2 nuclear clock at 196(5) K, at which the first-order thermal sensitivity vanishes. This would enable in situ temperature co-sensing using different quadrupole-split lines, reducing the temperature-induced systematic shift below the 10−18 fractional frequency uncertainty level. At 195 K, the reproducibility of the nuclear transition frequency is 220 Hz (fractionally 1.1 × 10−13) for two differently doped 229Th:CaF2 crystals over 7 months. These results form the foundation for understanding, controlling and harnessing the coherent nuclear excitation of 229Th in solid-state hosts and for their applications in constraining temporal variations of fundamental constants.</w:t>
      </w:r>
    </w:p>
    <w:p>
      <w:pPr>
        <w:spacing w:before="120" w:after="120"/>
      </w:pPr>
      <w:r>
        <w:rPr>
          <w:sz w:val="18"/>
        </w:rPr>
        <w:t>——————————————————————————————————————————————————————————————————————</w:t>
      </w:r>
    </w:p>
    <w:p>
      <w:pPr>
        <w:spacing w:before="160" w:after="40" w:line="240" w:lineRule="auto"/>
      </w:pPr>
      <w:r>
        <w:rPr>
          <w:b/>
        </w:rPr>
        <w:t xml:space="preserve">[346] </w:t>
      </w:r>
      <w:hyperlink r:id="rId522">
        <w:r>
          <w:rPr>
            <w:color w:val="1155CC"/>
            <w:u w:val="single"/>
          </w:rPr>
          <w:t>环境驱动的免疫印印防过敏</w:t>
        </w:r>
      </w:hyperlink>
    </w:p>
    <w:p>
      <w:pPr>
        <w:spacing w:before="0" w:after="80"/>
      </w:pPr>
      <w:r>
        <w:rPr>
          <w:i/>
          <w:sz w:val="20"/>
        </w:rPr>
        <w:t>EN: Environmentally driven immune imprinting protects against allergy</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1 过敏状态的典型特征是存在过敏反应性免疫球球蛋白E(IgE),这种反应在过敏反应时会引发血管细胞脱色,表现在脊髓炎、水肿和严重情况下的厌食。在过去一个世纪里,过敏疾病的流行率明显上升,表明环境因素而不是遗传因素正在调节这一变化。 2 尽管许多将环境与过敏联系起来的假设存在3,4,5,6,6,6,6,作为环境媒介保护免受过敏的生物机制尚不得而知,但在这里,我们用老鼠的过敏性疾病模型表明,接触免疫性环境会产生交叉性。</w:t>
      </w:r>
    </w:p>
    <w:p>
      <w:pPr>
        <w:spacing w:before="0" w:after="200" w:lineRule="auto" w:line="276"/>
      </w:pPr>
      <w:r>
        <w:rPr>
          <w:b/>
        </w:rPr>
        <w:t xml:space="preserve">Abstract (EN): </w:t>
      </w:r>
      <w:r>
        <w:t>Allergic diseases are caused by overexuberant type II immune responses mounted against environmental antigens1. The allergic state is typified by the presence of allergen-reactive immunoglobulin E (IgE), which triggers mast cell degranulation upon allergen encounter, manifesting in pruritis, oedema and, in severe cases, anaphylaxis. Over the past century, the prevalence of allergic diseases has increased markedly, suggesting that environmental rather than genetic factors are mediating this change2. Although many hypotheses connecting environment to allergy exist3,4,5,6, the biological mechanisms that underpin environmentally mediated protection from allergy are unknown. Here we show, using a mouse model of allergic disease, that exposure to immunostimulatory environments generated cross-reactive adaptive immune memory, which tracked with obstructed type II immune responses upon allergen exposure. We found that engagement of cross-reactive adaptive immunity protected against future allergic sensitization and suppressed established allergic responses. Cross-reactivity in a tolerogenic context also prevented allergy, with the effect extending across antigenically complex exposures even at low protein sequence similarity. Our findings demonstrate a mechanistic relationship between environment and allergy, with general implications for adaptive immune function in natural settings.</w:t>
      </w:r>
    </w:p>
    <w:p>
      <w:pPr>
        <w:spacing w:before="120" w:after="120"/>
      </w:pPr>
      <w:r>
        <w:rPr>
          <w:sz w:val="18"/>
        </w:rPr>
        <w:t>——————————————————————————————————————————————————————————————————————</w:t>
      </w:r>
    </w:p>
    <w:p>
      <w:pPr>
        <w:spacing w:before="160" w:after="40" w:line="240" w:lineRule="auto"/>
      </w:pPr>
      <w:r>
        <w:rPr>
          <w:b/>
        </w:rPr>
        <w:t xml:space="preserve">[347] </w:t>
      </w:r>
      <w:hyperlink r:id="rId523">
        <w:r>
          <w:rPr>
            <w:color w:val="1155CC"/>
            <w:u w:val="single"/>
          </w:rPr>
          <w:t>NH4B4O6F晶体中的真空紫外紫外线第二热力生成</w:t>
        </w:r>
      </w:hyperlink>
    </w:p>
    <w:p>
      <w:pPr>
        <w:spacing w:before="0" w:after="80"/>
      </w:pPr>
      <w:r>
        <w:rPr>
          <w:i/>
          <w:sz w:val="20"/>
        </w:rPr>
        <w:t>EN: Vacuum ultraviolet second-harmonic generation in NH4B4O6F crystal</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真空紫外线(VUV, 100-200 nm)光源对先进的光谱学、量子研究和半导体平面造影1,2,2,33.对先进的光源、量子研究和半导体平面造影、1、2.3.对先进的光源分析、量子研究和半导体平面造影、1、2.2.3.与常规的大型VUV生成技术相比,4,5,6,7,2调频生成技术4,5,6,7,通过非线性光学晶体(NLO)产生,8,9,10是最简单、最有效的方法,但适当的NLOF晶体的缺乏限制了通过SHG生产VV光源:现有材料不能满足相匹配的要求,转换效率低,或生长限制严重,11,12,13,14,15,16,17,18,19。在本研究中,我们报告开发氟氧基晶体NHH4B4,6F(作为ABF)作为VV光源产生很有希望的材料。</w:t>
      </w:r>
    </w:p>
    <w:p>
      <w:pPr>
        <w:spacing w:before="0" w:after="200" w:lineRule="auto" w:line="276"/>
      </w:pPr>
      <w:r>
        <w:rPr>
          <w:b/>
        </w:rPr>
        <w:t xml:space="preserve">Abstract (EN): </w:t>
      </w:r>
      <w:r>
        <w:t>Vacuum ultraviolet (VUV, 100–200 nm) light sources are crucial for advanced spectroscopy, quantum research and semiconductor lithography1,2,3. Compared with conventional large-scale VUV generation technologies4,5,6,7, second-harmonic generation (SHG) through nonlinear optical (NLO) crystals8,9,10 is the simplest and most efficient method. However, the scarcity of suitable NLO crystals has constrained the production of VUV light through SHG: existing materials fail to meet phase-matching requirements, suffer from low conversion efficiency or have severe growth limitations11,12,13,14,15,16,17,18,19. In this study, we report the development of the fluorooxoborate crystal NH4B4O6F (abbreviated as ABF) as a promising material for VUV light generation. VUV devices with specific phase-matching angles were constructed, achieving a record 158.9-nm light through phase-matching SHG and a maximum nanosecond pulse energy of 4.8 mJ at 177.3 nm with a conversion efficiency of 5.9%. The enhanced NLO performance is attributed to optimized arrangements of fluorine-based units creating asymmetric sublattices. This work provides further material in the NLO field, with potential for applications in compact, high-power VUV lasers using ABF.</w:t>
      </w:r>
    </w:p>
    <w:p>
      <w:pPr>
        <w:spacing w:before="120" w:after="120"/>
      </w:pPr>
      <w:r>
        <w:rPr>
          <w:sz w:val="18"/>
        </w:rPr>
        <w:t>——————————————————————————————————————————————————————————————————————</w:t>
      </w:r>
    </w:p>
    <w:p>
      <w:pPr>
        <w:spacing w:before="160" w:after="40" w:line="240" w:lineRule="auto"/>
      </w:pPr>
      <w:r>
        <w:rPr>
          <w:b/>
        </w:rPr>
        <w:t xml:space="preserve">[348] </w:t>
      </w:r>
      <w:hyperlink r:id="rId524">
        <w:r>
          <w:rPr>
            <w:color w:val="1155CC"/>
            <w:u w:val="single"/>
          </w:rPr>
          <w:t>真空血液体积受体为出血和姿势变化提供补偿</w:t>
        </w:r>
      </w:hyperlink>
    </w:p>
    <w:p>
      <w:pPr>
        <w:spacing w:before="0" w:after="80"/>
      </w:pPr>
      <w:r>
        <w:rPr>
          <w:i/>
          <w:sz w:val="20"/>
        </w:rPr>
        <w:t>EN: Vagal blood volume receptors compensate for haemorrhage and posture change</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心血管和血管中密度密集的心血管和血管内分泌神经,感官神经神经系统报告血压、呼吸道气体和组织损伤情况。 动动动条动器在系统生理学中的作用非常受到赞赏,2 但血管心心机动机械体受体的功能更难分析,部分原因是心血管系统的闭环结构。我们在这里使用小鼠的遗传工具来识别一小组对循环血液体积具有高度敏感性的神经元,并发起反应,以弥补心脏在直立姿势和出血中填充量减少的情况。 Vagal PIEZO2 神经元形成心脏典型的终端端,对选择性刺激的血液压力较低,并显示依赖血液的体积响应。</w:t>
      </w:r>
    </w:p>
    <w:p>
      <w:pPr>
        <w:spacing w:before="0" w:after="200" w:lineRule="auto" w:line="276"/>
      </w:pPr>
      <w:r>
        <w:rPr>
          <w:b/>
        </w:rPr>
        <w:t xml:space="preserve">Abstract (EN): </w:t>
      </w:r>
      <w:r>
        <w:t>Cranial nerves densely innervate the heart and vasculature, with sensory neurons reporting on blood pressure, respiratory gases and tissue damage1. The roles of arterial baroreceptors in systemic physiology are well appreciated2, but the functions of vagal cardiac mechanoreceptors have been more difficult to parse, in part due to the closed-loop structure of the cardiovascular system. Here we use genetic tools in mice to identify a small group of neurons that are acutely sensitive to circulating blood volume and initiate a reflex that compensates for decreased filling of the heart in an upright posture and haemorrhage. Vagal PIEZO2 neurons form characteristic end-net endings in the heart, lower blood pressure in response to optogenetic stimulation and display blood-volume-dependent responses with every heartbeat that are time-locked to atrial and ventricular systole. Knockout of Piezo2 and/or ablation of PIEZO2 neurons in vagal ganglia eliminates this heartbeat-coupled nerve activity, causes orthostatic hypotension and compromises cardiovascular stability during trauma-induced blood loss. Together, these findings demonstrate that vagal mechanoreceptors monitor the cardiac cycle and initiate a blood-volume-dependent reflex that defends the constancy of circulation.</w:t>
      </w:r>
    </w:p>
    <w:p>
      <w:pPr>
        <w:spacing w:before="120" w:after="120"/>
      </w:pPr>
      <w:r>
        <w:rPr>
          <w:sz w:val="18"/>
        </w:rPr>
        <w:t>——————————————————————————————————————————————————————————————————————</w:t>
      </w:r>
    </w:p>
    <w:p>
      <w:pPr>
        <w:spacing w:before="160" w:after="40" w:line="240" w:lineRule="auto"/>
      </w:pPr>
      <w:r>
        <w:rPr>
          <w:b/>
        </w:rPr>
        <w:t xml:space="preserve">[349] </w:t>
      </w:r>
      <w:hyperlink r:id="rId525">
        <w:r>
          <w:rPr>
            <w:color w:val="1155CC"/>
            <w:u w:val="single"/>
          </w:rPr>
          <w:t>PAF15 - PAF15 - PPCNA 用尽决定了对DNA复制的逐条控制</w:t>
        </w:r>
      </w:hyperlink>
    </w:p>
    <w:p>
      <w:pPr>
        <w:spacing w:before="0" w:after="80"/>
      </w:pPr>
      <w:r>
        <w:rPr>
          <w:i/>
          <w:sz w:val="20"/>
        </w:rPr>
        <w:t>EN: PAF15–PCNA exhaustion governs the strand-specific control of DNA replication</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Eukaryatic基因组复制由S-阶段检查站调查,该检查站协调连续源源激活,以防止耗竭定义不清、受费率限制的阻隔性成分1,2,33。 这里我们表明,过度源点点点点火饱和铬matin随饱和铬质聚变细胞核抗原(PCNA)——DNA聚合酶加工和Okazaki碎片处理的滑动夹,4 从而在检查站控制丢失时进一步限制PCNA装载和滞后冲绳和合成。 PCNA第15个相关因素(PAF15)成为该过程的对剂量敏感的调节器,5,6,7,8,9。 在未受扰动的S阶段,整个可溶性PAF15集合池与染色体结合,没有留下任何储备来在过度源起作用的条件下稳定PCNA。 PAF15与PCNA具体在这种状态上与PCNA有关。</w:t>
      </w:r>
    </w:p>
    <w:p>
      <w:pPr>
        <w:spacing w:before="0" w:after="200" w:lineRule="auto" w:line="276"/>
      </w:pPr>
      <w:r>
        <w:rPr>
          <w:b/>
        </w:rPr>
        <w:t xml:space="preserve">Abstract (EN): </w:t>
      </w:r>
      <w:r>
        <w:t>Eukaryotic genome replication is surveyed by the S-phase checkpoint, which coordinates sequential origin activation to prevent the exhaustion of poorly defined, rate-limiting replisome components1,2,3. Here we show that excessive origin firing saturates chromatin-bound proliferating cell nuclear antigen (PCNA)—a sliding clamp for DNA polymerase processivity and Okazaki fragment processing4—thereby restricting further PCNA loading and lagging-strand synthesis when checkpoint control is lost. PCNA-associated factor 15 (PAF15) emerges as a dosage-sensitive regulator of this process5,6,7,8,9. During unperturbed S phase, the entire soluble PAF15 pool binds to chromatin, leaving no reserve to stabilize PCNA under conditions of excessive origin activation. PAF15 binds to PCNA specifically on the lagging strand through a high-affinity PIP motif and occupies the DNA-encircling channel, protecting the clamp and associated enzymes from premature unloading by the ATAD5–RFC complex. Conversely, overexpression of PAF15 or forced redistribution to the leading strand disrupts replisome progression and induces cell death. These detrimental effects are mitigated by Timeless–Claspin, which blocks PAF15–PCNA binding on the leading strand. E2F4-mediated repression fine-tunes PAF15 expression to ensure optimal dosage and strand specificity. These findings reveal a previously unrecognized replisome constraint: when PAF15–PCNA assemblies are exhausted, the S-phase checkpoint globally restricts origin activation, linking a strand-specific rate-limiting mechanism to global replication dynamics.</w:t>
      </w:r>
    </w:p>
    <w:p>
      <w:pPr>
        <w:spacing w:before="120" w:after="120"/>
      </w:pPr>
      <w:r>
        <w:rPr>
          <w:sz w:val="18"/>
        </w:rPr>
        <w:t>——————————————————————————————————————————————————————————————————————</w:t>
      </w:r>
    </w:p>
    <w:p>
      <w:pPr>
        <w:spacing w:before="160" w:after="40" w:line="240" w:lineRule="auto"/>
      </w:pPr>
      <w:r>
        <w:rPr>
          <w:b/>
        </w:rPr>
        <w:t xml:space="preserve">[350] </w:t>
      </w:r>
      <w:hyperlink r:id="rId526">
        <w:r>
          <w:rPr>
            <w:color w:val="1155CC"/>
            <w:u w:val="single"/>
          </w:rPr>
          <w:t>与AlphaGenome一起推进监管变异效应预测</w:t>
        </w:r>
      </w:hyperlink>
    </w:p>
    <w:p>
      <w:pPr>
        <w:spacing w:before="0" w:after="80"/>
      </w:pPr>
      <w:r>
        <w:rPr>
          <w:i/>
          <w:sz w:val="20"/>
        </w:rPr>
        <w:t>EN: Advancing regulatory variant effect prediction with AlphaGenome</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现有方法涉及输入序列长度与预测分辨率之间的权衡,从而限制其模式范围和性能1,2,3,4,5。 我们介绍一个统一的DNA序列模型AlphaGenome,这是一个统一的DNA序列模型,以DNA序列的1Mb为输入值,并预测数千个功能基因组轨迹,直至各种模式的单一基点分辨率。这些模式包括基因表达、转录启动、染色体可及性、甲状腺修改、转录系数结合、染色体接触图、复方点使用以及螺旋交叉坐标和强度。这些模式包括基因表达、转录启动、染色体可及性、甲状腺修改、转录要素结合、染色体接触坐标和强度。</w:t>
      </w:r>
    </w:p>
    <w:p>
      <w:pPr>
        <w:spacing w:before="0" w:after="200" w:lineRule="auto" w:line="276"/>
      </w:pPr>
      <w:r>
        <w:rPr>
          <w:b/>
        </w:rPr>
        <w:t xml:space="preserve">Abstract (EN): </w:t>
      </w:r>
      <w:r>
        <w:t>Deep learning models that predict functional genomic measurements from DNA sequences are powerful tools for deciphering the genetic regulatory code. Existing methods involve a trade-off between input sequence length and prediction resolution, thereby limiting their modality scope and performance1,2,3,4,5. We present AlphaGenome, a unified DNA sequence model, which takes as input 1 Mb of DNA sequence and predicts thousands of functional genomic tracks up to single-base-pair resolution across diverse modalities. The modalities include gene expression, transcription initiation, chromatin accessibility, histone modifications, transcription factor binding, chromatin contact maps, splice site usage and splice junction coordinates and strength. Trained on human and mouse genomes, AlphaGenome matches or exceeds the strongest available external models in 25 of 26 evaluations of variant effect prediction. The ability of AlphaGenome to simultaneously score variant effects across all modalities accurately recapitulates the mechanisms of clinically relevant variants near the TAL1 oncogene6. To facilitate broader use, we provide tools for making genome track and variant effect predictions from sequence.</w:t>
      </w:r>
    </w:p>
    <w:p>
      <w:pPr>
        <w:spacing w:before="120" w:after="120"/>
      </w:pPr>
      <w:r>
        <w:rPr>
          <w:sz w:val="18"/>
        </w:rPr>
        <w:t>——————————————————————————————————————————————————————————————————————</w:t>
      </w:r>
    </w:p>
    <w:p>
      <w:pPr>
        <w:spacing w:before="160" w:after="40" w:line="240" w:lineRule="auto"/>
      </w:pPr>
      <w:r>
        <w:rPr>
          <w:b/>
        </w:rPr>
        <w:t xml:space="preserve">[351] </w:t>
      </w:r>
      <w:hyperlink r:id="rId527">
        <w:r>
          <w:rPr>
            <w:color w:val="1155CC"/>
            <w:u w:val="single"/>
          </w:rPr>
          <w:t>气候变化对非洲疟疾的预计影响</w:t>
        </w:r>
      </w:hyperlink>
    </w:p>
    <w:p>
      <w:pPr>
        <w:spacing w:before="0" w:after="80"/>
      </w:pPr>
      <w:r>
        <w:rPr>
          <w:i/>
          <w:sz w:val="20"/>
        </w:rPr>
        <w:t>EN: Projected impacts of climate change on malaria in Africa</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气候变化对本世纪消除疟疾的影响仍然没有得到很好解决,1 2 许多研究侧重于孤立的寄生虫和病媒生态,忽视了气候、疟疾控制和社会经济环境之间的相互作用,包括极端天气造成的干扰。 我们在这里综合了非洲25年来关于气候、疟疾负担和控制、社会经济因素和极端天气的数据。我们利用一个与共同社会经济途径2-4.5(SSP 2-4.5)设想方案5下一系列气候预测相联系的地理时标模型,我们估计气候变化对非洲疟疾负担的未来影响,包括生态和破坏性影响。我们的调查结果表明,气候变化可能导致1.23亿非洲疟疾(预测值在4 950万至4 000之间)。</w:t>
      </w:r>
    </w:p>
    <w:p>
      <w:pPr>
        <w:spacing w:before="0" w:after="200" w:lineRule="auto" w:line="276"/>
      </w:pPr>
      <w:r>
        <w:rPr>
          <w:b/>
        </w:rPr>
        <w:t xml:space="preserve">Abstract (EN): </w:t>
      </w:r>
      <w:r>
        <w:t>The implications of climate change for malaria eradication this century remain poorly resolved1,2. Many studies focus on parasite and vector ecology in isolation, neglecting the interactions between climate, malaria control and the socioeconomic environment, including disruption from extreme weather3,4. Here we integrate 25 years of African data on climate, malaria burden and control, socioeconomic factors, and extreme weather. Using a geotemporal model linked to an ensemble of climate projections under the Shared Socioeconomic Pathway 2-4.5 (SSP 2-4.5) scenario5, we estimate the future impact of climate change on malaria burden in Africa, including both ecological and disruptive effects. Our findings indicate that climate change could lead to 123 million (projection range 49.5 million to 203 million) additional malaria cases and 532,000 (195,000–912,000) additional deaths in Africa between 2024 and 2050 under current control levels. Contrary to the prevailing focus on ecological mechanisms, extreme weather events emerge as the primary driver of increased risk, accounting for 79% (50–94%) of additional cases and 93% (70–100%) of additional deaths. Most increases stem from intensification in existing endemic areas rather than range expansion, with significant regional variation in impact. These results highlight the urgent need for climate-resilient malaria control strategies and robust emergency response systems to safeguard progress towards malaria eradication.</w:t>
      </w:r>
    </w:p>
    <w:p>
      <w:pPr>
        <w:spacing w:before="120" w:after="120"/>
      </w:pPr>
      <w:r>
        <w:rPr>
          <w:sz w:val="18"/>
        </w:rPr>
        <w:t>——————————————————————————————————————————————————————————————————————</w:t>
      </w:r>
    </w:p>
    <w:p>
      <w:pPr>
        <w:spacing w:before="160" w:after="40" w:line="240" w:lineRule="auto"/>
      </w:pPr>
      <w:r>
        <w:rPr>
          <w:b/>
        </w:rPr>
        <w:t xml:space="preserve">[352] </w:t>
      </w:r>
      <w:hyperlink r:id="rId528">
        <w:r>
          <w:rPr>
            <w:color w:val="1155CC"/>
            <w:u w:val="single"/>
          </w:rPr>
          <w:t>在珀尔修斯星系群中拆解多种气动动力驱动器</w:t>
        </w:r>
      </w:hyperlink>
    </w:p>
    <w:p>
      <w:pPr>
        <w:spacing w:before="0" w:after="80"/>
      </w:pPr>
      <w:r>
        <w:rPr>
          <w:i/>
          <w:sz w:val="20"/>
        </w:rPr>
        <w:t>EN: Disentangling multiple gas kinematic drivers in the Perseus galaxy cluster</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[353] </w:t>
      </w:r>
      <w:hyperlink r:id="rId529">
        <w:r>
          <w:rPr>
            <w:color w:val="1155CC"/>
            <w:u w:val="single"/>
          </w:rPr>
          <w:t>石器 - Wohlfarth 抗氟石磁器的类似 Ferromagnet 的二进制切换</w:t>
        </w:r>
      </w:hyperlink>
    </w:p>
    <w:p>
      <w:pPr>
        <w:spacing w:before="0" w:after="80"/>
      </w:pPr>
      <w:r>
        <w:rPr>
          <w:i/>
          <w:sz w:val="20"/>
        </w:rPr>
        <w:t>EN: Ferromagnet-like binary switching of a Stoner–Wohlfarth antiferromagnet</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Stoner-Wohlfart-Wohlfarth 抗冬磁磁网(AFM)是古典Stonr-Wohlfarth模型的延伸,最初描述铁磁纳米粒子的磁化逆转1,2,2的原石-Wohlfarfarmanet(AFM)最初描述铁磁纳米粒子的1,2,2的原石-Wohlfarth型模型(AFM)的延伸,它是指一个单体型的AFM,磁场可以一致地转换其Néel矢量。 这些AFM不仅保留了反硫磁的固有优势,而且具有可控的Néel矢量和完美转换率,从而成为超常磁存储和高通量计算系统3,4的极地-Wohlfarth AFM(AFM)并非Stonr-W-Wohlfarth AFM(AFM),但由于硬切的Néel矢量和不可避免的多度结构结构3,3,6,6,6,7。在这里,我们报告CPS</w:t>
      </w:r>
    </w:p>
    <w:p>
      <w:pPr>
        <w:spacing w:before="0" w:after="200" w:lineRule="auto" w:line="276"/>
      </w:pPr>
      <w:r>
        <w:rPr>
          <w:b/>
        </w:rPr>
        <w:t xml:space="preserve">Abstract (EN): </w:t>
      </w:r>
      <w:r>
        <w:t>The Stoner–Wohlfarth antiferromagnet (AFM), an extension of the classical Stoner–Wohlfarth model originally describing the magnetization reversal in ferromagnetic nanoparticles1,2, refers to a single-domain AFM whose Néel vector can be coherently switched by the magnetic field. These AFMs not only retain the inherent advantages of antiferromagnetism but also feature controllable Néel vector and a perfect switching ratio, thus emerging as promising building blocks for ultradense magnetic memories and high-throughput computing systems3,4. However, bulk AFMs are not the Stoner–Wohlfarth AFMs owing to the hard-to-switch Néel vector and inevitable multidomain structure3,5,6,7. Here we report that CrPS4, a two-dimensional (2D) van der Waals (vdW) A-type AFM, exhibits ideal characteristics of the Stoner–Wohlfarth AFMs, because of the dominance of antiferromagnetic exchange over the magnetic anisotropy and high quality of vdW interfaces. The antiferromagnetic order undergoes a ferromagnet (FM)-like binary switching with the magnetic field rather than the layer-by-layer flipping observed in other 2D A-type AFMs. Moreover, we deduce the characteristic exchange length of several vdW A-type AFMs and propose a criterion for judging the Stoner–Wohlfarth AFMs. Our work therefore establishes a universal framework for understanding the magnetization reversal in layered AFMs and promotes the effective use of 2D AFMs in advanced spintronic devices.</w:t>
      </w:r>
    </w:p>
    <w:p>
      <w:pPr>
        <w:spacing w:before="120" w:after="120"/>
      </w:pPr>
      <w:r>
        <w:rPr>
          <w:sz w:val="18"/>
        </w:rPr>
        <w:t>——————————————————————————————————————————————————————————————————————</w:t>
      </w:r>
    </w:p>
    <w:p>
      <w:pPr>
        <w:spacing w:before="160" w:after="40" w:line="240" w:lineRule="auto"/>
      </w:pPr>
      <w:r>
        <w:rPr>
          <w:b/>
        </w:rPr>
        <w:t xml:space="preserve">[354] </w:t>
      </w:r>
      <w:hyperlink r:id="rId530">
        <w:r>
          <w:rPr>
            <w:color w:val="1155CC"/>
            <w:u w:val="single"/>
          </w:rPr>
          <w:t>准确确定无定形材料的3D原子结构</w:t>
        </w:r>
      </w:hyperlink>
    </w:p>
    <w:p>
      <w:pPr>
        <w:spacing w:before="0" w:after="80"/>
      </w:pPr>
      <w:r>
        <w:rPr>
          <w:i/>
          <w:sz w:val="20"/>
        </w:rPr>
        <w:t>EN: Accurate determination of the 3D atomic structure of amorphous materials</w:t>
      </w:r>
    </w:p>
    <w:p>
      <w:pPr>
        <w:spacing w:before="0" w:after="120"/>
      </w:pPr>
      <w:r>
        <w:rPr>
          <w:b/>
        </w:rPr>
        <w:t xml:space="preserve">Source: </w:t>
      </w:r>
      <w:r>
        <w:t>Nature</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单体材料——缺乏长距离定序的固体——从薄膜电子设备、太阳能电池2和阶段变化内存3到磁部件、医疗装置5和量子技术6,7,7,7,88.然而,没有周期性从根本上限制在原子分辨率上确定其三维(3D)结构的三维(3D)结构,尽管在确定中短程顺序、9,10,11,12,12,13,14,15,16,16,17,18,19,20,21,22,23,23,24,以数量方式确定非单体材料的完整3D原子安排仍然需要实验性要求。</w:t>
      </w:r>
    </w:p>
    <w:p>
      <w:pPr>
        <w:spacing w:before="0" w:after="200" w:lineRule="auto" w:line="276"/>
      </w:pPr>
      <w:r>
        <w:rPr>
          <w:b/>
        </w:rPr>
        <w:t xml:space="preserve">Abstract (EN): </w:t>
      </w:r>
      <w:r>
        <w:t>Amorphous materials—solids lacking long-range order—underpin technologies from thin-film electronics1, solar cells2 and phase-change memory3 to magnetic components4, medical devices5 and quantum technologies6,7,8. Yet the absence of periodicity fundamentally limits determination of their three-dimensional (3D) structure at atomic resolution. Despite major theoretical, experimental, and computational advances in characterizing short- and medium-range order9,10,11,12,13,14,15,16,17,18,19,20,21,22,23,24, quantitative determination of complete 3D atomic arrangements in amorphous materials remains experimentally demanding. Atomic electron tomography (AET) now provides a pathway to direct 3D atomic mapping in these materials25,26,27. Here we present a quantitative analysis of AET, showing how robust image preprocessing, denoising, projection alignment and normalization, advanced tomographic reconstruction, atom tracing, elemental classification and atomic position refinement collectively enable reliable determination of 3D atomic coordinates and elemental identities in amorphous materials. Using multislice-simulated datasets of amorphous Si, SiGeSn and CoPdPt nanoparticles under varying noise levels, our workflow outperforms an alternative approach28 in both positional precision and classification accuracy. For CoPdPt, we identify 95.1% of Co, 99.0% of Pd and 100% of Pt atoms, with corresponding 3D positional precisions of 29 pm, 12 pm and 6 pm, respectively, under realistic dose conditions. These results establish practical guidelines and quantitative benchmarks for achieving accurate AET of non-crystalline materials, and the underlying framework can be broadly applied to other tomographic imaging modalities for high-fidelity 3D reconstruction.</w:t>
      </w:r>
    </w:p>
    <w:p>
      <w:pPr>
        <w:spacing w:before="120" w:after="120"/>
      </w:pPr>
      <w:r>
        <w:rPr>
          <w:sz w:val="18"/>
        </w:rPr>
        <w:t>——————————————————————————————————————————————————————————————————————</w:t>
      </w:r>
    </w:p>
    <w:p>
      <w:pPr>
        <w:spacing w:before="160" w:after="40" w:line="240" w:lineRule="auto"/>
      </w:pPr>
      <w:r>
        <w:rPr>
          <w:b/>
        </w:rPr>
        <w:t xml:space="preserve">[355] </w:t>
      </w:r>
      <w:hyperlink r:id="rId531">
        <w:r>
          <w:rPr>
            <w:color w:val="1155CC"/>
            <w:u w:val="single"/>
          </w:rPr>
          <w:t>可持续的冷却将需要新型制冷剂和技术</w:t>
        </w:r>
      </w:hyperlink>
    </w:p>
    <w:p>
      <w:pPr>
        <w:spacing w:before="0" w:after="80"/>
      </w:pPr>
      <w:r>
        <w:rPr>
          <w:i/>
          <w:sz w:val="20"/>
        </w:rPr>
        <w:t>EN: Sustainable cooling will require novel refrigerants and technologies</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[356] </w:t>
      </w:r>
      <w:hyperlink r:id="rId532">
        <w:r>
          <w:rPr>
            <w:color w:val="1155CC"/>
            <w:u w:val="single"/>
          </w:rPr>
          <w:t>你的大脑化学如何奖励你的辛勤工作</w:t>
        </w:r>
      </w:hyperlink>
    </w:p>
    <w:p>
      <w:pPr>
        <w:spacing w:before="0" w:after="80"/>
      </w:pPr>
      <w:r>
        <w:rPr>
          <w:i/>
          <w:sz w:val="20"/>
        </w:rPr>
        <w:t>EN: How your brain chemistry rewards hard work</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533">
        <w:r>
          <w:rPr>
            <w:color w:val="1155CC"/>
            <w:u w:val="single"/>
          </w:rPr>
          <w:t>核反应堆太昂贵,建设速度太慢,无法建造</w:t>
        </w:r>
      </w:hyperlink>
    </w:p>
    <w:p>
      <w:pPr>
        <w:spacing w:before="0" w:after="80"/>
      </w:pPr>
      <w:r>
        <w:rPr>
          <w:i/>
          <w:sz w:val="20"/>
        </w:rPr>
        <w:t>EN: Nuclear reactors are too expensive and slow to build</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[358] </w:t>
      </w:r>
      <w:hyperlink r:id="rId534">
        <w:r>
          <w:rPr>
            <w:color w:val="1155CC"/>
            <w:u w:val="single"/>
          </w:rPr>
          <w:t>更清楚地了解肺部的技术</w:t>
        </w:r>
      </w:hyperlink>
    </w:p>
    <w:p>
      <w:pPr>
        <w:spacing w:before="0" w:after="80"/>
      </w:pPr>
      <w:r>
        <w:rPr>
          <w:i/>
          <w:sz w:val="20"/>
        </w:rPr>
        <w:t>EN: Technologies to give a clearer view of the lungs</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[359] </w:t>
      </w:r>
      <w:hyperlink r:id="rId535">
        <w:r>
          <w:rPr>
            <w:color w:val="1155CC"/>
            <w:u w:val="single"/>
          </w:rPr>
          <w:t>神经性肺纤维纤维化治疗在地平线上</w:t>
        </w:r>
      </w:hyperlink>
    </w:p>
    <w:p>
      <w:pPr>
        <w:spacing w:before="0" w:after="80"/>
      </w:pPr>
      <w:r>
        <w:rPr>
          <w:i/>
          <w:sz w:val="20"/>
        </w:rPr>
        <w:t>EN: Treatments for idiopathic pulmonary fibrosis are on the horizon</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[360] </w:t>
      </w:r>
      <w:hyperlink r:id="rId536">
        <w:r>
          <w:rPr>
            <w:color w:val="1155CC"/>
            <w:u w:val="single"/>
          </w:rPr>
          <w:t>现在就采取行动清理空气</w:t>
        </w:r>
      </w:hyperlink>
    </w:p>
    <w:p>
      <w:pPr>
        <w:spacing w:before="0" w:after="80"/>
      </w:pPr>
      <w:r>
        <w:rPr>
          <w:i/>
          <w:sz w:val="20"/>
        </w:rPr>
        <w:t>EN: Act now to clean up air</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[361] </w:t>
      </w:r>
      <w:hyperlink r:id="rId537">
        <w:r>
          <w:rPr>
            <w:color w:val="1155CC"/>
            <w:u w:val="single"/>
          </w:rPr>
          <w:t>肺部的再生能量能帮助扭转疾病吗?</w:t>
        </w:r>
      </w:hyperlink>
    </w:p>
    <w:p>
      <w:pPr>
        <w:spacing w:before="0" w:after="80"/>
      </w:pPr>
      <w:r>
        <w:rPr>
          <w:i/>
          <w:sz w:val="20"/>
        </w:rPr>
        <w:t>EN: Could the regenerative power of the lungs help to reverse disease?</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[362] </w:t>
      </w:r>
      <w:hyperlink r:id="rId538">
        <w:r>
          <w:rPr>
            <w:color w:val="1155CC"/>
            <w:u w:val="single"/>
          </w:rPr>
          <w:t>显眼研究可以改善肺部健康</w:t>
        </w:r>
      </w:hyperlink>
    </w:p>
    <w:p>
      <w:pPr>
        <w:spacing w:before="0" w:after="80"/>
      </w:pPr>
      <w:r>
        <w:rPr>
          <w:i/>
          <w:sz w:val="20"/>
        </w:rPr>
        <w:t>EN: Exposome studies can improve lung health</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[363] </w:t>
      </w:r>
      <w:hyperlink r:id="rId539">
        <w:r>
          <w:rPr>
            <w:color w:val="1155CC"/>
            <w:u w:val="single"/>
          </w:rPr>
          <w:t>" 森林洗澡 " 如何使肺部健康</w:t>
        </w:r>
      </w:hyperlink>
    </w:p>
    <w:p>
      <w:pPr>
        <w:spacing w:before="0" w:after="80"/>
      </w:pPr>
      <w:r>
        <w:rPr>
          <w:i/>
          <w:sz w:val="20"/>
        </w:rPr>
        <w:t>EN: How ‘forest bathing’ keeps lungs healthy</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[364] </w:t>
      </w:r>
      <w:hyperlink r:id="rId540">
        <w:r>
          <w:rPr>
            <w:color w:val="1155CC"/>
            <w:u w:val="single"/>
          </w:rPr>
          <w:t>资金削减可以研究对处于风险中的肺健康的新威胁</w:t>
        </w:r>
      </w:hyperlink>
    </w:p>
    <w:p>
      <w:pPr>
        <w:spacing w:before="0" w:after="80"/>
      </w:pPr>
      <w:r>
        <w:rPr>
          <w:i/>
          <w:sz w:val="20"/>
        </w:rPr>
        <w:t>EN: Funding cuts could put research into emerging threats to lung health at risk</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[365] </w:t>
      </w:r>
      <w:hyperlink r:id="rId541">
        <w:r>
          <w:rPr>
            <w:color w:val="1155CC"/>
            <w:u w:val="single"/>
          </w:rPr>
          <w:t>保持呼吸系统</w:t>
        </w:r>
      </w:hyperlink>
    </w:p>
    <w:p>
      <w:pPr>
        <w:spacing w:before="0" w:after="80"/>
      </w:pPr>
      <w:r>
        <w:rPr>
          <w:i/>
          <w:sz w:val="20"/>
        </w:rPr>
        <w:t>EN: Preserving the respiratory system</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542">
        <w:r>
          <w:rPr>
            <w:color w:val="1155CC"/>
            <w:u w:val="single"/>
          </w:rPr>
          <w:t>农药鸡尾酒对土壤生物多样性产生不利影响</w:t>
        </w:r>
      </w:hyperlink>
    </w:p>
    <w:p>
      <w:pPr>
        <w:spacing w:before="0" w:after="80"/>
      </w:pPr>
      <w:r>
        <w:rPr>
          <w:i/>
          <w:sz w:val="20"/>
        </w:rPr>
        <w:t>EN: Pesticide cocktails negatively affect soil biodiversity</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543">
        <w:r>
          <w:rPr>
            <w:color w:val="1155CC"/>
            <w:u w:val="single"/>
          </w:rPr>
          <w:t>生物库样本中的病毒DNA碎片揭示了Epstein-Barr病毒的秘密。</w:t>
        </w:r>
      </w:hyperlink>
    </w:p>
    <w:p>
      <w:pPr>
        <w:spacing w:before="0" w:after="80"/>
      </w:pPr>
      <w:r>
        <w:rPr>
          <w:i/>
          <w:sz w:val="20"/>
        </w:rPr>
        <w:t>EN: Scraps of viral DNA in biobank samples reveal secrets of Epstein–Barr virus</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544">
        <w:r>
          <w:rPr>
            <w:color w:val="1155CC"/>
            <w:u w:val="single"/>
          </w:rPr>
          <w:t>易腐坏的可磨损技术AI芯片</w:t>
        </w:r>
      </w:hyperlink>
    </w:p>
    <w:p>
      <w:pPr>
        <w:spacing w:before="0" w:after="80"/>
      </w:pPr>
      <w:r>
        <w:rPr>
          <w:i/>
          <w:sz w:val="20"/>
        </w:rPr>
        <w:t>EN: A bendable AI chip for wearable technology</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545">
        <w:r>
          <w:rPr>
            <w:color w:val="1155CC"/>
            <w:u w:val="single"/>
          </w:rPr>
          <w:t>冷却:让一个压力大的合金放松,从而冷冻温度。</w:t>
        </w:r>
      </w:hyperlink>
    </w:p>
    <w:p>
      <w:pPr>
        <w:spacing w:before="0" w:after="80"/>
      </w:pPr>
      <w:r>
        <w:rPr>
          <w:i/>
          <w:sz w:val="20"/>
        </w:rPr>
        <w:t>EN: Chill out: freezing temperatures produced by letting a stressed alloy relax</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546">
        <w:r>
          <w:rPr>
            <w:color w:val="1155CC"/>
            <w:u w:val="single"/>
          </w:rPr>
          <w:t>关于天体如何产生大规模磁场的替代解释</w:t>
        </w:r>
      </w:hyperlink>
    </w:p>
    <w:p>
      <w:pPr>
        <w:spacing w:before="0" w:after="80"/>
      </w:pPr>
      <w:r>
        <w:rPr>
          <w:i/>
          <w:sz w:val="20"/>
        </w:rPr>
        <w:t>EN: Alternative explanation for how celestial objects generate large-scale magnetic fields</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547">
        <w:r>
          <w:rPr>
            <w:color w:val="1155CC"/>
            <w:u w:val="single"/>
          </w:rPr>
          <w:t>肺健康研究的六大要点</w:t>
        </w:r>
      </w:hyperlink>
    </w:p>
    <w:p>
      <w:pPr>
        <w:spacing w:before="0" w:after="80"/>
      </w:pPr>
      <w:r>
        <w:rPr>
          <w:i/>
          <w:sz w:val="20"/>
        </w:rPr>
        <w:t>EN: Six highlights from lung-health research</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548">
        <w:r>
          <w:rPr>
            <w:color w:val="1155CC"/>
            <w:u w:val="single"/>
          </w:rPr>
          <w:t>专家一级的测试是AI的一派胡言乱语</w:t>
        </w:r>
      </w:hyperlink>
    </w:p>
    <w:p>
      <w:pPr>
        <w:spacing w:before="0" w:after="80"/>
      </w:pPr>
      <w:r>
        <w:rPr>
          <w:i/>
          <w:sz w:val="20"/>
        </w:rPr>
        <w:t>EN: Expert-level test is a head-scratcher for AI</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[373] </w:t>
      </w:r>
      <w:hyperlink r:id="rId549">
        <w:r>
          <w:rPr>
            <w:color w:val="1155CC"/>
            <w:u w:val="single"/>
          </w:rPr>
          <w:t>高压硫硫硫高压电电化学,由非水电池中铜化调解促成</w:t>
        </w:r>
      </w:hyperlink>
    </w:p>
    <w:p>
      <w:pPr>
        <w:spacing w:before="0" w:after="80"/>
      </w:pPr>
      <w:r>
        <w:rPr>
          <w:i/>
          <w:sz w:val="20"/>
        </w:rPr>
        <w:t>EN: High-voltage sulfur electrochemistry enabled by copper-ion mediation in non-aqueous batteries</w:t>
      </w:r>
    </w:p>
    <w:p>
      <w:pPr>
        <w:spacing w:before="0" w:after="120"/>
      </w:pPr>
      <w:r>
        <w:rPr>
          <w:b/>
        </w:rPr>
        <w:t xml:space="preserve">Source: </w:t>
      </w:r>
      <w:r>
        <w:t>Joule</w:t>
      </w:r>
      <w:r>
        <w:t xml:space="preserve">    </w:t>
      </w:r>
      <w:r>
        <w:rPr>
          <w:b/>
        </w:rPr>
        <w:t xml:space="preserve">Pub date: </w:t>
      </w:r>
      <w:r>
        <w:t>2026-01-28 00:00:00+00:00</w:t>
      </w:r>
    </w:p>
    <w:p>
      <w:pPr>
        <w:spacing w:before="0" w:after="120"/>
      </w:pPr>
      <w:r>
        <w:rPr>
          <w:b/>
        </w:rPr>
        <w:t xml:space="preserve">Notes: </w:t>
      </w:r>
      <w:r>
        <w:t>abstract_source=rss_cell</w:t>
      </w:r>
    </w:p>
    <w:p>
      <w:pPr>
        <w:spacing w:before="0" w:after="80" w:lineRule="auto" w:line="276"/>
      </w:pPr>
      <w:r>
        <w:rPr>
          <w:b/>
        </w:rPr>
        <w:t xml:space="preserve">摘要（ZH）: </w:t>
      </w:r>
      <w:r>
        <w:t>常规锂硫电池受低电压和聚硫化物阻塞的影响,这项工作通过使用铜离子充电载体重新设计硫硫电化学,防止聚硫化物溶解并提升电压,从而形成一个稳定的3.3V锂-硫混合电池,其能量密度很高。</w:t>
      </w:r>
    </w:p>
    <w:p>
      <w:pPr>
        <w:spacing w:before="0" w:after="200" w:lineRule="auto" w:line="276"/>
      </w:pPr>
      <w:r>
        <w:rPr>
          <w:b/>
        </w:rPr>
        <w:t xml:space="preserve">Abstract (EN): </w:t>
      </w:r>
      <w:r>
        <w:t>Conventional lithium-sulfur batteries suffer from low voltage and polysulfide shuttling. This work redesigns the sulfur electrochemistry by using copper-ion charge carriers, which prevent polysulfide dissolution and elevate the voltage, enabling a stable 3.3 V lithium-sulfur hybrid cell with high energy density.</w:t>
      </w:r>
    </w:p>
    <w:p>
      <w:pPr>
        <w:spacing w:before="120" w:after="120"/>
      </w:pPr>
      <w:r>
        <w:rPr>
          <w:sz w:val="18"/>
        </w:rPr>
        <w:t>——————————————————————————————————————————————————————————————————————</w:t>
      </w:r>
    </w:p>
    <w:p>
      <w:pPr>
        <w:spacing w:before="160" w:after="40" w:line="240" w:lineRule="auto"/>
      </w:pPr>
      <w:r>
        <w:rPr>
          <w:b/>
        </w:rPr>
        <w:t xml:space="preserve">[374] </w:t>
      </w:r>
      <w:hyperlink r:id="rId550">
        <w:r>
          <w:rPr>
            <w:color w:val="1155CC"/>
            <w:u w:val="single"/>
          </w:rPr>
          <w:t>碱性目标生物合成的生物模拟极极值逆转</w:t>
        </w:r>
      </w:hyperlink>
    </w:p>
    <w:p>
      <w:pPr>
        <w:spacing w:before="0" w:after="80"/>
      </w:pPr>
      <w:r>
        <w:rPr>
          <w:i/>
          <w:sz w:val="20"/>
        </w:rPr>
        <w:t>EN: Biomimetic polarity reversal for lysine-targeted bioconjugation</w:t>
      </w:r>
    </w:p>
    <w:p>
      <w:pPr>
        <w:spacing w:before="0" w:after="120"/>
      </w:pPr>
      <w:r>
        <w:rPr>
          <w:b/>
        </w:rPr>
        <w:t xml:space="preserve">Source: </w:t>
      </w:r>
      <w:r>
        <w:t>Chem</w:t>
      </w:r>
      <w:r>
        <w:t xml:space="preserve">    </w:t>
      </w:r>
      <w:r>
        <w:rPr>
          <w:b/>
        </w:rPr>
        <w:t xml:space="preserve">Pub date: </w:t>
      </w:r>
      <w:r>
        <w:t>2026-01-28 00:00:00+00:00</w:t>
      </w:r>
    </w:p>
    <w:p>
      <w:pPr>
        <w:spacing w:before="0" w:after="120"/>
      </w:pPr>
      <w:r>
        <w:rPr>
          <w:b/>
        </w:rPr>
        <w:t xml:space="preserve">Notes: </w:t>
      </w:r>
      <w:r>
        <w:t>abstract_source=rss_cell</w:t>
      </w:r>
    </w:p>
    <w:p>
      <w:pPr>
        <w:spacing w:before="0" w:after="80" w:lineRule="auto" w:line="276"/>
      </w:pPr>
      <w:r>
        <w:rPr>
          <w:b/>
        </w:rPr>
        <w:t xml:space="preserve">摘要（ZH）: </w:t>
      </w:r>
      <w:r>
        <w:t>在Chem、Zhang和同事的这个议题中,报告了一项针对赖氨基目标生物合成的生物模拟极极-反转战略。 将正丙酮作为氧化剂使用,这种方法直接将赖氨基碱的-氨基组在生理条件下转化为甲酰胺,使peptides和蛋白质在特定地点得到改造,具有前所未有的生物兼容性、化学选择性和多功能性。</w:t>
      </w:r>
    </w:p>
    <w:p>
      <w:pPr>
        <w:spacing w:before="0" w:after="200" w:lineRule="auto" w:line="276"/>
      </w:pPr>
      <w:r>
        <w:rPr>
          <w:b/>
        </w:rPr>
        <w:t xml:space="preserve">Abstract (EN): </w:t>
      </w:r>
      <w:r>
        <w:t>In this issue of Chem, Zhang and colleagues report a biomimetic polarity-reversal strategy for lysine-targeted bioconjugation. Leveraging ortho-quinone as an oxidant, this approach directly converts the ε-amino group of lysine to an aldehyde moiety under physiological conditions, enabling site-specific modification of peptides and proteins with unprecedented biocompatibility, chemoselectivity, and versatility.</w:t>
      </w:r>
    </w:p>
    <w:p>
      <w:pPr>
        <w:spacing w:before="120" w:after="120"/>
      </w:pPr>
      <w:r>
        <w:rPr>
          <w:sz w:val="18"/>
        </w:rPr>
        <w:t>——————————————————————————————————————————————————————————————————————</w:t>
      </w:r>
    </w:p>
    <w:p>
      <w:pPr>
        <w:spacing w:before="160" w:after="40" w:line="240" w:lineRule="auto"/>
      </w:pPr>
      <w:r>
        <w:rPr>
          <w:b/>
        </w:rPr>
        <w:t xml:space="preserve">[375] </w:t>
      </w:r>
      <w:hyperlink r:id="rId551">
        <w:r>
          <w:rPr>
            <w:color w:val="1155CC"/>
            <w:u w:val="single"/>
          </w:rPr>
          <w:t>在合成结结结系统中诱导手法秩序</w:t>
        </w:r>
      </w:hyperlink>
    </w:p>
    <w:p>
      <w:pPr>
        <w:spacing w:before="0" w:after="80"/>
      </w:pPr>
      <w:r>
        <w:rPr>
          <w:i/>
          <w:sz w:val="20"/>
        </w:rPr>
        <w:t>EN: Inducing chiral order in a synthetic knotted system</w:t>
      </w:r>
    </w:p>
    <w:p>
      <w:pPr>
        <w:spacing w:before="0" w:after="120"/>
      </w:pPr>
      <w:r>
        <w:rPr>
          <w:b/>
        </w:rPr>
        <w:t xml:space="preserve">Source: </w:t>
      </w:r>
      <w:r>
        <w:t>Chem</w:t>
      </w:r>
      <w:r>
        <w:t xml:space="preserve">    </w:t>
      </w:r>
      <w:r>
        <w:rPr>
          <w:b/>
        </w:rPr>
        <w:t xml:space="preserve">Pub date: </w:t>
      </w:r>
      <w:r>
        <w:t>2026-01-28 00:00:00+00:00</w:t>
      </w:r>
    </w:p>
    <w:p>
      <w:pPr>
        <w:spacing w:before="0" w:after="120"/>
      </w:pPr>
      <w:r>
        <w:rPr>
          <w:b/>
        </w:rPr>
        <w:t xml:space="preserve">Notes: </w:t>
      </w:r>
      <w:r>
        <w:t>abstract_source=rss_cell</w:t>
      </w:r>
    </w:p>
    <w:p>
      <w:pPr>
        <w:spacing w:before="0" w:after="80" w:lineRule="auto" w:line="276"/>
      </w:pPr>
      <w:r>
        <w:rPr>
          <w:b/>
        </w:rPr>
        <w:t xml:space="preserve">摘要（ZH）: </w:t>
      </w:r>
      <w:r>
        <w:t>生物模拟特定地点的修改战略能够精确地调节合成的肉结结结的系统中的手性自我分解。 将氨基酸和二酸二酸二酸残留物编码成脊椎,张和同事在不损及立体选择性结结结形成的情况下,引入了金枪鱼性不育和非共价的分子。 值得注意的是,二酸丁二酸将自闭式手性自我分解从动能控制转向热力调节,建立了高纤维性手性秩序。 这种本地化方法为工程结结结功能提供了蓝图,包括肛门识别和手性表达。</w:t>
      </w:r>
    </w:p>
    <w:p>
      <w:pPr>
        <w:spacing w:before="0" w:after="200" w:lineRule="auto" w:line="276"/>
      </w:pPr>
      <w:r>
        <w:rPr>
          <w:b/>
        </w:rPr>
        <w:t xml:space="preserve">Abstract (EN): </w:t>
      </w:r>
      <w:r>
        <w:t>A biomimetic site-specific modification strategy enables precise regulation of chiral self-sorting in a synthetic cinquefoil knotted system. By encoding amino acid and dipeptide residues into ligand backbones, Zhang and co-workers introduce tunable steric and noncovalent motifs without compromising stereoselective knot formation. Notably, dipeptide ligands shift narcissistic chiral self-sorting from kinetic to thermodynamic control, establishing high-fidelity chiral order. This localized approach provides a blueprint for engineering knot functionalities, including anion recognition and chiral expression.</w:t>
      </w:r>
    </w:p>
    <w:p>
      <w:pPr>
        <w:spacing w:before="120" w:after="120"/>
      </w:pPr>
      <w:r>
        <w:rPr>
          <w:sz w:val="18"/>
        </w:rPr>
        <w:t>——————————————————————————————————————————————————————————————————————</w:t>
      </w:r>
    </w:p>
    <w:p>
      <w:pPr>
        <w:spacing w:before="160" w:after="40" w:line="240" w:lineRule="auto"/>
      </w:pPr>
      <w:r>
        <w:rPr>
          <w:b/>
        </w:rPr>
        <w:t xml:space="preserve">[376] </w:t>
      </w:r>
      <w:hyperlink r:id="rId552">
        <w:r>
          <w:rPr>
            <w:color w:val="1155CC"/>
            <w:u w:val="single"/>
          </w:rPr>
          <w:t>锰二氧化物中超高率性能锌贮存</w:t>
        </w:r>
      </w:hyperlink>
    </w:p>
    <w:p>
      <w:pPr>
        <w:spacing w:before="0" w:after="80"/>
      </w:pPr>
      <w:r>
        <w:rPr>
          <w:i/>
          <w:sz w:val="20"/>
        </w:rPr>
        <w:t>EN: Orbital Engineering Activated Intrinsic Conduction Enables Ultra-high-rate Performance Zinc Storage in Manganese Dioxide</w:t>
      </w:r>
    </w:p>
    <w:p>
      <w:pPr>
        <w:spacing w:before="0" w:after="120"/>
      </w:pPr>
      <w:r>
        <w:rPr>
          <w:b/>
        </w:rPr>
        <w:t xml:space="preserve">Source: </w:t>
      </w:r>
      <w:r>
        <w:t>RSC - Energy Environ. Sci. latest articles</w:t>
      </w:r>
      <w:r>
        <w:t xml:space="preserve">    </w:t>
      </w:r>
      <w:r>
        <w:rPr>
          <w:b/>
        </w:rPr>
        <w:t xml:space="preserve">Pub date: </w:t>
      </w:r>
      <w:r>
        <w:t>2026-01-28 00:00:00+00:00</w:t>
      </w:r>
    </w:p>
    <w:p>
      <w:pPr>
        <w:spacing w:before="0" w:after="120"/>
      </w:pPr>
      <w:r>
        <w:rPr>
          <w:b/>
        </w:rPr>
        <w:t xml:space="preserve">Notes: </w:t>
      </w:r>
      <w:r>
        <w:t>abstract_source=rsc_html</w:t>
      </w:r>
    </w:p>
    <w:p>
      <w:pPr>
        <w:spacing w:before="0" w:after="80" w:lineRule="auto" w:line="276"/>
      </w:pPr>
      <w:r>
        <w:rPr>
          <w:b/>
        </w:rPr>
        <w:t xml:space="preserve">摘要（ZH）: </w:t>
      </w:r>
      <w:r>
        <w:t>由于资源丰富、多电子传输和环境良性,层层氧化锰(-MnO2)被视为水锌离电池(AZIBs)有前途的阴极,因为它们拥有丰富的资源、多电子传输和环境良性,然而,它们的内在传导性差和严重的Mn分解能力大大限制,使其不足以满足AZIBs的“快速充电”要求。在此,提议了一项轨道工程驱动战略,以提高MnO2的内在传导性并改进电化学性能。 根据高通量模拟,首次建立了智能筛查理论框架。结果显示,单原子电离子电解位效应最强,并有电传导效果。</w:t>
      </w:r>
    </w:p>
    <w:p>
      <w:pPr>
        <w:spacing w:before="0" w:after="200" w:lineRule="auto" w:line="276"/>
      </w:pPr>
      <w:r>
        <w:rPr>
          <w:b/>
        </w:rPr>
        <w:t xml:space="preserve">Abstract (EN): </w:t>
      </w:r>
      <w:r>
        <w:t>Layered manganese oxides (δ-MnO2) are regarded as promising cathodes for aqueous zinc-ion batteries (AZIBs), owing to their abundant resources, multiple electron transfer, and environmental benignity. However, their poor intrinsic conductivity and severe Mn dissolution significantly limit rate capability, rendering them insufficient for meeting the “fast‑charging” requirements of AZIBs. Herein, an orbital‑engineering driven strategy is proposed to enhance the intrinsic conductivity and improve the electrochemical performance of δ‑MnO2. Based on high‑throughput simulations, a theoretical framework for intelligent screening is first established. The results demonstrated that single-atom Fe-doped δ-MnO2 (FeSA-MnO2) exhibits the strongest electron delocalization effect, with a charge-transfer number of 3.54. This originates from orbital hybridization between Fe and O atoms, which introduces new electronic states, together with the degeneracy of dxz and dyz in Fe 3d orbitals. These effects collectively enhance electron delocalization around Fe atoms and electron localization around O atoms, thereby boosting intrinsic conductivity. Moreover, the Fe-O bonds formed by the FeSA injection effectively increase the Mn dissolution energy and improve structural stability. Guided by theoretical predictions and supported by in-situ/ex-situ characterization, the activated intrinsic conduction enables the synthesized FeSA-MnO2 to not only increase electron density and accelerate charge transfer but also promote H+/Zn2+ reaction kinetics, leading to significantly enhanced rate performance. Consequently, FeSA-MnO2 delivers an ultrahigh rate performance of 20 A g−1 (~15 mA cm−2), with a capacity decay rate as low as 0.00037% per cycle over 30,000 cycles in electrolyte of 2 M ZnSO4 + 0.1 M MnSO4. This orbital‑level activation of intrinsic conductivity via single‑atom doping provides a new perspective for developing highly stable Mn‑based cathodes for fast‑charging AZIBs.</w:t>
      </w:r>
    </w:p>
    <w:p>
      <w:pPr>
        <w:spacing w:before="120" w:after="120"/>
      </w:pPr>
      <w:r>
        <w:rPr>
          <w:sz w:val="18"/>
        </w:rPr>
        <w:t>——————————————————————————————————————————————————————————————————————</w:t>
      </w:r>
    </w:p>
    <w:p>
      <w:pPr>
        <w:spacing w:before="160" w:after="40" w:line="240" w:lineRule="auto"/>
      </w:pPr>
      <w:r>
        <w:rPr>
          <w:b/>
        </w:rPr>
        <w:t xml:space="preserve">[377] </w:t>
      </w:r>
      <w:hyperlink r:id="rId553">
        <w:r>
          <w:rPr>
            <w:color w:val="1155CC"/>
            <w:u w:val="single"/>
          </w:rPr>
          <w:t>热电离电动态动态在普洛夫斯基太阳能电池歇斯底里和瞬时性能中的作用</w:t>
        </w:r>
      </w:hyperlink>
    </w:p>
    <w:p>
      <w:pPr>
        <w:spacing w:before="0" w:after="80"/>
      </w:pPr>
      <w:r>
        <w:rPr>
          <w:i/>
          <w:sz w:val="20"/>
        </w:rPr>
        <w:t>EN: On the role of thermo-electro-ionic dynamics in hysteresis and transient performance of perovskite solar cells</w:t>
      </w:r>
    </w:p>
    <w:p>
      <w:pPr>
        <w:spacing w:before="0" w:after="120"/>
      </w:pPr>
      <w:r>
        <w:rPr>
          <w:b/>
        </w:rPr>
        <w:t xml:space="preserve">Source: </w:t>
      </w:r>
      <w:r>
        <w:t>RSC - Energy Environ. Sci. latest articles</w:t>
      </w:r>
      <w:r>
        <w:t xml:space="preserve">    </w:t>
      </w:r>
      <w:r>
        <w:rPr>
          <w:b/>
        </w:rPr>
        <w:t xml:space="preserve">Pub date: </w:t>
      </w:r>
      <w:r>
        <w:t>2026-01-28 00:00:00+00:00</w:t>
      </w:r>
    </w:p>
    <w:p>
      <w:pPr>
        <w:spacing w:before="0" w:after="120"/>
      </w:pPr>
      <w:r>
        <w:rPr>
          <w:b/>
        </w:rPr>
        <w:t xml:space="preserve">Notes: </w:t>
      </w:r>
      <w:r>
        <w:t>abstract_source=rsc_html</w:t>
      </w:r>
    </w:p>
    <w:p>
      <w:pPr>
        <w:spacing w:before="0" w:after="80" w:lineRule="auto" w:line="276"/>
      </w:pPr>
      <w:r>
        <w:rPr>
          <w:b/>
        </w:rPr>
        <w:t xml:space="preserve">摘要（ZH）: </w:t>
      </w:r>
      <w:r>
        <w:t>从这个角度出发,我们开发了一个新颖的混合多物理学数学框架,将分层解析的光吸收、非热热电子电离传输和分层解析、自我兼容的能源平衡与直径、散装和间隔热生成路径结合起来。 这些途径包括热载热热热热热热热热热热、朱莱热热热、粒子效应、辐射/非辐射再组合和寄生光学吸收。 这个数学框架通过引入温度-电流(T-V)和热电流(P-V)特性,将PSC特性超越常规的J-V分析。</w:t>
      </w:r>
    </w:p>
    <w:p>
      <w:pPr>
        <w:spacing w:before="0" w:after="200" w:lineRule="auto" w:line="276"/>
      </w:pPr>
      <w:r>
        <w:rPr>
          <w:b/>
        </w:rPr>
        <w:t xml:space="preserve">Abstract (EN): </w:t>
      </w:r>
      <w:r>
        <w:t>Understanding the thermal origins of performance instabilities and hysteresis in perovskite solar cells (PSCs) is essential for advancing their long-term stability and reliable operation. In this perspective, we develop a novel coupled multiphysics mathematical framework that integrates layer-resolved optical absorption, non-isothermal electronic–ionic transport, and a layer-resolved, self-consistent energy balance with explicit bulk and interfacial heat-generation pathways. These pathways include hot-carrier thermalization, Joule heating, Peltier effects, radiative/non-radiative recombination, and parasitic optical absorption. This mathematical framework extends PSC characterization beyond conventional J–V analysis by introducing temperature–voltage (T–V) and heat–voltage (P–V) characteristics curves, enabling quantitative tracking of transient self-heating and its interactions with electronic–ionic dynamics. It is shown that PSCs develop internal thermal inertia that evolves on timescales comparable to ionic relaxation under bias sweeps, leading to strongly scan-rate-dependent heating. At intermediate scan rates, this thermo-electro-ionic coupling produces non-monotonic temperature evolution with dual-peak profiles during forward sweeps and pronounced T–V hysteresis, coinciding with S-shaped J–V distortions that are shifted to lower scan rates relative to isothermal predictions. The scan-rate-dependent heating can be resolved into interfacial- and bulk-dominated regimes: interfacial heating governs the temperature evolution at low-to-intermediate scan rates, bulk heating controls the profile at intermediate-to-high rates, while rapid sweeps leave insufficient time for heat to accumulate, ultimately driving the response toward an ion-frozen, quasi-isothermal limit. These distinct thermal regimes reshape carrier extraction asymmetry, internal field screening, and mobile-ion redistribution, thereby aggravating or mitigating hysteresis relative to isothermal electronic–ionic transport predictions. Neglecting thermo-electro-ionic effects underestimates transient temperature rises by &gt;10 K and misidentify the scan-rate window associated with S-shaped J–V distortions. By integrating these multiphysics effects, the framework provides a diagnostic tool for next-generation PSC characterization and identifies design strategies such as interface engineering, nanostructural thermal management, and scan-protocol optimization to enhance device performance and stability under real-world operating conditions.</w:t>
      </w:r>
    </w:p>
    <w:p>
      <w:pPr>
        <w:spacing w:before="120" w:after="120"/>
      </w:pPr>
      <w:r>
        <w:rPr>
          <w:sz w:val="18"/>
        </w:rPr>
        <w:t>——————————————————————————————————————————————————————————————————————</w:t>
      </w:r>
    </w:p>
    <w:p>
      <w:pPr>
        <w:spacing w:before="160" w:after="40" w:line="240" w:lineRule="auto"/>
      </w:pPr>
      <w:r>
        <w:rPr>
          <w:b/>
        </w:rPr>
        <w:t xml:space="preserve">[378] </w:t>
      </w:r>
      <w:hyperlink r:id="rId554">
        <w:r>
          <w:rPr>
            <w:color w:val="1155CC"/>
            <w:u w:val="single"/>
          </w:rPr>
          <w:t>磁电联动驱动器超快充电 MOS2 钠离电池阳极</w:t>
        </w:r>
      </w:hyperlink>
    </w:p>
    <w:p>
      <w:pPr>
        <w:spacing w:before="0" w:after="80"/>
      </w:pPr>
      <w:r>
        <w:rPr>
          <w:i/>
          <w:sz w:val="20"/>
        </w:rPr>
        <w:t>EN: Magnetoelectric coupling drives ultrafast-charging MoS₂ anodes for sodium-ion batteries</w:t>
      </w:r>
    </w:p>
    <w:p>
      <w:pPr>
        <w:spacing w:before="0" w:after="120"/>
      </w:pPr>
      <w:r>
        <w:rPr>
          <w:b/>
        </w:rPr>
        <w:t xml:space="preserve">Source: </w:t>
      </w:r>
      <w:r>
        <w:t>RSC - Energy Environ. Sci. latest articles</w:t>
      </w:r>
      <w:r>
        <w:t xml:space="preserve">    </w:t>
      </w:r>
      <w:r>
        <w:rPr>
          <w:b/>
        </w:rPr>
        <w:t xml:space="preserve">Pub date: </w:t>
      </w:r>
      <w:r>
        <w:t>2026-01-28 00:00:00+00:00</w:t>
      </w:r>
    </w:p>
    <w:p>
      <w:pPr>
        <w:spacing w:before="0" w:after="120"/>
      </w:pPr>
      <w:r>
        <w:rPr>
          <w:b/>
        </w:rPr>
        <w:t xml:space="preserve">Notes: </w:t>
      </w:r>
      <w:r>
        <w:t>abstract_source=rsc_html</w:t>
      </w:r>
    </w:p>
    <w:p>
      <w:pPr>
        <w:spacing w:before="0" w:after="80" w:lineRule="auto" w:line="276"/>
      </w:pPr>
      <w:r>
        <w:rPr>
          <w:b/>
        </w:rPr>
        <w:t xml:space="preserve">摘要（ZH）: </w:t>
      </w:r>
      <w:r>
        <w:t>了解和调节MOS2 阳极的内存动力学,对于钠离子电池来说,这仍然是一个关键的挑战。在这里,混合的MOS2被用作一种模型,从旋极化电子的动态演变角度来解释一种磁电联动主导机制,加速了内存的内存。在转换反应期间,进入MOS2 阵列的共原子产生~ 4 nm CO0 纳米晶体。现场磁力测量显示,这些磁性CO0 纳米晶体的脊柱带有效地容纳了旋极化电子,从而产生了一种旋转极化地表电能效应(“磁性”作用),而这反过来又使超快的纳+在Co0/NA2S 界面中储存。此外,部分旋转极化电路。</w:t>
      </w:r>
    </w:p>
    <w:p>
      <w:pPr>
        <w:spacing w:before="0" w:after="200" w:lineRule="auto" w:line="276"/>
      </w:pPr>
      <w:r>
        <w:rPr>
          <w:b/>
        </w:rPr>
        <w:t xml:space="preserve">Abstract (EN): </w:t>
      </w:r>
      <w:r>
        <w:t>Understanding and regulating the interfacial Na+-storage kinetics of MoS2 anodes remains a key challenge for sodium-ion batteries. Here, Co-doped MoS2 is employed as a model to elucidate, from the perspective of the dynamic evolution of spin-polarized electrons, a magnetoelectric coupling-dominated mechanism that accelerates interfacial Na+ storage. During the conversion reaction, Co atoms doped into the MoS2 lattice generate ~ 4 nm Co0 nanocrystals. In-situ magnetometry reveals that the spin-split bands of these magnetic Co0 nanocrystals effectively accommodate spin-polarized electrons, thereby generating a spin-polarized surface capacitive effect (“magnetic” contribution), which in turn enables ultrafast Na+ storage at the Co0/Na2S interfaces. Moreover, a portion of spin-polarized electrons stored in Co0 nanocrystals are transferred to electrolyte molecules, catalyzing their directional decomposition and promoting the formation of NaF-riched solid electrolyte interphase (“electric” contribution). Benefiting from this magnetoelectric coupling effect, the Co-doped MoS2 electrode exhibits excellent fast-charging capability in both half cells and full cells. This study not only establishes a direct link between spin-polarized electron dynamics and interfacial reaction pathways, but also provides important insights for the co-design of heterogeneous catalysis and interfacial dynamics.</w:t>
      </w:r>
    </w:p>
    <w:p>
      <w:pPr>
        <w:spacing w:before="120" w:after="120"/>
      </w:pPr>
      <w:r>
        <w:rPr>
          <w:sz w:val="18"/>
        </w:rPr>
        <w:t>——————————————————————————————————————————————————————————————————————</w:t>
      </w:r>
    </w:p>
    <w:p>
      <w:pPr>
        <w:spacing w:before="160" w:after="40" w:line="240" w:lineRule="auto"/>
      </w:pPr>
      <w:r>
        <w:rPr>
          <w:b/>
        </w:rPr>
        <w:t xml:space="preserve">[379] </w:t>
      </w:r>
      <w:hyperlink r:id="rId555">
        <w:r>
          <w:rPr>
            <w:color w:val="1155CC"/>
            <w:u w:val="single"/>
          </w:rPr>
          <w:t>具有高度利用Zn - I2 高Zn利用度的袋式小袋式小袋式小袋式小袋式小袋式小袋式小袋式小袋式小袋式小袋式小袋式小袋式小袋式小袋式小箱</w:t>
        </w:r>
      </w:hyperlink>
    </w:p>
    <w:p>
      <w:pPr>
        <w:spacing w:before="0" w:after="80"/>
      </w:pPr>
      <w:r>
        <w:rPr>
          <w:i/>
          <w:sz w:val="20"/>
        </w:rPr>
        <w:t>EN: Water-Responsive Molecule Realizes Stable Ah-Scale Zn–I2 Pouch Cells with High Zn Utilization</w:t>
      </w:r>
    </w:p>
    <w:p>
      <w:pPr>
        <w:spacing w:before="0" w:after="120"/>
      </w:pPr>
      <w:r>
        <w:rPr>
          <w:b/>
        </w:rPr>
        <w:t xml:space="preserve">Source: </w:t>
      </w:r>
      <w:r>
        <w:t>RSC - Energy Environ. Sci. latest articles</w:t>
      </w:r>
      <w:r>
        <w:t xml:space="preserve">    </w:t>
      </w:r>
      <w:r>
        <w:rPr>
          <w:b/>
        </w:rPr>
        <w:t xml:space="preserve">Pub date: </w:t>
      </w:r>
      <w:r>
        <w:t>2026-01-28 00:00:00+00:00</w:t>
      </w:r>
    </w:p>
    <w:p>
      <w:pPr>
        <w:spacing w:before="0" w:after="120"/>
      </w:pPr>
      <w:r>
        <w:rPr>
          <w:b/>
        </w:rPr>
        <w:t xml:space="preserve">Notes: </w:t>
      </w:r>
      <w:r>
        <w:t>abstract_source=rsc_html</w:t>
      </w:r>
    </w:p>
    <w:p>
      <w:pPr>
        <w:spacing w:before="0" w:after="80" w:lineRule="auto" w:line="276"/>
      </w:pPr>
      <w:r>
        <w:rPr>
          <w:b/>
        </w:rPr>
        <w:t xml:space="preserve">摘要（ZH）: </w:t>
      </w:r>
      <w:r>
        <w:t>水锌-碘(Zn-I2)电池由于固有的安全和环境兼容性,是大规模能源储存的有希望的候选条件。 但是,由于严重的多碘化物阻塞、有限的碘转化动能和贫软的Zn 阳极可逆性,电池的应用受到严重的多碘化物阻塞、有限的碘转化动能和贫弱的Zn 阳性反向作用的阻碍。 这里,我们报告了一种水反应分子战略,以同时应对先进的Zn-I2电池的这些挑战。 当引入电解器时,Ectoine(Ect)自发地建立了局部的双极性电荷充电中心。正中枢将聚碘化物固定起来,并减少其阻塞,而负点与Zn2+相协调,以改造其溶化环境,并显著地改善Zn-I2电池的可逆性。</w:t>
      </w:r>
    </w:p>
    <w:p>
      <w:pPr>
        <w:spacing w:before="0" w:after="200" w:lineRule="auto" w:line="276"/>
      </w:pPr>
      <w:r>
        <w:rPr>
          <w:b/>
        </w:rPr>
        <w:t xml:space="preserve">Abstract (EN): </w:t>
      </w:r>
      <w:r>
        <w:t>Aqueous zinc–iodine (Zn–I2) batteries are promising candidates for large-scale energy storage due to inherent safety and environmental compatibility. However, their application is hindered by serious polyiodides shuttling, limited iodine conversion kinetics, and poor Zn anode reversibility. Here, we report a water-responsive molecular strategy to simultaneously address these challenges for advanced Zn–I2 batteries. When introduced into the electrolyte, Ectoine (Ect) spontaneously establishes localized dual-polarity charge centers. The positive center immobilizes polyiodides and mitigates their shuttling, while the negative site coordinates with Zn2+ to reshape its solvation environment and markedly improve Zn reversibility. Importantly, hydrogen bonding between Ect and polyiodides modulates the iodine conversion pathway and enhances its redox kinetics, even under high iodine loadings. Consequently, the Zn–I2 coin cell with Ect exhibits record cycling stability (60,000 cycles at 50 C) and high-rate capability (139.4 mAh g−1 at 50 C). The Zn–I2 pouch cell with high I2 loading of ~20 mgiodine cm−2 and 65% Zn utilization rate retains 80% of capacity after over 1,000 cycles. This finding offers a scalable electrolyte design for next-generation aqueous batteries, advancing their potential for practical large-scale energy storage.</w:t>
      </w:r>
    </w:p>
    <w:p>
      <w:pPr>
        <w:spacing w:before="120" w:after="120"/>
      </w:pPr>
      <w:r>
        <w:rPr>
          <w:sz w:val="18"/>
        </w:rPr>
        <w:t>——————————————————————————————————————————————————————————————————————</w:t>
      </w:r>
    </w:p>
    <w:p>
      <w:pPr>
        <w:spacing w:before="160" w:after="40" w:line="240" w:lineRule="auto"/>
      </w:pPr>
      <w:r>
        <w:rPr>
          <w:b/>
        </w:rPr>
        <w:t xml:space="preserve">[380] </w:t>
      </w:r>
      <w:hyperlink r:id="rId556">
        <w:r>
          <w:rPr>
            <w:color w:val="1155CC"/>
            <w:u w:val="single"/>
          </w:rPr>
          <w:t>Hydragel metapad 具有超声波透明度和宽带,侧重于生物医学成像</w:t>
        </w:r>
      </w:hyperlink>
    </w:p>
    <w:p>
      <w:pPr>
        <w:spacing w:before="0" w:after="80"/>
      </w:pPr>
      <w:r>
        <w:rPr>
          <w:i/>
          <w:sz w:val="20"/>
        </w:rPr>
        <w:t>EN: Hydrogel metapad with ultrasound transparency and broadband focusing for biomedical imaging</w:t>
      </w:r>
    </w:p>
    <w:p>
      <w:pPr>
        <w:spacing w:before="0" w:after="120"/>
      </w:pPr>
      <w:r>
        <w:rPr>
          <w:b/>
        </w:rPr>
        <w:t xml:space="preserve">Source: </w:t>
      </w:r>
      <w:r>
        <w:t>National Science Review Advance Access</w:t>
      </w:r>
      <w:r>
        <w:t xml:space="preserve">    </w:t>
      </w:r>
      <w:r>
        <w:rPr>
          <w:b/>
        </w:rPr>
        <w:t xml:space="preserve">Pub date: </w:t>
      </w:r>
      <w:r>
        <w:t>2026-01-28 00:00:00+00:00</w:t>
      </w:r>
      <w:r>
        <w:t xml:space="preserve">    </w:t>
      </w:r>
      <w:r>
        <w:rPr>
          <w:b/>
        </w:rPr>
        <w:t xml:space="preserve">DOI: </w:t>
      </w:r>
      <w:hyperlink r:id="rId557">
        <w:r>
          <w:rPr>
            <w:color w:val="1155CC"/>
            <w:u w:val="single"/>
          </w:rPr>
          <w:t>10.1093/nsr/nwag048/8443366</w:t>
        </w:r>
      </w:hyperlink>
    </w:p>
    <w:p>
      <w:pPr>
        <w:spacing w:before="0" w:after="120"/>
      </w:pPr>
      <w:r>
        <w:rPr>
          <w:b/>
        </w:rPr>
        <w:t xml:space="preserve">Notes: </w:t>
      </w:r>
      <w:r>
        <w:t>abstract_source=rss_oup</w:t>
      </w:r>
    </w:p>
    <w:p>
      <w:pPr>
        <w:spacing w:before="0" w:after="80" w:lineRule="auto" w:line="276"/>
      </w:pPr>
      <w:r>
        <w:rPr>
          <w:b/>
        </w:rPr>
        <w:t xml:space="preserve">摘要（ZH）: </w:t>
      </w:r>
      <w:r>
        <w:t>虽然现有的可磨损超声波装置,无论是硬性还是可伸缩的,往往将硬性超声波元素阵列与软材料合并,以实现人体皮肤上的可靠接口,但它们缺乏受控的人工微结构,导致超声波透明度受损,在实现宽带聚焦方面出现挑战。 我们在此报告,由具有高超声波透明度和宽带的水文凝胶元材料制成,其超声波透明度和宽带侧重于在亚波范围内控制水文凝胶孔隙度。 水凝胶配制实现了与TISU的近效声阻力匹配。</w:t>
      </w:r>
    </w:p>
    <w:p>
      <w:pPr>
        <w:spacing w:before="0" w:after="200" w:lineRule="auto" w:line="276"/>
      </w:pPr>
      <w:r>
        <w:rPr>
          <w:b/>
        </w:rPr>
        <w:t xml:space="preserve">Abstract (EN): </w:t>
      </w:r>
      <w:r>
        <w:t>Imparting broadband transparency and focusing on flexible ultrasound bioelectronics can significantly enhance the capabilities for precise evaluation of tissues and organs as well as treatment of diseases. While existing wearable ultrasound devices, whether rigid or stretchable, often merge rigid ultrasound element arrays with soft materials to achieve a reliable interface on the human skin, they lack controlled artificial microstructures, resulting in compromised ultrasound transparency and challenges in achieving broadband focusing. Here, we report a metapad made of hydrogel metamaterials with high ultrasound transparency and broadband focusing by controlling the hydrogel porosity on a sub-wavelength scale. The hydrogel metapad achieves near-perfect acoustic impedance matching with tissues, low attenuation loss, broadband transmission, and high focusing intensity gain. Ultrasound imaging simulations further show a significant improvement in imaging contrast near the focal region when using the hydrogel metapad. Practical applications demonstrate that it enhances the imaging capabilities of ultrasound probes for vital human organs, including blood vessels and the heart. Our hydrogel metapad holds great potential for advancing soft acoustic functional devices, capable of seamlessly interfacing with both biological tissues and aquatic environments.</w:t>
      </w:r>
    </w:p>
    <w:p>
      <w:pPr>
        <w:spacing w:before="120" w:after="120"/>
      </w:pPr>
      <w:r>
        <w:rPr>
          <w:sz w:val="18"/>
        </w:rPr>
        <w:t>——————————————————————————————————————————————————————————————————————</w:t>
      </w:r>
    </w:p>
    <w:p>
      <w:pPr>
        <w:spacing w:before="160" w:after="40" w:line="240" w:lineRule="auto"/>
      </w:pPr>
      <w:r>
        <w:rPr>
          <w:b/>
        </w:rPr>
        <w:t xml:space="preserve">[381] </w:t>
      </w:r>
      <w:hyperlink r:id="rId558">
        <w:r>
          <w:rPr>
            <w:color w:val="1155CC"/>
            <w:u w:val="single"/>
          </w:rPr>
          <w:t>对光反应纳米集群的空间和时间控制</w:t>
        </w:r>
      </w:hyperlink>
    </w:p>
    <w:p>
      <w:pPr>
        <w:spacing w:before="0" w:after="80"/>
      </w:pPr>
      <w:r>
        <w:rPr>
          <w:i/>
          <w:sz w:val="20"/>
        </w:rPr>
        <w:t>EN: Spatial and temporal control over photoresponsive nanoclusters</w:t>
      </w:r>
    </w:p>
    <w:p>
      <w:pPr>
        <w:spacing w:before="0" w:after="120"/>
      </w:pPr>
      <w:r>
        <w:rPr>
          <w:b/>
        </w:rPr>
        <w:t xml:space="preserve">Source: </w:t>
      </w:r>
      <w:r>
        <w:t>National Science Review Advance Access</w:t>
      </w:r>
      <w:r>
        <w:t xml:space="preserve">    </w:t>
      </w:r>
      <w:r>
        <w:rPr>
          <w:b/>
        </w:rPr>
        <w:t xml:space="preserve">Pub date: </w:t>
      </w:r>
      <w:r>
        <w:t>2026-01-28 00:00:00+00:00</w:t>
      </w:r>
      <w:r>
        <w:t xml:space="preserve">    </w:t>
      </w:r>
      <w:r>
        <w:rPr>
          <w:b/>
        </w:rPr>
        <w:t xml:space="preserve">DOI: </w:t>
      </w:r>
      <w:hyperlink r:id="rId559">
        <w:r>
          <w:rPr>
            <w:color w:val="1155CC"/>
            <w:u w:val="single"/>
          </w:rPr>
          <w:t>10.1093/nsr/nwag053/8443346</w:t>
        </w:r>
      </w:hyperlink>
    </w:p>
    <w:p>
      <w:pPr>
        <w:spacing w:before="0" w:after="120"/>
      </w:pPr>
      <w:r>
        <w:rPr>
          <w:b/>
        </w:rPr>
        <w:t xml:space="preserve">Notes: </w:t>
      </w:r>
      <w:r>
        <w:t>abstract_source=rss_oup</w:t>
      </w:r>
    </w:p>
    <w:p>
      <w:pPr>
        <w:spacing w:before="0" w:after="80" w:lineRule="auto" w:line="276"/>
      </w:pPr>
      <w:r>
        <w:rPr>
          <w:b/>
        </w:rPr>
        <w:t xml:space="preserve">摘要（ZH）: </w:t>
      </w:r>
      <w:r>
        <w:t>虽然集束物种在稀释溶液中经历了高效的光反应光转换,但由于运动自由不足,其固态材料的响应严重受阻。这里我们展示了一种光化方法,能够对晶晶状状态中的纳米集成结构/大小转换进行空间和时间控制。Cu18纳米集束,无论是溶液还是固态形式,在暴露于365纳米光时,都经历光诱变,导致Cu14纳米集束规模缩小。单原子合金对应方AG1Cu17在光诱变成同一集成产品方面效率显著提高。Cu18和AG1Cu17之间的相近光诱变效率由时间特征监测。</w:t>
      </w:r>
    </w:p>
    <w:p>
      <w:pPr>
        <w:spacing w:before="0" w:after="200" w:lineRule="auto" w:line="276"/>
      </w:pPr>
      <w:r>
        <w:rPr>
          <w:b/>
        </w:rPr>
        <w:t xml:space="preserve">Abstract (EN): </w:t>
      </w:r>
      <w:r>
        <w:t>Although cluster species undergo efficient photoresponsive transformations in dilute solutions, their solid-state materials suffer severely impeded responsiveness due to insufficient motional freedom. Here we present a photochemical approach that enables spatial and temporal control over nanocluster structure/size conversions in the crystalline state. The Cu18 nanocluster, whether in solution or solid form, undergoes a photoinduced transformation when exposed to 365 nm light, resulting in a size-reduced Cu14 nanocluster. The single-atom alloy counterpart, Ag1Cu17, possesses a remarkably enhanced efficiency towards the photoinduced conversion to form the same cluster product. The comparable photoinduced conversion efficiencies between Cu18 and Ag1Cu17 are monitored by time-dependent characterizations and further rationalized by theoretical calculations. The high photoconversion efficiency of crystalline nanocluster materials allows for the precise spatial and temporal control of solid-state transformations at the micrometer scale using femtosecond cold laser technology or by controlling the irradiation time of ultraviolet light. This study introduces a novel pair of clusters with comparable photoinduced conversion characteristics, allowing for atomic-level characterizations and an in-depth understanding of the photochemical behavior of metal nanoclusters. Furthermore, the findings in this work are expected to facilitate the design of cluster-based solid-state nanomaterials for downstream photoresponsive applications.</w:t>
      </w:r>
    </w:p>
    <w:p>
      <w:pPr>
        <w:spacing w:before="120" w:after="120"/>
      </w:pPr>
      <w:r>
        <w:rPr>
          <w:sz w:val="18"/>
        </w:rPr>
        <w:t>——————————————————————————————————————————————————————————————————————</w:t>
      </w:r>
    </w:p>
    <w:p>
      <w:pPr>
        <w:spacing w:before="160" w:after="40" w:line="240" w:lineRule="auto"/>
      </w:pPr>
      <w:r>
        <w:rPr>
          <w:b/>
        </w:rPr>
        <w:t xml:space="preserve">[382] </w:t>
      </w:r>
      <w:hyperlink r:id="rId560">
        <w:r>
          <w:rPr>
            <w:color w:val="1155CC"/>
            <w:u w:val="single"/>
          </w:rPr>
          <w:t>赋予具有双循环心脏的植物以刺激二氧化碳固化</w:t>
        </w:r>
      </w:hyperlink>
    </w:p>
    <w:p>
      <w:pPr>
        <w:spacing w:before="0" w:after="80"/>
      </w:pPr>
      <w:r>
        <w:rPr>
          <w:i/>
          <w:sz w:val="20"/>
        </w:rPr>
        <w:t>EN: Endowing plants with a dual-cycle heart to boost CO2 fixation</w:t>
      </w:r>
    </w:p>
    <w:p>
      <w:pPr>
        <w:spacing w:before="0" w:after="120"/>
      </w:pPr>
      <w:r>
        <w:rPr>
          <w:b/>
        </w:rPr>
        <w:t xml:space="preserve">Source: </w:t>
      </w:r>
      <w:r>
        <w:t>National Science Review Advance Access</w:t>
      </w:r>
      <w:r>
        <w:t xml:space="preserve">    </w:t>
      </w:r>
      <w:r>
        <w:rPr>
          <w:b/>
        </w:rPr>
        <w:t xml:space="preserve">Pub date: </w:t>
      </w:r>
      <w:r>
        <w:t>2026-01-28 00:00:00+00:00</w:t>
      </w:r>
      <w:r>
        <w:t xml:space="preserve">    </w:t>
      </w:r>
      <w:r>
        <w:rPr>
          <w:b/>
        </w:rPr>
        <w:t xml:space="preserve">DOI: </w:t>
      </w:r>
      <w:hyperlink r:id="rId561">
        <w:r>
          <w:rPr>
            <w:color w:val="1155CC"/>
            <w:u w:val="single"/>
          </w:rPr>
          <w:t>10.1093/nsr/nwag054/8443360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[383] </w:t>
      </w:r>
      <w:hyperlink r:id="rId562">
        <w:r>
          <w:rPr>
            <w:color w:val="1155CC"/>
            <w:u w:val="single"/>
          </w:rPr>
          <w:t>交织双层系统:探索突发量子现象的多功能平台</w:t>
        </w:r>
      </w:hyperlink>
    </w:p>
    <w:p>
      <w:pPr>
        <w:spacing w:before="0" w:after="80"/>
      </w:pPr>
      <w:r>
        <w:rPr>
          <w:i/>
          <w:sz w:val="20"/>
        </w:rPr>
        <w:t>EN: Twisted bilayer systems: a versatile platform for exploring emergent quantum phenomena</w:t>
      </w:r>
    </w:p>
    <w:p>
      <w:pPr>
        <w:spacing w:before="0" w:after="120"/>
      </w:pPr>
      <w:r>
        <w:rPr>
          <w:b/>
        </w:rPr>
        <w:t xml:space="preserve">Source: </w:t>
      </w:r>
      <w:r>
        <w:t>National Science Review Advance Access</w:t>
      </w:r>
      <w:r>
        <w:t xml:space="preserve">    </w:t>
      </w:r>
      <w:r>
        <w:rPr>
          <w:b/>
        </w:rPr>
        <w:t xml:space="preserve">Pub date: </w:t>
      </w:r>
      <w:r>
        <w:t>2026-01-28 00:00:00+00:00</w:t>
      </w:r>
      <w:r>
        <w:t xml:space="preserve">    </w:t>
      </w:r>
      <w:r>
        <w:rPr>
          <w:b/>
        </w:rPr>
        <w:t xml:space="preserve">DOI: </w:t>
      </w:r>
      <w:hyperlink r:id="rId563">
        <w:r>
          <w:rPr>
            <w:color w:val="1155CC"/>
            <w:u w:val="single"/>
          </w:rPr>
          <w:t>10.1093/nsr/nwag057/8443335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[384] </w:t>
      </w:r>
      <w:hyperlink r:id="rId564">
        <w:r>
          <w:rPr>
            <w:color w:val="1155CC"/>
            <w:u w:val="single"/>
          </w:rPr>
          <w:t>解除电池电极内干扰粒子紧张动态</w:t>
        </w:r>
      </w:hyperlink>
    </w:p>
    <w:p>
      <w:pPr>
        <w:spacing w:before="0" w:after="80"/>
      </w:pPr>
      <w:r>
        <w:rPr>
          <w:i/>
          <w:sz w:val="20"/>
        </w:rPr>
        <w:t>EN: Unraveling the interparticle strain dynamics in battery electrodes</w:t>
      </w:r>
    </w:p>
    <w:p>
      <w:pPr>
        <w:spacing w:before="0" w:after="120"/>
      </w:pPr>
      <w:r>
        <w:rPr>
          <w:b/>
        </w:rPr>
        <w:t xml:space="preserve">Source: </w:t>
      </w:r>
      <w:r>
        <w:t>National Science Review Advance Access</w:t>
      </w:r>
      <w:r>
        <w:t xml:space="preserve">    </w:t>
      </w:r>
      <w:r>
        <w:rPr>
          <w:b/>
        </w:rPr>
        <w:t xml:space="preserve">Pub date: </w:t>
      </w:r>
      <w:r>
        <w:t>2026-01-28 00:00:00+00:00</w:t>
      </w:r>
      <w:r>
        <w:t xml:space="preserve">    </w:t>
      </w:r>
      <w:r>
        <w:rPr>
          <w:b/>
        </w:rPr>
        <w:t xml:space="preserve">DOI: </w:t>
      </w:r>
      <w:hyperlink r:id="rId565">
        <w:r>
          <w:rPr>
            <w:color w:val="1155CC"/>
            <w:u w:val="single"/>
          </w:rPr>
          <w:t>10.1093/nsr/nwag059/8443361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[385] </w:t>
      </w:r>
      <w:hyperlink r:id="rId566">
        <w:r>
          <w:rPr>
            <w:color w:val="1155CC"/>
            <w:u w:val="single"/>
          </w:rPr>
          <w:t>Fiber-Fiber型水形双离电电池组,将整变和合成功能结合起来</w:t>
        </w:r>
      </w:hyperlink>
    </w:p>
    <w:p>
      <w:pPr>
        <w:spacing w:before="0" w:after="80"/>
      </w:pPr>
      <w:r>
        <w:rPr>
          <w:i/>
          <w:sz w:val="20"/>
        </w:rPr>
        <w:t>EN: Fiber-shaped aqueous dual-ion batteries integrating rectification and synaptic functions</w:t>
      </w:r>
    </w:p>
    <w:p>
      <w:pPr>
        <w:spacing w:before="0" w:after="120"/>
      </w:pPr>
      <w:r>
        <w:rPr>
          <w:b/>
        </w:rPr>
        <w:t xml:space="preserve">Source: </w:t>
      </w:r>
      <w:r>
        <w:t>National Science Review Advance Access</w:t>
      </w:r>
      <w:r>
        <w:t xml:space="preserve">    </w:t>
      </w:r>
      <w:r>
        <w:rPr>
          <w:b/>
        </w:rPr>
        <w:t xml:space="preserve">Pub date: </w:t>
      </w:r>
      <w:r>
        <w:t>2026-01-28 00:00:00+00:00</w:t>
      </w:r>
      <w:r>
        <w:t xml:space="preserve">    </w:t>
      </w:r>
      <w:r>
        <w:rPr>
          <w:b/>
        </w:rPr>
        <w:t xml:space="preserve">DOI: </w:t>
      </w:r>
      <w:hyperlink r:id="rId567">
        <w:r>
          <w:rPr>
            <w:color w:val="1155CC"/>
            <w:u w:val="single"/>
          </w:rPr>
          <w:t>10.1093/nsr/nwag062/8443349</w:t>
        </w:r>
      </w:hyperlink>
    </w:p>
    <w:p>
      <w:pPr>
        <w:spacing w:before="0" w:after="120"/>
      </w:pPr>
      <w:r>
        <w:rPr>
          <w:b/>
        </w:rPr>
        <w:t xml:space="preserve">Notes: </w:t>
      </w:r>
      <w:r>
        <w:t>abstract_source=rss_oup</w:t>
      </w:r>
    </w:p>
    <w:p>
      <w:pPr>
        <w:spacing w:before="0" w:after="80" w:lineRule="auto" w:line="276"/>
      </w:pPr>
      <w:r>
        <w:rPr>
          <w:b/>
        </w:rPr>
        <w:t xml:space="preserve">摘要（ZH）: </w:t>
      </w:r>
      <w:r>
        <w:t>日益采用可磨损电子产品正在刺激轻量、高度耐腐的织物系统的发展,这些系统需要无缝地融合多种功能,包括能源储存、信号校正和神经形态计算,然而,将这些不同功能纳入单一纤维结构仍是一项重大挑战,这主要是由于物质兼容性和不同的操作机制造成的。为了应对这一挑战,我们介绍了由CuHCF/CNTF阴极、Ag/CNTF阳极和NH4Cl/PVA凝胶电解液组成的新型纤维状水水化双离子电池(FADIBs),这种两离子结构是将这些通常不同的功能内在结合的统一平台。具体地说,FADIBs实现了一个统一平台。</w:t>
      </w:r>
    </w:p>
    <w:p>
      <w:pPr>
        <w:spacing w:before="0" w:after="200" w:lineRule="auto" w:line="276"/>
      </w:pPr>
      <w:r>
        <w:rPr>
          <w:b/>
        </w:rPr>
        <w:t xml:space="preserve">Abstract (EN): </w:t>
      </w:r>
      <w:r>
        <w:t>The growing adoption of wearable electronics is spurring the development of lightweight, highly integrable fabric systems. These systems are required to seamlessly merge multiple functions, including energy storage, signal rectification and neuromorphic computing. However, integrating these diverse functionalities into a single fiber structure remains a significant challenge, primarily due to material compatibility issues and distinct operational mechanisms. To address this challenge, we present the novel fiber-shaped aqueous dual-ion batteries (FADIBs) composed of a CuHCF/CNTF cathode, an Ag/CNTF anode, and an NH4Cl/PVA gel electrolyte. This dual-ion configuration serves as a unified platform that inherently combines these typically disparate functions. Specifically, the FADIBs achieve a high energy density of 51.5 mWh cm-3 and an exceptional ionic rectification ratio of up to 109, facilitated by asymmetric ion migration. It also emulates artificial synaptic behavior with an ultra-low energy consumption of only 7.5 fJ per synaptic event. Furthermore, the versatility of the FADIBs allows the integration into various fabric-based functional modules, demonstrating applications in energy harvesting, power supply, and synaptic-controlled electrochromic regulation. This work establishes FADIBs as a foundational technology for multifunctional integration, providing prescient insights for future fabric systems that unify energy management, intelligent perception, and information processing.</w:t>
      </w:r>
    </w:p>
    <w:p>
      <w:pPr>
        <w:spacing w:before="120" w:after="120"/>
      </w:pPr>
      <w:r>
        <w:rPr>
          <w:sz w:val="18"/>
        </w:rPr>
        <w:t>——————————————————————————————————————————————————————————————————————</w:t>
      </w:r>
    </w:p>
    <w:p>
      <w:pPr>
        <w:spacing w:before="160" w:after="40" w:line="240" w:lineRule="auto"/>
      </w:pPr>
      <w:r>
        <w:rPr>
          <w:b/>
        </w:rPr>
        <w:t xml:space="preserve">[386] </w:t>
      </w:r>
      <w:hyperlink r:id="rId568">
        <w:r>
          <w:rPr>
            <w:color w:val="1155CC"/>
            <w:u w:val="single"/>
          </w:rPr>
          <w:t>朝着建立微型人类肝脏迈出的一步</w:t>
        </w:r>
      </w:hyperlink>
    </w:p>
    <w:p>
      <w:pPr>
        <w:spacing w:before="0" w:after="80"/>
      </w:pPr>
      <w:r>
        <w:rPr>
          <w:i/>
          <w:sz w:val="20"/>
        </w:rPr>
        <w:t>EN: A step towards building miniature human livers</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[387] </w:t>
      </w:r>
      <w:hyperlink r:id="rId569">
        <w:r>
          <w:rPr>
            <w:color w:val="1155CC"/>
            <w:u w:val="single"/>
          </w:rPr>
          <w:t>XZ -74分区的不幸招录</w:t>
        </w:r>
      </w:hyperlink>
    </w:p>
    <w:p>
      <w:pPr>
        <w:spacing w:before="0" w:after="80"/>
      </w:pPr>
      <w:r>
        <w:rPr>
          <w:i/>
          <w:sz w:val="20"/>
        </w:rPr>
        <w:t>EN: The unfortunate embossing of Subsector XZ-74</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[388] </w:t>
      </w:r>
      <w:hyperlink r:id="rId570">
        <w:r>
          <w:rPr>
            <w:color w:val="1155CC"/>
            <w:u w:val="single"/>
          </w:rPr>
          <w:t>现在比以往更需要维基百科,25年了</w:t>
        </w:r>
      </w:hyperlink>
    </w:p>
    <w:p>
      <w:pPr>
        <w:spacing w:before="0" w:after="80"/>
      </w:pPr>
      <w:r>
        <w:rPr>
          <w:i/>
          <w:sz w:val="20"/>
        </w:rPr>
        <w:t>EN: Wikipedia is needed now more than ever, 25 years on</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[389] </w:t>
      </w:r>
      <w:hyperlink r:id="rId571">
        <w:r>
          <w:rPr>
            <w:color w:val="1155CC"/>
            <w:u w:val="single"/>
          </w:rPr>
          <w:t>在一个自主的轻光驱动分子发动机中进行波长慢速方向旋转</w:t>
        </w:r>
      </w:hyperlink>
    </w:p>
    <w:p>
      <w:pPr>
        <w:spacing w:before="0" w:after="80"/>
      </w:pPr>
      <w:r>
        <w:rPr>
          <w:i/>
          <w:sz w:val="20"/>
        </w:rPr>
        <w:t>EN: Wavelength-steered directional rotation in an autonomous light-driven molecular motor</w:t>
      </w:r>
    </w:p>
    <w:p>
      <w:pPr>
        <w:spacing w:before="0" w:after="120"/>
      </w:pPr>
      <w:r>
        <w:rPr>
          <w:b/>
        </w:rPr>
        <w:t xml:space="preserve">Source: </w:t>
      </w:r>
      <w:r>
        <w:t>Nature Chemistry</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人造分子运动是纳米技术研究的前沿,因为它们有能力通过利用分子规模的定向控制运动来完成任务。光驱动纳米运动的发展是一项特别艰巨的任务,对开发日光动力系统和活性材料具有巨大的潜力。这里我们描述的是,在利用光异构化时形成非异化物种的三角反应周期上运行的1个合成氮光化学分子旋转运动。这些诊断器的不同热稳定性和光化学反应性使得能够将C-N单一连接的热旋转和2个先行的光诱导配置调整组合结合起来的净定向运动。</w:t>
      </w:r>
    </w:p>
    <w:p>
      <w:pPr>
        <w:spacing w:before="0" w:after="200" w:lineRule="auto" w:line="276"/>
      </w:pPr>
      <w:r>
        <w:rPr>
          <w:b/>
        </w:rPr>
        <w:t xml:space="preserve">Abstract (EN): </w:t>
      </w:r>
      <w:r>
        <w:t>Artificial molecular motors are at the forefront of research in nanotechnology due to their ability to perform tasks by harnessing directionally controlled motion at the molecular scale. The development of light-driven nanomotors is a particularly challenging task that holds great potential for the development of sunlight-powered systems and active materials. Here we describe an azoimidazolium photochemical molecular rotary motor which operates along a triangular reaction cycle exploiting the formation of diastereomeric species upon photoisomerisation. The different thermal stability and photochemical reactivity of these diastereomers permit net directional motion combining a thermal rotation about a C–N single bond and two light-induced configurational rearrangements that proceed predominantly through a rotational mechanism, as corroborated by computational studies. The composition of the dissipative state obtained upon continuous supply of light can be modified by changing the irradiation wavelength, and as a result, the preferred rotation direction of the motor is inverted.</w:t>
      </w:r>
    </w:p>
    <w:p>
      <w:pPr>
        <w:spacing w:before="120" w:after="120"/>
      </w:pPr>
      <w:r>
        <w:rPr>
          <w:sz w:val="18"/>
        </w:rPr>
        <w:t>——————————————————————————————————————————————————————————————————————</w:t>
      </w:r>
    </w:p>
    <w:p>
      <w:pPr>
        <w:spacing w:before="160" w:after="40" w:line="240" w:lineRule="auto"/>
      </w:pPr>
      <w:r>
        <w:rPr>
          <w:b/>
        </w:rPr>
        <w:t xml:space="preserve">[390] </w:t>
      </w:r>
      <w:hyperlink r:id="rId572">
        <w:r>
          <w:rPr>
            <w:color w:val="1155CC"/>
            <w:u w:val="single"/>
          </w:rPr>
          <w:t>电力网过渡一体化的当务之急</w:t>
        </w:r>
      </w:hyperlink>
    </w:p>
    <w:p>
      <w:pPr>
        <w:spacing w:before="0" w:after="80"/>
      </w:pPr>
      <w:r>
        <w:rPr>
          <w:i/>
          <w:sz w:val="20"/>
        </w:rPr>
        <w:t>EN: The integration imperative in electricity grid transition</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[391] </w:t>
      </w:r>
      <w:hyperlink r:id="rId573">
        <w:r>
          <w:rPr>
            <w:color w:val="1155CC"/>
            <w:u w:val="single"/>
          </w:rPr>
          <w:t>校正:UKB-MDRMF:基于英国生物库数据的多重疾病风险和多发性框架</w:t>
        </w:r>
      </w:hyperlink>
    </w:p>
    <w:p>
      <w:pPr>
        <w:spacing w:before="0" w:after="80"/>
      </w:pPr>
      <w:r>
        <w:rPr>
          <w:i/>
          <w:sz w:val="20"/>
        </w:rPr>
        <w:t>EN: Author Correction: UKB-MDRMF: a multi-disease risk and multimorbidity framework based on UK biobank data</w:t>
      </w:r>
    </w:p>
    <w:p>
      <w:pPr>
        <w:spacing w:before="0" w:after="120"/>
      </w:pPr>
      <w:r>
        <w:rPr>
          <w:b/>
        </w:rPr>
        <w:t xml:space="preserve">Source: </w:t>
      </w:r>
      <w:r>
        <w:t>Nature Communications</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[392] </w:t>
      </w:r>
      <w:hyperlink r:id="rId574">
        <w:r>
          <w:rPr>
            <w:color w:val="1155CC"/>
            <w:u w:val="single"/>
          </w:rPr>
          <w:t>智能药箱干预措施的成本效益,以遵守艾滋病毒接触前的口服艾滋病毒预防预防</w:t>
        </w:r>
      </w:hyperlink>
    </w:p>
    <w:p>
      <w:pPr>
        <w:spacing w:before="0" w:after="80"/>
      </w:pPr>
      <w:r>
        <w:rPr>
          <w:i/>
          <w:sz w:val="20"/>
        </w:rPr>
        <w:t>EN: Cost-effectiveness of a smart pillbox intervention for adherence to oral HIV pre-exposure prophylaxis</w:t>
      </w:r>
    </w:p>
    <w:p>
      <w:pPr>
        <w:spacing w:before="0" w:after="120"/>
      </w:pPr>
      <w:r>
        <w:rPr>
          <w:b/>
        </w:rPr>
        <w:t xml:space="preserve">Source: </w:t>
      </w:r>
      <w:r>
        <w:t>Nature Communications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尽管在接触前的口服预防(PrEP)效果得到证明,但男男性行为者的坚持(MSM)障碍依然存在。数字坚持工具在中低收入国家的经济可行性需要验证。我们从卫生系统、多付款人和社会角度评估了数字干预在中国实时加强口服PrEP(PrEP)遵守(PrEP)的六个月内成本效益,从卫生系统、多付款人和社会角度对数字坚持工具的经济可行性进行了评估,利用质量调整寿命年(QAYs)和PrEP遵守日(PADs)评估了有效性。在442名参与者(247个干预,195个标准护理)中,智能药箱干预获得的每QALY增加成本为19 575.93美元(保健系统)、19 656.66美元(多付款人)和19,84美元。</w:t>
      </w:r>
    </w:p>
    <w:p>
      <w:pPr>
        <w:spacing w:before="0" w:after="200" w:lineRule="auto" w:line="276"/>
      </w:pPr>
      <w:r>
        <w:rPr>
          <w:b/>
        </w:rPr>
        <w:t xml:space="preserve">Abstract (EN): </w:t>
      </w:r>
      <w:r>
        <w:t>Despite proven oral pre-exposure prophylaxis (PrEP) efficacy, adherence barriers among men who have sex with men (MSM) persist. Economic viability of digital adherence tools in low- and middle-income countries (LMICs) requires validation. We assessed the 6-month within-trial cost-effectiveness of a digital intervention for real-time enhancement of oral PrEP adherence (DIRECT-PrEP) in China, from health system, multipayer, and societal perspectives. Costs were derived from hospital records, and effectiveness was evaluated using quality-adjusted life-years (QALYs) and PrEP-adherence days (PADs). Among 442 participants (247 intervention, 195 standard care), incremental costs per QALY gained for the smart pillbox intervention were $19,575.93 (health system), $19,656.66 (multipayer), and $19,844.42 (societal)—all below the cost-effectiveness threshold of three times per capita gross domestic product ($31,200). Costs per PAD gained were $30.46–$30.86, achieving &gt;95% probability of cost-effectiveness at willingness-to-pay thresholds of $47.50–$48.50 per PAD. Notably, the intervention demonstrated greater cost-effectiveness per QALY among participants stratified as more socially vulnerable ($16,259.77–$16,490.41) compared with those classified as less socially vulnerable ($23,514.83–$23,834.38). These results establish the smart-pillbox digital intervention as a cost-effective strategy for oral PrEP adherence within primary healthcare settings in LMICs, particularly when prioritizing more socially vulnerable populations, though long-term scalability requires further validation.</w:t>
      </w:r>
    </w:p>
    <w:p>
      <w:pPr>
        <w:spacing w:before="120" w:after="120"/>
      </w:pPr>
      <w:r>
        <w:rPr>
          <w:sz w:val="18"/>
        </w:rPr>
        <w:t>——————————————————————————————————————————————————————————————————————</w:t>
      </w:r>
    </w:p>
    <w:p>
      <w:pPr>
        <w:spacing w:before="160" w:after="40" w:line="240" w:lineRule="auto"/>
      </w:pPr>
      <w:r>
        <w:rPr>
          <w:b/>
        </w:rPr>
        <w:t xml:space="preserve">[393] </w:t>
      </w:r>
      <w:hyperlink r:id="rId575">
        <w:r>
          <w:rPr>
            <w:color w:val="1155CC"/>
            <w:u w:val="single"/>
          </w:rPr>
          <w:t>气候机会和避免反竞争的风险</w:t>
        </w:r>
      </w:hyperlink>
    </w:p>
    <w:p>
      <w:pPr>
        <w:spacing w:before="0" w:after="80"/>
      </w:pPr>
      <w:r>
        <w:rPr>
          <w:i/>
          <w:sz w:val="20"/>
        </w:rPr>
        <w:t>EN: The climate opportunities and risks of contrail avoidance</w:t>
      </w:r>
    </w:p>
    <w:p>
      <w:pPr>
        <w:spacing w:before="0" w:after="120"/>
      </w:pPr>
      <w:r>
        <w:rPr>
          <w:b/>
        </w:rPr>
        <w:t xml:space="preserve">Source: </w:t>
      </w:r>
      <w:r>
        <w:t>Nature Communications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避免航行违规为快速减少航空可归因于航空的升温提供了一个机会。 在这里, 我们使用航空气候和空气质量影响模型来评估到2050年避免天线导致的全球温度变化。 如果不采取避免措施, 预计到2050年,航空将促成0.040K二氧化碳升温,0.054K天天线变暖。 航空二氧化碳和天线变暖加热是当前气温和工业前水平+2°C极限之间的差异的19%,即我们剩余温度预算的19%。 2035-2045年分阶段的避免战略可能收回这一预算的9%,但10年的延迟可能会将这一损失降低到2%。 避免期间排放的额外二氧化碳引起的升温是两份巨度订单。</w:t>
      </w:r>
    </w:p>
    <w:p>
      <w:pPr>
        <w:spacing w:before="0" w:after="200" w:lineRule="auto" w:line="276"/>
      </w:pPr>
      <w:r>
        <w:rPr>
          <w:b/>
        </w:rPr>
        <w:t xml:space="preserve">Abstract (EN): </w:t>
      </w:r>
      <w:r>
        <w:t>Navigational contrail avoidance presents an opportunity for rapid reduction in aviation-attributable warming. Here, we use the Aviation Climate and Air Quality Impacts model to evaluate the global temperature changes associated with contrail avoidance towards 2050. If no avoidance is adopted, aviation is projected to contribute 0.040 K of CO2 warming and 0.054 K of contrail warming by 2050. The combined warming from aviation CO2 and contrails is 19% of the difference between current temperatures and the +2 °C limit above pre-Industrial levels, i.e. 19% of our remaining temperature budget. An avoidance strategy phased in over 2035-2045 may recover 9% of this budget, but a 10-year delay may reduce this to 2%. The warming due to additional CO2 emitted during avoidance is two orders of magnitude lower than the expected contrail warming reduction. For every year of delay, the world will be on average 0.003 K hotter in 2050. The most significant climate risk associated with contrail avoidance is therefore inaction.</w:t>
      </w:r>
    </w:p>
    <w:p>
      <w:pPr>
        <w:spacing w:before="120" w:after="120"/>
      </w:pPr>
      <w:r>
        <w:rPr>
          <w:sz w:val="18"/>
        </w:rPr>
        <w:t>——————————————————————————————————————————————————————————————————————</w:t>
      </w:r>
    </w:p>
    <w:p>
      <w:pPr>
        <w:spacing w:before="160" w:after="40" w:line="240" w:lineRule="auto"/>
      </w:pPr>
      <w:r>
        <w:rPr>
          <w:b/>
        </w:rPr>
        <w:t xml:space="preserve">[394] </w:t>
      </w:r>
      <w:hyperlink r:id="rId576">
        <w:r>
          <w:rPr>
            <w:color w:val="1155CC"/>
            <w:u w:val="single"/>
          </w:rPr>
          <w:t>通过无机分子平线调解员对敏感电子材料采用一种通用的全干微制造方法</w:t>
        </w:r>
      </w:hyperlink>
    </w:p>
    <w:p>
      <w:pPr>
        <w:spacing w:before="0" w:after="80"/>
      </w:pPr>
      <w:r>
        <w:rPr>
          <w:i/>
          <w:sz w:val="20"/>
        </w:rPr>
        <w:t>EN: A universal all-dry microfabrication method for sensitive electronic materials via an inorganic molecular lithographic mediator</w:t>
      </w:r>
    </w:p>
    <w:p>
      <w:pPr>
        <w:spacing w:before="0" w:after="120"/>
      </w:pPr>
      <w:r>
        <w:rPr>
          <w:b/>
        </w:rPr>
        <w:t xml:space="preserve">Source: </w:t>
      </w:r>
      <w:r>
        <w:t>Nature Communications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液晶学是制造微型/纳米模型和电子微型设备加工材料的关键,然而,常规有机聚合抗体不可避免地需要使用各种化学溶液或溶剂,特别是损害以原子层表面为特征的脆弱电子材料,特别是损害以原子层表面为特征的脆弱电子材料;在这方面,我们引进无机分子作为敏感电子材料处理的平面中间体,而无需直接接触溶液或溶剂;具体地说,无机的锂分子薄膜功能既是由于分子范德瓦斯分子间相互作用薄弱而指导结构的平面调节器,也是原子电子材料的保护封装层,同时又不损害结构和电子特性。</w:t>
      </w:r>
    </w:p>
    <w:p>
      <w:pPr>
        <w:spacing w:before="0" w:after="200" w:lineRule="auto" w:line="276"/>
      </w:pPr>
      <w:r>
        <w:rPr>
          <w:b/>
        </w:rPr>
        <w:t xml:space="preserve">Abstract (EN): </w:t>
      </w:r>
      <w:r>
        <w:t>Lithography is pivotal in fabricating micro/nanoscale patterns and processing materials for electronic microdevices. However, conventional organic polymeric resists inevitably entail the use of various chemical solutions or solvents, which especially compromise fragile electronic materials featuring atomic-level surfaces. Here, we introduce inorganic selenium molecules as a lithographic mediator for sensitive electronic material processing without direct exposure to solutions or solvents. Specifically, the inorganic selenium molecular film functions as both a lithographic mediator for direct patterning due to its weak intermolecular van der Waals interactions and as a protective encapsulation layer for atomic electronic materials without compromising structural and electronic characteristics. Wafer-scale arrays of sensitive materials with high-quality, sharp edges are facilely achieved by a non-destructive mechanical peeling of the selenium layer. This approach provides a solvent-free lithographic route for microfabricating sensitive materials and high-performance electronic devices.</w:t>
      </w:r>
    </w:p>
    <w:p>
      <w:pPr>
        <w:spacing w:before="120" w:after="120"/>
      </w:pPr>
      <w:r>
        <w:rPr>
          <w:sz w:val="18"/>
        </w:rPr>
        <w:t>——————————————————————————————————————————————————————————————————————</w:t>
      </w:r>
    </w:p>
    <w:p>
      <w:pPr>
        <w:spacing w:before="160" w:after="40" w:line="240" w:lineRule="auto"/>
      </w:pPr>
      <w:r>
        <w:rPr>
          <w:b/>
        </w:rPr>
        <w:t xml:space="preserve">[395] </w:t>
      </w:r>
      <w:hyperlink r:id="rId577">
        <w:r>
          <w:rPr>
            <w:color w:val="1155CC"/>
            <w:u w:val="single"/>
          </w:rPr>
          <w:t>利用冰川诱发的、经过训练的大型植物的外皮遗传和代谢再接线豁免,以加强结肠切癌疫苗反应</w:t>
        </w:r>
      </w:hyperlink>
    </w:p>
    <w:p>
      <w:pPr>
        <w:spacing w:before="0" w:after="80"/>
      </w:pPr>
      <w:r>
        <w:rPr>
          <w:i/>
          <w:sz w:val="20"/>
        </w:rPr>
        <w:t>EN: Leveraging glucan-induced trained immunity for the epigenetic and metabolic rewiring of macrophages to enhance colorectal cancer vaccine response</w:t>
      </w:r>
    </w:p>
    <w:p>
      <w:pPr>
        <w:spacing w:before="0" w:after="120"/>
      </w:pPr>
      <w:r>
        <w:rPr>
          <w:b/>
        </w:rPr>
        <w:t xml:space="preserve">Source: </w:t>
      </w:r>
      <w:r>
        <w:t>Nature Communications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直肠癌(CRC)仍然对大多数免疫性疗法有耐受性。 癌症疫苗由于免疫抑制性肿瘤微环境的免疫抑制而失败。 在这里,我们证明β-glucan — — 由诱导的训练有素的免疫性免疫通过H3K4me3依赖性成像改变和代谢再接线来重新规划巨形,克服了这些障碍。 在女性小鼠中,通过Peptide-涂层基于乙基病毒的疫苗PepticCrad,培训加强了使用CXCL9/10(CXCR3)生产中脊椎癌新陈代谢的凝解,使巨型细胞能够通过CXCR3(CR3)吸收纳戈尔诺-卡拉巴赫细胞。 反过来,NK细胞生产CCL5,驱动cDC1渗透和抗原演示,这些细胞将放大效应器记忆CD8+T反应。 此外,与人类周边血液单核细胞和CRC病人衍生的有机体一道,培训了马克。</w:t>
      </w:r>
    </w:p>
    <w:p>
      <w:pPr>
        <w:spacing w:before="0" w:after="200" w:lineRule="auto" w:line="276"/>
      </w:pPr>
      <w:r>
        <w:rPr>
          <w:b/>
        </w:rPr>
        <w:t xml:space="preserve">Abstract (EN): </w:t>
      </w:r>
      <w:r>
        <w:t>Colorectal cancer (CRC) remains refractory to most immunotherapies, with cancer vaccines failing due to an immunosuppressive tumor microenvironment. Here, we show that β-glucan–induced trained immunity overcomes these barriers by reprogramming macrophages through H3K4me3-dependent epigenetic modifications and metabolic rewiring. In female mice vaccinated with peptide-coated adenovirus-based vaccine PeptiCrad, training enhances glycolysis with creatine metabolism sustaining CXCL9/10 production, enabling macrophages to recruit NK cells via CXCR3. In turn, NK cells produce CCL5, driving cDC1 infiltration and antigen presentation, which together amplify effector memory CD8⁺ T cell responses. Moreover, with human peripheral blood mononuclear cells and CRC patient-derived organoids, trained macrophages boost NK migration, antigen-specific T cell activation, and tumor killing. These findings highlight trained immunity as a powerful adjuvant to reinvigorate colorectal cancer vaccination.</w:t>
      </w:r>
    </w:p>
    <w:p>
      <w:pPr>
        <w:spacing w:before="120" w:after="120"/>
      </w:pPr>
      <w:r>
        <w:rPr>
          <w:sz w:val="18"/>
        </w:rPr>
        <w:t>——————————————————————————————————————————————————————————————————————</w:t>
      </w:r>
    </w:p>
    <w:p>
      <w:pPr>
        <w:spacing w:before="160" w:after="40" w:line="240" w:lineRule="auto"/>
      </w:pPr>
      <w:r>
        <w:rPr>
          <w:b/>
        </w:rPr>
        <w:t xml:space="preserve">[396] </w:t>
      </w:r>
      <w:hyperlink r:id="rId578">
        <w:r>
          <w:rPr>
            <w:color w:val="1155CC"/>
            <w:u w:val="single"/>
          </w:rPr>
          <w:t>人类基因组综合同步重复目录</w:t>
        </w:r>
      </w:hyperlink>
    </w:p>
    <w:p>
      <w:pPr>
        <w:spacing w:before="0" w:after="80"/>
      </w:pPr>
      <w:r>
        <w:rPr>
          <w:i/>
          <w:sz w:val="20"/>
        </w:rPr>
        <w:t>EN: A comprehensive tandem repeat catalog of the human genome</w:t>
      </w:r>
    </w:p>
    <w:p>
      <w:pPr>
        <w:spacing w:before="0" w:after="120"/>
      </w:pPr>
      <w:r>
        <w:rPr>
          <w:b/>
        </w:rPr>
        <w:t xml:space="preserve">Source: </w:t>
      </w:r>
      <w:r>
        <w:t>Nature Communications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随着长期研究测序数据、高质量的人类基因组组和充分说明串联重复的软件的日益普及,在人口规模上对串联重复地层进行全基因组基因组的重复地层的基因组化变得更为可行,这些努力不仅扩大了我们对串联人类基因组重复地貌的知识,而且增强了我们区分病原体重复变异与良性多形态变异的能力。为此,我们分析了使用长读测序技术的272个个人的基因组数据集。在这里,我们报告了500多万串联重复地层的目录,其中许多以前没有说明。其中一些地层是高度多形态的,其中许多位于蛋白质编码序列中。</w:t>
      </w:r>
    </w:p>
    <w:p>
      <w:pPr>
        <w:spacing w:before="0" w:after="200" w:lineRule="auto" w:line="276"/>
      </w:pPr>
      <w:r>
        <w:rPr>
          <w:b/>
        </w:rPr>
        <w:t xml:space="preserve">Abstract (EN): </w:t>
      </w:r>
      <w:r>
        <w:t>With the increasing availability of long-read sequencing data, high-quality human genome assemblies, and software for fully characterizing tandem repeats, genome-wide genotyping of tandem repeat loci on a population scale is becoming more feasible. Such efforts not only expand our knowledge of the tandem repeat landscape in the human genome but also enhance our ability to differentiate pathogenic tandem repeat mutations from benign polymorphisms. To this end, we analyze genome datasets from 272 individuals that employ long-read sequencing technologies. Here, we report a catalog of over 5 million tandem repeat loci, many of which are previously unannotated. Some of these loci are highly polymorphic, and many of them reside within protein-coding sequences.</w:t>
      </w:r>
    </w:p>
    <w:p>
      <w:pPr>
        <w:spacing w:before="120" w:after="120"/>
      </w:pPr>
      <w:r>
        <w:rPr>
          <w:sz w:val="18"/>
        </w:rPr>
        <w:t>——————————————————————————————————————————————————————————————————————</w:t>
      </w:r>
    </w:p>
    <w:p>
      <w:pPr>
        <w:spacing w:before="160" w:after="40" w:line="240" w:lineRule="auto"/>
      </w:pPr>
      <w:r>
        <w:rPr>
          <w:b/>
        </w:rPr>
        <w:t xml:space="preserve">[397] </w:t>
      </w:r>
      <w:hyperlink r:id="rId579">
        <w:r>
          <w:rPr>
            <w:color w:val="1155CC"/>
            <w:u w:val="single"/>
          </w:rPr>
          <w:t>基于在驱动的Kerr反振器中两极对称断裂的相联性离子机</w:t>
        </w:r>
      </w:hyperlink>
    </w:p>
    <w:p>
      <w:pPr>
        <w:spacing w:before="0" w:after="80"/>
      </w:pPr>
      <w:r>
        <w:rPr>
          <w:i/>
          <w:sz w:val="20"/>
        </w:rPr>
        <w:t>EN: Coherent Ising machine based on polarization symmetry breaking in a driven Kerr resonator</w:t>
      </w:r>
    </w:p>
    <w:p>
      <w:pPr>
        <w:spacing w:before="0" w:after="120"/>
      </w:pPr>
      <w:r>
        <w:rPr>
          <w:b/>
        </w:rPr>
        <w:t xml:space="preserve">Source: </w:t>
      </w:r>
      <w:r>
        <w:t>Nature Communications</w:t>
      </w:r>
      <w:r>
        <w:t xml:space="preserve">    </w:t>
      </w:r>
      <w:r>
        <w:rPr>
          <w:b/>
        </w:rPr>
        <w:t xml:space="preserve">Pub date: </w:t>
      </w:r>
      <w:r>
        <w:t>2026-01-28 00:00:00+00:00</w:t>
      </w:r>
    </w:p>
    <w:p>
      <w:pPr>
        <w:spacing w:before="0" w:after="120"/>
      </w:pPr>
      <w:r>
        <w:rPr>
          <w:b/>
        </w:rPr>
        <w:t xml:space="preserve">Notes: </w:t>
      </w:r>
      <w:r>
        <w:t>abstract_source=nature_html</w:t>
      </w:r>
    </w:p>
    <w:p>
      <w:pPr>
        <w:spacing w:before="0" w:after="80" w:lineRule="auto" w:line="276"/>
      </w:pPr>
      <w:r>
        <w:rPr>
          <w:b/>
        </w:rPr>
        <w:t xml:space="preserve">摘要（ZH）: </w:t>
      </w:r>
      <w:r>
        <w:t>光学分辨振荡器的多时间多变网络在模拟混合的Ising旋转中取得了显著的成功,从而为解决复杂的组合优化问题提供了一条有希望的道路。 在这些系统(被称为一致的Ising机器)中,螺旋在振荡器阶段被编码,并在系统输出时使用对阶段敏感的技术进行测量,从而使得复杂的阶段稳定成为必要。在这里,我们引入了基于自发两极分化对称破解的光学引线机,它是一个连续驱动的纤维Kerr非线性振荡器。 在我们的建筑中,螺旋在两极分化状态中被编码,允许用现成的电信部件进行强力、全敏度的读出。通过在新发现的系统运行,在非现成的系统中进行非现成的运行。</w:t>
      </w:r>
    </w:p>
    <w:p>
      <w:pPr>
        <w:spacing w:before="0" w:after="200" w:lineRule="auto" w:line="276"/>
      </w:pPr>
      <w:r>
        <w:rPr>
          <w:b/>
        </w:rPr>
        <w:t xml:space="preserve">Abstract (EN): </w:t>
      </w:r>
      <w:r>
        <w:t>Time-multiplexed networks of degenerate optical parametric oscillators have demonstrated remarkable success in simulating coupled Ising spins, thus providing a promising route to solving complex combinatorial optimization problems. In these systems, referred to as coherent Ising machines, spins are encoded in the oscillator phases, and measured at the system output using phase-sensitive techniques, making intricate phase stabilization necessary. Here, we introduce an optical Ising machine based on spontaneous polarization symmetry breaking in a coherently driven fiber Kerr nonlinear resonator. In our architecture, the spins are encoded in the polarization state, allowing robust, all-intensity readout with off-the-shelf telecom components. By operating in a newly-discovered regime where nonlinearity and topology lock the system’s symmetry, we eliminate drift and bias, enabling uninterrupted Ising trials at optical speeds for over an hour, without manual intervention. This all-fiber platform not only simplifies the hardware but also opens a path to more stable, high-throughput coherent optical optimization devices for applications from finance to drug design and beyond.</w:t>
      </w:r>
    </w:p>
    <w:p>
      <w:pPr>
        <w:spacing w:before="120" w:after="120"/>
      </w:pPr>
      <w:r>
        <w:rPr>
          <w:sz w:val="18"/>
        </w:rPr>
        <w:t>——————————————————————————————————————————————————————————————————————</w:t>
      </w:r>
    </w:p>
    <w:p>
      <w:pPr>
        <w:spacing w:before="160" w:after="40" w:line="240" w:lineRule="auto"/>
      </w:pPr>
      <w:r>
        <w:rPr>
          <w:b/>
        </w:rPr>
        <w:t xml:space="preserve">[398] </w:t>
      </w:r>
      <w:hyperlink r:id="rId580">
        <w:r>
          <w:rPr>
            <w:color w:val="1155CC"/>
            <w:u w:val="single"/>
          </w:rPr>
          <w:t>AI聊天机正在渗透到社会科学调查中,</w:t>
        </w:r>
      </w:hyperlink>
    </w:p>
    <w:p>
      <w:pPr>
        <w:spacing w:before="0" w:after="80"/>
      </w:pPr>
      <w:r>
        <w:rPr>
          <w:i/>
          <w:sz w:val="20"/>
        </w:rPr>
        <w:t>EN: AI chatbots are infiltrating social-science surveys — and getting better at avoiding detection</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581">
        <w:r>
          <w:rPr>
            <w:color w:val="1155CC"/>
            <w:u w:val="single"/>
          </w:rPr>
          <w:t>通过热 [2+2] 循环增加的双环烷烷桥双环烷桥</w:t>
        </w:r>
      </w:hyperlink>
    </w:p>
    <w:p>
      <w:pPr>
        <w:spacing w:before="0" w:after="80"/>
      </w:pPr>
      <w:r>
        <w:rPr>
          <w:i/>
          <w:sz w:val="20"/>
        </w:rPr>
        <w:t>EN: Bridged bicycloalkanes through thermal [2+2] cycloaddition</w:t>
      </w:r>
    </w:p>
    <w:p>
      <w:pPr>
        <w:spacing w:before="0" w:after="120"/>
      </w:pPr>
      <w:r>
        <w:rPr>
          <w:b/>
        </w:rPr>
        <w:t xml:space="preserve">Source: </w:t>
      </w:r>
      <w:r>
        <w:t>Nature Chemistry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[400] </w:t>
      </w:r>
      <w:hyperlink r:id="rId582">
        <w:r>
          <w:rPr>
            <w:color w:val="1155CC"/>
            <w:u w:val="single"/>
          </w:rPr>
          <w:t>你真正需要多少锻炼?</w:t>
        </w:r>
      </w:hyperlink>
    </w:p>
    <w:p>
      <w:pPr>
        <w:spacing w:before="0" w:after="80"/>
      </w:pPr>
      <w:r>
        <w:rPr>
          <w:i/>
          <w:sz w:val="20"/>
        </w:rPr>
        <w:t>EN: How much exercise do you really need?</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[401] </w:t>
      </w:r>
      <w:hyperlink r:id="rId583">
        <w:r>
          <w:rPr>
            <w:color w:val="1155CC"/>
            <w:u w:val="single"/>
          </w:rPr>
          <w:t>深海机器人将寻找神秘的“黑暗氧气”来源。</w:t>
        </w:r>
      </w:hyperlink>
    </w:p>
    <w:p>
      <w:pPr>
        <w:spacing w:before="0" w:after="80"/>
      </w:pPr>
      <w:r>
        <w:rPr>
          <w:i/>
          <w:sz w:val="20"/>
        </w:rPr>
        <w:t>EN: Deep-sea robots will search for source of mysterious ‘dark oxygen’</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[402] </w:t>
      </w:r>
      <w:hyperlink r:id="rId584">
        <w:r>
          <w:rPr>
            <w:color w:val="1155CC"/>
            <w:u w:val="single"/>
          </w:rPr>
          <w:t>鼠鼠研究指出,心脏病发作的损伤来自大脑信号</w:t>
        </w:r>
      </w:hyperlink>
    </w:p>
    <w:p>
      <w:pPr>
        <w:spacing w:before="0" w:after="80"/>
      </w:pPr>
      <w:r>
        <w:rPr>
          <w:i/>
          <w:sz w:val="20"/>
        </w:rPr>
        <w:t>EN: Damage from a heart attack comes from brain signals, mouse study suggests</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[403] </w:t>
      </w:r>
      <w:hyperlink r:id="rId585">
        <w:r>
          <w:rPr>
            <w:color w:val="1155CC"/>
            <w:u w:val="single"/>
          </w:rPr>
          <w:t>拥抱电催化变化</w:t>
        </w:r>
      </w:hyperlink>
    </w:p>
    <w:p>
      <w:pPr>
        <w:spacing w:before="0" w:after="80"/>
      </w:pPr>
      <w:r>
        <w:rPr>
          <w:i/>
          <w:sz w:val="20"/>
        </w:rPr>
        <w:t>EN: Embracing change in electrocatalysis</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[404] </w:t>
      </w:r>
      <w:hyperlink r:id="rId586">
        <w:r>
          <w:rPr>
            <w:color w:val="1155CC"/>
            <w:u w:val="single"/>
          </w:rPr>
          <w:t>仅仅做一点锻炼就能给健康带来惊人的巨大好处</w:t>
        </w:r>
      </w:hyperlink>
    </w:p>
    <w:p>
      <w:pPr>
        <w:spacing w:before="0" w:after="80"/>
      </w:pPr>
      <w:r>
        <w:rPr>
          <w:i/>
          <w:sz w:val="20"/>
        </w:rPr>
        <w:t>EN: The surprisingly big health benefits of just a little exercise</w:t>
      </w:r>
    </w:p>
    <w:p>
      <w:pPr>
        <w:spacing w:before="0" w:after="120"/>
      </w:pPr>
      <w:r>
        <w:rPr>
          <w:b/>
        </w:rPr>
        <w:t xml:space="preserve">Source: </w:t>
      </w:r>
      <w:r>
        <w:t>Nature</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[405] </w:t>
      </w:r>
      <w:hyperlink r:id="rId587">
        <w:r>
          <w:rPr>
            <w:color w:val="1155CC"/>
            <w:u w:val="single"/>
          </w:rPr>
          <w:t>司法作为能源过渡成功的一项衡量标准</w:t>
        </w:r>
      </w:hyperlink>
    </w:p>
    <w:p>
      <w:pPr>
        <w:spacing w:before="0" w:after="80"/>
      </w:pPr>
      <w:r>
        <w:rPr>
          <w:i/>
          <w:sz w:val="20"/>
        </w:rPr>
        <w:t>EN: Justice as a measure of energy transition success</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[406] </w:t>
      </w:r>
      <w:hyperlink r:id="rId588">
        <w:r>
          <w:rPr>
            <w:color w:val="1155CC"/>
            <w:u w:val="single"/>
          </w:rPr>
          <w:t>通过综合系统改造城市能源</w:t>
        </w:r>
      </w:hyperlink>
    </w:p>
    <w:p>
      <w:pPr>
        <w:spacing w:before="0" w:after="80"/>
      </w:pPr>
      <w:r>
        <w:rPr>
          <w:i/>
          <w:sz w:val="20"/>
        </w:rPr>
        <w:t>EN: Urban energy transformation through integrated systems</w:t>
      </w:r>
    </w:p>
    <w:p>
      <w:pPr>
        <w:spacing w:before="0" w:after="120"/>
      </w:pPr>
      <w:r>
        <w:rPr>
          <w:b/>
        </w:rPr>
        <w:t xml:space="preserve">Source: </w:t>
      </w:r>
      <w:r>
        <w:t>Nature Energy</w:t>
      </w:r>
      <w:r>
        <w:t xml:space="preserve">    </w:t>
      </w:r>
      <w:r>
        <w:rPr>
          <w:b/>
        </w:rPr>
        <w:t xml:space="preserve">Pub date: </w:t>
      </w:r>
      <w:r>
        <w:t>2026-01-28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[407] </w:t>
      </w:r>
      <w:hyperlink r:id="rId589">
        <w:r>
          <w:rPr>
            <w:color w:val="1155CC"/>
            <w:u w:val="single"/>
          </w:rPr>
          <w:t>RIN3 影响阿尔茨海默氏病结合的RIN3突变-相关蛋白BIN1导致RAB5高活化和内分泌病理</w:t>
        </w:r>
      </w:hyperlink>
    </w:p>
    <w:p>
      <w:pPr>
        <w:spacing w:before="0" w:after="80"/>
      </w:pPr>
      <w:r>
        <w:rPr>
          <w:i/>
          <w:sz w:val="20"/>
        </w:rPr>
        <w:t>EN: RIN3 mutations impairing binding of the Alzheimer’s disease–associated protein BIN1 lead to RAB5 hyperactivation and endosomal pathology</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590">
        <w:r>
          <w:rPr>
            <w:color w:val="1155CC"/>
            <w:u w:val="single"/>
          </w:rPr>
          <w:t>10.1126/sciadv.adx2127</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阿尔茨海默氏病(AD)风险受到遗传变异的强烈影响,这些变异会聚于调节内分泌同源软体的路径上。 其中,BIN1和RIN3已经作为易感基因出现,但它们在AD中的功能关系仍然鲜为人知。 在这里,我们调查了BIN1和RIN3互动如何调节RAB5活动和内分泌病理。 RIN3已证明将BIN1捆绑在一起,我们以前曾报告过这种相互作用调节了氨基-β(Aβ)前体蛋白(APP)贩运和体外活体内Aβ(Aβ)一代。 为了推广这些发现,我们使用了Rin3 组织击杀小鼠(Rin3-CKO ) 和 CRISP-Cas9-经编辑的Cashu。</w:t>
      </w:r>
    </w:p>
    <w:p>
      <w:pPr>
        <w:spacing w:before="0" w:after="200" w:lineRule="auto" w:line="276"/>
      </w:pPr>
      <w:r>
        <w:rPr>
          <w:b/>
        </w:rPr>
        <w:t xml:space="preserve">Abstract (EN): </w:t>
      </w:r>
      <w:r>
        <w:t>Alzheimer’s disease (AD) risk is strongly influenced by genetic variants that converge on pathways regulating endosomal homeostasis. Among these,</w:t>
      </w:r>
      <w:r>
        <w:t xml:space="preserve"> </w:t>
      </w:r>
      <w:r>
        <w:t>BIN1</w:t>
      </w:r>
      <w:r>
        <w:t xml:space="preserve"> </w:t>
      </w:r>
      <w:r>
        <w:t>and</w:t>
      </w:r>
      <w:r>
        <w:t xml:space="preserve"> </w:t>
      </w:r>
      <w:r>
        <w:t>RIN3</w:t>
      </w:r>
      <w:r>
        <w:t xml:space="preserve"> </w:t>
      </w:r>
      <w:r>
        <w:t>have emerged as susceptibility genes, yet their functional relationship in AD remains largely unknown. Here, we investigated how BIN1 and RIN3 interaction regulates RAB5 activity and endosomal pathology. RIN3 has been shown to bind BIN1, and we previously reported that this interaction modulates amyloid-β (Aβ) precursor protein (APP) trafficking and Aβ generation in vitro. To extend these findings, we used</w:t>
      </w:r>
      <w:r>
        <w:t xml:space="preserve"> </w:t>
      </w:r>
      <w:r>
        <w:t>Rin3</w:t>
      </w:r>
      <w:r>
        <w:t xml:space="preserve"> </w:t>
      </w:r>
      <w:r>
        <w:t>constitutive knockout (</w:t>
      </w:r>
      <w:r>
        <w:t xml:space="preserve"> </w:t>
      </w:r>
      <w:r>
        <w:t>Rin3-CKO</w:t>
      </w:r>
      <w:r>
        <w:t xml:space="preserve"> </w:t>
      </w:r>
      <w:r>
        <w:t>) mice and CRISPR-Cas9–edited human induced pluripotent stem cell–derived neurons carrying either</w:t>
      </w:r>
      <w:r>
        <w:t xml:space="preserve"> </w:t>
      </w:r>
      <w:r>
        <w:t>BIN1</w:t>
      </w:r>
      <w:r>
        <w:t xml:space="preserve"> </w:t>
      </w:r>
      <w:r>
        <w:t>knockout or rare familial AD</w:t>
      </w:r>
      <w:r>
        <w:t xml:space="preserve"> </w:t>
      </w:r>
      <w:r>
        <w:t>RIN3</w:t>
      </w:r>
      <w:r>
        <w:t xml:space="preserve"> </w:t>
      </w:r>
      <w:r>
        <w:t>missense mutations within the BIN1-binding domain. We found that disruption of BIN1-RIN3 binding, through either genetic deletion or pathogenic RIN3 variants, resulted in RIN3-mediated RAB5 hyperactivation and enlargement of neuronal endosomes, a hallmark of early AD pathology. Transcriptomic profiling further revealed dysregulated expression of AD-related genes. Together, these findings establish BIN1 as a critical regulator of RIN3-driven RAB5 activation and neuronal endosomal homeostasis.</w:t>
      </w:r>
    </w:p>
    <w:p>
      <w:pPr>
        <w:spacing w:before="120" w:after="120"/>
      </w:pPr>
      <w:r>
        <w:rPr>
          <w:sz w:val="18"/>
        </w:rPr>
        <w:t>——————————————————————————————————————————————————————————————————————</w:t>
      </w:r>
    </w:p>
    <w:p>
      <w:pPr>
        <w:spacing w:before="160" w:after="40" w:line="240" w:lineRule="auto"/>
      </w:pPr>
      <w:r>
        <w:rPr>
          <w:b/>
        </w:rPr>
        <w:t xml:space="preserve">[408] </w:t>
      </w:r>
      <w:hyperlink r:id="rId591">
        <w:r>
          <w:rPr>
            <w:color w:val="1155CC"/>
            <w:u w:val="single"/>
          </w:rPr>
          <w:t>从柏拉图到帕雷托:界定感染疾病空间的形状</w:t>
        </w:r>
      </w:hyperlink>
    </w:p>
    <w:p>
      <w:pPr>
        <w:spacing w:before="0" w:after="80"/>
      </w:pPr>
      <w:r>
        <w:rPr>
          <w:i/>
          <w:sz w:val="20"/>
        </w:rPr>
        <w:t>EN: From Plato to Pareto: Defining the shape of infection’s disease space</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592">
        <w:r>
          <w:rPr>
            <w:color w:val="1155CC"/>
            <w:u w:val="single"/>
          </w:rPr>
          <w:t>10.1126/sciadv.aeb3911</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如果免疫系统是一个相互连接的网络,那么对于抗击一种病原体来说理想的古型的演变应该导致取舍减少其对抗其他病原体的能力。在免疫系统中有多少原型?我们用沙巴迪感染了多种小鼠,并根据宿主在微生物负荷、免疫活动和宿主破坏空间中的地位,确定了五种截然不同的响应类型。为了更好地了解这些原型的性质,我们开发了一个普遍的宿主病原体系统的数学模型。这个模型解释了各种宿主人群中原型的数量和分布。对P.Chabaudi具有耐受力的Mice展示了贫乏的外网。</w:t>
      </w:r>
    </w:p>
    <w:p>
      <w:pPr>
        <w:spacing w:before="0" w:after="200" w:lineRule="auto" w:line="276"/>
      </w:pPr>
      <w:r>
        <w:rPr>
          <w:b/>
        </w:rPr>
        <w:t xml:space="preserve">Abstract (EN): </w:t>
      </w:r>
      <w:r>
        <w:t>If the immune system is an interconnected network, then the evolution of an archetype that is ideal for fighting one pathogen should result in trade-offs decreasing its ability to fight others. How many archetypes are there in an immune system? We infected diverse mice with</w:t>
      </w:r>
      <w:r>
        <w:t xml:space="preserve"> </w:t>
      </w:r>
      <w:r>
        <w:t>Plasmodium chabaudi</w:t>
      </w:r>
      <w:r>
        <w:t xml:space="preserve"> </w:t>
      </w:r>
      <w:r>
        <w:t>and identified five distinct archetypes of responses on the basis of the host’s position in microbial load, immune activity, and host damage space. To better understand the nature of these archetypes, we developed a mathematical model of a generalized host-pathogen system. This model explains the number and distribution of archetypes across a population of diverse hosts. Mice resilient to</w:t>
      </w:r>
      <w:r>
        <w:t xml:space="preserve"> </w:t>
      </w:r>
      <w:r>
        <w:t>P. chabaudi</w:t>
      </w:r>
      <w:r>
        <w:t xml:space="preserve"> </w:t>
      </w:r>
      <w:r>
        <w:t>exhibited poor outcomes when challenged with influenza, SARS-CoV-1, or</w:t>
      </w:r>
      <w:r>
        <w:t xml:space="preserve"> </w:t>
      </w:r>
      <w:r>
        <w:t>Mycobacterium tuberculosis</w:t>
      </w:r>
      <w:r>
        <w:t xml:space="preserve"> </w:t>
      </w:r>
      <w:r>
        <w:t>, and vice versa, supporting our trade-off hypothesis.</w:t>
      </w:r>
    </w:p>
    <w:p>
      <w:pPr>
        <w:spacing w:before="120" w:after="120"/>
      </w:pPr>
      <w:r>
        <w:rPr>
          <w:sz w:val="18"/>
        </w:rPr>
        <w:t>——————————————————————————————————————————————————————————————————————</w:t>
      </w:r>
    </w:p>
    <w:p>
      <w:pPr>
        <w:spacing w:before="160" w:after="40" w:line="240" w:lineRule="auto"/>
      </w:pPr>
      <w:r>
        <w:rPr>
          <w:b/>
        </w:rPr>
        <w:t xml:space="preserve">[409] </w:t>
      </w:r>
      <w:hyperlink r:id="rId593">
        <w:r>
          <w:rPr>
            <w:color w:val="1155CC"/>
            <w:u w:val="single"/>
          </w:rPr>
          <w:t>通过AI综合皮肤类和可穿戴的“电子电子”进行一站式斯特拉比马数字诊断</w:t>
        </w:r>
      </w:hyperlink>
    </w:p>
    <w:p>
      <w:pPr>
        <w:spacing w:before="0" w:after="80"/>
      </w:pPr>
      <w:r>
        <w:rPr>
          <w:i/>
          <w:sz w:val="20"/>
        </w:rPr>
        <w:t>EN: One-stop strabismus digital diagnosis via AI-integrated skin-like and wearable “Eyelectronics”</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594">
        <w:r>
          <w:rPr>
            <w:color w:val="1155CC"/>
            <w:u w:val="single"/>
          </w:rPr>
          <w:t>10.1126/sciadv.aeb7242</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斯特拉比斯马斯(Strabismus)影响到儿童的~4%,损害视力和心理健康。 然而,临床诊断需要多种仪器和对眼部对齐、外肌肉功能和偏移角度的渐进检查。 其局限性在于诊断客观性低、小儿科不合规和成本高。 在这里,我们提出了一个通过人工智能(AI)进行一站式的斯特拉比斯数字诊断的战略 — — 集成的、皮肤相似的和可穿戴的“电子 ” 。 超轻轻、无法察觉的眼部可穿透的系统具有超直线(厚度为~60微米 ) 、 呼吸性、 多向性( 0°/45°/90° /90° ) 、 与敏感眼皮相适应的压力感测阵列。 它可以在眼部运动期间对眼部畸形进行无线、有节制的测量。</w:t>
      </w:r>
    </w:p>
    <w:p>
      <w:pPr>
        <w:spacing w:before="0" w:after="200" w:lineRule="auto" w:line="276"/>
      </w:pPr>
      <w:r>
        <w:rPr>
          <w:b/>
        </w:rPr>
        <w:t xml:space="preserve">Abstract (EN): </w:t>
      </w:r>
      <w:r>
        <w:t>Strabismus, affecting ~4% of children, impairs vision and psychosocial health. However, clinical diagnosis requires multiple instruments and stepwise examinations of ocular alignment, extraocular muscle function, and deviation angle. It is limited by low diagnostic objectivity, poor pediatric compliance, and high cost. Here, we propose a strategy for one-stop strabismus digital diagnosis via artificial intelligence (AI)–integrated, skin-like, and wearable “Eyelectronics.” The ultralightweight, imperceptible eye-wearable system features an ultrathin (~60 micrometers in thickness), breathable, and multidirectional (0°/45°/90°) strain-sensing array conformally adapted to the sensitive eyelid. It enables wireless, mild-restricted measurement of eyelid deformation during eye movements. Through biomechanical modeling validated by ocular magnetic resonance imaging simulations, we establish a prior correlation between eyelid deformation and eye movements. The Eyelectronics, powered by our physiology knowledge-driven end-to-end AI algorithm, achieves simultaneous measurement of strabismus angle and identification of paretic muscle. It delivers a 96.6% four-direction classification accuracy and a 1.2° measurement accuracy in ocular motility examinations. Clinical benchmarking against the clinical standard (Hess screen test) confirmed diagnostic agreement (intraclass correlation = 0.978). This system bridges quantitative biomechanical sensing with digital diagnosis, promoting a paradigm for future strabismus treatment.</w:t>
      </w:r>
    </w:p>
    <w:p>
      <w:pPr>
        <w:spacing w:before="120" w:after="120"/>
      </w:pPr>
      <w:r>
        <w:rPr>
          <w:sz w:val="18"/>
        </w:rPr>
        <w:t>——————————————————————————————————————————————————————————————————————</w:t>
      </w:r>
    </w:p>
    <w:p>
      <w:pPr>
        <w:spacing w:before="160" w:after="40" w:line="240" w:lineRule="auto"/>
      </w:pPr>
      <w:r>
        <w:rPr>
          <w:b/>
        </w:rPr>
        <w:t xml:space="preserve">[410] </w:t>
      </w:r>
      <w:hyperlink r:id="rId595">
        <w:r>
          <w:rPr>
            <w:color w:val="1155CC"/>
            <w:u w:val="single"/>
          </w:rPr>
          <w:t>输油泵通过限制细菌的粘合性来控制细胞内药物目标内细胞内动动能</w:t>
        </w:r>
      </w:hyperlink>
    </w:p>
    <w:p>
      <w:pPr>
        <w:spacing w:before="0" w:after="80"/>
      </w:pPr>
      <w:r>
        <w:rPr>
          <w:i/>
          <w:sz w:val="20"/>
        </w:rPr>
        <w:t>EN: Efflux pumps control intracellular drug-target kinetics by limiting rebinding in bacteria</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596">
        <w:r>
          <w:rPr>
            <w:color w:val="1155CC"/>
            <w:u w:val="single"/>
          </w:rPr>
          <w:t>10.1126/sciadv.aea7983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细菌增殖泵是多种药物抗药性的主要贡献者,通常被称为减少毒品进入的“守门人 ” 。 在这里,我们发现了一个全脂泵的后进入机制,揭示了它们的作用深入到细胞内药物目标相互作用。 我们使用数量活细胞成像,用Hoechst 333442(HCT)和Pseudomonas Aeruginosa(HCT)监测了主要增殖系统的活动,Hoechst 33342(HCT)是DNA结合抑制剂。 我们发现,增殖(E.coli的TolC和P. Aeruginosa的6)的不活动增加了HCT-DNA的明显亲近性,并用一个下降的抑制器进行调节。</w:t>
      </w:r>
    </w:p>
    <w:p>
      <w:pPr>
        <w:spacing w:before="0" w:after="200" w:lineRule="auto" w:line="276"/>
      </w:pPr>
      <w:r>
        <w:rPr>
          <w:b/>
        </w:rPr>
        <w:t xml:space="preserve">Abstract (EN): </w:t>
      </w:r>
      <w:r>
        <w:t>Bacterial efflux pumps are major contributors to multidrug resistance, classically described as “gatekeepers” that reduce drug entry. Here, we uncover a post–entry mechanism of efflux pumps, revealing their function deep into intracellular drug-target interactions. Using quantitative live-cell imaging, we monitored the activity of major efflux systems in</w:t>
      </w:r>
      <w:r>
        <w:t xml:space="preserve"> </w:t>
      </w:r>
      <w:r>
        <w:t>Escherichia coli</w:t>
      </w:r>
      <w:r>
        <w:t xml:space="preserve"> </w:t>
      </w:r>
      <w:r>
        <w:t>and</w:t>
      </w:r>
      <w:r>
        <w:t xml:space="preserve"> </w:t>
      </w:r>
      <w:r>
        <w:t>Pseudomonas aeruginosa</w:t>
      </w:r>
      <w:r>
        <w:t xml:space="preserve"> </w:t>
      </w:r>
      <w:r>
        <w:t>with Hoechst 33342 (HCT), a DNA binding inhibitor. We found that inactivation of efflux (Δ</w:t>
      </w:r>
      <w:r>
        <w:t xml:space="preserve"> </w:t>
      </w:r>
      <w:r>
        <w:t>tolC</w:t>
      </w:r>
      <w:r>
        <w:t xml:space="preserve"> </w:t>
      </w:r>
      <w:r>
        <w:t>in</w:t>
      </w:r>
      <w:r>
        <w:t xml:space="preserve"> </w:t>
      </w:r>
      <w:r>
        <w:t>E. coli</w:t>
      </w:r>
      <w:r>
        <w:t xml:space="preserve"> </w:t>
      </w:r>
      <w:r>
        <w:t>and Δ6 in</w:t>
      </w:r>
      <w:r>
        <w:t xml:space="preserve"> </w:t>
      </w:r>
      <w:r>
        <w:t>P. aeruginosa</w:t>
      </w:r>
      <w:r>
        <w:t xml:space="preserve"> </w:t>
      </w:r>
      <w:r>
        <w:t>) increased the apparent HCT-DNA affinity, mediated by a decreased apparent unbinding rate, whereas the intrinsic rate remained unchanged. Statistical physics modeling and experimental testing show that, unlike under dilute in vitro conditions, drug molecules that unbind from their targets in intracellular environments undergo successive rebinding, prolonging the total lifetime of the drug bound to the target. However, efflux pumps counteract this effect by suppressing rebinding, thereby kinetically destabilizing drug-target interactions. This biophysical mechanism acts multiplicatively with the canonical gatekeeping effect to broaden and amplify drug resistance.</w:t>
      </w:r>
    </w:p>
    <w:p>
      <w:pPr>
        <w:spacing w:before="120" w:after="120"/>
      </w:pPr>
      <w:r>
        <w:rPr>
          <w:sz w:val="18"/>
        </w:rPr>
        <w:t>——————————————————————————————————————————————————————————————————————</w:t>
      </w:r>
    </w:p>
    <w:p>
      <w:pPr>
        <w:spacing w:before="160" w:after="40" w:line="240" w:lineRule="auto"/>
      </w:pPr>
      <w:r>
        <w:rPr>
          <w:b/>
        </w:rPr>
        <w:t xml:space="preserve">[411] </w:t>
      </w:r>
      <w:hyperlink r:id="rId597">
        <w:r>
          <w:rPr>
            <w:color w:val="1155CC"/>
            <w:u w:val="single"/>
          </w:rPr>
          <w:t>单粒子表面增强的一致反 - Stokes Raman散射:纳米物质设计和机制</w:t>
        </w:r>
      </w:hyperlink>
    </w:p>
    <w:p>
      <w:pPr>
        <w:spacing w:before="0" w:after="80"/>
      </w:pPr>
      <w:r>
        <w:rPr>
          <w:i/>
          <w:sz w:val="20"/>
        </w:rPr>
        <w:t>EN: Single-particle surface-enhanced coherent anti–Stokes Raman scattering: Nanoparticle design and mechanism</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598">
        <w:r>
          <w:rPr>
            <w:color w:val="1155CC"/>
            <w:u w:val="single"/>
          </w:rPr>
          <w:t>10.1126/sciadv.ady0545</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据认为,通过结合局部地表激光镜共振和连贯的拉曼增强力,SECARS的实现比地表增强的拉曼散射(SERS)更为复杂,而且仍然具有挑战性。与SERS不同的是,非线性CARS进程需要三个不同领域的连贯互动。电场和纳米粒子(NP)形态在SECARS单粒子SECARS的相互作用尚未开发,生成SECARS信号的基本机制尚未完全被理解。在这里,27个不同的NPS通过CARS显微镜合成和筛选。其中只有恒核核心卫星NPS显示单粒SECARS符号。</w:t>
      </w:r>
    </w:p>
    <w:p>
      <w:pPr>
        <w:spacing w:before="0" w:after="200" w:lineRule="auto" w:line="276"/>
      </w:pPr>
      <w:r>
        <w:rPr>
          <w:b/>
        </w:rPr>
        <w:t xml:space="preserve">Abstract (EN): </w:t>
      </w:r>
      <w:r>
        <w:t>Surface-enhanced coherent anti–Stokes Raman scattering (SECARS) is believed to increase the signal intensity and sensitivity by combining the localized surface plasmon resonance and coherent Raman enhancement. However, the realization of SECARS is more complex than for surface-enhanced Raman scattering (SERS) and remains challenging. Unlike SERS, the nonlinear CARS process requires the coherent interaction of three distinct fields. The interactions between the electric fields and nanoparticle (NP) morphology for single-particle SECARS remain unexplored, and the underlying mechanisms generating the SECARS signal are not fully understood. Here, 27 distinct NPs were synthesized and screened using a CARS microscope. Among them, only star-core core-satellite NPs show single-particle SECARS signals, which were affected by laser polarization, two-photon luminescence background, photoinduced heating effects, particle size, and particle morphology. The influence of NP properties on SECARS enhancement offers guidance for the design and synthesis of NPs for single-particle SECARS and opportunities in biological imaging and chemical sensing.</w:t>
      </w:r>
    </w:p>
    <w:p>
      <w:pPr>
        <w:spacing w:before="120" w:after="120"/>
      </w:pPr>
      <w:r>
        <w:rPr>
          <w:sz w:val="18"/>
        </w:rPr>
        <w:t>——————————————————————————————————————————————————————————————————————</w:t>
      </w:r>
    </w:p>
    <w:p>
      <w:pPr>
        <w:spacing w:before="160" w:after="40" w:line="240" w:lineRule="auto"/>
      </w:pPr>
      <w:r>
        <w:rPr>
          <w:b/>
        </w:rPr>
        <w:t xml:space="preserve">[412] </w:t>
      </w:r>
      <w:hyperlink r:id="rId599">
        <w:r>
          <w:rPr>
            <w:color w:val="1155CC"/>
            <w:u w:val="single"/>
          </w:rPr>
          <w:t>LIMCH1 - 浓缩的外细胞囊囊在早期发作的先兆粒子中促进血管渗透性。</w:t>
        </w:r>
      </w:hyperlink>
    </w:p>
    <w:p>
      <w:pPr>
        <w:spacing w:before="0" w:after="80"/>
      </w:pPr>
      <w:r>
        <w:rPr>
          <w:i/>
          <w:sz w:val="20"/>
        </w:rPr>
        <w:t>EN: LIMCH1-enriched extracellular vesicles promote vascular permeability in early-onset preeclampsia</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00">
        <w:r>
          <w:rPr>
            <w:color w:val="1155CC"/>
            <w:u w:val="single"/>
          </w:rPr>
          <w:t>10.1126/sciadv.aeb8806</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子宫内分泌(PE)是妊娠并发症,其特征是高血压和多端最终机能障碍;然而,其详细的病因仍不清楚。外细胞微粒(EVs)在细胞间交流中发挥着多样化和关键的作用,我们展示了EVs和血管内分泌细胞之间的相互作用。通过血清蛋白学分析,我们发现LIM(LIMIM)和Calponin同族体(含蛋白1(LIMCH1))是含有蛋白1(LIMCH1)的与PE相关的EV蛋白蛋白,在PE 甲状腺中表现得非常明显,特别是在将EV释放到母体循环的相异体体中。LIMCH1(LIMCH1-EVs)强化的EVs(LIMCH1-EVs)增加了体外宫内透视性。</w:t>
      </w:r>
    </w:p>
    <w:p>
      <w:pPr>
        <w:spacing w:before="0" w:after="200" w:lineRule="auto" w:line="276"/>
      </w:pPr>
      <w:r>
        <w:rPr>
          <w:b/>
        </w:rPr>
        <w:t xml:space="preserve">Abstract (EN): </w:t>
      </w:r>
      <w:r>
        <w:t>Preeclampsia (PE) is a major pregnancy complication characterized by hypertension and multiple end-organ dysfunctions; however, its detailed pathogenesis remains unclear. Extracellular vesicles (EVs) play diverse and critical roles in intercellular communication, and we have demonstrated interaction between EVs and vascular endothelial cells. Through serum proteomic analysis, we identified LIM and calponin homology domain–containing protein 1 (LIMCH1) as a PE-associated EV protein that is highly expressed in PE placentas, particularly in syncytiotrophoblasts, which release EVs into the maternal circulation. LIMCH1-enriched EVs (LIMCH1-EVs) increased endothelial permeability in vitro. Transcriptome analysis revealed that LIMCH1-EVs disrupted endothelial cell-cell junction assembly by suppressing the expression of the tight junction protein ZO-1. Furthermore, administration of LIMCH1-EVs promoted pulmonary vascular permeability in vivo. These findings suggest a role of LIMCH1-EVs in EV-associated vascular endothelial dysfunction, a central pathology of PE. In addition, this study provides insights into mechanisms that may contribute to PE-associated pulmonary edema, which have not yet been clarified.</w:t>
      </w:r>
    </w:p>
    <w:p>
      <w:pPr>
        <w:spacing w:before="120" w:after="120"/>
      </w:pPr>
      <w:r>
        <w:rPr>
          <w:sz w:val="18"/>
        </w:rPr>
        <w:t>——————————————————————————————————————————————————————————————————————</w:t>
      </w:r>
    </w:p>
    <w:p>
      <w:pPr>
        <w:spacing w:before="160" w:after="40" w:line="240" w:lineRule="auto"/>
      </w:pPr>
      <w:r>
        <w:rPr>
          <w:b/>
        </w:rPr>
        <w:t xml:space="preserve">[413] </w:t>
      </w:r>
      <w:hyperlink r:id="rId601">
        <w:r>
          <w:rPr>
            <w:color w:val="1155CC"/>
            <w:u w:val="single"/>
          </w:rPr>
          <w:t>NMR和综合蛋白质组学在现场展示了α-子核素血清的相互作用特征。</w:t>
        </w:r>
      </w:hyperlink>
    </w:p>
    <w:p>
      <w:pPr>
        <w:spacing w:before="0" w:after="80"/>
      </w:pPr>
      <w:r>
        <w:rPr>
          <w:i/>
          <w:sz w:val="20"/>
        </w:rPr>
        <w:t>EN: In situ NMR and integrative proteomics reveal the interaction signature of serum α-synuclein</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02">
        <w:r>
          <w:rPr>
            <w:color w:val="1155CC"/>
            <w:u w:val="single"/>
          </w:rPr>
          <w:t>10.1073/pnas.2521639123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阿尔法-心肺核素(αS)在一些神经降解性疾病中起着核心作用。尽管αS在神经上占主导地位,但在诸如血清和脑脊髓液(CSF)等外围液体中也存在αS,这可能会促进疾病传播。然而,它的外细胞相互作用仍然不易理解。通过将NMR光谱学和自下-自上-MS 蛋白质学结合在一起,我们发现单体αS在血清和CSF中表现出不同的互动体。N-和C-终点αS区域都与血清成分结合,而在CSFF中,αS基本上没有限制。N-和C-期相互作用是机械性的:C-定线结合是静电学的,而N-期相互作用则在高离子强度下持续,与水文恐惧性相互作用有关。</w:t>
      </w:r>
    </w:p>
    <w:p>
      <w:pPr>
        <w:spacing w:before="0" w:after="200" w:lineRule="auto" w:line="276"/>
      </w:pPr>
      <w:r>
        <w:rPr>
          <w:b/>
        </w:rPr>
        <w:t xml:space="preserve">Abstract (EN): </w:t>
      </w:r>
      <w:r>
        <w:t>Alpha-synuclein (αS) plays a central role in several neurodegenerative diseases. Although predominantly neuronal, αS is also present in peripheral fluids such as serum and cerebrospinal fluid (CSF), where it may contribute to disease propagation. However, its extracellular interactions remain poorly understood. By combining in situ NMR spectroscopy and bottom–up MS proteomics, we reveal that monomeric αS exhibits distinct interactomes in serum versus CSF. Both N- and C-terminal αS regions bind to serum components, while in CSF, αS remains largely unbound. The N- and C-terminal interactions are mechanistically diverse: C-terminal binding is electrostatic, whereas N-terminal interactions persist under high ionic strength, implicating hydrophobic interactions. Deletion of the first ten N-terminal residues, which include several hydrophobic side chains, abolishes these interactions, highlighting their functional importance. Proteomic profiling and NMR validation identify key αS serum partners, including albumin, γ-globulins, and lipoproteins, which, together, are sufficient to recapitulate the serum αS interactome and elicit redundant interactions with the αS N-terminal region. Despite such redundancy, αS methionine oxidation selectively disrupts N-terminal binding, suggesting a redox-sensitive mechanism regulating the αS extracellular interactome. Notably, C-terminal interactions are preserved when the N-terminal binding is detuned, indicating that the N- and C-termini elicit independent interactions with the extracellular matrix, a marked difference from the intracellular milieu. These findings uncover dynamic and fluid-specific αS interaction signatures, offering new molecular insights into its peripheral roles and identifying potential new epitopes as synucleinopathy biomarkers. These results are also relevant for other amyloidogenic intrinsically disordered proteins (IDPs), for which αS serves as a prototype.</w:t>
      </w:r>
    </w:p>
    <w:p>
      <w:pPr>
        <w:spacing w:before="120" w:after="120"/>
      </w:pPr>
      <w:r>
        <w:rPr>
          <w:sz w:val="18"/>
        </w:rPr>
        <w:t>——————————————————————————————————————————————————————————————————————</w:t>
      </w:r>
    </w:p>
    <w:p>
      <w:pPr>
        <w:spacing w:before="160" w:after="40" w:line="240" w:lineRule="auto"/>
      </w:pPr>
      <w:r>
        <w:rPr>
          <w:b/>
        </w:rPr>
        <w:t xml:space="preserve">[414] </w:t>
      </w:r>
      <w:hyperlink r:id="rId603">
        <w:r>
          <w:rPr>
            <w:color w:val="1155CC"/>
            <w:u w:val="single"/>
          </w:rPr>
          <w:t>合成高弹性和内歇性凝胶的网络地形和溶溶剂兼容性</w:t>
        </w:r>
      </w:hyperlink>
    </w:p>
    <w:p>
      <w:pPr>
        <w:spacing w:before="0" w:after="80"/>
      </w:pPr>
      <w:r>
        <w:rPr>
          <w:i/>
          <w:sz w:val="20"/>
        </w:rPr>
        <w:t>EN: Synergizing network topology and solvent compatibility for gels with hyperelasticity and omniadhesion</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04">
        <w:r>
          <w:rPr>
            <w:color w:val="1155CC"/>
            <w:u w:val="single"/>
          </w:rPr>
          <w:t>10.1126/sciadv.aec7718</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在聚合凝胶中,通常需要超弹性和强粘合性,但很难同时实现。 我们在此提出由聚合网络组成的超弹性和超饱和合差凝胶原则, 由长相链和足够好的溶剂组成的聚合网络组成。 良好的溶剂分子从链际互动中筛选出来, 以超弹性为目的。 长相交织链的分解和吸附, 以潜伏为强烈粘合。 我们通过控制聚合动因来合成这些凝胶。 当单体溶液部分治愈时, 一些单体溶液形成网络, 一些单体形成网络, 另一些形成溶剂。 由此形成的凝胶, 称为同质, 由具有巨大交织链和相同化学溶剂的聚合网络组成。 在交织链很长和断裂的地方, 存在一个间隔。</w:t>
      </w:r>
    </w:p>
    <w:p>
      <w:pPr>
        <w:spacing w:before="0" w:after="200" w:lineRule="auto" w:line="276"/>
      </w:pPr>
      <w:r>
        <w:rPr>
          <w:b/>
        </w:rPr>
        <w:t xml:space="preserve">Abstract (EN): </w:t>
      </w:r>
      <w:r>
        <w:t>In polymeric gels, hyperelasticity and strong adhesion are often required but difficult to achieve simultaneously. Here we propose a principle of hyperelastic and omniadhesive gels composed of polymer networks with long dangling chains and sufficient good solvents. The molecules of good solvents screen off interchain interactions for hyperelasticity. The long dangling chains disentangle and adsorb to substrate for strong adhesion. We synthesized such gels by controlling the polymerization kinetics. When a monomer solution is partially cured, some monomers form a network and others form the solvent. The resulting gel, termed homogel, consists of a polymer network with enormous dangling chains and solvent of identical chemistries. An interval exists where the dangling chains are long and disentangled substantially, and the homogel exhibits both hyperelasticity and omniadhesion. We demonstrated such a gel with a hysteresis of 4.1% (stretch = 10) and adhesion energy of ~510 joules per square meter. The principle is generic and applicable to gels of different types.</w:t>
      </w:r>
    </w:p>
    <w:p>
      <w:pPr>
        <w:spacing w:before="120" w:after="120"/>
      </w:pPr>
      <w:r>
        <w:rPr>
          <w:sz w:val="18"/>
        </w:rPr>
        <w:t>——————————————————————————————————————————————————————————————————————</w:t>
      </w:r>
    </w:p>
    <w:p>
      <w:pPr>
        <w:spacing w:before="160" w:after="40" w:line="240" w:lineRule="auto"/>
      </w:pPr>
      <w:r>
        <w:rPr>
          <w:b/>
        </w:rPr>
        <w:t xml:space="preserve">[415] </w:t>
      </w:r>
      <w:hyperlink r:id="rId605">
        <w:r>
          <w:rPr>
            <w:color w:val="1155CC"/>
            <w:u w:val="single"/>
          </w:rPr>
          <w:t>感官系统的进化是线虫中食食掠食行为出现的基础。</w:t>
        </w:r>
      </w:hyperlink>
    </w:p>
    <w:p>
      <w:pPr>
        <w:spacing w:before="0" w:after="80"/>
      </w:pPr>
      <w:r>
        <w:rPr>
          <w:i/>
          <w:sz w:val="20"/>
        </w:rPr>
        <w:t>EN: Evolution of sensory systems underlies the emergence of predatory feeding behaviors in nematodes</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06">
        <w:r>
          <w:rPr>
            <w:color w:val="1155CC"/>
            <w:u w:val="single"/>
          </w:rPr>
          <w:t>10.1073/pnas.2514172123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了解动物行为如何演变仍是一项重大挑战,很少有研究将遗传变化与各物种神经功能和行为的差异联系起来。在这里,我们确定了与线虫Prisitionchus Placus出现掠食性喂养行为相关的特定感官适应措施。 虽然Caenorhabiditis elegans主要利用依赖接触的感知来避免威胁,但P. Pacelus却选择了这一模式来支持避免和发现猎物,从而促成依环境的捕食行为。揭示P. Pacalus进化的潜在机制。</w:t>
      </w:r>
    </w:p>
    <w:p>
      <w:pPr>
        <w:spacing w:before="0" w:after="200" w:lineRule="auto" w:line="276"/>
      </w:pPr>
      <w:r>
        <w:rPr>
          <w:b/>
        </w:rPr>
        <w:t xml:space="preserve">Abstract (EN): </w:t>
      </w:r>
      <w:r>
        <w:t>Understanding how animal behavior evolves remains a major challenge, with few studies linking genetic changes to differences in neural function and behavior across species. Here, we identify specific sensory adaptations associated with the emergence of predatory feeding behaviors in the nematode</w:t>
      </w:r>
      <w:r>
        <w:t xml:space="preserve"> </w:t>
      </w:r>
      <w:r>
        <w:t>Pristionchus pacificus.</w:t>
      </w:r>
      <w:r>
        <w:t xml:space="preserve"> </w:t>
      </w:r>
      <w:r>
        <w:t>While</w:t>
      </w:r>
      <w:r>
        <w:t xml:space="preserve"> </w:t>
      </w:r>
      <w:r>
        <w:t>Caenorhabditis elegans</w:t>
      </w:r>
      <w:r>
        <w:t xml:space="preserve"> </w:t>
      </w:r>
      <w:r>
        <w:t>uses contact-dependent sensing primarily to avoid threats,</w:t>
      </w:r>
      <w:r>
        <w:t xml:space="preserve"> </w:t>
      </w:r>
      <w:r>
        <w:t>P. pacificus</w:t>
      </w:r>
      <w:r>
        <w:t xml:space="preserve"> </w:t>
      </w:r>
      <w:r>
        <w:t>has co-opted this modality to support both avoidance and prey detection, enabling context-dependent predatory behavior. To uncover a potential mechanism underlying the evolution of</w:t>
      </w:r>
      <w:r>
        <w:t xml:space="preserve"> </w:t>
      </w:r>
      <w:r>
        <w:t>P. pacificus</w:t>
      </w:r>
      <w:r>
        <w:t xml:space="preserve"> </w:t>
      </w:r>
      <w:r>
        <w:t>prey perception, we mutated 27 canonical mechanosensory genes and assessed their function using behavioral assays, automated behavioral tracking, and a machine learning analysis of behavioral states. While several mutants showed mechanosensory defects,</w:t>
      </w:r>
      <w:r>
        <w:t xml:space="preserve"> </w:t>
      </w:r>
      <w:r>
        <w:t>Ppa-mec-6</w:t>
      </w:r>
      <w:r>
        <w:t xml:space="preserve"> </w:t>
      </w:r>
      <w:r>
        <w:t>mutants specifically also impaired prey detection, indicating the emergence of a mechanosensory module linked to predatory behavior. Furthermore, disrupting both mechanosensation alongside chemosensation revealed a synergistic influence for these modalities. Crucially,</w:t>
      </w:r>
      <w:r>
        <w:t xml:space="preserve"> </w:t>
      </w:r>
      <w:r>
        <w:t>Ppa-mec-6</w:t>
      </w:r>
      <w:r>
        <w:t xml:space="preserve"> </w:t>
      </w:r>
      <w:r>
        <w:t>is expressed in the environmentally exposed IL2 neurons that represent the first point of predator–prey contact. Moreover, silencing</w:t>
      </w:r>
      <w:r>
        <w:t xml:space="preserve"> </w:t>
      </w:r>
      <w:r>
        <w:t>Ppa-mec-6</w:t>
      </w:r>
      <w:r>
        <w:t xml:space="preserve"> </w:t>
      </w:r>
      <w:r>
        <w:t>expressing cells induced severe predation defects validating their importance for prey sensing. Thus, predation evolved through the co-option of mechanosensory and chemosensory systems that act together to shape the evolution of complex behavioral traits.</w:t>
      </w:r>
    </w:p>
    <w:p>
      <w:pPr>
        <w:spacing w:before="120" w:after="120"/>
      </w:pPr>
      <w:r>
        <w:rPr>
          <w:sz w:val="18"/>
        </w:rPr>
        <w:t>——————————————————————————————————————————————————————————————————————</w:t>
      </w:r>
    </w:p>
    <w:p>
      <w:pPr>
        <w:spacing w:before="160" w:after="40" w:line="240" w:lineRule="auto"/>
      </w:pPr>
      <w:r>
        <w:rPr>
          <w:b/>
        </w:rPr>
        <w:t xml:space="preserve">[416] </w:t>
      </w:r>
      <w:hyperlink r:id="rId607">
        <w:r>
          <w:rPr>
            <w:color w:val="1155CC"/>
            <w:u w:val="single"/>
          </w:rPr>
          <w:t>与FACT协调,由Set2通过Set2对H3K36三甲基进行转录(H3K36)</w:t>
        </w:r>
      </w:hyperlink>
    </w:p>
    <w:p>
      <w:pPr>
        <w:spacing w:before="0" w:after="80"/>
      </w:pPr>
      <w:r>
        <w:rPr>
          <w:i/>
          <w:sz w:val="20"/>
        </w:rPr>
        <w:t>EN: Structural basis of transcription-coupled H3K36 trimethylation by Set2 in coordination with FACT</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08">
        <w:r>
          <w:rPr>
            <w:color w:val="1155CC"/>
            <w:u w:val="single"/>
          </w:rPr>
          <w:t>10.1126/sciadv.aed1952</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在RNA 聚合酶II 延展复合体(EC) 转录过程中,Set2/SETD2 完成了H3K36me3的修改。在这里,我们发现,Set2-中介的H3K36m3沉积发生在欧盟委员会后面的核核聚合体重新组合中。 螺旋护体FACT抑制下游核核细胞的H3K36M3沉积,从而确保Set2具体针对重新组合上层核核素。</w:t>
      </w:r>
    </w:p>
    <w:p>
      <w:pPr>
        <w:spacing w:before="0" w:after="200" w:lineRule="auto" w:line="276"/>
      </w:pPr>
      <w:r>
        <w:rPr>
          <w:b/>
        </w:rPr>
        <w:t xml:space="preserve">Abstract (EN): </w:t>
      </w:r>
      <w:r>
        <w:t>Trimethylation of the histone H3K36 residue (H3K36me3) plays an indispensable role in ensuring transcription fidelity by suppressing undesired cryptic transcription in chromatin. H3K36me3 modification is accomplished by Set2/SETD2 during transcription elongation by the RNA polymerase II elongation complex (EC). Here, we found that Set2-mediated H3K36me3 deposition occurs on the nucleosome reassembling behind the EC. The histone chaperone FACT suppresses H3K36me3 deposition on the downstream nucleosome, thereby ensuring that Set2 targets specifically on the reassembling upstream nucleosome. Cryo–electron microscopy structures of the nucleosome-transcribing EC complexed with Set2 revealed that Set2 is anchored by the Spt6 subunit of the EC to capture both of the H3 N-terminal tails in a stepwise manner during the nucleosome reassembly process. Abrogation of the Set2-EC interaction leads to defective transcription-coupled H3K36me3 deposition. These insights elucidate the structure-based mechanism of transcription-coupled H3K36me3 deposition in chromatin.</w:t>
      </w:r>
    </w:p>
    <w:p>
      <w:pPr>
        <w:spacing w:before="120" w:after="120"/>
      </w:pPr>
      <w:r>
        <w:rPr>
          <w:sz w:val="18"/>
        </w:rPr>
        <w:t>——————————————————————————————————————————————————————————————————————</w:t>
      </w:r>
    </w:p>
    <w:p>
      <w:pPr>
        <w:spacing w:before="160" w:after="40" w:line="240" w:lineRule="auto"/>
      </w:pPr>
      <w:r>
        <w:rPr>
          <w:b/>
        </w:rPr>
        <w:t xml:space="preserve">[417] </w:t>
      </w:r>
      <w:hyperlink r:id="rId609">
        <w:r>
          <w:rPr>
            <w:color w:val="1155CC"/>
            <w:u w:val="single"/>
          </w:rPr>
          <w:t>从光明到声音:在健康和疾病中看到和听到胎盘</w:t>
        </w:r>
      </w:hyperlink>
    </w:p>
    <w:p>
      <w:pPr>
        <w:spacing w:before="0" w:after="80"/>
      </w:pPr>
      <w:r>
        <w:rPr>
          <w:i/>
          <w:sz w:val="20"/>
        </w:rPr>
        <w:t>EN: From light to sound: Seeing and hearing the placenta in health and disease</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10">
        <w:r>
          <w:rPr>
            <w:color w:val="1155CC"/>
            <w:u w:val="single"/>
          </w:rPr>
          <w:t>10.1126/sciadv.aed2184</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胎盘是一种针对妊娠的器官,作为产妇-胎儿的接口和调节包括交换、保护和内分泌调节在内的基本过程的媒介; 胎盘畸形有助于重大围产期紊乱的病理学、发病、进化和预测,使能够发现和监测重大围产期紊乱的成像模式变得至关重要; 超声成像(美国)是胎盘成像的主要模式,用多普勒模式提供B-模式和血液流量评估的结构评估; 此外,3D动力多普勒、定量美国和剪动波地形等先进技术扩大了美国胎面成像的能力; 光声成像(PA)使得能够观测内生色谱(e.g.)的光学特性。</w:t>
      </w:r>
    </w:p>
    <w:p>
      <w:pPr>
        <w:spacing w:before="0" w:after="200" w:lineRule="auto" w:line="276"/>
      </w:pPr>
      <w:r>
        <w:rPr>
          <w:b/>
        </w:rPr>
        <w:t xml:space="preserve">Abstract (EN): </w:t>
      </w:r>
      <w:r>
        <w:t>The placenta is a pregnancy-specific organ, functioning as the maternal-fetal interface and mediating essential processes including exchange, protection, and endocrine regulation. Placental abnormalities contribute to the pathophysiology, onset, progression, and prognosis of major perinatal disorders, making imaging modalities that enable their detection and monitoring crucial. Ultrasound (US) imaging is the principal modality for placental imaging, providing structural assessment with B-mode and blood flow evaluation with Doppler mode. Furthermore, advanced techniques such as 3D power Doppler, quantitative US, and shear-wave elastography expand the capabilities of placental US imaging. Photoacoustic (PA) imaging enables observation of the optical properties of endogenous chromophores (e.g., hemoglobin) with high spatial resolution and measures blood oxygenation, a key factor in placental dysfunction, offering substantial value for placental imaging. In this review, we cover US/PA imaging techniques for placental imaging, including preclinical and clinical studies. In addition, by considering current limitations and potential solutions, we suggest future trajectories for the advancement of US/PA imaging in this field.</w:t>
      </w:r>
    </w:p>
    <w:p>
      <w:pPr>
        <w:spacing w:before="120" w:after="120"/>
      </w:pPr>
      <w:r>
        <w:rPr>
          <w:sz w:val="18"/>
        </w:rPr>
        <w:t>——————————————————————————————————————————————————————————————————————</w:t>
      </w:r>
    </w:p>
    <w:p>
      <w:pPr>
        <w:spacing w:before="160" w:after="40" w:line="240" w:lineRule="auto"/>
      </w:pPr>
      <w:r>
        <w:rPr>
          <w:b/>
        </w:rPr>
        <w:t xml:space="preserve">[418] </w:t>
      </w:r>
      <w:hyperlink r:id="rId611">
        <w:r>
          <w:rPr>
            <w:color w:val="1155CC"/>
            <w:u w:val="single"/>
          </w:rPr>
          <w:t>显明手部肌肌肌质 — 诱发的活性动态:从单纤维行为到集体结构</w:t>
        </w:r>
      </w:hyperlink>
    </w:p>
    <w:p>
      <w:pPr>
        <w:spacing w:before="0" w:after="80"/>
      </w:pPr>
      <w:r>
        <w:rPr>
          <w:i/>
          <w:sz w:val="20"/>
        </w:rPr>
        <w:t>EN: Elucidating chiral myosin–induced actin dynamics: From single-filament behavior to collective structures</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12">
        <w:r>
          <w:rPr>
            <w:color w:val="1155CC"/>
            <w:u w:val="single"/>
          </w:rPr>
          <w:t>10.1073/pnas.2508686123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近亲超家庭包括70多个班级,每个班有多个子类,在速度、ATPase活性、值勤率和方向性等特性上表现出巨大的多样性。 这种功能多样性使得每种近亲在各种生物、器官和细胞类型中能够发挥特殊作用。 除了这些功能化参数外,最近还出现了一个新承认的属性。 某些近亲驱动着手部曲线曲轨线的丝状动作。 然而,这一新发现的属性基本上仍未被挖掘。 在这里,我们使用Chara 珊瑚素十一一(Cc 十一)(CW)调查了体外的手动运动,它驱动着动作丝状的快速时钟运动。</w:t>
      </w:r>
    </w:p>
    <w:p>
      <w:pPr>
        <w:spacing w:before="0" w:after="200" w:lineRule="auto" w:line="276"/>
      </w:pPr>
      <w:r>
        <w:rPr>
          <w:b/>
        </w:rPr>
        <w:t xml:space="preserve">Abstract (EN): </w:t>
      </w:r>
      <w:r>
        <w:t>The myosin superfamily encompasses over 70 classes, each with multiple subclasses, and exhibits substantial diversity in properties such as velocity, ATPase activity, duty ratio, and directionality. This functional diversity enables the specialized roles of each myosin in various organisms, organs, and cell types. Beyond these well-characterized parameters, a newly recognized property has recently come into focus: Certain myosins drive actin filaments along chiral curved trajectories. However, this newly identified property remains largely unexplored. Here, we investigated this chiral motion in vitro using</w:t>
      </w:r>
      <w:r>
        <w:t xml:space="preserve"> </w:t>
      </w:r>
      <w:r>
        <w:t>Chara corallina</w:t>
      </w:r>
      <w:r>
        <w:t xml:space="preserve"> </w:t>
      </w:r>
      <w:r>
        <w:t>myosin XI (</w:t>
      </w:r>
      <w:r>
        <w:t xml:space="preserve"> </w:t>
      </w:r>
      <w:r>
        <w:t>Cc</w:t>
      </w:r>
      <w:r>
        <w:t xml:space="preserve"> </w:t>
      </w:r>
      <w:r>
        <w:t>XI), which drives fast clockwise (CW) movement of actin filaments. This chiral motion arises from asymmetric displacement at the filament’s leading tip, and its curvature depends on the myosin density. Surprisingly, at elevated actin concentrations, filaments exhibiting chiral curved motion undergo collective dynamics, spontaneously forming a ring-shaped structure—termed the actin chiral ring (ACR)—that exhibits persistent CW rotation. ACRs display remarkable stability, continuing to rotate at their formation site until ATP is depleted, while maintaining their structure even after rotation ceases. This stability has not been reported among reported collective motions of cytoskeletal proteins driven by various motors. Our findings demonstrate that myosins with chiral activity can autonomously organize actin filaments into stable, chiral structures through collective motion, providing insights into actin self-organization by unconventional myosins. This paradigm offers a mechanistic basis for how motor-driven molecular asymmetry can give rise to coherent structural chirality at the cellular scale—an essential step in the emergence of cell chirality and asymmetry during development.</w:t>
      </w:r>
    </w:p>
    <w:p>
      <w:pPr>
        <w:spacing w:before="120" w:after="120"/>
      </w:pPr>
      <w:r>
        <w:rPr>
          <w:sz w:val="18"/>
        </w:rPr>
        <w:t>——————————————————————————————————————————————————————————————————————</w:t>
      </w:r>
    </w:p>
    <w:p>
      <w:pPr>
        <w:spacing w:before="160" w:after="40" w:line="240" w:lineRule="auto"/>
      </w:pPr>
      <w:r>
        <w:rPr>
          <w:b/>
        </w:rPr>
        <w:t xml:space="preserve">[419] </w:t>
      </w:r>
      <w:hyperlink r:id="rId613">
        <w:r>
          <w:rPr>
            <w:color w:val="1155CC"/>
            <w:u w:val="single"/>
          </w:rPr>
          <w:t>在Ectocarpus用单一的ARGONAUTE蛋白蛋白确定Germline归宿</w:t>
        </w:r>
      </w:hyperlink>
    </w:p>
    <w:p>
      <w:pPr>
        <w:spacing w:before="0" w:after="80"/>
      </w:pPr>
      <w:r>
        <w:rPr>
          <w:i/>
          <w:sz w:val="20"/>
        </w:rPr>
        <w:t>EN: Germline fate determination by a single ARGONAUTE protein in Ectocarpus</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14">
        <w:r>
          <w:rPr>
            <w:color w:val="1155CC"/>
            <w:u w:val="single"/>
          </w:rPr>
          <w:t>10.1073/pnas.2518712123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ARGONAUTE蛋白质(AGO)蛋白质(AGO)是一个高度保护的、与RNA有约束力的蛋白质家族,这些蛋白质在整个eukaryotes的基因调节和发育过程中发挥着核心作用。虽然AGO的家庭成员在动物和植物中进行了广泛的研究,他们通常被多种基因编码,但他们在棕藻中的功能,即多种和复杂的多细胞藻类组合体中的功能,仍然基本上不为人所知。在这里,我们表明,几个褐藻类的基因组只编码了一个AGO蛋白蛋白,其中含有家庭受保护的功能领域特征。我们利用Brown alga Ectocarpus模型以及细胞生物学、遗传学和记录学方法的组合,证明AGO对于从植物基因转变至关重要。</w:t>
      </w:r>
    </w:p>
    <w:p>
      <w:pPr>
        <w:spacing w:before="0" w:after="200" w:lineRule="auto" w:line="276"/>
      </w:pPr>
      <w:r>
        <w:rPr>
          <w:b/>
        </w:rPr>
        <w:t xml:space="preserve">Abstract (EN): </w:t>
      </w:r>
      <w:r>
        <w:t>ARGONAUTE (AGO) proteins are a highly conserved family of RNA-binding proteins that play central roles in gene regulation and developmental processes across eukaryotes. Although AGO family members have been extensively studied in animals and plants, where they are typically encoded by multiple genes, their function in brown algae, a diverse and complex group of multicellular algae, remains largely unknown. Here, we show that the genomes of several brown algae encode only a single AGO protein, containing the conserved functional domains characteristic of the family. Using the model brown alga</w:t>
      </w:r>
      <w:r>
        <w:t xml:space="preserve"> </w:t>
      </w:r>
      <w:r>
        <w:t>Ectocarpus</w:t>
      </w:r>
      <w:r>
        <w:t xml:space="preserve"> </w:t>
      </w:r>
      <w:r>
        <w:t>and a combination of cell biology, genetic, and transcriptomic approaches, we demonstrate that AGO is essential for the transition from vegetative growth to sexual reproductive development and for germline establishment. Our results further suggest that AGO functions in concert with microRNAs to regulate target genes primarily at the posttranscriptional level, likely through translational repression.</w:t>
      </w:r>
      <w:r>
        <w:t xml:space="preserve"> </w:t>
      </w:r>
      <w:r>
        <w:t>Ectocarpus</w:t>
      </w:r>
      <w:r>
        <w:t xml:space="preserve"> </w:t>
      </w:r>
      <w:r>
        <w:t>thus represents a rare example of a complex multicellular organism that relies on a single AGO protein to regulate key developmental processes, pointing to a minimalistic model of RNA-based regulation in brown algae.</w:t>
      </w:r>
    </w:p>
    <w:p>
      <w:pPr>
        <w:spacing w:before="120" w:after="120"/>
      </w:pPr>
      <w:r>
        <w:rPr>
          <w:sz w:val="18"/>
        </w:rPr>
        <w:t>——————————————————————————————————————————————————————————————————————</w:t>
      </w:r>
    </w:p>
    <w:p>
      <w:pPr>
        <w:spacing w:before="160" w:after="40" w:line="240" w:lineRule="auto"/>
      </w:pPr>
      <w:r>
        <w:rPr>
          <w:b/>
        </w:rPr>
        <w:t xml:space="preserve">[420] </w:t>
      </w:r>
      <w:hyperlink r:id="rId615">
        <w:r>
          <w:rPr>
            <w:color w:val="1155CC"/>
            <w:u w:val="single"/>
          </w:rPr>
          <w:t>和C3-C4 和C3-C4</w:t>
        </w:r>
      </w:hyperlink>
    </w:p>
    <w:p>
      <w:pPr>
        <w:spacing w:before="0" w:after="80"/>
      </w:pPr>
      <w:r>
        <w:rPr>
          <w:i/>
          <w:sz w:val="20"/>
        </w:rPr>
        <w:t>EN: Medullary and C3–C4 propriospinal pathways underlying mammalian forelimb movement control</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16">
        <w:r>
          <w:rPr>
            <w:color w:val="1155CC"/>
            <w:u w:val="single"/>
          </w:rPr>
          <w:t>10.1073/pnas.2518217123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典型模型将目标导向的上肢运动与皮质运动区和平衡控制与脑细胞联系起来。然而,最近的鼠类研究表明,中等区域和地方脊椎电路也有助于前额处决,使得这些发现是否适用于人类没有把握。关键的是,在手动控制期间,中等运动区、间系脊椎网络和皮质感官区之间的动态互动仍然不为人所知。在这里,通过在前额移动任务期间对人体和小鼠进行的功能性磁RI(fMRI)研究,我们揭示了地形上有组织的园艺网络,包括横向玫瑰体旋律(Lat-RM)和coudal medulla(CauM),这些网络调节了体运动。在小鼠体内,园艺组合组合。</w:t>
      </w:r>
    </w:p>
    <w:p>
      <w:pPr>
        <w:spacing w:before="0" w:after="200" w:lineRule="auto" w:line="276"/>
      </w:pPr>
      <w:r>
        <w:rPr>
          <w:b/>
        </w:rPr>
        <w:t xml:space="preserve">Abstract (EN): </w:t>
      </w:r>
      <w:r>
        <w:t>Classic models associate goal-directed upper limb movements with cortical motor areas and balance control with the brainstem. However, recent rodent studies suggest that medullary regions and local spinal circuits also contribute to forelimb execution, leaving it uncertain if these findings apply to humans. Critically, the dynamic interactions among medullary motor regions, intersegmental spinal networks, and cortical sensorimotor areas during hand movement control remain poorly understood. Here, through functional MRI (fMRI) studies in humans and mice during forelimb movement tasks, we reveal topographically organized corticomedullary networks, comprising the lateral rostral medulla (Lat-RM) and caudal medulla (CauM), that regulate forelimb movement. In mice, the corticomedullary coupling in both CauM and Lat-RM increased systematically along a ventro-medio-dorsal gradient, with the strongest links to primary motor and premotor cortices. In humans, higher‐order sensorimotor regions drove the strongest connectivity with CauM and Lat-RM, while the more medially located medial rostral medulla remained weakly engaged. Furthermore, simultaneous brain-spinal fMRI revealed distinct functional territories within the human C3–C4 cervical spinal cord, with ventral regions exhibiting strong connectivity to the medulla and dorsal regions to lower cervical segments. Together, our findings identify a conserved corticomedullary network underlying forelimb movement control across species, while also uncovering variation in cortical involvement. They indicate the presence of an indirect pathway involving both the reticulospinal pathway and the C3–C4 propriospinal system, which contributes to fine hand motor control in the mammalian brain.</w:t>
      </w:r>
    </w:p>
    <w:p>
      <w:pPr>
        <w:spacing w:before="120" w:after="120"/>
      </w:pPr>
      <w:r>
        <w:rPr>
          <w:sz w:val="18"/>
        </w:rPr>
        <w:t>——————————————————————————————————————————————————————————————————————</w:t>
      </w:r>
    </w:p>
    <w:p>
      <w:pPr>
        <w:spacing w:before="160" w:after="40" w:line="240" w:lineRule="auto"/>
      </w:pPr>
      <w:r>
        <w:rPr>
          <w:b/>
        </w:rPr>
        <w:t xml:space="preserve">[421] </w:t>
      </w:r>
      <w:hyperlink r:id="rId617">
        <w:r>
          <w:rPr>
            <w:color w:val="1155CC"/>
            <w:u w:val="single"/>
          </w:rPr>
          <w:t>综合视网膜筛查和化学蛋白质组学查明了用于调节病毒翻译和复制的ETTF1离子体。</w:t>
        </w:r>
      </w:hyperlink>
    </w:p>
    <w:p>
      <w:pPr>
        <w:spacing w:before="0" w:after="80"/>
      </w:pPr>
      <w:r>
        <w:rPr>
          <w:i/>
          <w:sz w:val="20"/>
        </w:rPr>
        <w:t>EN: Integrated phenotypic screening and chemical proteomics identifies ETF1 ligands that modulate viral translation and replication</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18">
        <w:r>
          <w:rPr>
            <w:color w:val="1155CC"/>
            <w:u w:val="single"/>
          </w:rPr>
          <w:t>10.1073/pnas.2524108123</w:t>
        </w:r>
      </w:hyperlink>
    </w:p>
    <w:p>
      <w:pPr>
        <w:spacing w:before="0" w:after="120"/>
      </w:pPr>
      <w:r>
        <w:rPr>
          <w:b/>
        </w:rPr>
        <w:t xml:space="preserve">Notes: </w:t>
      </w:r>
      <w:r>
        <w:t>abstract_source=crossref</w:t>
      </w:r>
    </w:p>
    <w:p>
      <w:pPr>
        <w:spacing w:before="0" w:after="80" w:lineRule="auto" w:line="276"/>
      </w:pPr>
      <w:r>
        <w:rPr>
          <w:b/>
        </w:rPr>
        <w:t xml:space="preserve">摘要（ZH）: </w:t>
      </w:r>
      <w:r>
        <w:t>新出现和再出现病毒对全球健康构成重大威胁。 尽管直接作用的抗病毒药物已经表现出成功,但其效力却因抗药性病毒变异的迅速出现而受到限制。 因此,迫切需要增加广泛的频谱抗病毒治疗策略。 在这里,我们通过对视谱筛查来识别一套立体化学定义的光反活性小分子(光化学分子),这些分子有选择性地抑制了人类肺部上皮细胞中SARS-COV-2的复制。 结构 — — 活动关系 — — 受引导的化学蛋白质组学将蛋白化转化因子1(ETF1)确定为光立体细胞质质素1(ETF1)的目标,而这种互动又与经过再组合的净化的ETF1重塑。 我们发现,光化学质素质素质素1(光化质素1)重新组合。</w:t>
      </w:r>
    </w:p>
    <w:p>
      <w:pPr>
        <w:spacing w:before="0" w:after="200" w:lineRule="auto" w:line="276"/>
      </w:pPr>
      <w:r>
        <w:rPr>
          <w:b/>
        </w:rPr>
        <w:t xml:space="preserve">Abstract (EN): </w:t>
      </w:r>
      <w:r>
        <w:t>Emerging and reemerging viruses pose a significant threat to global health. Although direct-acting antivirals have shown success, their efficacy is limited by the rapid emergence of drug-resistant viral variants. Hence, there is an urgent need for additional broad spectrum antiviral therapeutic strategies. Here, we identify by phenotypic screening a set of stereochemically defined photoreactive small molecules (photo-stereoprobes) that stereoselectively suppress SARS-CoV-2 replication in human lung epithelial cells. Structure–activity relationship–guided chemical proteomics identified the eukaryotic translation termination factor 1 (ETF1) as a target of the photo-stereoprobes, and this interaction was recapitulated with recombinant purified ETF1. We found that the photo-stereoprobes modulate programmed ribosomal frameshifting mechanisms essential for SARS-CoV-2 infection without causing ETF1 degradation, thus distinguishing the photo-stereoprobes from other known ETF1-directed small molecules. We finally show that the photo-stereoprobes also inhibit the replication of additional viruses with noncanonical ribosomal frameshifting mechanisms. Our findings identify a mechanistically distinct class of ETF1 ligands that implicate host translation termination processes as a potential drug target for antiviral development.</w:t>
      </w:r>
    </w:p>
    <w:p>
      <w:pPr>
        <w:spacing w:before="120" w:after="120"/>
      </w:pPr>
      <w:r>
        <w:rPr>
          <w:sz w:val="18"/>
        </w:rPr>
        <w:t>——————————————————————————————————————————————————————————————————————</w:t>
      </w:r>
    </w:p>
    <w:p>
      <w:pPr>
        <w:spacing w:before="160" w:after="40" w:line="240" w:lineRule="auto"/>
      </w:pPr>
      <w:r>
        <w:rPr>
          <w:b/>
        </w:rPr>
        <w:t xml:space="preserve">[422] </w:t>
      </w:r>
      <w:hyperlink r:id="rId619">
        <w:r>
          <w:rPr>
            <w:color w:val="1155CC"/>
            <w:u w:val="single"/>
          </w:rPr>
          <w:t>由于美国毗连地区PP2.5成份造成的心血管死亡率在空间和种族/种族/族裔上的差异</w:t>
        </w:r>
      </w:hyperlink>
    </w:p>
    <w:p>
      <w:pPr>
        <w:spacing w:before="0" w:after="80"/>
      </w:pPr>
      <w:r>
        <w:rPr>
          <w:i/>
          <w:sz w:val="20"/>
        </w:rPr>
        <w:t>EN: Spatial and racial/ethnic disparities in cardiovascular mortality attributable to PM2.5 components in the contiguous United States</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20">
        <w:r>
          <w:rPr>
            <w:color w:val="1155CC"/>
            <w:u w:val="single"/>
          </w:rPr>
          <w:t>10.1126/sciadv.adx2075</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长期接触细微微粒物质(PM 2.5)是心血管疾病(CVD)死亡率的既定风险因素,但其组成部分的贡献仍然不明确,特别是在地理区域和种族/族裔群体中。 我们扩大了普遍加权四分数回归模型,纳入了双向固定效应(gWQS-feglm),以量化PPM 2.5构成的可归因于CVD在整个毗连的美国死亡。 PM 2.5构成可归因于CVD的死亡率从2001年的42 200人(28 200 57 600美元)下降到2020年的23 500人(15 700 32 100美元),其驱动力是(NH 4+)和苏。</w:t>
      </w:r>
    </w:p>
    <w:p>
      <w:pPr>
        <w:spacing w:before="0" w:after="200" w:lineRule="auto" w:line="276"/>
      </w:pPr>
      <w:r>
        <w:rPr>
          <w:b/>
        </w:rPr>
        <w:t xml:space="preserve">Abstract (EN): </w:t>
      </w:r>
      <w:r>
        <w:t>Long-term exposure to fine particulate matter (PM</w:t>
      </w:r>
      <w:r>
        <w:t xml:space="preserve"> </w:t>
      </w:r>
      <w:r>
        <w:t>2.5</w:t>
      </w:r>
      <w:r>
        <w:t xml:space="preserve"> </w:t>
      </w:r>
      <w:r>
        <w:t>) is a well-established risk factor for cardiovascular disease (CVD) mortality, yet the contributions of its components remain unclear, particularly across geographic regions and racial/ethnic groups. We extended the generalized weighted quantile sum regression model by incorporating two-way fixed effects (gWQS-feglm) to quantify PM</w:t>
      </w:r>
      <w:r>
        <w:t xml:space="preserve"> </w:t>
      </w:r>
      <w:r>
        <w:t>2.5</w:t>
      </w:r>
      <w:r>
        <w:t xml:space="preserve"> </w:t>
      </w:r>
      <w:r>
        <w:t>component–attributable CVD deaths across the contiguous United States. PM</w:t>
      </w:r>
      <w:r>
        <w:t xml:space="preserve"> </w:t>
      </w:r>
      <w:r>
        <w:t>2.5</w:t>
      </w:r>
      <w:r>
        <w:t xml:space="preserve"> </w:t>
      </w:r>
      <w:r>
        <w:t>component–attributable CVD deaths declined from 42,200 (28,200,57,600) in 2001 to 23,500 (15,700,32,100) in 2020, driven by ammonium (NH</w:t>
      </w:r>
      <w:r>
        <w:rPr>
          <w:vertAlign w:val="subscript"/>
        </w:rPr>
        <w:t>4</w:t>
      </w:r>
      <w:r>
        <w:t>+</w:t>
      </w:r>
      <w:r>
        <w:t xml:space="preserve"> </w:t>
      </w:r>
      <w:r>
        <w:t>) and sulfate (SO</w:t>
      </w:r>
      <w:r>
        <w:rPr>
          <w:vertAlign w:val="subscript"/>
        </w:rPr>
        <w:t>4</w:t>
      </w:r>
      <w:r>
        <w:t>2−</w:t>
      </w:r>
      <w:r>
        <w:t>) reductions. In 2020, high-attributable-mortality regions remained and regional disparities in PM</w:t>
      </w:r>
      <w:r>
        <w:t xml:space="preserve"> </w:t>
      </w:r>
      <w:r>
        <w:t>2.5</w:t>
      </w:r>
      <w:r>
        <w:t xml:space="preserve"> </w:t>
      </w:r>
      <w:r>
        <w:t>composition pronounced, with NH</w:t>
      </w:r>
      <w:r>
        <w:rPr>
          <w:vertAlign w:val="subscript"/>
        </w:rPr>
        <w:t>4</w:t>
      </w:r>
      <w:r>
        <w:t>+</w:t>
      </w:r>
      <w:r>
        <w:t xml:space="preserve"> </w:t>
      </w:r>
      <w:r>
        <w:t>dominant in California and the East North Central, SO</w:t>
      </w:r>
      <w:r>
        <w:rPr>
          <w:vertAlign w:val="subscript"/>
        </w:rPr>
        <w:t>4</w:t>
      </w:r>
      <w:r>
        <w:t>2−</w:t>
      </w:r>
      <w:r>
        <w:t>in the South, and black carbon and SO</w:t>
      </w:r>
      <w:r>
        <w:rPr>
          <w:vertAlign w:val="subscript"/>
        </w:rPr>
        <w:t>4</w:t>
      </w:r>
      <w:r>
        <w:t>2−</w:t>
      </w:r>
      <w:r>
        <w:t>in the Middle Atlantic. Racial/ethnic disparities persisted, with non-Hispanic Blacks and Hispanics experiencing slower attributable-mortality declines compared with non-Hispanic whites. Our findings highlight the importance of targeted interventions based on components to address disparities in PM</w:t>
      </w:r>
      <w:r>
        <w:t xml:space="preserve"> </w:t>
      </w:r>
      <w:r>
        <w:t>2.5</w:t>
      </w:r>
      <w:r>
        <w:t xml:space="preserve"> </w:t>
      </w:r>
      <w:r>
        <w:t>-attributable burden.</w:t>
      </w:r>
    </w:p>
    <w:p>
      <w:pPr>
        <w:spacing w:before="120" w:after="120"/>
      </w:pPr>
      <w:r>
        <w:rPr>
          <w:sz w:val="18"/>
        </w:rPr>
        <w:t>——————————————————————————————————————————————————————————————————————</w:t>
      </w:r>
    </w:p>
    <w:p>
      <w:pPr>
        <w:spacing w:before="160" w:after="40" w:line="240" w:lineRule="auto"/>
      </w:pPr>
      <w:r>
        <w:rPr>
          <w:b/>
        </w:rPr>
        <w:t xml:space="preserve">[423] </w:t>
      </w:r>
      <w:hyperlink r:id="rId621">
        <w:r>
          <w:rPr>
            <w:color w:val="1155CC"/>
            <w:u w:val="single"/>
          </w:rPr>
          <w:t>纳米洞内红氧化过程的光伏测量仪,内含光电离显微镜</w:t>
        </w:r>
      </w:hyperlink>
    </w:p>
    <w:p>
      <w:pPr>
        <w:spacing w:before="0" w:after="80"/>
      </w:pPr>
      <w:r>
        <w:rPr>
          <w:i/>
          <w:sz w:val="20"/>
        </w:rPr>
        <w:t>EN: Optical voltammetry of redox processes inside a nanohole with opto-iontronic microscopy</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22">
        <w:r>
          <w:rPr>
            <w:color w:val="1155CC"/>
            <w:u w:val="single"/>
          </w:rPr>
          <w:t>10.1073/pnas.2530250123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Cyclic 伏变测量(CV)是电化学反应(通常涉及大型电极)最常用的描述电子化学反应特征的方法,通常涉及大型电极。在这里,我们演示了一种光学CV技术,称为光电离子显微镜,它能够监测纳米尺度的电子化学过程。通过将光学显微镜与纳米孔电极结合,我们提高了在小于小于小于原子体的体积内检测红氧化反应的敏感性[(100纳米 3]。</w:t>
      </w:r>
    </w:p>
    <w:p>
      <w:pPr>
        <w:spacing w:before="0" w:after="200" w:lineRule="auto" w:line="276"/>
      </w:pPr>
      <w:r>
        <w:rPr>
          <w:b/>
        </w:rPr>
        <w:t xml:space="preserve">Abstract (EN): </w:t>
      </w:r>
      <w:r>
        <w:t>Cyclic Voltammetry (CV) is the most commonly used method in electrochemistry to characterize electrochemical reactions, usually involving macroscopic electrodes. Here, we demonstrate an optical CV technique called opto-iontronic Microscopy, which is capable of monitoring electrochemical processes at the nanoscale. By integrating optical microscopy with nanohole electrodes, we enhance sensitivity in detecting redox reactions within volumes as small as an attoliter [</w:t>
      </w:r>
      <w:r>
        <w:t xml:space="preserve"> </w:t>
      </w:r>
      <w:r>
        <w:t>(</w:t>
      </w:r>
      <w:r>
        <w:rPr>
          <w:vertAlign w:val="subscript"/>
        </w:rPr>
        <w:t>100</w:t>
      </w:r>
      <w:r>
        <w:t xml:space="preserve"> </w:t>
      </w:r>
      <w:r>
        <w:t>nm</w:t>
      </w:r>
      <w:r>
        <w:t xml:space="preserve"> </w:t>
      </w:r>
      <w:r>
        <w:t>)</w:t>
      </w:r>
      <w:r>
        <w:t xml:space="preserve"> </w:t>
      </w:r>
      <w:r>
        <w:rPr>
          <w:vertAlign w:val="subscript"/>
        </w:rPr>
        <w:t>3</w:t>
      </w:r>
      <w:r>
        <w:t xml:space="preserve"> </w:t>
      </w:r>
      <w:r>
        <w:t>]. This technique uses electric-double-layer modulation and lock-in detection to sensitively probe ion dynamics during cyclic voltammetry in nanoholes that are under total internal reflection illumination. We applied this method to study electric double layer (dis)charging coupled to ferrocenedimethanol [Fc(MeOH)</w:t>
      </w:r>
      <w:r>
        <w:rPr>
          <w:vertAlign w:val="subscript"/>
        </w:rPr>
        <w:t>2</w:t>
      </w:r>
      <w:r>
        <w:t>] redox reactions. Experimental results were validated against a theoretical Poisson–Nernst–Planck–Butler–Volmer model, providing insights into ion concentration changes of reaction species that contribute to the optical contrast. This work opens up opportunities for high-sensitivity, label-free analysis of electrochemical reactions in nanoconfined environments, with potential applications in pure nanocrystal growth and monitoring.</w:t>
      </w:r>
    </w:p>
    <w:p>
      <w:pPr>
        <w:spacing w:before="120" w:after="120"/>
      </w:pPr>
      <w:r>
        <w:rPr>
          <w:sz w:val="18"/>
        </w:rPr>
        <w:t>——————————————————————————————————————————————————————————————————————</w:t>
      </w:r>
    </w:p>
    <w:p>
      <w:pPr>
        <w:spacing w:before="160" w:after="40" w:line="240" w:lineRule="auto"/>
      </w:pPr>
      <w:r>
        <w:rPr>
          <w:b/>
        </w:rPr>
        <w:t xml:space="preserve">[424] </w:t>
      </w:r>
      <w:hyperlink r:id="rId623">
        <w:r>
          <w:rPr>
            <w:color w:val="1155CC"/>
            <w:u w:val="single"/>
          </w:rPr>
          <w:t>ML-自动微氟化物电路设计</w:t>
        </w:r>
      </w:hyperlink>
    </w:p>
    <w:p>
      <w:pPr>
        <w:spacing w:before="0" w:after="80"/>
      </w:pPr>
      <w:r>
        <w:rPr>
          <w:i/>
          <w:sz w:val="20"/>
        </w:rPr>
        <w:t>EN: ML-automated microfluidic circuit design</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24">
        <w:r>
          <w:rPr>
            <w:color w:val="1155CC"/>
            <w:u w:val="single"/>
          </w:rPr>
          <w:t>10.1126/sciadv.aea7598</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微氟化物能够对生物和化学物质进行高精度和成本效益高的加工。然而,设计和制造微氟化物芯片通常需要大量专门知识和大量设计迭代,这对非专家进入构成了相当大的障碍。 我们引入了微氟化物(mFG),这是一个开放的、机器学习(ML)的强化设计工具,使非专家用户能够迅速创建功能性微氟化电路。用户只是定义储油层的空间位置,指定它们之间的通道连接,并通过这一布局指定理想的流速。</w:t>
      </w:r>
    </w:p>
    <w:p>
      <w:pPr>
        <w:spacing w:before="0" w:after="200" w:lineRule="auto" w:line="276"/>
      </w:pPr>
      <w:r>
        <w:rPr>
          <w:b/>
        </w:rPr>
        <w:t xml:space="preserve">Abstract (EN): </w:t>
      </w:r>
      <w:r>
        <w:t>Microfluidics enable high-precision and cost-effective processing of biological and chemical substances. However, designing and fabricating microfluidic chips typically requires substantial expertise and numerous design iterations, posing considerable barriers to entry for nonexperts. We introduce μFluidicGenius (μFG), an open-access, machine learning (ML)–augmented design tool that enables nonexpert users to rapidly create functional microfluidic circuits. Users simply define the spatial placement of reservoirs, specify the channel connections between them, and assign desired flow rates through this layout. Leveraging a hybrid algorithmic framework that integrates ML models with mathematical modeling, μFG automatically generates spatially coded maze structures that implement the precise fluidic resistances needed to meet the target flow distribution. These resistive elements are optimized to fit within the available geometry and can reproduce complex flow profiles, such as physiologically relevant flow rates in multi-organ-on-chip platforms. The resulting microfluidic designs are directly exportable for three-dimensional printing. Experimental validation demonstrates that μFG-generated circuits reproduce target flow distributions with 90% accuracy. By streamlining and automating microfluidic circuit creation, μFG not only lowers the barrier to entry for nonexperts but also showcases a principled and efficient application of ML to fluidic system design, enabling rapid and customizable development of complex microfluidic architectures.</w:t>
      </w:r>
    </w:p>
    <w:p>
      <w:pPr>
        <w:spacing w:before="120" w:after="120"/>
      </w:pPr>
      <w:r>
        <w:rPr>
          <w:sz w:val="18"/>
        </w:rPr>
        <w:t>——————————————————————————————————————————————————————————————————————</w:t>
      </w:r>
    </w:p>
    <w:p>
      <w:pPr>
        <w:spacing w:before="160" w:after="40" w:line="240" w:lineRule="auto"/>
      </w:pPr>
      <w:r>
        <w:rPr>
          <w:b/>
        </w:rPr>
        <w:t xml:space="preserve">[425] </w:t>
      </w:r>
      <w:hyperlink r:id="rId625">
        <w:r>
          <w:rPr>
            <w:color w:val="1155CC"/>
            <w:u w:val="single"/>
          </w:rPr>
          <w:t>流动期间对细胞类型 -- -- 特定三角活动动态变化过程中的细胞类型的补充性皮层和震震性贡献</w:t>
        </w:r>
      </w:hyperlink>
    </w:p>
    <w:p>
      <w:pPr>
        <w:spacing w:before="0" w:after="80"/>
      </w:pPr>
      <w:r>
        <w:rPr>
          <w:i/>
          <w:sz w:val="20"/>
        </w:rPr>
        <w:t>EN: Complementary cortical and thalamic contributions to cell type–specific striatal activity dynamics during movement</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26">
        <w:r>
          <w:rPr>
            <w:color w:val="1155CC"/>
            <w:u w:val="single"/>
          </w:rPr>
          <w:t>10.1126/sciadv.aea3935</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协调的运动行为来自脑区域之间的信息流。 电路内如何长距离输入驱动细胞类型的细胞类型特定活动仍不清楚。 多长输入驱动器驱动细胞类型在电动电路中的具体活动。 多长的线性螺旋(DLS)包含直接和间接途径中中脊椎神经元(dMSNs 和 IMSNs), 在运动控制中具有不同作用。 在小鼠进行熟练的移动动作时,我们记录到DMSNs、 IMSNs、 IMSNs 及其单词性狂犬病追踪所识别的骨骼和脉冲输入。 经常的神经网络分类和集群分析显示每个人群的功能多样性子群,在运动启动和抵消时优先激活DMSNs, 以及执行过程中的iMSNs。 在启动/ 关闭和运行过程中,Cortical 和Talamic 输入被优先激活。</w:t>
      </w:r>
    </w:p>
    <w:p>
      <w:pPr>
        <w:spacing w:before="0" w:after="200" w:lineRule="auto" w:line="276"/>
      </w:pPr>
      <w:r>
        <w:rPr>
          <w:b/>
        </w:rPr>
        <w:t xml:space="preserve">Abstract (EN): </w:t>
      </w:r>
      <w:r>
        <w:t>Coordinated motor behavior emerges from information flow across brain regions. How long-range inputs drive cell type–specific activity within motor circuits remains unclear. The dorsolateral striatum (DLS) contains direct- and indirect-pathway medium spiny neurons (dMSNs and iMSNs) with distinct roles in movement control. In mice performing skilled locomotion, we recorded from dMSNs, iMSNs, and their cortical and thalamic inputs identified by monosynaptic rabies tracing. A recurrent neural network (RNN) classifier and clustering analysis revealed functionally heterogeneous subpopulations in each population, with dMSNs preferentially activated at movement onset and offset, and iMSNs during execution. Cortical and thalamic inputs were preferentially activated during onset/offset and execution, respectively, though dMSN- and iMSN-projecting neurons in each region showed similar patterns. Locomotion phase-specific rhythmic activity was found in a subset of thalamic dMSN-projecting neurons and dMSNs. Cortex or thalamus inactivation reduced MSN activity. These findings suggest that corticostriatal and thalamostriatal inputs convey complementary motor signals via shared and cell type–specific pathways.</w:t>
      </w:r>
    </w:p>
    <w:p>
      <w:pPr>
        <w:spacing w:before="120" w:after="120"/>
      </w:pPr>
      <w:r>
        <w:rPr>
          <w:sz w:val="18"/>
        </w:rPr>
        <w:t>——————————————————————————————————————————————————————————————————————</w:t>
      </w:r>
    </w:p>
    <w:p>
      <w:pPr>
        <w:spacing w:before="160" w:after="40" w:line="240" w:lineRule="auto"/>
      </w:pPr>
      <w:r>
        <w:rPr>
          <w:b/>
        </w:rPr>
        <w:t xml:space="preserve">[426] </w:t>
      </w:r>
      <w:hyperlink r:id="rId627">
        <w:r>
          <w:rPr>
            <w:color w:val="1155CC"/>
            <w:u w:val="single"/>
          </w:rPr>
          <w:t>用于设计新型粘合器的人类表面表面绘图目标地点</w:t>
        </w:r>
      </w:hyperlink>
    </w:p>
    <w:p>
      <w:pPr>
        <w:spacing w:before="0" w:after="80"/>
      </w:pPr>
      <w:r>
        <w:rPr>
          <w:i/>
          <w:sz w:val="20"/>
        </w:rPr>
        <w:t>EN: Mapping targetable sites on the human surfaceome for the design of novel binders</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28">
        <w:r>
          <w:rPr>
            <w:color w:val="1155CC"/>
            <w:u w:val="single"/>
          </w:rPr>
          <w:t>10.1073/pnas.2506269123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人类细胞表层是细胞通信和疾病机制不可分割的一部分,是治疗干预的首要目标。针对这些细胞表层蛋白的脱诺伏蛋白结合剂设计为药物开发提供了有希望但探索不足的战略。然而,巨大的搜索空间和关于自然或竞争性粘合器的有限数据在历史上限制了实验成功。在这项研究中,我们系统地分析了整个人类表层,确定了大约4 500个目标地点,并引入了启动蛋白质设计应用的潜在捆绑种子。为了验证这些种子,我们在三个具有代表性的目标(FGFR2、IFNAR2和HER3)上实施了两种实验方法(蛋白支架和Peptidecycization)。我们的结果揭示了一种方法。</w:t>
      </w:r>
    </w:p>
    <w:p>
      <w:pPr>
        <w:spacing w:before="0" w:after="200" w:lineRule="auto" w:line="276"/>
      </w:pPr>
      <w:r>
        <w:rPr>
          <w:b/>
        </w:rPr>
        <w:t xml:space="preserve">Abstract (EN): </w:t>
      </w:r>
      <w:r>
        <w:t>The human cell surfaceome, integral to cell communication and disease mechanisms, presents a prime target for therapeutic intervention. De novo protein binder design against these cell surface proteins offers a promising yet underexplored strategy for drug development. However, the vast search space and limited data on natural or competitive binders have historically limited experimental success. In this study, we systematically analyzed the entire human surfaceome, identifying approximately 4,500 targetable sites and introducing potential binding seeds for initiating protein design applications. To validate these seeds, we implemented two experimental approaches (protein scaffolding and peptide cyclization) on three representative targets (FGFR2, IFNAR2, and HER3). Our results revealed a high success rate, showing that</w:t>
      </w:r>
      <w:r>
        <w:t xml:space="preserve"> </w:t>
      </w:r>
      <w:r>
        <w:t>seeds provide valuable starting points for binder design against our identified targetable sites, as well as the need for constant improvements of computational protein design pipelines utilizing machine learning and physics-based methods. Additionally, we present SURFACE-Bind, an interactive database offering open access to all generated data. The high-throughput computational design methods and target-specific binder seeds established here pave the way for a new generation of targeted therapeutics for the human surfaceome.</w:t>
      </w:r>
    </w:p>
    <w:p>
      <w:pPr>
        <w:spacing w:before="120" w:after="120"/>
      </w:pPr>
      <w:r>
        <w:rPr>
          <w:sz w:val="18"/>
        </w:rPr>
        <w:t>——————————————————————————————————————————————————————————————————————</w:t>
      </w:r>
    </w:p>
    <w:p>
      <w:pPr>
        <w:spacing w:before="160" w:after="40" w:line="240" w:lineRule="auto"/>
      </w:pPr>
      <w:r>
        <w:rPr>
          <w:b/>
        </w:rPr>
        <w:t xml:space="preserve">[427] </w:t>
      </w:r>
      <w:hyperlink r:id="rId629">
        <w:r>
          <w:rPr>
            <w:color w:val="1155CC"/>
            <w:u w:val="single"/>
          </w:rPr>
          <w:t>推进量子成像:由多功能液晶体促成的电气金枪鱼能力</w:t>
        </w:r>
      </w:hyperlink>
    </w:p>
    <w:p>
      <w:pPr>
        <w:spacing w:before="0" w:after="80"/>
      </w:pPr>
      <w:r>
        <w:rPr>
          <w:i/>
          <w:sz w:val="20"/>
        </w:rPr>
        <w:t>EN: Advancing quantum imaging: Electrical tunability enabled by versatile liquid crystals</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30">
        <w:r>
          <w:rPr>
            <w:color w:val="1155CC"/>
            <w:u w:val="single"/>
          </w:rPr>
          <w:t>10.1126/sciadv.adz8962</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边缘探测等光学图像处理技术在各种应用中表现出独特的优势。协同地结合预知的量子成像,具有在最小照明下识别光敏感样品的显著潜力。然而,目前的方案通常缺乏动态控制量子成像功能的能力。在这里,我们引入了多功能液晶体,以实现预知的单光子成像和电子金枪鱼多式转换。根据双声孔状液态水晶调导器,目标的不同形态信息可以高信号-噪音比率提取,包括整个形状及其精细轮廓。光态液晶,利用其电子金枪鱼特性,可以解析。</w:t>
      </w:r>
    </w:p>
    <w:p>
      <w:pPr>
        <w:spacing w:before="0" w:after="200" w:lineRule="auto" w:line="276"/>
      </w:pPr>
      <w:r>
        <w:rPr>
          <w:b/>
        </w:rPr>
        <w:t xml:space="preserve">Abstract (EN): </w:t>
      </w:r>
      <w:r>
        <w:t>Optical image processing techniques like edge detection demonstrate unique superiority in various applications. Synergistically combined with heralded quantum imaging, they have notable potential for identifying light-sensitive samples under minimal illumination. However, present schemes usually lack the capability to control the quantum imaging function dynamically. Here, we introduce versatile liquid crystals to realize heralded single-photon imaging and electrically tunable multimode switching. On the basis of the bichiral cholesteric liquid crystal modulator, different morphology information of the target can be extracted with a high signal-to-noise ratio, including the entire shape and its fine outline. The nematic liquid crystal, leveraging its electrically tunable properties, is explored to select specific polarizations of heralded single photons, enabling dynamic remote switching in trimode quantum imaging. To further improve the time efficiency, an ultrafast remote switching is presented on the basis of the appealing ferroelectric liquid crystals. This work supplies a unique imaging platform for photon-limited scenarios and reveals the unprecedented possibilities of soft matters in quantum information processing.</w:t>
      </w:r>
    </w:p>
    <w:p>
      <w:pPr>
        <w:spacing w:before="120" w:after="120"/>
      </w:pPr>
      <w:r>
        <w:rPr>
          <w:sz w:val="18"/>
        </w:rPr>
        <w:t>——————————————————————————————————————————————————————————————————————</w:t>
      </w:r>
    </w:p>
    <w:p>
      <w:pPr>
        <w:spacing w:before="160" w:after="40" w:line="240" w:lineRule="auto"/>
      </w:pPr>
      <w:r>
        <w:rPr>
          <w:b/>
        </w:rPr>
        <w:t xml:space="preserve">[428] </w:t>
      </w:r>
      <w:hyperlink r:id="rId631">
        <w:r>
          <w:rPr>
            <w:color w:val="1155CC"/>
            <w:u w:val="single"/>
          </w:rPr>
          <w:t>OsKAT1是一个短期的Shaker钾渠道,参与根到根的钾转移,有助于稻米产量。</w:t>
        </w:r>
      </w:hyperlink>
    </w:p>
    <w:p>
      <w:pPr>
        <w:spacing w:before="0" w:after="80"/>
      </w:pPr>
      <w:r>
        <w:rPr>
          <w:i/>
          <w:sz w:val="20"/>
        </w:rPr>
        <w:t>EN: OsKAT1 is a short Shaker potassium channel involved in root-to-shoot potassium translocation and contributes to rice grain yield</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32">
        <w:r>
          <w:rPr>
            <w:color w:val="1155CC"/>
            <w:u w:val="single"/>
          </w:rPr>
          <w:t>10.1073/pnas.2527650123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Shaker 钾渠道在K+植物吸收和分配方面发挥着必不可少的作用。对Arabidopsis Shaker 渠道的研究提供了一个范式框架,但稻谷基因组将另一个成员OsKAT1编码为OsKAT1, 其功能功能雷米界定不清。 OsKAT1 类型的渠道的特点是天生短短的细胞分裂C终点,形成一粒独特的单体特有的短片,在Poaceae 物种中盛行。在稻米中,OsKAT1 主要是以根质表示。 OsKAT1 (KO突变)的干扰导致向拍摄的Xylem Sap 的K+分泌显著减少。</w:t>
      </w:r>
    </w:p>
    <w:p>
      <w:pPr>
        <w:spacing w:before="0" w:after="200" w:lineRule="auto" w:line="276"/>
      </w:pPr>
      <w:r>
        <w:rPr>
          <w:b/>
        </w:rPr>
        <w:t xml:space="preserve">Abstract (EN): </w:t>
      </w:r>
      <w:r>
        <w:t>Shaker potassium channels play essential roles in K</w:t>
      </w:r>
      <w:r>
        <w:t xml:space="preserve"> </w:t>
      </w:r>
      <w:r>
        <w:t>+</w:t>
      </w:r>
      <w:r>
        <w:t xml:space="preserve"> </w:t>
      </w:r>
      <w:r>
        <w:t>uptake and distribution in plants. Studies on Shaker channels in</w:t>
      </w:r>
      <w:r>
        <w:t xml:space="preserve"> </w:t>
      </w:r>
      <w:r>
        <w:t>Arabidopsis</w:t>
      </w:r>
      <w:r>
        <w:t xml:space="preserve"> </w:t>
      </w:r>
      <w:r>
        <w:t>have provided a paradigmatic framework, but the rice genome encodes an additional member, OsKAT1, whose function remians poorly defined. OsKAT1-type channels are characterized by an innately short cytosolic C terminus, forming a unique clade of monocot-specific short Shakers that is prevalent in</w:t>
      </w:r>
      <w:r>
        <w:t xml:space="preserve"> </w:t>
      </w:r>
      <w:r>
        <w:t>Poaceae</w:t>
      </w:r>
      <w:r>
        <w:t xml:space="preserve"> </w:t>
      </w:r>
      <w:r>
        <w:t>species. In rice, OsKAT1 is predominantly expressed in the root stele. Disruption of OsKAT1 (KO mutation) leads to a significant reduction in K</w:t>
      </w:r>
      <w:r>
        <w:t xml:space="preserve"> </w:t>
      </w:r>
      <w:r>
        <w:t>+</w:t>
      </w:r>
      <w:r>
        <w:t xml:space="preserve"> </w:t>
      </w:r>
      <w:r>
        <w:t>secretion into the xylem sap delivered to the shoot. Patch-clamp experiments on root stele protoplasts of WT and KO plants indicate that OsKAT1 functions as an inward channel. Functional analyses in</w:t>
      </w:r>
      <w:r>
        <w:t xml:space="preserve"> </w:t>
      </w:r>
      <w:r>
        <w:t>Xenopus</w:t>
      </w:r>
      <w:r>
        <w:t xml:space="preserve"> </w:t>
      </w:r>
      <w:r>
        <w:t>oocytes reveal that despite activating at weakly negative voltages, OsKAT1 is intrinsically incapable of mediating substantial outward currents—a property attributed to its truncated C terminus. Together with outward K</w:t>
      </w:r>
      <w:r>
        <w:t xml:space="preserve"> </w:t>
      </w:r>
      <w:r>
        <w:t>+</w:t>
      </w:r>
      <w:r>
        <w:t xml:space="preserve"> </w:t>
      </w:r>
      <w:r>
        <w:t>channel activity, this feature enables stelar cells to remain significantly permeable to K</w:t>
      </w:r>
      <w:r>
        <w:t xml:space="preserve"> </w:t>
      </w:r>
      <w:r>
        <w:t>+</w:t>
      </w:r>
      <w:r>
        <w:t xml:space="preserve"> </w:t>
      </w:r>
      <w:r>
        <w:t>around the K</w:t>
      </w:r>
      <w:r>
        <w:t xml:space="preserve"> </w:t>
      </w:r>
      <w:r>
        <w:t>+</w:t>
      </w:r>
      <w:r>
        <w:t xml:space="preserve"> </w:t>
      </w:r>
      <w:r>
        <w:t>equilibrium potential. When expressed in</w:t>
      </w:r>
      <w:r>
        <w:t xml:space="preserve"> </w:t>
      </w:r>
      <w:r>
        <w:t>Arabidopsis</w:t>
      </w:r>
      <w:r>
        <w:t xml:space="preserve"> </w:t>
      </w:r>
      <w:r>
        <w:t>, OsKAT1 contributes to K</w:t>
      </w:r>
      <w:r>
        <w:t xml:space="preserve"> </w:t>
      </w:r>
      <w:r>
        <w:t>+</w:t>
      </w:r>
      <w:r>
        <w:t xml:space="preserve"> </w:t>
      </w:r>
      <w:r>
        <w:t>transport in the xylem sap, but only in wild-type plants that express SKOR, a Shaker channel specialized for this role. These results demonstrate that OsKAT1 constitutes a component of K</w:t>
      </w:r>
      <w:r>
        <w:t xml:space="preserve"> </w:t>
      </w:r>
      <w:r>
        <w:t>+</w:t>
      </w:r>
      <w:r>
        <w:t xml:space="preserve"> </w:t>
      </w:r>
      <w:r>
        <w:t>translocation to shoots and shed light on the energization and regulation underlying this function. Moreover, OsKAT1 is shown to improve rice adaptation to environmental conditions and enhance grain yield under field conditions through its facilitating root-to-shoot ion translocation.</w:t>
      </w:r>
    </w:p>
    <w:p>
      <w:pPr>
        <w:spacing w:before="120" w:after="120"/>
      </w:pPr>
      <w:r>
        <w:rPr>
          <w:sz w:val="18"/>
        </w:rPr>
        <w:t>——————————————————————————————————————————————————————————————————————</w:t>
      </w:r>
    </w:p>
    <w:p>
      <w:pPr>
        <w:spacing w:before="160" w:after="40" w:line="240" w:lineRule="auto"/>
      </w:pPr>
      <w:r>
        <w:rPr>
          <w:b/>
        </w:rPr>
        <w:t xml:space="preserve">[429] </w:t>
      </w:r>
      <w:hyperlink r:id="rId633">
        <w:r>
          <w:rPr>
            <w:color w:val="1155CC"/>
            <w:u w:val="single"/>
          </w:rPr>
          <w:t>引导波浪穿过混乱:目标运输的通用界限</w:t>
        </w:r>
      </w:hyperlink>
    </w:p>
    <w:p>
      <w:pPr>
        <w:spacing w:before="0" w:after="80"/>
      </w:pPr>
      <w:r>
        <w:rPr>
          <w:i/>
          <w:sz w:val="20"/>
        </w:rPr>
        <w:t>EN: Guiding waves through chaos: Universal bounds for targeted mode transport</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34">
        <w:r>
          <w:rPr>
            <w:color w:val="1155CC"/>
            <w:u w:val="single"/>
          </w:rPr>
          <w:t>10.1126/sciadv.aeb1158</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在复杂环境中控制波浪传播是无线通信、成像和声学领域面临的一个中心挑战,在这种环境中,多散射和干扰使直接传输路径模糊不清。 相协调的波浪形成可以精确地提供能源,但通常需要充分了解介质。 在这里,我们为目标模式运输引入一个通用统计框架,绕过这一限制,并在包括微波网络、二维混乱孔和三维回声室在内的各种平台上验证这一限制。 TMT量化了在多摩德波-沙热系统中特定输入和输出渠道之间传输能源的效率。我们开发了一个图表学理论,预测 t 的乙基值分布。</w:t>
      </w:r>
    </w:p>
    <w:p>
      <w:pPr>
        <w:spacing w:before="0" w:after="200" w:lineRule="auto" w:line="276"/>
      </w:pPr>
      <w:r>
        <w:rPr>
          <w:b/>
        </w:rPr>
        <w:t xml:space="preserve">Abstract (EN): </w:t>
      </w:r>
      <w:r>
        <w:t>Controlling wave propagation in complex environments is a central challenge across wireless communications, imaging, and acoustics, where multiple scattering and interference obscure direct transmission paths. Coherent wavefront shaping enables precise energy delivery but typically requires full knowledge of the medium. Here, we introduce a universal statistical framework for targeted mode transport (TMT) that circumvents this limitation and validate it on various platforms including microwave networks, two-dimensional chaotic cavities, and three-dimensional reverberation chambers. TMT quantifies the efficiency of transferring energy between specified input and output channels in multimode wave-chaotic systems. We develop a diagrammatic theory that predicts the eigenvalue distribution of the TMT operator and identifies the macroscopic parameters—coupling strength, absorption, and channel control—that govern performance. The theory provides explicit bounds for optimal TMT wavefronts and captures phenomena like statistical transmission gaps and reflectionless states. These findings establish design principles for energy delivery and information transfer in complex environments, with broad implications for adaptive signal processing and wave-based technologies.</w:t>
      </w:r>
    </w:p>
    <w:p>
      <w:pPr>
        <w:spacing w:before="120" w:after="120"/>
      </w:pPr>
      <w:r>
        <w:rPr>
          <w:sz w:val="18"/>
        </w:rPr>
        <w:t>——————————————————————————————————————————————————————————————————————</w:t>
      </w:r>
    </w:p>
    <w:p>
      <w:pPr>
        <w:spacing w:before="160" w:after="40" w:line="240" w:lineRule="auto"/>
      </w:pPr>
      <w:r>
        <w:rPr>
          <w:b/>
        </w:rPr>
        <w:t xml:space="preserve">[430] </w:t>
      </w:r>
      <w:hyperlink r:id="rId635">
        <w:r>
          <w:rPr>
            <w:color w:val="1155CC"/>
            <w:u w:val="single"/>
          </w:rPr>
          <w:t>在MXen上将2D六边形Zn-MOF在MXen上定位到坚固无阳极5V-Li级金属电池</w:t>
        </w:r>
      </w:hyperlink>
    </w:p>
    <w:p>
      <w:pPr>
        <w:spacing w:before="0" w:after="80"/>
      </w:pPr>
      <w:r>
        <w:rPr>
          <w:i/>
          <w:sz w:val="20"/>
        </w:rPr>
        <w:t>EN: In situ anchoring 2D hexagonal Zn-MOF on MXene toward robust anode-less 5 V–class Li metal batteries</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36">
        <w:r>
          <w:rPr>
            <w:color w:val="1155CC"/>
            <w:u w:val="single"/>
          </w:rPr>
          <w:t>10.1126/sciadv.aeb1378</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无阳性5V-级级锂金属电池(LMBs)有望保证高能量密度和安全性,但在实践中,却面临严峻的挑战,包括德晶状增长、内部不稳定性、与“死”锂积累相关的硫化以及使用重铜收集器产生的能量密度折变。 在这里,我们展示了以导导导碳化(Tit 3 C 2 T x)为支撑的二维六氟含锌金属有机框架(Ti 3 C 2 T x)的精心设计,作为无导导导碳化物5V-级液化管的三维轻重量宿主(MX/2D-Zn-MOF)M(MX/2-Zn-MOF)M(MX-V-SlMBs)。</w:t>
      </w:r>
    </w:p>
    <w:p>
      <w:pPr>
        <w:spacing w:before="0" w:after="200" w:lineRule="auto" w:line="276"/>
      </w:pPr>
      <w:r>
        <w:rPr>
          <w:b/>
        </w:rPr>
        <w:t xml:space="preserve">Abstract (EN): </w:t>
      </w:r>
      <w:r>
        <w:t>Anode-less 5 V–class lithium metal batteries (LMBs) promise high energy density and safety yet, in practice, face critical challenges including dendrite growth, interfacial instability, pulverization associated with “dead” lithium accumulation, and energy density compromise from the use of heavy copper collector. Here, we demonstrate an elaborate design of two-dimensional hexagonal zinc-containing metal-organic framework anchored on conductive titanium carbide (Ti</w:t>
      </w:r>
      <w:r>
        <w:rPr>
          <w:vertAlign w:val="subscript"/>
        </w:rPr>
        <w:t>3</w:t>
      </w:r>
      <w:r>
        <w:t>C</w:t>
      </w:r>
      <w:r>
        <w:rPr>
          <w:vertAlign w:val="subscript"/>
        </w:rPr>
        <w:t>2</w:t>
      </w:r>
      <w:r>
        <w:t>T</w:t>
      </w:r>
      <w:r>
        <w:t xml:space="preserve"> </w:t>
      </w:r>
      <w:r>
        <w:t>x</w:t>
      </w:r>
      <w:r>
        <w:t xml:space="preserve"> </w:t>
      </w:r>
      <w:r>
        <w:t>) MXene sheets (MX/2D-Zn-MOF) as a three-dimensional lightweight host for anode-less 5 V–class LMBs. The abundant nitrogen/fluorine/zinc-rich lithiophilic sites effectively decrease lithium nucleation energy barriers, ensure uniform lithium deposition, and stabilize solid electrolyte interphase. The interconnected three-dimensional framework further guides uniform lithium deposition by spatially homogenizing lithium ion flux and reducing local current density as well as offers sufficient space to alleviate structural change, thus affording structural integrity against pulverization. As a result, the MX/2D-Zn-MOF host demonstrates uniform lithium deposition, reversible lithium plating and stripping behavior, and stable cycling performance (~1800 hours at 1.0 milliamperes per square centimeter and 5.0 milliampere hours per square centimeter). Impressively, the assembled anode-less 5 V–class lithium metal pouch cell delivers stable cycling performance and high energy density.</w:t>
      </w:r>
    </w:p>
    <w:p>
      <w:pPr>
        <w:spacing w:before="120" w:after="120"/>
      </w:pPr>
      <w:r>
        <w:rPr>
          <w:sz w:val="18"/>
        </w:rPr>
        <w:t>——————————————————————————————————————————————————————————————————————</w:t>
      </w:r>
    </w:p>
    <w:p>
      <w:pPr>
        <w:spacing w:before="160" w:after="40" w:line="240" w:lineRule="auto"/>
      </w:pPr>
      <w:r>
        <w:rPr>
          <w:b/>
        </w:rPr>
        <w:t xml:space="preserve">[431] </w:t>
      </w:r>
      <w:hyperlink r:id="rId637">
        <w:r>
          <w:rPr>
            <w:color w:val="1155CC"/>
            <w:u w:val="single"/>
          </w:rPr>
          <w:t>Hawai i 下一个富含铁的特超超超高速地带的地震和矿物证据</w:t>
        </w:r>
      </w:hyperlink>
    </w:p>
    <w:p>
      <w:pPr>
        <w:spacing w:before="0" w:after="80"/>
      </w:pPr>
      <w:r>
        <w:rPr>
          <w:i/>
          <w:sz w:val="20"/>
        </w:rPr>
        <w:t>EN: Seismic and mineralogical evidence for an iron-rich mega–ultralow-velocity zone beneath Hawai’i</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38">
        <w:r>
          <w:rPr>
            <w:color w:val="1155CC"/>
            <w:u w:val="single"/>
          </w:rPr>
          <w:t>10.1126/sciadv.adz1962</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主要海洋热点下的主要海洋热点下沉流羽流似乎植根于核心地标边界附近异常大的结构结构,这些结构明显降低了地震波速度。 这些被称为特大超高速区(ULVZ)的大型超高速区(ULVZ)的起源仍然不确定,部分原因是对剪剪相对压缩波速度(R S/P)的相对减少缺乏限制。这个比例可以给巨型ULVZ的构成构成提供线索。通过对Hawai 下方的C-Diffract P和S波进行联合地震分析,我们限制其特大ULVZ至1的R S/P。</w:t>
      </w:r>
    </w:p>
    <w:p>
      <w:pPr>
        <w:spacing w:before="0" w:after="200" w:lineRule="auto" w:line="276"/>
      </w:pPr>
      <w:r>
        <w:rPr>
          <w:b/>
        </w:rPr>
        <w:t xml:space="preserve">Abstract (EN): </w:t>
      </w:r>
      <w:r>
        <w:t>Mantle plumes beneath major oceanic hot spots appear to be rooted in unusually large structures near the core-mantle boundary, which have markedly reduced seismic wave speeds. The origin of these large ultralow-velocity zones (ULVZs), referred to as mega-ULVZs, remains uncertain partly because of lack of constraints on the relative reduction in shear versus compressional wave speeds (</w:t>
      </w:r>
      <w:r>
        <w:t xml:space="preserve"> </w:t>
      </w:r>
      <w:r>
        <w:t>R</w:t>
      </w:r>
      <w:r>
        <w:t xml:space="preserve"> </w:t>
      </w:r>
      <w:r>
        <w:t>S/P</w:t>
      </w:r>
      <w:r>
        <w:t xml:space="preserve"> </w:t>
      </w:r>
      <w:r>
        <w:t>). This ratio can give clues into the compositional makeup of the mega-ULVZs. Through joint seismic analysis of core-diffracted</w:t>
      </w:r>
      <w:r>
        <w:t xml:space="preserve"> </w:t>
      </w:r>
      <w:r>
        <w:t>P</w:t>
      </w:r>
      <w:r>
        <w:t xml:space="preserve"> </w:t>
      </w:r>
      <w:r>
        <w:t>and</w:t>
      </w:r>
      <w:r>
        <w:t xml:space="preserve"> </w:t>
      </w:r>
      <w:r>
        <w:t>S</w:t>
      </w:r>
      <w:r>
        <w:t xml:space="preserve"> </w:t>
      </w:r>
      <w:r>
        <w:t>waves beneath Hawai’i, we constrain the</w:t>
      </w:r>
      <w:r>
        <w:t xml:space="preserve"> </w:t>
      </w:r>
      <w:r>
        <w:t>R</w:t>
      </w:r>
      <w:r>
        <w:t xml:space="preserve"> </w:t>
      </w:r>
      <w:r>
        <w:t>S/P</w:t>
      </w:r>
      <w:r>
        <w:t xml:space="preserve"> </w:t>
      </w:r>
      <w:r>
        <w:t>of its mega-ULVZ to 1 to 1.3. Mineralogical modeling reveals that iron enrichment via solid iron-rich magnesiowüstite [(Mg,Fe)O] matches this seismic constraint, independent of modeled ULVZ thickness. Enrichment of metallic iron-rich magnesiowüstite likely enhances the thermal conductivity of mega-ULVZs and provides a mechanism to drive localized plume upwelling. Higher reported</w:t>
      </w:r>
      <w:r>
        <w:t xml:space="preserve"> </w:t>
      </w:r>
      <w:r>
        <w:t>R</w:t>
      </w:r>
      <w:r>
        <w:t xml:space="preserve"> </w:t>
      </w:r>
      <w:r>
        <w:t>S/P</w:t>
      </w:r>
      <w:r>
        <w:t xml:space="preserve"> </w:t>
      </w:r>
      <w:r>
        <w:t>values for smaller ULVZs near subduction zones may therefore indicate different processes at play controlling ULVZ formation across the diverse core-mantle boundary landscape.</w:t>
      </w:r>
    </w:p>
    <w:p>
      <w:pPr>
        <w:spacing w:before="120" w:after="120"/>
      </w:pPr>
      <w:r>
        <w:rPr>
          <w:sz w:val="18"/>
        </w:rPr>
        <w:t>——————————————————————————————————————————————————————————————————————</w:t>
      </w:r>
    </w:p>
    <w:p>
      <w:pPr>
        <w:spacing w:before="160" w:after="40" w:line="240" w:lineRule="auto"/>
      </w:pPr>
      <w:r>
        <w:rPr>
          <w:b/>
        </w:rPr>
        <w:t xml:space="preserve">[432] </w:t>
      </w:r>
      <w:hyperlink r:id="rId639">
        <w:r>
          <w:rPr>
            <w:color w:val="1155CC"/>
            <w:u w:val="single"/>
          </w:rPr>
          <w:t>未来的种子就在眼前:盲目探索元稳定状态</w:t>
        </w:r>
      </w:hyperlink>
    </w:p>
    <w:p>
      <w:pPr>
        <w:spacing w:before="0" w:after="80"/>
      </w:pPr>
      <w:r>
        <w:rPr>
          <w:i/>
          <w:sz w:val="20"/>
        </w:rPr>
        <w:t>EN: The seeds of the future are in the present: A blind exploration of metastable states</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40">
        <w:r>
          <w:rPr>
            <w:color w:val="1155CC"/>
            <w:u w:val="single"/>
          </w:rPr>
          <w:t>10.1073/pnas.2524602123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在这项工作中,我们展示了一种分子动态模拟,目的是盲目地寻找可变状态。我们只使用最初的公正模拟数据,并在适当界定的损失函数的帮助下计算出偏差,赞成抽样但尚未探索的配置空间区域,鼓励系统离开最初的盆地。我们在工作中利用通常认为的缺陷,即神经网络难以普及。与大多数其他增强的抽样方法相反,这些方法需要事先了解反应过程,我们只能盲目地探索可变状态,克服其他无法克服的动能瓶颈。我们用一些指导性测试来说明这种方法的运作情况。</w:t>
      </w:r>
    </w:p>
    <w:p>
      <w:pPr>
        <w:spacing w:before="0" w:after="200" w:lineRule="auto" w:line="276"/>
      </w:pPr>
      <w:r>
        <w:rPr>
          <w:b/>
        </w:rPr>
        <w:t xml:space="preserve">Abstract (EN): </w:t>
      </w:r>
      <w:r>
        <w:t>In this work, we present a type of molecular dynamics simulation that aims at finding, in a blind way, metastable states. Using only data coming from an initial unbiased simulation, and with the help of an appropriately defined loss function, we compute a bias that favors sampling yet unexplored configurational space regions, encouraging the system to leave the initial basin. In our work, we take advantage of what is normally thought to be a defect, namely the difficulty of neural networks to generalize. Contrary to most other enhanced sampling methods, which need previous knowledge of the reactive process, we are able to explore in a blind way metastable states, overcoming otherwise insuperable kinetic bottlenecks. We illustrate the workings of the method with a number of instructive examples.</w:t>
      </w:r>
    </w:p>
    <w:p>
      <w:pPr>
        <w:spacing w:before="120" w:after="120"/>
      </w:pPr>
      <w:r>
        <w:rPr>
          <w:sz w:val="18"/>
        </w:rPr>
        <w:t>——————————————————————————————————————————————————————————————————————</w:t>
      </w:r>
    </w:p>
    <w:p>
      <w:pPr>
        <w:spacing w:before="160" w:after="40" w:line="240" w:lineRule="auto"/>
      </w:pPr>
      <w:r>
        <w:rPr>
          <w:b/>
        </w:rPr>
        <w:t xml:space="preserve">[433] </w:t>
      </w:r>
      <w:hyperlink r:id="rId641">
        <w:r>
          <w:rPr>
            <w:color w:val="1155CC"/>
            <w:u w:val="single"/>
          </w:rPr>
          <w:t>隔离消消化使具有成本效益的不锈钢耐腐蚀和氢蚀</w:t>
        </w:r>
      </w:hyperlink>
    </w:p>
    <w:p>
      <w:pPr>
        <w:spacing w:before="0" w:after="80"/>
      </w:pPr>
      <w:r>
        <w:rPr>
          <w:i/>
          <w:sz w:val="20"/>
        </w:rPr>
        <w:t>EN: Segregation passivation makes cost-effective stainless steel resistant to corrosion and hydrogen embrittlement</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42">
        <w:r>
          <w:rPr>
            <w:color w:val="1155CC"/>
            <w:u w:val="single"/>
          </w:rPr>
          <w:t>10.1126/sciadv.adz1833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不锈钢是可持续能源转换系统,尤其是与氢有关的应用中必不可少的材料,但是,不锈钢是可持续能源转换系统,特别是与氢有关的应用中必不可少的材料,但是,它们容易受氢的腐蚀和腐蚀影响,限制了其长期使用,导致需要能够抵御环境辅助损害和机械故障的高级合金。在这里,我们设计了具有成本效益的奥地利不锈钢。关键的创新涉及通过氮装饰对谷物边界进行原子规模的消化。这增加了对失败的抵抗力,使腐蚀抗药性增加了3.8倍,与商用316L相比,坚硬氢的耐力增加了1.35倍。 钢显示,氢阻力非常低(~7.8×10-7 s)。</w:t>
      </w:r>
    </w:p>
    <w:p>
      <w:pPr>
        <w:spacing w:before="0" w:after="200" w:lineRule="auto" w:line="276"/>
      </w:pPr>
      <w:r>
        <w:rPr>
          <w:b/>
        </w:rPr>
        <w:t xml:space="preserve">Abstract (EN): </w:t>
      </w:r>
      <w:r>
        <w:t>Stainless steels are essential materials in sustainable energy conversion systems, particularly in hydrogen-related applications. However, their susceptibility to hydrogen embrittlement and corrosion limits their long-term use, creating a need for advanced alloys capable of resisting environmentally assisted damage and mechanical failure. Here, we design a cost-effective austenitic stainless steel. The key innovation involves the atomic-scale passivation of grain boundaries through nitrogen decoration. This enhances resistance to failure, achieving about 3.8-fold increase in corrosion resistance and a 1.35-fold increase in hydrogen embrittlement resistance compared to commercial 316L. The steel exhibits very low hydrogen diffusivity (~7.8 × 10</w:t>
      </w:r>
      <w:r>
        <w:t xml:space="preserve"> </w:t>
      </w:r>
      <w:r>
        <w:t>−17</w:t>
      </w:r>
      <w:r>
        <w:t xml:space="preserve"> </w:t>
      </w:r>
      <w:r>
        <w:t>square meters per second), mitigating hydrogen embrittlement at ambient temperature, an advantage over conventional steels. In addition, formation of a dense passive film improves corrosion resistance in environments such as dilute hydrochloric acid, sulfuric acid, and caustic soda. The outstanding resistance of the stainless steel against such harsh coupled environmental conditions qualifies it as a promising candidate for sustainable and secure infrastructure in the emerging hydrogen economy.</w:t>
      </w:r>
    </w:p>
    <w:p>
      <w:pPr>
        <w:spacing w:before="120" w:after="120"/>
      </w:pPr>
      <w:r>
        <w:rPr>
          <w:sz w:val="18"/>
        </w:rPr>
        <w:t>——————————————————————————————————————————————————————————————————————</w:t>
      </w:r>
    </w:p>
    <w:p>
      <w:pPr>
        <w:spacing w:before="160" w:after="40" w:line="240" w:lineRule="auto"/>
      </w:pPr>
      <w:r>
        <w:rPr>
          <w:b/>
        </w:rPr>
        <w:t xml:space="preserve">[434] </w:t>
      </w:r>
      <w:hyperlink r:id="rId643">
        <w:r>
          <w:rPr>
            <w:color w:val="1155CC"/>
            <w:u w:val="single"/>
          </w:rPr>
          <w:t>通过瞬时微分子相互作用,使红色染色体增殖</w:t>
        </w:r>
      </w:hyperlink>
    </w:p>
    <w:p>
      <w:pPr>
        <w:spacing w:before="0" w:after="80"/>
      </w:pPr>
      <w:r>
        <w:rPr>
          <w:i/>
          <w:sz w:val="20"/>
        </w:rPr>
        <w:t>EN: The kinetochore corona orchestrates chromosome congression through transient microtubule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44">
        <w:r>
          <w:rPr>
            <w:color w:val="1155CC"/>
            <w:u w:val="single"/>
          </w:rPr>
          <w:t>10.1073/pnas.2524367123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为了对染色体和成功的细胞基质进行适当的隔离,染色体必须首先“聚集”——在脊椎赤道附近的紧紧板上聚集——我们并不完全理解大会的分子机制。在这里,我们结合了活细胞显微镜、微脉泡运动的扰动、相关光/电子显微镜和计算模型,以便从数量上描述将分散的染色体带入人类RPE1细胞中的赤道的早期孕体运动。我们发现,早期的孕体运动方向是旋轴轴中心,而不是旋线杆。中子运动速度不固定,中子运动速度不固定,中子移动速度较快,离旋轴中心较远。我们还检测到,许多发片。</w:t>
      </w:r>
    </w:p>
    <w:p>
      <w:pPr>
        <w:spacing w:before="0" w:after="200" w:lineRule="auto" w:line="276"/>
      </w:pPr>
      <w:r>
        <w:rPr>
          <w:b/>
        </w:rPr>
        <w:t xml:space="preserve">Abstract (EN): </w:t>
      </w:r>
      <w:r>
        <w:t>For proper segregation of chromosomes and successful cytokinesis, chromosomes must first “congress”—gather in a tight plate near the spindle equator. Molecular mechanism(s) of congression are not fully understood. Here we combine live-cell microscopy, perturbations of microtubule motor activities, correlative light/electron microscopy, and computational modeling, to quantitatively characterize the early-prometaphase movements that bring the scattered chromosomes to the equator in human RPE1 cells. We find that the early-prometaphase movements are directed toward the center of the spindle axis and not the spindle poles. Centromere velocity of the centripetal movements is not constant, with centromeres moving faster at larger distances from the spindle center. We also detect that numerous short microtubules appear at kinetochores at the earliest stages of spindle assembly and prior to chromosome congression. Computational modeling reveals that a mechanism based on brief, stochastic, minus-end directed interactions between the short microtubules protruding from the kinetochores and long appropriately curved microtubules within the spindle accurately predicts the observed distance-velocity function. Further, the model predicts that insufficient numbers of microtubules protruding from the kinetochores decreases the velocity and randomizes directionality of congression movements. These predictions match changes in the chromosome behavior observed in cells with suppressed nucleation of microtubules at the kinetochore corona (RPE1 Rod</w:t>
      </w:r>
      <w:r>
        <w:t xml:space="preserve"> </w:t>
      </w:r>
      <w:r>
        <w:t>Δ/Δ</w:t>
      </w:r>
      <w:r>
        <w:t xml:space="preserve"> </w:t>
      </w:r>
      <w:r>
        <w:t>). In contrast, predictions of computational models based on continuous pulling forces at kinetochores differ significantly from the experimental observations. Together, live-cell observations and modeling reveal a mechanism that enables the efficient and synchronized arrival of chromosomes to the spindle equator.</w:t>
      </w:r>
    </w:p>
    <w:p>
      <w:pPr>
        <w:spacing w:before="120" w:after="120"/>
      </w:pPr>
      <w:r>
        <w:rPr>
          <w:sz w:val="18"/>
        </w:rPr>
        <w:t>——————————————————————————————————————————————————————————————————————</w:t>
      </w:r>
    </w:p>
    <w:p>
      <w:pPr>
        <w:spacing w:before="160" w:after="40" w:line="240" w:lineRule="auto"/>
      </w:pPr>
      <w:r>
        <w:rPr>
          <w:b/>
        </w:rPr>
        <w:t xml:space="preserve">[435] </w:t>
      </w:r>
      <w:hyperlink r:id="rId645">
        <w:r>
          <w:rPr>
            <w:color w:val="1155CC"/>
            <w:u w:val="single"/>
          </w:rPr>
          <w:t>CATSPER 外细胞域对于精子钙渠道组装和活动调控至关重要</w:t>
        </w:r>
      </w:hyperlink>
    </w:p>
    <w:p>
      <w:pPr>
        <w:spacing w:before="0" w:after="80"/>
      </w:pPr>
      <w:r>
        <w:rPr>
          <w:i/>
          <w:sz w:val="20"/>
        </w:rPr>
        <w:t>EN: CATSPERε extracellular domains are essential for sperm calcium channel assembly and activity modulation</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46">
        <w:r>
          <w:rPr>
            <w:color w:val="1155CC"/>
            <w:u w:val="single"/>
          </w:rPr>
          <w:t>10.1126/sciadv.adw3414</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精子旗星体专用的CatSper Ca 2+信道是一个对成功授精至关重要的多蛋白复合体。 四个辅助子单元CATSPERβ, γ,,,,,, 形成一个独特的树冠结构, 覆盖孔状成形通道。 然而, 树冠是如何形成的, 以及在组装的通道群中做什么的, 仍然未知。 在此, 我们报告 CATSPER 的外细胞域( ECDs) 在精子电能化期间对于树冠和合体组装和调控通道活动至关重要 。 CATSPER 缺乏雄性由于整个通道的缺失和精精精的超活性作用性而无菌。 在精精精生成过程中表达的 CATSPER( ECD runcent CATSPER) 不能拯救击倒, 因为它没有融入到本地的复合体中。</w:t>
      </w:r>
    </w:p>
    <w:p>
      <w:pPr>
        <w:spacing w:before="0" w:after="200" w:lineRule="auto" w:line="276"/>
      </w:pPr>
      <w:r>
        <w:rPr>
          <w:b/>
        </w:rPr>
        <w:t xml:space="preserve">Abstract (EN): </w:t>
      </w:r>
      <w:r>
        <w:t>The sperm flagellar-specific CatSper Ca</w:t>
      </w:r>
      <w:r>
        <w:t xml:space="preserve"> </w:t>
      </w:r>
      <w:r>
        <w:t>2+</w:t>
      </w:r>
      <w:r>
        <w:t xml:space="preserve"> </w:t>
      </w:r>
      <w:r>
        <w:t>channel is a multiprotein complex critical for successful fertilization. The four ancillary subunits, CATSPERβ, γ, δ, and ε, form a unique canopy structure over the pore-forming channel. However, how the canopy is formed and what it does in the assembled channel complex remain unknown. Here, we report that extracellular domains (ECDs) of CATSPERε are essential for canopy and holo-complex assembly and modulate channel activity during sperm capacitation. CATSPERε-deficient males are sterile due to the absence of the entire channel and defective sperm hyperactivation. Expressing ECD-truncated CATSPERε during spermatogenesis does not rescue the knockout because it fails to incorporate into the native complex. In contrast, addition of a CATSPERε ECD fragment during sperm capacitation significantly reduces sperm hyperactivation. These findings provide insight into the underlying molecular and developmental mechanisms of CatSper assembly and how the channel can be modulated in physiological settings and by therapeutic intervention.</w:t>
      </w:r>
    </w:p>
    <w:p>
      <w:pPr>
        <w:spacing w:before="120" w:after="120"/>
      </w:pPr>
      <w:r>
        <w:rPr>
          <w:sz w:val="18"/>
        </w:rPr>
        <w:t>——————————————————————————————————————————————————————————————————————</w:t>
      </w:r>
    </w:p>
    <w:p>
      <w:pPr>
        <w:spacing w:before="160" w:after="40" w:line="240" w:lineRule="auto"/>
      </w:pPr>
      <w:r>
        <w:rPr>
          <w:b/>
        </w:rPr>
        <w:t xml:space="preserve">[436] </w:t>
      </w:r>
      <w:hyperlink r:id="rId647">
        <w:r>
          <w:rPr>
            <w:color w:val="1155CC"/>
            <w:u w:val="single"/>
          </w:rPr>
          <w:t>FccomCIIB在哺乳腺中作为IgG运输器发挥作用。</w:t>
        </w:r>
      </w:hyperlink>
    </w:p>
    <w:p>
      <w:pPr>
        <w:spacing w:before="0" w:after="80"/>
      </w:pPr>
      <w:r>
        <w:rPr>
          <w:i/>
          <w:sz w:val="20"/>
        </w:rPr>
        <w:t>EN: FcγRIIB functions as an IgG transporter in the mammary gland</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48">
        <w:r>
          <w:rPr>
            <w:color w:val="1155CC"/>
            <w:u w:val="single"/>
          </w:rPr>
          <w:t>10.1073/pnas.2522841123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在哺乳动物中,被动获取母体免疫球球球蛋白对于新生儿免疫发育和防范感染至关重要。IgG是幽默性免疫的核心调解人,根据胎盘结构的胎盘结构,通过不同的机制进行母体转移;在人类(化学胎盘)中,IgG在产前跨胎盘运输,而在大型家畜中,如猪和牛(肾上腺/相连接的甲状腺胎盘),IgG在产后完全通过科洛图姆转移,并被新生儿肠吸收。Rodents(allantoic chorionic 胎盘)使用两种途径。关键是,IgG必须穿越多种组织障碍,包括胎盘、哺乳腺和新生儿肠,以达到新生儿的循环。而FcR则通过呼吸系统,而RcR则通过呼吸系统,通过呼吸。</w:t>
      </w:r>
    </w:p>
    <w:p>
      <w:pPr>
        <w:spacing w:before="0" w:after="200" w:lineRule="auto" w:line="276"/>
      </w:pPr>
      <w:r>
        <w:rPr>
          <w:b/>
        </w:rPr>
        <w:t xml:space="preserve">Abstract (EN): </w:t>
      </w:r>
      <w:r>
        <w:t>In mammals, passive acquisition of maternal immunoglobulins is essential for neonatal immune development and defense against infections. IgG, a central mediator of humoral immunity, is maternally transferred via distinct mechanisms depending on placental structure in placental mammals. In humans (hemochorial placenta), IgG is prenatally transported across the placenta, whereas in large domestic animals such as pigs and cows (epitheliochorial/connective chorionic placenta), IgG is exclusively transferred postnatally via colostrum and absorbed in the neonatal intestine. Rodents (allantoic chorionic placenta) employ both pathways. Critically, IgG must traverse multiple tissue barriers-including the placenta, mammary gland, and neonatal intestine-to reach the circulation of newborns. While FcRn is known to facilitate IgG transport in the placenta and neonatal intestine, the mechanisms underlying IgG secretion into milk remain unclear. Here, we identify FcγRIIB as the key transporter mediating maternal IgG transfer across the mammary gland in mammals. Using constitutive and conditional knockout mice, we demonstrate that FcγRIIB deficiency impairs mammary IgG transfer, whereas its overexpression enhances milk IgG levels. Strikingly, in pigs, FcγRIIB is highly upregulated in mammary tissue prepartum, and its disruption abolishes IgG accumulation in colostrum. Our work opens avenues for improving neonatal immunity through targeted modulation of FcγRIIB-mediated IgG transport.</w:t>
      </w:r>
    </w:p>
    <w:p>
      <w:pPr>
        <w:spacing w:before="120" w:after="120"/>
      </w:pPr>
      <w:r>
        <w:rPr>
          <w:sz w:val="18"/>
        </w:rPr>
        <w:t>——————————————————————————————————————————————————————————————————————</w:t>
      </w:r>
    </w:p>
    <w:p>
      <w:pPr>
        <w:spacing w:before="160" w:after="40" w:line="240" w:lineRule="auto"/>
      </w:pPr>
      <w:r>
        <w:rPr>
          <w:b/>
        </w:rPr>
        <w:t xml:space="preserve">[437] </w:t>
      </w:r>
      <w:hyperlink r:id="rId649">
        <w:r>
          <w:rPr>
            <w:color w:val="1155CC"/>
            <w:u w:val="single"/>
          </w:rPr>
          <w:t>对第1型糖尿病直至疾病发病的纵向监测</w:t>
        </w:r>
      </w:hyperlink>
    </w:p>
    <w:p>
      <w:pPr>
        <w:spacing w:before="0" w:after="80"/>
      </w:pPr>
      <w:r>
        <w:rPr>
          <w:i/>
          <w:sz w:val="20"/>
        </w:rPr>
        <w:t>EN: Longitudinal monitoring of type 1 diabetes progression to disease onset</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50">
        <w:r>
          <w:rPr>
            <w:color w:val="1155CC"/>
            <w:u w:val="single"/>
          </w:rPr>
          <w:t>10.1126/sciadv.adw8946</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目前的诊断方法评估了自动机体的循环、C-poptide 水平或痢疾血糖的循环,然而,这些方法未能查明在葡萄糖衰竭调控之前细胞的破坏。在这里,一个亚皮微粒骨架被用作免疫学的特长(IN),它提供了一种非维可接触的组织,反映了在胰腺中发生的许多免疫变化。对IN的成功分析,从非风险群体以及非累进器的病变器中成功划分了风险,在非显微鼠模型中,病变6周。在进化器中,我们发现疾病在疾病发作前5至7周。在病变异器中,我们发现疾病在疾病发作前5至7周。</w:t>
      </w:r>
    </w:p>
    <w:p>
      <w:pPr>
        <w:spacing w:before="0" w:after="200" w:lineRule="auto" w:line="276"/>
      </w:pPr>
      <w:r>
        <w:rPr>
          <w:b/>
        </w:rPr>
        <w:t xml:space="preserve">Abstract (EN): </w:t>
      </w:r>
      <w:r>
        <w:t>Preventing autoimmune type 1 diabetes (T1D) necessitates improved monitoring for disease progression before symptom onset. Current diagnostic methods assess circulating autoantibodies, C-peptide levels, or dysglycemia, yet these approaches fail to identify β cell destruction preceding glucose dysregulation. Here, a subcutaneous microporous scaffold is used as an immunological niche (IN), which provides a nonvital accessible tissue reflecting many immune changes occurring in the pancreas. Sequencing analysis of the IN successfully delineates at-risk from nonrisk groups, as well as disease progressors from nonprogressors at 6 weeks of age in the nonobese diabetic mouse model. Within progressors, we identify disease 5 to 7 weeks before disease onset. Collectively, disease occurring in a poorly accessible site can be identified early by sampling a distant nonvital tissue, indicating the systemic nature of the disease and informing the timing of disease modifying therapies to halt or delay the progression of T1D.</w:t>
      </w:r>
    </w:p>
    <w:p>
      <w:pPr>
        <w:spacing w:before="120" w:after="120"/>
      </w:pPr>
      <w:r>
        <w:rPr>
          <w:sz w:val="18"/>
        </w:rPr>
        <w:t>——————————————————————————————————————————————————————————————————————</w:t>
      </w:r>
    </w:p>
    <w:p>
      <w:pPr>
        <w:spacing w:before="160" w:after="40" w:line="240" w:lineRule="auto"/>
      </w:pPr>
      <w:r>
        <w:rPr>
          <w:b/>
        </w:rPr>
        <w:t xml:space="preserve">[438] </w:t>
      </w:r>
      <w:hyperlink r:id="rId651">
        <w:r>
          <w:rPr>
            <w:color w:val="1155CC"/>
            <w:u w:val="single"/>
          </w:rPr>
          <w:t>由于地球核心地标边界的超离子转换而缺乏脱水</w:t>
        </w:r>
      </w:hyperlink>
    </w:p>
    <w:p>
      <w:pPr>
        <w:spacing w:before="0" w:after="80"/>
      </w:pPr>
      <w:r>
        <w:rPr>
          <w:i/>
          <w:sz w:val="20"/>
        </w:rPr>
        <w:t>EN: Absence of dehydration due to superionic transition at Earth’s core-mantle boundary</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52">
        <w:r>
          <w:rPr>
            <w:color w:val="1155CC"/>
            <w:u w:val="single"/>
          </w:rPr>
          <w:t>10.1126/sciadv.aeb3006</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氢流阶段的特性和稳定性对于揭开深水循环的奥秘至关重要。在深层低层的地表条件下,水和水分阶段进入了超电状态。然而,对水体稳定性和脱水行为的超离子效应仍然不明确。我们利用初始和深学习潜在的分子动态模拟,在-Alooh发现了一个双重的超离层转变,其特点是氧基亚酸盐中氢和铝离子的高度挥发性行为。这些高度分解的元素为系统提供了外部诱导,稳定了140GPA和3800K的结构。 我们的自由能源计算结果显示,水往往在低层地表条件下被冻结,因此脱水成为了能量。</w:t>
      </w:r>
    </w:p>
    <w:p>
      <w:pPr>
        <w:spacing w:before="0" w:after="200" w:lineRule="auto" w:line="276"/>
      </w:pPr>
      <w:r>
        <w:rPr>
          <w:b/>
        </w:rPr>
        <w:t xml:space="preserve">Abstract (EN): </w:t>
      </w:r>
      <w:r>
        <w:t>The properties and stability of hydrous phases are crucial to unraveling the mysteries of the deep water cycle. Under deep lower mantle conditions, water and hydrous phases transition into a superionic state. However, superionic effect on their stability and dehydration behavior remains unclear. Using ab initio and deep learning potential molecular dynamics simulations, we discovered a doubly superionic transition in δ-AlOOH, characterized by the highly diffusive behavior of both hydrogen and aluminum ions within the oxygen sublattice. These highly diffusive elements contribute external entropy to the system, stabilizing the structure at 140 GPa and 3800 K. Our free-energy calculations reveal that water tends to freeze under deep lower mantle conditions, so dehydration becomes energetically and kinetically unfavorable even under core-mantle boundary (CMB) conditions. This implies that superionic water may accumulate in the deep lower mantle over geologic time, forming a long-term reservoir at the base of the mantle.</w:t>
      </w:r>
    </w:p>
    <w:p>
      <w:pPr>
        <w:spacing w:before="120" w:after="120"/>
      </w:pPr>
      <w:r>
        <w:rPr>
          <w:sz w:val="18"/>
        </w:rPr>
        <w:t>——————————————————————————————————————————————————————————————————————</w:t>
      </w:r>
    </w:p>
    <w:p>
      <w:pPr>
        <w:spacing w:before="160" w:after="40" w:line="240" w:lineRule="auto"/>
      </w:pPr>
      <w:r>
        <w:rPr>
          <w:b/>
        </w:rPr>
        <w:t xml:space="preserve">[439] </w:t>
      </w:r>
      <w:hyperlink r:id="rId653">
        <w:r>
          <w:rPr>
            <w:color w:val="1155CC"/>
            <w:u w:val="single"/>
          </w:rPr>
          <w:t>Drospondin, 一种与人类Reelin/F-spondin相似的螺旋甘蛋白, 有助于Drosophilla大脑的发育和功能</w:t>
        </w:r>
      </w:hyperlink>
    </w:p>
    <w:p>
      <w:pPr>
        <w:spacing w:before="0" w:after="80"/>
      </w:pPr>
      <w:r>
        <w:rPr>
          <w:i/>
          <w:sz w:val="20"/>
        </w:rPr>
        <w:t>EN: Drospondin, a glial glycoprotein with similarities to human Reelin/F-spondin, contributes to Drosophila brain development and function</w:t>
      </w:r>
    </w:p>
    <w:p>
      <w:pPr>
        <w:spacing w:before="0" w:after="120"/>
      </w:pPr>
      <w:r>
        <w:rPr>
          <w:b/>
        </w:rPr>
        <w:t xml:space="preserve">Source: </w:t>
      </w:r>
      <w:r>
        <w:t>Proceedings of the National Academy of Sciences: Keyword search for query</w:t>
      </w:r>
      <w:r>
        <w:t xml:space="preserve">    </w:t>
      </w:r>
      <w:r>
        <w:rPr>
          <w:b/>
        </w:rPr>
        <w:t xml:space="preserve">Pub date: </w:t>
      </w:r>
      <w:r>
        <w:t>2026-01-28 08:00:00+00:00</w:t>
      </w:r>
      <w:r>
        <w:t xml:space="preserve">    </w:t>
      </w:r>
      <w:r>
        <w:rPr>
          <w:b/>
        </w:rPr>
        <w:t xml:space="preserve">DOI: </w:t>
      </w:r>
      <w:hyperlink r:id="rId654">
        <w:r>
          <w:rPr>
            <w:color w:val="1155CC"/>
            <w:u w:val="single"/>
          </w:rPr>
          <w:t>10.1073/pnas.2502307123</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Reelin是一种隐秘的甘蓝蛋白,在哺乳动物新皮层、河马坎普斯和小贝伦的发育中扮演着作用。这种脊椎信号分子也有助于成人大脑功能。Mammalian Reelin增加了Drosophila Mushromo body(MB) neurites(MB) 的复杂性,一种由LpR1和LpR2介介介介的效应,即哺乳动物Reellin受体的矫形体。自相矛盾的是,到目前为止,在Drosophilla没有描述过Reelin ortholog。我们在这里报告说,我们命名为Drospondin的未经定性的Drosophilla CG1739基因的蛋白质产品,与脊椎动物F-spondin和Reelin的共和序列。我们显示Drospondin在小细胞中表达,并且是以小细胞表达的。</w:t>
      </w:r>
    </w:p>
    <w:p>
      <w:pPr>
        <w:spacing w:before="0" w:after="200" w:lineRule="auto" w:line="276"/>
      </w:pPr>
      <w:r>
        <w:rPr>
          <w:b/>
        </w:rPr>
        <w:t xml:space="preserve">Abstract (EN): </w:t>
      </w:r>
      <w:r>
        <w:t>Reelin is a secreted glycoprotein with roles in the development of the mammalian neocortex, hippocampus, and cerebellum. This vertebrate signaling molecule also contributes to adult brain function. Mammalian Reelin increases the complexity of</w:t>
      </w:r>
      <w:r>
        <w:t xml:space="preserve"> </w:t>
      </w:r>
      <w:r>
        <w:t>Drosophila</w:t>
      </w:r>
      <w:r>
        <w:t xml:space="preserve"> </w:t>
      </w:r>
      <w:r>
        <w:t>Mushroom Body (MB) neurites, an effect mediated by LpR1 and LpR2, the orthologs of mammalian Reelin receptors. Paradoxically, to date, no Reelin ortholog has been described in</w:t>
      </w:r>
      <w:r>
        <w:t xml:space="preserve"> </w:t>
      </w:r>
      <w:r>
        <w:t>Drosophila</w:t>
      </w:r>
      <w:r>
        <w:t xml:space="preserve"> </w:t>
      </w:r>
      <w:r>
        <w:t>. Here, we report that the protein product of the uncharacterized</w:t>
      </w:r>
      <w:r>
        <w:t xml:space="preserve"> </w:t>
      </w:r>
      <w:r>
        <w:t>Drosophila</w:t>
      </w:r>
      <w:r>
        <w:t xml:space="preserve"> </w:t>
      </w:r>
      <w:r>
        <w:t>CG17739 gene, which we named Drospondin, shares sequence homology with vertebrate F-spondin and Reelin. We show that Drospondin is expressed in glial cells and is crucial for MB development. Our results also show that Drospondin genetically interacts with LpRs and that human Reelin rescues neuronal and brain structural defects in Drospondin-deficient flies. Furthermore, Drospondin-deficient flies exhibit altered sleep, locomotion, and social behaviors. Our results reveal that Drospondin is a</w:t>
      </w:r>
      <w:r>
        <w:t xml:space="preserve"> </w:t>
      </w:r>
      <w:r>
        <w:t>Drosophila</w:t>
      </w:r>
      <w:r>
        <w:t xml:space="preserve"> </w:t>
      </w:r>
      <w:r>
        <w:t>protein with similar functions to mammalian Reelin/F-spondin, that has an essential role in brain development and function, the impairment of which has profound functional consequences for the animal.</w:t>
      </w:r>
    </w:p>
    <w:p>
      <w:pPr>
        <w:spacing w:before="120" w:after="120"/>
      </w:pPr>
      <w:r>
        <w:rPr>
          <w:sz w:val="18"/>
        </w:rPr>
        <w:t>——————————————————————————————————————————————————————————————————————</w:t>
      </w:r>
    </w:p>
    <w:p>
      <w:pPr>
        <w:spacing w:before="160" w:after="40" w:line="240" w:lineRule="auto"/>
      </w:pPr>
      <w:r>
        <w:rPr>
          <w:b/>
        </w:rPr>
        <w:t xml:space="preserve">[440] </w:t>
      </w:r>
      <w:hyperlink r:id="rId655">
        <w:r>
          <w:rPr>
            <w:color w:val="1155CC"/>
            <w:u w:val="single"/>
          </w:rPr>
          <w:t>解剖多巴胺释放和即时早期基因诱导需要α-核糖核素表达法。</w:t>
        </w:r>
      </w:hyperlink>
    </w:p>
    <w:p>
      <w:pPr>
        <w:spacing w:before="0" w:after="80"/>
      </w:pPr>
      <w:r>
        <w:rPr>
          <w:i/>
          <w:sz w:val="20"/>
        </w:rPr>
        <w:t>EN: α-Synuclein expression is required for somatodendritic dopamine release and immediate early gene induction</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56">
        <w:r>
          <w:rPr>
            <w:color w:val="1155CC"/>
            <w:u w:val="single"/>
          </w:rPr>
          <w:t>10.1126/sciadv.ady6978</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α-硅核素(α-Syn)是一种未经确定的生理功能的预发性蛋白,在帕金森氏病神经病理学中起着中心作用。到目前为止,据报告α-Syn表现对轴神经性外科囊肿和膜环流运动的动能作用相对较小。相反,我们报告说,α-Syn是亚丁亚硝酸豆芽多巴胺释放的主要调节器,是一种被略为理解的神经传播形式,是感官和巴萨混合电路的中心。这一规定是由于α-Syn在控制L型钙离子管(LTCCC)活动方面作用未知,这也与帕金森的病发有关。 α-Syn-不精密神经元进一步显示降压频率适应性下降,流行式LTCC-d。 这一规定是由于α-Syn在控制L型钙离子管(LTCC)活动方面作用不为未知。</w:t>
      </w:r>
    </w:p>
    <w:p>
      <w:pPr>
        <w:spacing w:before="0" w:after="200" w:lineRule="auto" w:line="276"/>
      </w:pPr>
      <w:r>
        <w:rPr>
          <w:b/>
        </w:rPr>
        <w:t xml:space="preserve">Abstract (EN): </w:t>
      </w:r>
      <w:r>
        <w:t>α-Synuclein (αSyn) is a presynaptic protein of unestablished physiological function that plays a central role in Parkinson’s disease neuropathology. To date, the reported effects of αSyn expression on the kinetics of axonal synaptic vesicle exocytosis and membrane cycling have been relatively small. In contrast, we report that αSyn is the major modulator of substantia nigra somatodendritic dopamine release, a little-understood form of neurotransmission that is central to sensorimotor and basal ganglia circuitry. This regulation is due to a previously unknown role for αSyn in controlling the activity of the L-type calcium ion channels (LTCC), which are also implicated in Parkinson’s pathogenesis. αSyn-deficient neurons further display decreased spike frequency adaptation, hippocampal LTCC-dependent long-term potentiation, and immediate early gene induction, functions that are essential for synaptic adaptation and neuronal plasticity.</w:t>
      </w:r>
    </w:p>
    <w:p>
      <w:pPr>
        <w:spacing w:before="120" w:after="120"/>
      </w:pPr>
      <w:r>
        <w:rPr>
          <w:sz w:val="18"/>
        </w:rPr>
        <w:t>——————————————————————————————————————————————————————————————————————</w:t>
      </w:r>
    </w:p>
    <w:p>
      <w:pPr>
        <w:spacing w:before="160" w:after="40" w:line="240" w:lineRule="auto"/>
      </w:pPr>
      <w:r>
        <w:rPr>
          <w:b/>
        </w:rPr>
        <w:t xml:space="preserve">[441] </w:t>
      </w:r>
      <w:hyperlink r:id="rId657">
        <w:r>
          <w:rPr>
            <w:color w:val="1155CC"/>
            <w:u w:val="single"/>
          </w:rPr>
          <w:t>一. 导言:硬金球</w:t>
        </w:r>
      </w:hyperlink>
    </w:p>
    <w:p>
      <w:pPr>
        <w:spacing w:before="0" w:after="80"/>
      </w:pPr>
      <w:r>
        <w:rPr>
          <w:i/>
          <w:sz w:val="20"/>
        </w:rPr>
        <w:t>EN: Introduction: Tough Gels</w:t>
      </w:r>
    </w:p>
    <w:p>
      <w:pPr>
        <w:spacing w:before="0" w:after="120"/>
      </w:pPr>
      <w:r>
        <w:rPr>
          <w:b/>
        </w:rPr>
        <w:t xml:space="preserve">Source: </w:t>
      </w:r>
      <w:r>
        <w:t>acs: Chemical Reviews: Table of Contents</w:t>
      </w:r>
      <w:r>
        <w:t xml:space="preserve">    </w:t>
      </w:r>
      <w:r>
        <w:rPr>
          <w:b/>
        </w:rPr>
        <w:t xml:space="preserve">Pub date: </w:t>
      </w:r>
      <w:r>
        <w:t>2026-01-28 08:00:00+00:00</w:t>
      </w:r>
      <w:r>
        <w:t xml:space="preserve">    </w:t>
      </w:r>
      <w:r>
        <w:rPr>
          <w:b/>
        </w:rPr>
        <w:t xml:space="preserve">DOI: </w:t>
      </w:r>
      <w:hyperlink r:id="rId658">
        <w:r>
          <w:rPr>
            <w:color w:val="1155CC"/>
            <w:u w:val="single"/>
          </w:rPr>
          <w:t>10.1021/acs.chemrev.5c01078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[442] </w:t>
      </w:r>
      <w:hyperlink r:id="rId659">
        <w:r>
          <w:rPr>
            <w:color w:val="1155CC"/>
            <w:u w:val="single"/>
          </w:rPr>
          <w:t>自由漂浮的冰在平静的水域中融化</w:t>
        </w:r>
      </w:hyperlink>
    </w:p>
    <w:p>
      <w:pPr>
        <w:spacing w:before="0" w:after="80"/>
      </w:pPr>
      <w:r>
        <w:rPr>
          <w:i/>
          <w:sz w:val="20"/>
        </w:rPr>
        <w:t>EN: Melting dynamics of freely floating ice in calm waters</w:t>
      </w:r>
    </w:p>
    <w:p>
      <w:pPr>
        <w:spacing w:before="0" w:after="120"/>
      </w:pPr>
      <w:r>
        <w:rPr>
          <w:b/>
        </w:rPr>
        <w:t xml:space="preserve">Source: </w:t>
      </w:r>
      <w:r>
        <w:t>AAAS: Science Advances: Table of Contents</w:t>
      </w:r>
      <w:r>
        <w:t xml:space="preserve">    </w:t>
      </w:r>
      <w:r>
        <w:rPr>
          <w:b/>
        </w:rPr>
        <w:t xml:space="preserve">Pub date: </w:t>
      </w:r>
      <w:r>
        <w:t>2026-01-28 08:00:00+00:00</w:t>
      </w:r>
      <w:r>
        <w:t xml:space="preserve">    </w:t>
      </w:r>
      <w:r>
        <w:rPr>
          <w:b/>
        </w:rPr>
        <w:t xml:space="preserve">DOI: </w:t>
      </w:r>
      <w:hyperlink r:id="rId660">
        <w:r>
          <w:rPr>
            <w:color w:val="1155CC"/>
            <w:u w:val="single"/>
          </w:rPr>
          <w:t>10.1126/sciadv.ady3529</w:t>
        </w:r>
      </w:hyperlink>
    </w:p>
    <w:p>
      <w:pPr>
        <w:spacing w:before="0" w:after="120"/>
      </w:pPr>
      <w:r>
        <w:rPr>
          <w:b/>
        </w:rPr>
        <w:t xml:space="preserve">Notes: </w:t>
      </w:r>
      <w:r>
        <w:t>abstract_source=crossref; must_have_abstract=True</w:t>
      </w:r>
    </w:p>
    <w:p>
      <w:pPr>
        <w:spacing w:before="0" w:after="80" w:lineRule="auto" w:line="276"/>
      </w:pPr>
      <w:r>
        <w:rPr>
          <w:b/>
        </w:rPr>
        <w:t xml:space="preserve">摘要（ZH）: </w:t>
      </w:r>
      <w:r>
        <w:t>预测浮冰动态仍然是对地球气候具有影响的一个具有挑战性的问题。 尽管巨大的冰山已经吸引了全世界的注意力,但小型冰山被忽略了,我们依然缺乏机械模型。 在实时跟踪的帮助下,我们打破了平静水域中自由漂浮冰的短暂过程 — — 包括支配融化的动力学、阶段过渡和周围流体动态。 结合热转移模型和实验结果,我们制定并验证了熔化速度的理论模型,将冰的几何测量和对流系统确定为关键控制。 此外,冰驱动的流体量以数量级的速度超过了熔化水流,强调了浮流的生态相关性。</w:t>
      </w:r>
    </w:p>
    <w:p>
      <w:pPr>
        <w:spacing w:before="0" w:after="200" w:lineRule="auto" w:line="276"/>
      </w:pPr>
      <w:r>
        <w:rPr>
          <w:b/>
        </w:rPr>
        <w:t xml:space="preserve">Abstract (EN): </w:t>
      </w:r>
      <w:r>
        <w:t>Predicting floating ice dynamics remains a challenging problem with implications for Earth’s climate. While gigantic icebergs have garnered worldwide attention, small ice bodies have been overlooked, and we still lack their mechanistic models. Aided by a real-time tracking, we unravel the transient processes of freely floating ice in calm waters—including the kinematics, phase transition, and surrounding fluid dynamics—that govern melting. Combining the heat transfer model and our experimental results, we develop and validate a theoretical model for the melt rate, identifying ice geometry and convective regime as key controls. Furthermore, the ice-driven convective volume flux is found to exceed the meltwater flux by orders of magnitude, underscoring the ecological relevance of floating ice; it not only supplies freshwater but also acts as a destabilizing buoyancy source that redistributes mass macroscopically. Our study provides a foundation for developing mechanistic parameterizations of icebergs and ice floes melting in climate models.</w:t>
      </w:r>
    </w:p>
    <w:p>
      <w:pPr>
        <w:spacing w:before="120" w:after="120"/>
      </w:pPr>
      <w:r>
        <w:rPr>
          <w:sz w:val="18"/>
        </w:rPr>
        <w:t>——————————————————————————————————————————————————————————————————————</w:t>
      </w:r>
    </w:p>
    <w:p>
      <w:pPr>
        <w:spacing w:before="160" w:after="40" w:line="240" w:lineRule="auto"/>
      </w:pPr>
      <w:r>
        <w:rPr>
          <w:b/>
        </w:rPr>
        <w:t xml:space="preserve">[443] </w:t>
      </w:r>
      <w:hyperlink r:id="rId661">
        <w:r>
          <w:rPr>
            <w:color w:val="1155CC"/>
            <w:u w:val="single"/>
          </w:rPr>
          <w:t>用于农业、环境和未来应用的植物和微生物合成生物学</w:t>
        </w:r>
      </w:hyperlink>
    </w:p>
    <w:p>
      <w:pPr>
        <w:spacing w:before="0" w:after="80"/>
      </w:pPr>
      <w:r>
        <w:rPr>
          <w:i/>
          <w:sz w:val="20"/>
        </w:rPr>
        <w:t>EN: Synthetic Biology of Plants and Microbes for Agriculture, Environment, and Future Applications</w:t>
      </w:r>
    </w:p>
    <w:p>
      <w:pPr>
        <w:spacing w:before="0" w:after="120"/>
      </w:pPr>
      <w:r>
        <w:rPr>
          <w:b/>
        </w:rPr>
        <w:t xml:space="preserve">Source: </w:t>
      </w:r>
      <w:r>
        <w:t>acs: Chemical Reviews: Table of Contents</w:t>
      </w:r>
      <w:r>
        <w:t xml:space="preserve">    </w:t>
      </w:r>
      <w:r>
        <w:rPr>
          <w:b/>
        </w:rPr>
        <w:t xml:space="preserve">Pub date: </w:t>
      </w:r>
      <w:r>
        <w:t>2026-01-28 08:02:39+00:00</w:t>
      </w:r>
      <w:r>
        <w:t xml:space="preserve">    </w:t>
      </w:r>
      <w:r>
        <w:rPr>
          <w:b/>
        </w:rPr>
        <w:t xml:space="preserve">DOI: </w:t>
      </w:r>
      <w:hyperlink r:id="rId662">
        <w:r>
          <w:rPr>
            <w:color w:val="1155CC"/>
            <w:u w:val="single"/>
          </w:rPr>
          <w:t>10.1021/acs.chemrev.4c00687</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农业面临压力,难以为不断增长的人口提供粮食,也难以提供推动生物经济所需的原料; 繁殖和转基因植物的方法不足以跟上步伐; 当工程作物一时将特质困苦地引入植物中,难以预测地结合,并不断表达; 合成生物学正在以新的基因组建设工具、计算机辅助设计(CAD)和人工智能(AI)改变这些范式。 “智能植物”含有应对环境变化、改变形态或应对威胁的电路。 此外,基因工程师现在将植物和相关微生物(fungi、细菌、考古)视为一个整体系统。 从历史上看,许多自然和实验室都加强了植物的健康。</w:t>
      </w:r>
    </w:p>
    <w:p>
      <w:pPr>
        <w:spacing w:before="0" w:after="200" w:lineRule="auto" w:line="276"/>
      </w:pPr>
      <w:r>
        <w:rPr>
          <w:b/>
        </w:rPr>
        <w:t xml:space="preserve">Abstract (EN): </w:t>
      </w:r>
      <w:r>
        <w:t>Agriculture is under pressure to provide food for a growing population and the feedstock required to drive the bioeconomy. Methods to breed and genetically modify plants are inadequate to keep pace. When engineering crops, traits are painstakingly introduced into plants one-at-a-time, combine unpredictably, and are continuously expressed. Synthetic biology is changing these paradigms with new genome construction tools, computer aided design (CAD), and artificial intelligence (AI). "Smart plants" contain circuits that respond to environmental change, alter morphology, or respond to threats. Further, the plant and associated microbes (fungi, bacteria, archaea) are now being viewed by genetic engineers as a holistic system. Historically, plant health has been enhanced by many natural and laboratory-evolved soil microbes marketed to enhance growth or provide nutrients, or pest/stress resistance. Synthetic biology has expanded the number of species that can be engineered, increased the complexity of engineered functions, controlled environmental release, and can assemble stable consortia. New CAD tools will manage genetic engineering projects spanning multiple plant genomes (nucleus, chloroplast, mitochondrion) and the thousands of genomes of associated bacteria/fungi. This review covers advanced genetic engineering techniques to drive the next agricultural revolution, as well as push plant engineering into new realms for manufacturing, infrastructure, sensing, and remediation.</w:t>
      </w:r>
    </w:p>
    <w:p>
      <w:pPr>
        <w:spacing w:before="120" w:after="120"/>
      </w:pPr>
      <w:r>
        <w:rPr>
          <w:sz w:val="18"/>
        </w:rPr>
        <w:t>——————————————————————————————————————————————————————————————————————</w:t>
      </w:r>
    </w:p>
    <w:p>
      <w:pPr>
        <w:spacing w:before="160" w:after="40" w:line="240" w:lineRule="auto"/>
      </w:pPr>
      <w:r>
        <w:rPr>
          <w:b/>
        </w:rPr>
        <w:t xml:space="preserve">[444] </w:t>
      </w:r>
      <w:hyperlink r:id="rId663">
        <w:r>
          <w:rPr>
            <w:color w:val="1155CC"/>
            <w:u w:val="single"/>
          </w:rPr>
          <w:t>[ASAP] 活性合成和Lasso Peptides化学合成的进展和挑战</w:t>
        </w:r>
      </w:hyperlink>
    </w:p>
    <w:p>
      <w:pPr>
        <w:spacing w:before="0" w:after="80"/>
      </w:pPr>
      <w:r>
        <w:rPr>
          <w:i/>
          <w:sz w:val="20"/>
        </w:rPr>
        <w:t>EN: [ASAP] Progress and Challenges in the Biosynthesis and Chemical Synthesis of Lasso Peptides</w:t>
      </w:r>
    </w:p>
    <w:p>
      <w:pPr>
        <w:spacing w:before="0" w:after="120"/>
      </w:pPr>
      <w:r>
        <w:rPr>
          <w:b/>
        </w:rPr>
        <w:t xml:space="preserve">Source: </w:t>
      </w:r>
      <w:r>
        <w:t>Journal of the American Chemical Society: Latest Articles (ACS Publications)</w:t>
      </w:r>
      <w:r>
        <w:t xml:space="preserve">    </w:t>
      </w:r>
      <w:r>
        <w:rPr>
          <w:b/>
        </w:rPr>
        <w:t xml:space="preserve">Pub date: </w:t>
      </w:r>
      <w:r>
        <w:t>2026-01-28 09:06:00+00:00</w:t>
      </w:r>
      <w:r>
        <w:t xml:space="preserve">    </w:t>
      </w:r>
      <w:r>
        <w:rPr>
          <w:b/>
        </w:rPr>
        <w:t xml:space="preserve">DOI: </w:t>
      </w:r>
      <w:hyperlink r:id="rId664">
        <w:r>
          <w:rPr>
            <w:color w:val="1155CC"/>
            <w:u w:val="single"/>
          </w:rPr>
          <w:t>10.1021/jacs.5c10593</w:t>
        </w:r>
      </w:hyperlink>
    </w:p>
    <w:p>
      <w:pPr>
        <w:spacing w:before="0" w:after="120"/>
      </w:pPr>
      <w:r>
        <w:rPr>
          <w:b/>
        </w:rPr>
        <w:t xml:space="preserve">Notes: </w:t>
      </w:r>
      <w:r>
        <w:t>abstract_source=pubmed</w:t>
      </w:r>
    </w:p>
    <w:p>
      <w:pPr>
        <w:spacing w:before="0" w:after="80" w:lineRule="auto" w:line="276"/>
      </w:pPr>
      <w:r>
        <w:rPr>
          <w:b/>
        </w:rPr>
        <w:t xml:space="preserve">摘要（ZH）: </w:t>
      </w:r>
      <w:r>
        <w:t>拉索化物已成为一种有前途的精密合成和经翻译后经过修改的化天然产品,通过多酶生物合成途径产生缠绕的滑板式结构,其螺纹结构提供了特殊的热和蛋白分析稳定性,以及各种生物活动,特别是防治传染病和癌症的活动。在过去20年中,通过化学合成而使原生拉索叠合体被认为是一项尚未解决的首要挑战。然而,近年来,在克服与发现和开发释放其更广泛潜力的拉索化物有关的技术障碍方面取得了重大进展。我们从这个角度概述了最近的进展。</w:t>
      </w:r>
    </w:p>
    <w:p>
      <w:pPr>
        <w:spacing w:before="0" w:after="200" w:lineRule="auto" w:line="276"/>
      </w:pPr>
      <w:r>
        <w:rPr>
          <w:b/>
        </w:rPr>
        <w:t xml:space="preserve">Abstract (EN): </w:t>
      </w:r>
      <w:r>
        <w:t>Lasso peptides have emerged as a promising class of ribosomally synthesized and post-translationally modified peptide natural products, with entangled slipknot-like structures produced through multienzyme biosynthetic pathways. Their threaded structure provides exceptional thermal and proteolytic stability, along with diverse biological activities, especially against infectious diseases and cancer. Over the past two decades, making the native lasso fold through chemical synthesis has been considered a paramount challenge that is not yet solved. Nevertheless, in recent years, there has been significant progress in overcoming technical barriers associated with the discovery and development of lasso peptides that unlock their broader potential. In this perspective, we outline recent advances in the production of lasso peptides via biosynthesis and chemical synthesis approaches, as well as late-stage modification strategies to introduce chemical diversity onto recombinantly produced lasso peptides. We conclude by discussing remaining challenges and opportunities for further advances in this field.</w:t>
      </w:r>
    </w:p>
    <w:p>
      <w:pPr>
        <w:spacing w:before="120" w:after="120"/>
      </w:pPr>
      <w:r>
        <w:rPr>
          <w:sz w:val="18"/>
        </w:rPr>
        <w:t>——————————————————————————————————————————————————————————————————————</w:t>
      </w:r>
    </w:p>
    <w:p>
      <w:pPr>
        <w:spacing w:before="160" w:after="40" w:line="240" w:lineRule="auto"/>
      </w:pPr>
      <w:r>
        <w:rPr>
          <w:b/>
        </w:rPr>
        <w:t xml:space="preserve">[445] </w:t>
      </w:r>
      <w:hyperlink r:id="rId665">
        <w:r>
          <w:rPr>
            <w:color w:val="1155CC"/>
            <w:u w:val="single"/>
          </w:rPr>
          <w:t>[ASAP] 将性别纳入生殖器中的光活可动性奥地热解解石</w:t>
        </w:r>
      </w:hyperlink>
    </w:p>
    <w:p>
      <w:pPr>
        <w:spacing w:before="0" w:after="80"/>
      </w:pPr>
      <w:r>
        <w:rPr>
          <w:i/>
          <w:sz w:val="20"/>
        </w:rPr>
        <w:t>EN: [ASAP] Photoactivatable Oligoelectrolytes Engendering Pyroptotic Vesicles</w:t>
      </w:r>
    </w:p>
    <w:p>
      <w:pPr>
        <w:spacing w:before="0" w:after="120"/>
      </w:pPr>
      <w:r>
        <w:rPr>
          <w:b/>
        </w:rPr>
        <w:t xml:space="preserve">Source: </w:t>
      </w:r>
      <w:r>
        <w:t>Journal of the American Chemical Society: Latest Articles (ACS Publications)</w:t>
      </w:r>
      <w:r>
        <w:t xml:space="preserve">    </w:t>
      </w:r>
      <w:r>
        <w:rPr>
          <w:b/>
        </w:rPr>
        <w:t xml:space="preserve">Pub date: </w:t>
      </w:r>
      <w:r>
        <w:t>2026-01-28 09:06:55+00:00</w:t>
      </w:r>
      <w:r>
        <w:t xml:space="preserve">    </w:t>
      </w:r>
      <w:r>
        <w:rPr>
          <w:b/>
        </w:rPr>
        <w:t xml:space="preserve">DOI: </w:t>
      </w:r>
      <w:hyperlink r:id="rId666">
        <w:r>
          <w:rPr>
            <w:color w:val="1155CC"/>
            <w:u w:val="single"/>
          </w:rPr>
          <w:t>10.1021/jacs.5c19057</w:t>
        </w:r>
      </w:hyperlink>
    </w:p>
    <w:p>
      <w:pPr>
        <w:spacing w:before="0" w:after="120"/>
      </w:pPr>
      <w:r>
        <w:rPr>
          <w:b/>
        </w:rPr>
        <w:t xml:space="preserve">Notes: </w:t>
      </w:r>
      <w:r>
        <w:t>abstract_source=pubmed</w:t>
      </w:r>
    </w:p>
    <w:p>
      <w:pPr>
        <w:spacing w:before="0" w:after="80" w:lineRule="auto" w:line="276"/>
      </w:pPr>
      <w:r>
        <w:rPr>
          <w:b/>
        </w:rPr>
        <w:t xml:space="preserve">摘要（ZH）: </w:t>
      </w:r>
      <w:r>
        <w:t>以水氧化为基础的光驱动红氧化化学为根据,为缺氧限制光化疗法提供了一种有希望的依靠氧独立的战略,然而,最近方法的光化性能依赖于集成状态、配方稳定性或微环境,这限制了机械透明度和对近似光化活化的精确控制。我们在这里报告了一种分子定义的、膜-以anchocred conjugated oligoelectrolyte(NDI-COE),它结合了缺电的氯化萘二酰胺(NDI)接受器、3,4-乙基二氧基苯(EDOT)-混合骨架和闪光学侧链。这种设计可以稳定地插入脂肪双层和高效的光源分离水-混合物界面。</w:t>
      </w:r>
    </w:p>
    <w:p>
      <w:pPr>
        <w:spacing w:before="0" w:after="200" w:lineRule="auto" w:line="276"/>
      </w:pPr>
      <w:r>
        <w:rPr>
          <w:b/>
        </w:rPr>
        <w:t xml:space="preserve">Abstract (EN): </w:t>
      </w:r>
      <w:r>
        <w:t>Photodriven redox chemistry based on water oxidation offers a promising oxygen-independent strategy for hypoxia-restricted phototherapies. However, the photochemical performance of recent approaches relies on aggregation state, formulation stability, or microenvironment, which limits mechanistic transparency and precise control over proximal photochemical activation. Here we report a molecularly defined, membrane-anchored conjugated oligoelectrolyte (NDI-COE) that integrates an electron deficient naphthalene diimide (NDI) acceptor, an 3,4-ethylenedioxythiophene (EDOT)-incorporated π-conjugated backbone, and amphiphilic ionic side chains. This design enables stable insertion into lipid bilayers and efficient photoinduced charge separation at the water-membrane interface. Upon irradiation, membrane-bound NDI-COE oxidizes interfacial water to generate O2•-and •OH, producing potent cytotoxicity even under hypoxia. Beyond ROS production, NDI-COE activates pyroptosis via the caspase-3/GSDME pathway and promotes the biogenesis of nanoscale pyroptotic vesicles. Notably, membrane engagement enhances the fluorescence of NDI-COE, enabling direct, real-time visualization of vesicle emergence and trafficking. By colocalizing oxygen-independent catalysis with an intrinsic optical readout at membranes, this work establishes a theranostic framework for hypoxia-resistant phototherapy and provides a practical handle to monitor pyroptotic vesicle formation for downstream immunotherapeutic applications.</w:t>
      </w:r>
    </w:p>
    <w:p>
      <w:pPr>
        <w:spacing w:before="120" w:after="120"/>
      </w:pPr>
      <w:r>
        <w:rPr>
          <w:sz w:val="18"/>
        </w:rPr>
        <w:t>——————————————————————————————————————————————————————————————————————</w:t>
      </w:r>
    </w:p>
    <w:p>
      <w:pPr>
        <w:spacing w:before="160" w:after="40" w:line="240" w:lineRule="auto"/>
      </w:pPr>
      <w:r>
        <w:rPr>
          <w:b/>
        </w:rPr>
        <w:t xml:space="preserve">[446] </w:t>
      </w:r>
      <w:hyperlink r:id="rId667">
        <w:r>
          <w:rPr>
            <w:color w:val="1155CC"/>
            <w:u w:val="single"/>
          </w:rPr>
          <w:t>[ASAP]用于在血清细胞球中恢复纤维素稳定与凝聚的酶-反应性热最偏静性类聚性聚丙胺</w:t>
        </w:r>
      </w:hyperlink>
    </w:p>
    <w:p>
      <w:pPr>
        <w:spacing w:before="0" w:after="80"/>
      </w:pPr>
      <w:r>
        <w:rPr>
          <w:i/>
          <w:sz w:val="20"/>
        </w:rPr>
        <w:t>EN: [ASAP] Enzyme-Responsive Hemostatic Elastin-like Polypeptides for Fibrin Stabilization and Coagulation Restoration in Thrombocytopenia</w:t>
      </w:r>
    </w:p>
    <w:p>
      <w:pPr>
        <w:spacing w:before="0" w:after="120"/>
      </w:pPr>
      <w:r>
        <w:rPr>
          <w:b/>
        </w:rPr>
        <w:t xml:space="preserve">Source: </w:t>
      </w:r>
      <w:r>
        <w:t>Journal of the American Chemical Society: Latest Articles (ACS Publications)</w:t>
      </w:r>
      <w:r>
        <w:t xml:space="preserve">    </w:t>
      </w:r>
      <w:r>
        <w:rPr>
          <w:b/>
        </w:rPr>
        <w:t xml:space="preserve">Pub date: </w:t>
      </w:r>
      <w:r>
        <w:t>2026-01-28 09:09:41+00:00</w:t>
      </w:r>
      <w:r>
        <w:t xml:space="preserve">    </w:t>
      </w:r>
      <w:r>
        <w:rPr>
          <w:b/>
        </w:rPr>
        <w:t xml:space="preserve">DOI: </w:t>
      </w:r>
      <w:hyperlink r:id="rId668">
        <w:r>
          <w:rPr>
            <w:color w:val="1155CC"/>
            <w:u w:val="single"/>
          </w:rPr>
          <w:t>10.1021/jacs.5c18009</w:t>
        </w:r>
      </w:hyperlink>
    </w:p>
    <w:p>
      <w:pPr>
        <w:spacing w:before="0" w:after="120"/>
      </w:pPr>
      <w:r>
        <w:rPr>
          <w:b/>
        </w:rPr>
        <w:t xml:space="preserve">Notes: </w:t>
      </w:r>
      <w:r>
        <w:t>abstract_source=pubmed</w:t>
      </w:r>
    </w:p>
    <w:p>
      <w:pPr>
        <w:spacing w:before="0" w:after="80" w:lineRule="auto" w:line="276"/>
      </w:pPr>
      <w:r>
        <w:rPr>
          <w:b/>
        </w:rPr>
        <w:t xml:space="preserve">摘要（ZH）: </w:t>
      </w:r>
      <w:r>
        <w:t>外出出血仍然是造成创伤和外科手术死亡的一个主要原因,对血栓状高血球病人的治疗选择有限,其小板功能受损。目前血浆衍生的血浆性产品面临挑战,包括供应有限、储存要求和传染风险。这里我们报告了一项基于蛋白质的再组合性肝炎,其目的是通过酶反应和自我组装来增强凝固力力,将生物物理设计原则与凝块目标药物的交付结合起来。我们合理地设计了一个含有酶反应性内聚胺(Q)的聚脂类聚苯乙烯(Q-Creg-ELPs)库,通过相分离和共价交叉连接强化纤维性凝聚凝聚。Q-ELPs将抗聚胺残留物纳入一个已确认的浸泡物中 b b 。</w:t>
      </w:r>
    </w:p>
    <w:p>
      <w:pPr>
        <w:spacing w:before="0" w:after="200" w:lineRule="auto" w:line="276"/>
      </w:pPr>
      <w:r>
        <w:rPr>
          <w:b/>
        </w:rPr>
        <w:t xml:space="preserve">Abstract (EN): </w:t>
      </w:r>
      <w:r>
        <w:t>Hemorrhage remains a leading cause of mortality in trauma and surgery, and treatment options are limited for thrombocytopenic patients with impaired platelet function. Current plasma-derived hemostatic products face challenges, including limited supply, storage requirements, and infectious risk. Here we report a recombinant protein-based hemostat designed to enhance clot mechanics through enzyme responsiveness and self-assembly, which integrates biophysical design principles with clot-targeted drug delivery. We rationally designed a library of enzyme-responsive glutamine (Q)-containing block elastin-like polypeptides (Q-block-ELPs) that reinforce fibrin clots through phase separation and covalent cross-linking. Q-block-ELPs incorporate glutamine residues within a peptide motif recognized by coagulation factor XIIIa, enabling site-specific grafting into fibrin networks during clot formation. By tuning polymer length, Q-block valency, and lower critical solution temperature (LCST) behavior, we engineered Q-block-ELPs to phase separate at body temperature and integrate into the fibrin architecture. In vitro, Q-block-ELPs increase fibrin network density and stiffness. In a thrombocytopenic mouse model, systemic administration reduced blood loss and accelerated clot formation. This strategy delivers a programmable, pathogen-free platform for systemic bleeding control, bridging biophysical protein design with translational hemostatic therapy, and addressing an urgent need for platelet-deficient bleeding disorders.</w:t>
      </w:r>
    </w:p>
    <w:p>
      <w:pPr>
        <w:spacing w:before="120" w:after="120"/>
      </w:pPr>
      <w:r>
        <w:rPr>
          <w:sz w:val="18"/>
        </w:rPr>
        <w:t>——————————————————————————————————————————————————————————————————————</w:t>
      </w:r>
    </w:p>
    <w:p>
      <w:pPr>
        <w:spacing w:before="160" w:after="40" w:line="240" w:lineRule="auto"/>
      </w:pPr>
      <w:r>
        <w:rPr>
          <w:b/>
        </w:rPr>
        <w:t xml:space="preserve">[447] </w:t>
      </w:r>
      <w:hyperlink r:id="rId669">
        <w:r>
          <w:rPr>
            <w:color w:val="1155CC"/>
            <w:u w:val="single"/>
          </w:rPr>
          <w:t>稳定可靠利-利-利-内反硫化硅基国家电池合金反电极</w:t>
        </w:r>
      </w:hyperlink>
    </w:p>
    <w:p>
      <w:pPr>
        <w:spacing w:before="0" w:after="80"/>
      </w:pPr>
      <w:r>
        <w:rPr>
          <w:i/>
          <w:sz w:val="20"/>
        </w:rPr>
        <w:t>EN: A Stable and Reliable Li–In Alloy Counter Electrode for Sulfide‐Based All‐Solid‐State Batteries</w:t>
      </w:r>
    </w:p>
    <w:p>
      <w:pPr>
        <w:spacing w:before="0" w:after="120"/>
      </w:pPr>
      <w:r>
        <w:rPr>
          <w:b/>
        </w:rPr>
        <w:t xml:space="preserve">Source: </w:t>
      </w:r>
      <w:r>
        <w:t>Wiley: Advanced Energy Materials: Table of Contents</w:t>
      </w:r>
      <w:r>
        <w:t xml:space="preserve">    </w:t>
      </w:r>
      <w:r>
        <w:rPr>
          <w:b/>
        </w:rPr>
        <w:t xml:space="preserve">Pub date: </w:t>
      </w:r>
      <w:r>
        <w:t>2026-01-28 09:15:46+00:00</w:t>
      </w:r>
      <w:r>
        <w:t xml:space="preserve">    </w:t>
      </w:r>
      <w:r>
        <w:rPr>
          <w:b/>
        </w:rPr>
        <w:t xml:space="preserve">DOI: </w:t>
      </w:r>
      <w:hyperlink r:id="rId670">
        <w:r>
          <w:rPr>
            <w:color w:val="1155CC"/>
            <w:u w:val="single"/>
          </w:rPr>
          <w:t>10.1002/aenm.202506291</w:t>
        </w:r>
      </w:hyperlink>
    </w:p>
    <w:p>
      <w:pPr>
        <w:spacing w:before="0" w:after="120"/>
      </w:pPr>
      <w:r>
        <w:rPr>
          <w:b/>
        </w:rPr>
        <w:t xml:space="preserve">Notes: </w:t>
      </w:r>
      <w:r>
        <w:t>abstract_source=crossref</w:t>
      </w:r>
    </w:p>
    <w:p>
      <w:pPr>
        <w:spacing w:before="0" w:after="80" w:lineRule="auto" w:line="276"/>
      </w:pPr>
      <w:r>
        <w:rPr>
          <w:b/>
        </w:rPr>
        <w:t xml:space="preserve">摘要（ZH）: </w:t>
      </w:r>
      <w:r>
        <w:t>ABSTACT 稳定可靠的反电极对于以硫化铀为基础的所有固体电池中个体电极的准确性能评估至关重要。 合金(Li-In)由于其稳定的电压高原(0.62 V v vs. Li/Li +)和与硫化物电解解液的高度兼容性,被广泛用作反电极。 然而,常规的冷压李内(CPLiIn/In)合金由于不完全的合金和异相分布而受到缓慢的锂吸附动力学和能力有限的影响,使得合金不适合高容量特征化,最初是锂无电解系统。 为了应对这一限制,我们制定了一项化学预爆战略。</w:t>
      </w:r>
    </w:p>
    <w:p>
      <w:pPr>
        <w:spacing w:before="0" w:after="200" w:lineRule="auto" w:line="276"/>
      </w:pPr>
      <w:r>
        <w:rPr>
          <w:b/>
        </w:rPr>
        <w:t xml:space="preserve">Abstract (EN): </w:t>
      </w:r>
      <w:r>
        <w:t>Stable and reliable counter electrodes are essential for the accurate performance evaluation of individual electrodes in sulfide‐based all‐solid‐state batteries. Lithium–indium (Li–In) alloys are widely used as counter electrodes due to their stable voltage plateau (∼0.62 V vs. Li/Li</w:t>
      </w:r>
      <w:r>
        <w:t xml:space="preserve"> </w:t>
      </w:r>
      <w:r>
        <w:t>+</w:t>
      </w:r>
      <w:r>
        <w:t xml:space="preserve"> </w:t>
      </w:r>
      <w:r>
        <w:t>) and good compatibility with sulfide electrolytes. However, conventional cold‐pressed Li–In (CP‐LiIn/In) alloys suffer from sluggish lithium‐extraction kinetics and limited capacity due to incomplete alloying and heterogeneous phase distribution, rendering them unsuitable for characterizing high‐capacity, initially lithium‐free electrode systems. To address this limitation, we developed a chemical pre‐lithiation strategy to fabricate Li–In alloy powder to construct reliable counter electrodes for the first time. By precisely controlling the stoichiometric ratio between the pre‐lithiation agent (lithium naphthalene) and indium foil, a homogeneous LiIn/In biphasic alloy powder and the corresponding electrode (PL‐LiIn/In) were successfully prepared. The resulting PL‐LiIn/In electrode exhibits fast reaction kinetics and high lithium‐extraction capacity. Even at a high mass loading of 70.73 mg cm</w:t>
      </w:r>
      <w:r>
        <w:t xml:space="preserve"> </w:t>
      </w:r>
      <w:r>
        <w:t>−2</w:t>
      </w:r>
      <w:r>
        <w:t xml:space="preserve"> </w:t>
      </w:r>
      <w:r>
        <w:t>, the electrode delivers a lithium‐extraction capacity of 11.75 mA h cm</w:t>
      </w:r>
      <w:r>
        <w:t xml:space="preserve"> </w:t>
      </w:r>
      <w:r>
        <w:t>−2</w:t>
      </w:r>
      <w:r>
        <w:t xml:space="preserve"> </w:t>
      </w:r>
      <w:r>
        <w:t>, corresponding to 90.6% of its theoretical value. It enables sufficient lithium replenishment for high‐loading silicon electrodes (4.75 mA h cm</w:t>
      </w:r>
      <w:r>
        <w:t xml:space="preserve"> </w:t>
      </w:r>
      <w:r>
        <w:t>−2</w:t>
      </w:r>
      <w:r>
        <w:t xml:space="preserve"> </w:t>
      </w:r>
      <w:r>
        <w:t>), ensuring accurate and reliable performance assessment. This work presents a robust technical solution for constructing high‐performance Li–In alloy counter electrodes, thereby facilitating the advancement of sulfide‐based all‐solid‐state batteries.</w:t>
      </w:r>
    </w:p>
    <w:p>
      <w:pPr>
        <w:spacing w:before="120" w:after="120"/>
      </w:pPr>
      <w:r>
        <w:rPr>
          <w:sz w:val="18"/>
        </w:rPr>
        <w:t>——————————————————————————————————————————————————————————————————————</w:t>
      </w:r>
    </w:p>
    <w:p>
      <w:pPr>
        <w:spacing w:before="160" w:after="40" w:line="240" w:lineRule="auto"/>
      </w:pPr>
      <w:r>
        <w:rPr>
          <w:b/>
        </w:rPr>
        <w:t xml:space="preserve">[448] </w:t>
      </w:r>
      <w:hyperlink r:id="rId671">
        <w:r>
          <w:rPr>
            <w:color w:val="1155CC"/>
            <w:u w:val="single"/>
          </w:rPr>
          <w:t>氢氧化物/乙烯化热结构,加上电场建设,使高级准固态超电容器能够重建</w:t>
        </w:r>
      </w:hyperlink>
    </w:p>
    <w:p>
      <w:pPr>
        <w:spacing w:before="0" w:after="80"/>
      </w:pPr>
      <w:r>
        <w:rPr>
          <w:i/>
          <w:sz w:val="20"/>
        </w:rPr>
        <w:t>EN: Hydroxide/Selenide Heterostructures With Built‐In Electric Fields Enabling Reconstruction for Advanced Quasi‐Solid‐State Supercapacitors</w:t>
      </w:r>
    </w:p>
    <w:p>
      <w:pPr>
        <w:spacing w:before="0" w:after="120"/>
      </w:pPr>
      <w:r>
        <w:rPr>
          <w:b/>
        </w:rPr>
        <w:t xml:space="preserve">Source: </w:t>
      </w:r>
      <w:r>
        <w:t>Wiley: Advanced Energy Materials: Table of Contents</w:t>
      </w:r>
      <w:r>
        <w:t xml:space="preserve">    </w:t>
      </w:r>
      <w:r>
        <w:rPr>
          <w:b/>
        </w:rPr>
        <w:t xml:space="preserve">Pub date: </w:t>
      </w:r>
      <w:r>
        <w:t>2026-01-28 09:16:55+00:00</w:t>
      </w:r>
      <w:r>
        <w:t xml:space="preserve">    </w:t>
      </w:r>
      <w:r>
        <w:rPr>
          <w:b/>
        </w:rPr>
        <w:t xml:space="preserve">DOI: </w:t>
      </w:r>
      <w:hyperlink r:id="rId672">
        <w:r>
          <w:rPr>
            <w:color w:val="1155CC"/>
            <w:u w:val="single"/>
          </w:rPr>
          <w:t>10.1002/aenm.202506211</w:t>
        </w:r>
      </w:hyperlink>
    </w:p>
    <w:p>
      <w:pPr>
        <w:spacing w:before="0" w:after="120"/>
      </w:pPr>
      <w:r>
        <w:rPr>
          <w:b/>
        </w:rPr>
        <w:t xml:space="preserve">Notes: </w:t>
      </w:r>
      <w:r>
        <w:t>abstract_source=crossref</w:t>
      </w:r>
    </w:p>
    <w:p>
      <w:pPr>
        <w:spacing w:before="0" w:after="80" w:lineRule="auto" w:line="276"/>
      </w:pPr>
      <w:r>
        <w:rPr>
          <w:b/>
        </w:rPr>
        <w:t xml:space="preserve">摘要（ZH）: </w:t>
      </w:r>
      <w:r>
        <w:t>建造异形结构被视为一项有效的战略,目的是加强混合超电容器(HSCs)电池型电极的反应动力学,然而,事先设计的异形界面往往会发生不可避免的阶段变换,最终在电化学操作过程中消失,从而掩盖了原始界面的真正操作机制。 Herin, NicoSe@Ni(OH) 2 Heter结构是通过现场嵌入战略建造的,以操纵电化学重建行为。这些定制界面引发电荷再分配,并建立一个内建电场(BIEF),大大增强OH-adsorp。</w:t>
      </w:r>
    </w:p>
    <w:p>
      <w:pPr>
        <w:spacing w:before="0" w:after="200" w:lineRule="auto" w:line="276"/>
      </w:pPr>
      <w:r>
        <w:rPr>
          <w:b/>
        </w:rPr>
        <w:t xml:space="preserve">Abstract (EN): </w:t>
      </w:r>
      <w:r>
        <w:t>The construction of heterostructures is regarded as an effective strategy to enhance the reaction kinetics of battery‐type electrodes for hybrid supercapacitors (HSCs). However, the pre‐designed heterointerfaces often undergo inevitable phase transformations and eventually disappear during electrochemical operation, obscuring the true operating mechanism of the original interfaces. Herein, NiCoSe@Ni(OH)</w:t>
      </w:r>
      <w:r>
        <w:rPr>
          <w:vertAlign w:val="subscript"/>
        </w:rPr>
        <w:t>2</w:t>
      </w:r>
      <w:r>
        <w:t>heterostructures are constructed via an in situ embedded strategy to manipulate the electrochemical reconstruction behavior. These tailored interfaces induce charge redistribution and establish a built‐in electric field (BIEF), significantly enhancing OH</w:t>
      </w:r>
      <w:r>
        <w:t xml:space="preserve"> </w:t>
      </w:r>
      <w:r>
        <w:t>−</w:t>
      </w:r>
      <w:r>
        <w:t>adsorption kinetics and interfacial electron transfer, thereby facilitating more complete electrochemical activation. Notably, the initial heterointerfaces ultimately transform into a uniform amorphous phase during activation. In situ Raman and theoretical calculations confirm an accelerated phase transition to defect‐rich active oxyhydroxides during potentiostatic activation. The activated a‐NiCoSe@Ni(OH)</w:t>
      </w:r>
      <w:r>
        <w:rPr>
          <w:vertAlign w:val="subscript"/>
        </w:rPr>
        <w:t>2</w:t>
      </w:r>
      <w:r>
        <w:t>cathode delivers an exceptional specific capacity of 4.7 C cm</w:t>
      </w:r>
      <w:r>
        <w:t xml:space="preserve"> </w:t>
      </w:r>
      <w:r>
        <w:t>−2</w:t>
      </w:r>
      <w:r>
        <w:t xml:space="preserve"> </w:t>
      </w:r>
      <w:r>
        <w:t>at 1 mA cm</w:t>
      </w:r>
      <w:r>
        <w:t xml:space="preserve"> </w:t>
      </w:r>
      <w:r>
        <w:t>−2</w:t>
      </w:r>
      <w:r>
        <w:t xml:space="preserve"> </w:t>
      </w:r>
      <w:r>
        <w:t>, superior rate capability, and enhanced cycling stability, far exceeding that of the pristine a‐NiCoSe. Furthermore, the assembled quasi‐solid‐state HSC demonstrates remarkable rate performance, extended cycling life, and high mechanical robustness under bending and pressure conditions. This work elucidates the critical role of heterointerface engineering in facilitating electrochemical reconstruction and provides a strategic pathway for designing advanced energy storage materials.</w:t>
      </w:r>
    </w:p>
    <w:p>
      <w:pPr>
        <w:spacing w:before="120" w:after="120"/>
      </w:pPr>
      <w:r>
        <w:rPr>
          <w:sz w:val="18"/>
        </w:rPr>
        <w:t>——————————————————————————————————————————————————————————————————————</w:t>
      </w:r>
    </w:p>
    <w:p>
      <w:pPr>
        <w:spacing w:before="160" w:after="40" w:line="240" w:lineRule="auto"/>
      </w:pPr>
      <w:r>
        <w:rPr>
          <w:b/>
        </w:rPr>
        <w:t xml:space="preserve">[449] </w:t>
      </w:r>
      <w:hyperlink r:id="rId673">
        <w:r>
          <w:rPr>
            <w:color w:val="1155CC"/>
            <w:u w:val="single"/>
          </w:rPr>
          <w:t>高效电化学硝酸硝酸铵转化和锌-硝酸盐电池高效电化学催化中心</w:t>
        </w:r>
      </w:hyperlink>
    </w:p>
    <w:p>
      <w:pPr>
        <w:spacing w:before="0" w:after="80"/>
      </w:pPr>
      <w:r>
        <w:rPr>
          <w:i/>
          <w:sz w:val="20"/>
        </w:rPr>
        <w:t>EN: Enzyme‐Mimicking Metal–Phosphide Tandem Catalytic Centers for Efficient Electrochemical Nitrate‐to‐Ammonia Conversion and Zinc–Nitrate Battery</w:t>
      </w:r>
    </w:p>
    <w:p>
      <w:pPr>
        <w:spacing w:before="0" w:after="120"/>
      </w:pPr>
      <w:r>
        <w:rPr>
          <w:b/>
        </w:rPr>
        <w:t xml:space="preserve">Source: </w:t>
      </w:r>
      <w:r>
        <w:t>Wiley: Angewandte Chemie International Edition: Table of Contents</w:t>
      </w:r>
      <w:r>
        <w:t xml:space="preserve">    </w:t>
      </w:r>
      <w:r>
        <w:rPr>
          <w:b/>
        </w:rPr>
        <w:t xml:space="preserve">Pub date: </w:t>
      </w:r>
      <w:r>
        <w:t>2026-01-28 09:17:12+00:00</w:t>
      </w:r>
      <w:r>
        <w:t xml:space="preserve">    </w:t>
      </w:r>
      <w:r>
        <w:rPr>
          <w:b/>
        </w:rPr>
        <w:t xml:space="preserve">DOI: </w:t>
      </w:r>
      <w:hyperlink r:id="rId674">
        <w:r>
          <w:rPr>
            <w:color w:val="1155CC"/>
            <w:u w:val="single"/>
          </w:rPr>
          <w:t>10.1002/anie.202525416</w:t>
        </w:r>
      </w:hyperlink>
    </w:p>
    <w:p>
      <w:pPr>
        <w:spacing w:before="0" w:after="120"/>
      </w:pPr>
      <w:r>
        <w:rPr>
          <w:b/>
        </w:rPr>
        <w:t xml:space="preserve">Notes: </w:t>
      </w:r>
      <w:r>
        <w:t>abstract_source=crossref</w:t>
      </w:r>
    </w:p>
    <w:p>
      <w:pPr>
        <w:spacing w:before="0" w:after="80" w:lineRule="auto" w:line="276"/>
      </w:pPr>
      <w:r>
        <w:rPr>
          <w:b/>
        </w:rPr>
        <w:t xml:space="preserve">摘要（ZH）: </w:t>
      </w:r>
      <w:r>
        <w:t>在合成催化剂中实现空间结合和功能互补活性场地仍然是一项重大挑战,在硝酸再释放酶和硝硝酸再释放酶的酶级联的启发下,我们报告说,在靠近高效电化学硝酸盐转化和Zn-NO 3电池的CeO 2 Namrorod(Fe-Fex Ni 2-x P/CeO 2)的CeO 2 Namrod(Fe-Fe x Ni 2-x P/CeO 2)上,出现了由铁团和铁化磷酸镍纳米粒子组成的纳米酶。</w:t>
      </w:r>
    </w:p>
    <w:p>
      <w:pPr>
        <w:spacing w:before="0" w:after="200" w:lineRule="auto" w:line="276"/>
      </w:pPr>
      <w:r>
        <w:rPr>
          <w:b/>
        </w:rPr>
        <w:t xml:space="preserve">Abstract (EN): </w:t>
      </w:r>
      <w:r>
        <w:t>Achieving spatially coupled and functionally complementary active sites in synthetic catalysts remains a significant challenge. Inspired by the enzymatic cascade involving nitrate reductase and nitrite reductase, we report a nanozyme comprising iron clusters and iron‐doped nickel phosphide nanoparticles on CeO</w:t>
      </w:r>
      <w:r>
        <w:rPr>
          <w:vertAlign w:val="subscript"/>
        </w:rPr>
        <w:t>2</w:t>
      </w:r>
      <w:r>
        <w:t>nanorods (Fe–Fe</w:t>
      </w:r>
      <w:r>
        <w:t xml:space="preserve"> </w:t>
      </w:r>
      <w:r>
        <w:t>x</w:t>
      </w:r>
      <w:r>
        <w:t xml:space="preserve"> </w:t>
      </w:r>
      <w:r>
        <w:t>Ni</w:t>
      </w:r>
      <w:r>
        <w:t xml:space="preserve"> </w:t>
      </w:r>
      <w:r>
        <w:t>2−x</w:t>
      </w:r>
      <w:r>
        <w:t xml:space="preserve"> </w:t>
      </w:r>
      <w:r>
        <w:t>P/CeO</w:t>
      </w:r>
      <w:r>
        <w:rPr>
          <w:vertAlign w:val="subscript"/>
        </w:rPr>
        <w:t>2</w:t>
      </w:r>
      <w:r>
        <w:t>) in proximity for efficient electrocatalytic nitrate‐to‐ammonia conversion and Zn–NO</w:t>
      </w:r>
      <w:r>
        <w:rPr>
          <w:vertAlign w:val="subscript"/>
        </w:rPr>
        <w:t>3</w:t>
      </w:r>
      <w:r>
        <w:t>−</w:t>
      </w:r>
      <w:r>
        <w:t>battery. The Fe clusters serve as nitrate reductase mimics, promoting the deoxygenation step of NO</w:t>
      </w:r>
      <w:r>
        <w:rPr>
          <w:vertAlign w:val="subscript"/>
        </w:rPr>
        <w:t>3</w:t>
      </w:r>
      <w:r>
        <w:t>−</w:t>
      </w:r>
      <w:r>
        <w:t>to NO</w:t>
      </w:r>
      <w:r>
        <w:rPr>
          <w:vertAlign w:val="subscript"/>
        </w:rPr>
        <w:t>2</w:t>
      </w:r>
      <w:r>
        <w:t>−</w:t>
      </w:r>
      <w:r>
        <w:t>, while the adjacent Fe</w:t>
      </w:r>
      <w:r>
        <w:t xml:space="preserve"> </w:t>
      </w:r>
      <w:r>
        <w:t>x</w:t>
      </w:r>
      <w:r>
        <w:t xml:space="preserve"> </w:t>
      </w:r>
      <w:r>
        <w:t>Ni</w:t>
      </w:r>
      <w:r>
        <w:t xml:space="preserve"> </w:t>
      </w:r>
      <w:r>
        <w:t>2−x</w:t>
      </w:r>
      <w:r>
        <w:t xml:space="preserve"> </w:t>
      </w:r>
      <w:r>
        <w:t>P nanoparticles serve as nitrite reductase mimics, accelerating the subsequent hydrogenation steps to NH</w:t>
      </w:r>
      <w:r>
        <w:rPr>
          <w:vertAlign w:val="subscript"/>
        </w:rPr>
        <w:t>3</w:t>
      </w:r>
      <w:r>
        <w:t>. The CeO</w:t>
      </w:r>
      <w:r>
        <w:rPr>
          <w:vertAlign w:val="subscript"/>
        </w:rPr>
        <w:t>2</w:t>
      </w:r>
      <w:r>
        <w:t>nanorods stabilize the dual active sites and function as proton reservoirs to suppress the hydrogen evolution reaction. Thus, the nanozyme delivers exceptional performance in NH</w:t>
      </w:r>
      <w:r>
        <w:rPr>
          <w:vertAlign w:val="subscript"/>
        </w:rPr>
        <w:t>3</w:t>
      </w:r>
      <w:r>
        <w:t>electrosynthesis, achieving a high yield rate of 43.5 mg h</w:t>
      </w:r>
      <w:r>
        <w:t xml:space="preserve"> </w:t>
      </w:r>
      <w:r>
        <w:t>−1</w:t>
      </w:r>
      <w:r>
        <w:t xml:space="preserve"> </w:t>
      </w:r>
      <w:r>
        <w:t>cm</w:t>
      </w:r>
      <w:r>
        <w:t xml:space="preserve"> </w:t>
      </w:r>
      <w:r>
        <w:t>−2</w:t>
      </w:r>
      <w:r>
        <w:t xml:space="preserve"> </w:t>
      </w:r>
      <w:r>
        <w:t>with a Faradaic efficiency (FE) of 91.2% at –0.7 V versus RHE in an H‐type cell and an industrial‐level current density of 800 mA cm</w:t>
      </w:r>
      <w:r>
        <w:t xml:space="preserve"> </w:t>
      </w:r>
      <w:r>
        <w:t>−2</w:t>
      </w:r>
      <w:r>
        <w:t xml:space="preserve"> </w:t>
      </w:r>
      <w:r>
        <w:t>for over 100 h under flow‐cell conditions (FE</w:t>
      </w:r>
      <w:r>
        <w:t xml:space="preserve"> </w:t>
      </w:r>
      <w:r>
        <w:t>NH3</w:t>
      </w:r>
      <w:r>
        <w:t xml:space="preserve"> </w:t>
      </w:r>
      <w:r>
        <w:t>&amp;gt; 90%) at the same potential. When employed Fe–Fe</w:t>
      </w:r>
      <w:r>
        <w:t xml:space="preserve"> </w:t>
      </w:r>
      <w:r>
        <w:t>x</w:t>
      </w:r>
      <w:r>
        <w:t xml:space="preserve"> </w:t>
      </w:r>
      <w:r>
        <w:t>Ni</w:t>
      </w:r>
      <w:r>
        <w:t xml:space="preserve"> </w:t>
      </w:r>
      <w:r>
        <w:t>2−x</w:t>
      </w:r>
      <w:r>
        <w:t xml:space="preserve"> </w:t>
      </w:r>
      <w:r>
        <w:t>P/CeO</w:t>
      </w:r>
      <w:r>
        <w:rPr>
          <w:vertAlign w:val="subscript"/>
        </w:rPr>
        <w:t>2</w:t>
      </w:r>
      <w:r>
        <w:t>as a cathode in a rechargeable Zn–NO</w:t>
      </w:r>
      <w:r>
        <w:rPr>
          <w:vertAlign w:val="subscript"/>
        </w:rPr>
        <w:t>3</w:t>
      </w:r>
      <w:r>
        <w:t>−</w:t>
      </w:r>
      <w:r>
        <w:t>battery, it enables simultaneous NH</w:t>
      </w:r>
      <w:r>
        <w:rPr>
          <w:vertAlign w:val="subscript"/>
        </w:rPr>
        <w:t>3</w:t>
      </w:r>
      <w:r>
        <w:t>production and power generation, delivering a peak power density of 21.1 mW cm</w:t>
      </w:r>
      <w:r>
        <w:t xml:space="preserve"> </w:t>
      </w:r>
      <w:r>
        <w:t>−2</w:t>
      </w:r>
      <w:r>
        <w:t xml:space="preserve"> </w:t>
      </w:r>
      <w:r>
        <w:t>and an NH</w:t>
      </w:r>
      <w:r>
        <w:rPr>
          <w:vertAlign w:val="subscript"/>
        </w:rPr>
        <w:t>3</w:t>
      </w:r>
      <w:r>
        <w:t>yield rate of 1.9 mg h</w:t>
      </w:r>
      <w:r>
        <w:t xml:space="preserve"> </w:t>
      </w:r>
      <w:r>
        <w:t>−1</w:t>
      </w:r>
      <w:r>
        <w:t xml:space="preserve"> </w:t>
      </w:r>
      <w:r>
        <w:t>cm</w:t>
      </w:r>
      <w:r>
        <w:t xml:space="preserve"> </w:t>
      </w:r>
      <w:r>
        <w:t>−2</w:t>
      </w:r>
      <w:r>
        <w:t xml:space="preserve"> </w:t>
      </w:r>
      <w:r>
        <w:t>.</w:t>
      </w:r>
    </w:p>
    <w:p>
      <w:pPr>
        <w:spacing w:before="120" w:after="120"/>
      </w:pPr>
      <w:r>
        <w:rPr>
          <w:sz w:val="18"/>
        </w:rPr>
        <w:t>——————————————————————————————————————————————————————————————————————</w:t>
      </w:r>
    </w:p>
    <w:p>
      <w:pPr>
        <w:spacing w:before="160" w:after="40" w:line="240" w:lineRule="auto"/>
      </w:pPr>
      <w:r>
        <w:rPr>
          <w:b/>
        </w:rPr>
        <w:t xml:space="preserve">[450] </w:t>
      </w:r>
      <w:hyperlink r:id="rId675">
        <w:r>
          <w:rPr>
            <w:color w:val="1155CC"/>
            <w:u w:val="single"/>
          </w:rPr>
          <w:t>高性能可水态锌金属电池正面材料可持续连续合成</w:t>
        </w:r>
      </w:hyperlink>
    </w:p>
    <w:p>
      <w:pPr>
        <w:spacing w:before="0" w:after="80"/>
      </w:pPr>
      <w:r>
        <w:rPr>
          <w:i/>
          <w:sz w:val="20"/>
        </w:rPr>
        <w:t>EN: Sustainable Continuous Scale Synthesis of Positive Material for High‐performance Wearable Aqueous Zn Metal Batteries</w:t>
      </w:r>
    </w:p>
    <w:p>
      <w:pPr>
        <w:spacing w:before="0" w:after="120"/>
      </w:pPr>
      <w:r>
        <w:rPr>
          <w:b/>
        </w:rPr>
        <w:t xml:space="preserve">Source: </w:t>
      </w:r>
      <w:r>
        <w:t>Wiley: Advanced Materials: Table of Contents</w:t>
      </w:r>
      <w:r>
        <w:t xml:space="preserve">    </w:t>
      </w:r>
      <w:r>
        <w:rPr>
          <w:b/>
        </w:rPr>
        <w:t xml:space="preserve">Pub date: </w:t>
      </w:r>
      <w:r>
        <w:t>2026-01-28 09:22:54+00:00</w:t>
      </w:r>
      <w:r>
        <w:t xml:space="preserve">    </w:t>
      </w:r>
      <w:r>
        <w:rPr>
          <w:b/>
        </w:rPr>
        <w:t xml:space="preserve">DOI: </w:t>
      </w:r>
      <w:hyperlink r:id="rId676">
        <w:r>
          <w:rPr>
            <w:color w:val="1155CC"/>
            <w:u w:val="single"/>
          </w:rPr>
          <w:t>10.1002/adma.202520188</w:t>
        </w:r>
      </w:hyperlink>
    </w:p>
    <w:p>
      <w:pPr>
        <w:spacing w:before="0" w:after="120"/>
      </w:pPr>
      <w:r>
        <w:rPr>
          <w:b/>
        </w:rPr>
        <w:t xml:space="preserve">Notes: </w:t>
      </w:r>
      <w:r>
        <w:t>abstract_source=crossref</w:t>
      </w:r>
    </w:p>
    <w:p>
      <w:pPr>
        <w:spacing w:before="0" w:after="80" w:lineRule="auto" w:line="276"/>
      </w:pPr>
      <w:r>
        <w:rPr>
          <w:b/>
        </w:rPr>
        <w:t xml:space="preserve">摘要（ZH）: </w:t>
      </w:r>
      <w:r>
        <w:t>限制可磨损、水态锌金属电池开发的一个因素是无法以快速、高效和可持续的方式持续合成高性性能阳电极。在这项工作中,通过现场电化学合成和在灵活电流收集器中激活聚变器材料,对室内温度下高性性能阳电极进行连续和可伸缩的合成。该工艺避免了常用的耗时、物质消耗、能源密集和危险的`一锅'溶液法,并产生柔性阳电极(Ni 0.7 Co.0.3(HBTC)(4,4bipy)基于柔性苏的双氢氧化物。</w:t>
      </w:r>
    </w:p>
    <w:p>
      <w:pPr>
        <w:spacing w:before="0" w:after="200" w:lineRule="auto" w:line="276"/>
      </w:pPr>
      <w:r>
        <w:rPr>
          <w:b/>
        </w:rPr>
        <w:t xml:space="preserve">Abstract (EN): </w:t>
      </w:r>
      <w:r>
        <w:t>One factor limiting the development of wearable, aqueous zinc metal batteries has been the inability to continuously synthesize high‐performance positive electrodes quickly, efficiently, and sustainably. In this work, a continuous and scalable synthesis of high‐performance positive electrodes at room temperature by situ electrochemical synthesis and activation of MOF materials on flexible current collectors was developed. The process avoids the time‐consuming, material‐consuming, energy‐intensive, and hazardous ‘one pot’ solvothermal method commonly used, and yields flexible positive electrodes (Ni</w:t>
      </w:r>
      <w:r>
        <w:t xml:space="preserve"> </w:t>
      </w:r>
      <w:r>
        <w:t>0.7</w:t>
      </w:r>
      <w:r>
        <w:t xml:space="preserve"> </w:t>
      </w:r>
      <w:r>
        <w:t>Co</w:t>
      </w:r>
      <w:r>
        <w:t xml:space="preserve"> </w:t>
      </w:r>
      <w:r>
        <w:t>0.3</w:t>
      </w:r>
      <w:r>
        <w:t xml:space="preserve"> </w:t>
      </w:r>
      <w:r>
        <w:t>(HBTC)(4,4′‐bipy) based double hydroxide on flexible substrates) with good performance. After matching with a negative electrode made out of zinc, the energy densities of the whole wearable devices reach ∼319 Wh L</w:t>
      </w:r>
      <w:r>
        <w:t xml:space="preserve"> </w:t>
      </w:r>
      <w:r>
        <w:t>−1</w:t>
      </w:r>
      <w:r>
        <w:t xml:space="preserve"> </w:t>
      </w:r>
      <w:r>
        <w:t>for fiber batteries and ∼264 Wh L</w:t>
      </w:r>
      <w:r>
        <w:t xml:space="preserve"> </w:t>
      </w:r>
      <w:r>
        <w:t>−1</w:t>
      </w:r>
      <w:r>
        <w:t xml:space="preserve"> </w:t>
      </w:r>
      <w:r>
        <w:t>for planar batteries, respectively. This advancement can provide an effective method to narrow the gap between lab and industrial production and promote the practical application of wearable aqueous zinc metal batteries.</w:t>
      </w:r>
    </w:p>
    <w:p>
      <w:pPr>
        <w:spacing w:before="120" w:after="120"/>
      </w:pPr>
      <w:r>
        <w:rPr>
          <w:sz w:val="18"/>
        </w:rPr>
        <w:t>——————————————————————————————————————————————————————————————————————</w:t>
      </w:r>
    </w:p>
    <w:p>
      <w:pPr>
        <w:spacing w:before="160" w:after="40" w:line="240" w:lineRule="auto"/>
      </w:pPr>
      <w:r>
        <w:rPr>
          <w:b/>
        </w:rPr>
        <w:t xml:space="preserve">[451] </w:t>
      </w:r>
      <w:hyperlink r:id="rId677">
        <w:r>
          <w:rPr>
            <w:color w:val="1155CC"/>
            <w:u w:val="single"/>
          </w:rPr>
          <w:t>内部水层1 吨二氧化碳的碳基二碳基二carbo功能化</w:t>
        </w:r>
      </w:hyperlink>
    </w:p>
    <w:p>
      <w:pPr>
        <w:spacing w:before="0" w:after="80"/>
      </w:pPr>
      <w:r>
        <w:rPr>
          <w:i/>
          <w:sz w:val="20"/>
        </w:rPr>
        <w:t>EN: Palladium‐Catalyzed Enantioselective Four‐Component Carbonylative Dicarbofunctionalization of Internal Alkenes With 1 Atm CO</w:t>
      </w:r>
    </w:p>
    <w:p>
      <w:pPr>
        <w:spacing w:before="0" w:after="120"/>
      </w:pPr>
      <w:r>
        <w:rPr>
          <w:b/>
        </w:rPr>
        <w:t xml:space="preserve">Source: </w:t>
      </w:r>
      <w:r>
        <w:t>Wiley: Angewandte Chemie International Edition: Table of Contents</w:t>
      </w:r>
      <w:r>
        <w:t xml:space="preserve">    </w:t>
      </w:r>
      <w:r>
        <w:rPr>
          <w:b/>
        </w:rPr>
        <w:t xml:space="preserve">Pub date: </w:t>
      </w:r>
      <w:r>
        <w:t>2026-01-28 09:23:30+00:00</w:t>
      </w:r>
      <w:r>
        <w:t xml:space="preserve">    </w:t>
      </w:r>
      <w:r>
        <w:rPr>
          <w:b/>
        </w:rPr>
        <w:t xml:space="preserve">DOI: </w:t>
      </w:r>
      <w:hyperlink r:id="rId678">
        <w:r>
          <w:rPr>
            <w:color w:val="1155CC"/>
            <w:u w:val="single"/>
          </w:rPr>
          <w:t>10.1002/anie.6399534</w:t>
        </w:r>
      </w:hyperlink>
    </w:p>
    <w:p>
      <w:pPr>
        <w:spacing w:before="0" w:after="120"/>
      </w:pPr>
      <w:r>
        <w:rPr>
          <w:b/>
        </w:rPr>
        <w:t xml:space="preserve">Notes: </w:t>
      </w:r>
      <w:r>
        <w:t>abstract_source=crossref</w:t>
      </w:r>
    </w:p>
    <w:p>
      <w:pPr>
        <w:spacing w:before="0" w:after="80" w:lineRule="auto" w:line="276"/>
      </w:pPr>
      <w:r>
        <w:rPr>
          <w:b/>
        </w:rPr>
        <w:t xml:space="preserve">摘要（ZH）: </w:t>
      </w:r>
      <w:r>
        <w:t>尽管生物活性分子中普遍存在手性碳基分子,但在温和条件下催化性非对称碳化的一般方法仍然很少,受到立体控制挑战和竞争途径的阻碍。目前的方法往往依赖多步序列或限制性的分子内部战略。我们在此报告,分子间交替分子4-碳基4-内烷、丙烯二碳化物盐和1吨二氧化碳下的核素的碳基二功能化。这种方法能够同时控制再生、异形和对等选择性、高效的合成。</w:t>
      </w:r>
    </w:p>
    <w:p>
      <w:pPr>
        <w:spacing w:before="0" w:after="200" w:lineRule="auto" w:line="276"/>
      </w:pPr>
      <w:r>
        <w:rPr>
          <w:b/>
        </w:rPr>
        <w:t xml:space="preserve">Abstract (EN): </w:t>
      </w:r>
      <w:r>
        <w:t>Transition metal‐catalyzed carbonylation employing CO as a C1 feedstock is fundamental for synthesizing carbonyl compounds in industrial/fine chemical synthesis. Despite the ubiquity of chiral carbonyl motifs in bioactive molecules, general methods for catalytic asymmetric carbonylation under mild conditions remain scarce, hindered by stereocontrol challenges and competing pathways. Current approaches often rely on multistep sequences or restrictive intramolecular strategies. Herein, we report palladium‐catalyzed intermolecular four‐component carbonylative dicarbofunctionalization of internal alkenes, aryl diazonium salts, and nucleophiles under 1 atm CO. This method enables simultaneous control over regio‐, diastereo‐, and enantioselectivity, efficiently constructing congested vicinal stereocenters in acyclic chiral carbonyl scaffolds. Nucleophile modularity affords diverse enantioenriched esters or ketones in high yields and stereoselectivity. The mild conditions prevent racemization of chiral carbonyls, and derivatizations highlight broad synthetic utility.</w:t>
      </w:r>
    </w:p>
    <w:p>
      <w:pPr>
        <w:spacing w:before="120" w:after="120"/>
      </w:pPr>
      <w:r>
        <w:rPr>
          <w:sz w:val="18"/>
        </w:rPr>
        <w:t>——————————————————————————————————————————————————————————————————————</w:t>
      </w:r>
    </w:p>
    <w:p>
      <w:pPr>
        <w:spacing w:before="160" w:after="40" w:line="240" w:lineRule="auto"/>
      </w:pPr>
      <w:r>
        <w:rPr>
          <w:b/>
        </w:rPr>
        <w:t xml:space="preserve">[452] </w:t>
      </w:r>
      <w:hyperlink r:id="rId679">
        <w:r>
          <w:rPr>
            <w:color w:val="1155CC"/>
            <w:u w:val="single"/>
          </w:rPr>
          <w:t>用于活性辐射雾收集的旋转涡轮</w:t>
        </w:r>
      </w:hyperlink>
    </w:p>
    <w:p>
      <w:pPr>
        <w:spacing w:before="0" w:after="80"/>
      </w:pPr>
      <w:r>
        <w:rPr>
          <w:i/>
          <w:sz w:val="20"/>
        </w:rPr>
        <w:t>EN: Microdroplet Intaking Spinning Turbine for Active Radiation Fog Harvesting</w:t>
      </w:r>
    </w:p>
    <w:p>
      <w:pPr>
        <w:spacing w:before="0" w:after="120"/>
      </w:pPr>
      <w:r>
        <w:rPr>
          <w:b/>
        </w:rPr>
        <w:t xml:space="preserve">Source: </w:t>
      </w:r>
      <w:r>
        <w:t>Wiley: Advanced Materials: Table of Contents</w:t>
      </w:r>
      <w:r>
        <w:t xml:space="preserve">    </w:t>
      </w:r>
      <w:r>
        <w:rPr>
          <w:b/>
        </w:rPr>
        <w:t xml:space="preserve">Pub date: </w:t>
      </w:r>
      <w:r>
        <w:t>2026-01-28 09:23:42+00:00</w:t>
      </w:r>
      <w:r>
        <w:t xml:space="preserve">    </w:t>
      </w:r>
      <w:r>
        <w:rPr>
          <w:b/>
        </w:rPr>
        <w:t xml:space="preserve">DOI: </w:t>
      </w:r>
      <w:hyperlink r:id="rId680">
        <w:r>
          <w:rPr>
            <w:color w:val="1155CC"/>
            <w:u w:val="single"/>
          </w:rPr>
          <w:t>10.1002/adma.202522101</w:t>
        </w:r>
      </w:hyperlink>
    </w:p>
    <w:p>
      <w:pPr>
        <w:spacing w:before="0" w:after="120"/>
      </w:pPr>
      <w:r>
        <w:rPr>
          <w:b/>
        </w:rPr>
        <w:t xml:space="preserve">Notes: </w:t>
      </w:r>
      <w:r>
        <w:t>abstract_source=crossref</w:t>
      </w:r>
    </w:p>
    <w:p>
      <w:pPr>
        <w:spacing w:before="0" w:after="80" w:lineRule="auto" w:line="276"/>
      </w:pPr>
      <w:r>
        <w:rPr>
          <w:b/>
        </w:rPr>
        <w:t xml:space="preserve">摘要（ZH）: </w:t>
      </w:r>
      <w:r>
        <w:t>ABSTACT 大气雾收集是一种可持续的淡水溶液,但是,由于微小小小滴子的惯性低,从低风中有效地收集小滴子雾具有挑战性。在这里,我们展示了微滴吸收旋转涡轮机(MIST),这是一个生动活性雾收集器,它利用旋转的撒玛拉式刀片在雾空气中积极提取。旋转的叶片创造了一个稳定的低压力区,在雾中积极吸附着,使事件雾的流量增加5.8倍,直接滴入设备刀尖的顶部。刀片上的一系列生物模型性仙子脊椎可以增强这些微滴子的惯性捕捉。在叶边缘周围的生物模型滴结构,加上离心力,能够快速地干燥。</w:t>
      </w:r>
    </w:p>
    <w:p>
      <w:pPr>
        <w:spacing w:before="0" w:after="200" w:lineRule="auto" w:line="276"/>
      </w:pPr>
      <w:r>
        <w:rPr>
          <w:b/>
        </w:rPr>
        <w:t xml:space="preserve">Abstract (EN): </w:t>
      </w:r>
      <w:r>
        <w:t>Atmospheric fog harvesting is a sustainable freshwater solution, but efficiently collecting from low‐wind, small‐droplet fogs is challenging due to the low inertia of micron‐sized droplets. Here, we demonstrate the microdroplet intaking spinning turbine (MIST), a bioinspired active fog collector that actively draws in fog‐laden air using rotating samara‐like blades. The rotating blades create a stable low‐pressure zone that actively draws in fog, increasing incident fog flux by 5.8‐fold, and direct droplets into the device's blade contours. An array of biomimetic cactus spines on the blades enhances inertial capture of these microdroplets. Biomimetic drip‐tip structures along the blade edges, combined with centrifugal force, enable rapid drainage of collected water, significantly reducing fluid retention. MIST demonstrates collection efficiency one to two orders of magnitude greater than that of existing surfaces, achieving up to 13.8 L m</w:t>
      </w:r>
      <w:r>
        <w:t xml:space="preserve"> </w:t>
      </w:r>
      <w:r>
        <w:t>−2</w:t>
      </w:r>
      <w:r>
        <w:t xml:space="preserve"> </w:t>
      </w:r>
      <w:r>
        <w:t>h</w:t>
      </w:r>
      <w:r>
        <w:t xml:space="preserve"> </w:t>
      </w:r>
      <w:r>
        <w:t>−1</w:t>
      </w:r>
      <w:r>
        <w:t xml:space="preserve"> </w:t>
      </w:r>
      <w:r>
        <w:t>in field tests and 96.8 L m</w:t>
      </w:r>
      <w:r>
        <w:t xml:space="preserve"> </w:t>
      </w:r>
      <w:r>
        <w:t>−2</w:t>
      </w:r>
      <w:r>
        <w:t xml:space="preserve"> </w:t>
      </w:r>
      <w:r>
        <w:t>h</w:t>
      </w:r>
      <w:r>
        <w:t xml:space="preserve"> </w:t>
      </w:r>
      <w:r>
        <w:t>−1</w:t>
      </w:r>
      <w:r>
        <w:t xml:space="preserve"> </w:t>
      </w:r>
      <w:r>
        <w:t>in controlled wind‐tunnel tests. MIST device achieved a specific energy efficiency of 86 L kWh</w:t>
      </w:r>
      <w:r>
        <w:t xml:space="preserve"> </w:t>
      </w:r>
      <w:r>
        <w:t>−1</w:t>
      </w:r>
      <w:r>
        <w:t xml:space="preserve"> </w:t>
      </w:r>
      <w:r>
        <w:t>of water, surpassing conventional dehumidification systems under the targeted fog conditions. By actively manipulating airflow, this bioinspired architecture maintains high efficiency across diverse mists under low‐wind conditions, demonstrating broad applicability for defogging, outdoor fog harvesting, and viscous oil fume collection.</w:t>
      </w:r>
    </w:p>
    <w:p>
      <w:pPr>
        <w:spacing w:before="120" w:after="120"/>
      </w:pPr>
      <w:r>
        <w:rPr>
          <w:sz w:val="18"/>
        </w:rPr>
        <w:t>——————————————————————————————————————————————————————————————————————</w:t>
      </w:r>
    </w:p>
    <w:p>
      <w:pPr>
        <w:spacing w:before="160" w:after="40" w:line="240" w:lineRule="auto"/>
      </w:pPr>
      <w:r>
        <w:rPr>
          <w:b/>
        </w:rPr>
        <w:t xml:space="preserve">[453] </w:t>
      </w:r>
      <w:hyperlink r:id="rId681">
        <w:r>
          <w:rPr>
            <w:color w:val="1155CC"/>
            <w:u w:val="single"/>
          </w:rPr>
          <w:t>在高能电池中,酸盐氢化盐能全Period Mn2+/MnO2转换</w:t>
        </w:r>
      </w:hyperlink>
    </w:p>
    <w:p>
      <w:pPr>
        <w:spacing w:before="0" w:after="80"/>
      </w:pPr>
      <w:r>
        <w:rPr>
          <w:i/>
          <w:sz w:val="20"/>
        </w:rPr>
        <w:t>EN: Acidic Hydrogel Enables Full‐Period Mn2+/MnO2 Conversion in High‐Energy Quasi‐Solid‐State Zn‐MnO2 Batteries</w:t>
      </w:r>
    </w:p>
    <w:p>
      <w:pPr>
        <w:spacing w:before="0" w:after="120"/>
      </w:pPr>
      <w:r>
        <w:rPr>
          <w:b/>
        </w:rPr>
        <w:t xml:space="preserve">Source: </w:t>
      </w:r>
      <w:r>
        <w:t>Wiley: Advanced Materials: Table of Contents</w:t>
      </w:r>
      <w:r>
        <w:t xml:space="preserve">    </w:t>
      </w:r>
      <w:r>
        <w:rPr>
          <w:b/>
        </w:rPr>
        <w:t xml:space="preserve">Pub date: </w:t>
      </w:r>
      <w:r>
        <w:t>2026-01-28 09:24:38+00:00</w:t>
      </w:r>
      <w:r>
        <w:t xml:space="preserve">    </w:t>
      </w:r>
      <w:r>
        <w:rPr>
          <w:b/>
        </w:rPr>
        <w:t xml:space="preserve">DOI: </w:t>
      </w:r>
      <w:hyperlink r:id="rId682">
        <w:r>
          <w:rPr>
            <w:color w:val="1155CC"/>
            <w:u w:val="single"/>
          </w:rPr>
          <w:t>10.1002/adma.202522827</w:t>
        </w:r>
      </w:hyperlink>
    </w:p>
    <w:p>
      <w:pPr>
        <w:spacing w:before="0" w:after="120"/>
      </w:pPr>
      <w:r>
        <w:rPr>
          <w:b/>
        </w:rPr>
        <w:t xml:space="preserve">Notes: </w:t>
      </w:r>
      <w:r>
        <w:t>abstract_source=crossref</w:t>
      </w:r>
    </w:p>
    <w:p>
      <w:pPr>
        <w:spacing w:before="0" w:after="80" w:lineRule="auto" w:line="276"/>
      </w:pPr>
      <w:r>
        <w:rPr>
          <w:b/>
        </w:rPr>
        <w:t xml:space="preserve">摘要（ZH）: </w:t>
      </w:r>
      <w:r>
        <w:t>ABSTACT 灵活水水体柔性 ZnMnNO 2 电池由于其内在安全和成本效益,被视为下一代便携式和可磨损电子设备有前途的动力源,然而,由于能源密度有限,其实际应用受到阻碍,主要是因为低使用MnO 2 型热电二(即MnO 2 的单电子再氧化反应),因此,为了解决这一问题,我们设计了一个新的酸性氢凝电解解液电解液,由聚(2-亚丙胺)和聚丙烯丙烷磺酸(PMPS/PAM)组成,作为质子库,以维持稳定的酸环境,促进快速脱氧化。</w:t>
      </w:r>
    </w:p>
    <w:p>
      <w:pPr>
        <w:spacing w:before="0" w:after="200" w:lineRule="auto" w:line="276"/>
      </w:pPr>
      <w:r>
        <w:rPr>
          <w:b/>
        </w:rPr>
        <w:t xml:space="preserve">Abstract (EN): </w:t>
      </w:r>
      <w:r>
        <w:t>Flexible aqueous Zn‐MnO</w:t>
      </w:r>
      <w:r>
        <w:rPr>
          <w:vertAlign w:val="subscript"/>
        </w:rPr>
        <w:t>2</w:t>
      </w:r>
      <w:r>
        <w:t>batteries are regarded as promising power sources for next‐generation portable and wearable electronics owing to their intrinsic safety and cost‐effectiveness. However, their practical applications are hindered by limited energy density, primarily due to the low utilization of MnO</w:t>
      </w:r>
      <w:r>
        <w:rPr>
          <w:vertAlign w:val="subscript"/>
        </w:rPr>
        <w:t>2</w:t>
      </w:r>
      <w:r>
        <w:t>cathodes (i.e., the single‐electron redox reaction of MnO</w:t>
      </w:r>
      <w:r>
        <w:rPr>
          <w:vertAlign w:val="subscript"/>
        </w:rPr>
        <w:t>2</w:t>
      </w:r>
      <w:r>
        <w:t>). To overcome this problem, we designed a new acidic hydrogel electrolyte composed of poly(2‐acrylamido‐2‐methylpropanesulfonic acid) and polyacrylamide (PAMPS/PAM) as a proton reservoir to maintain a stable acidic environment and facilitate fast cation transport through abundant sulfonic groups. In addition, hydrogen evolution of the Zn anode in acidic PAMPS/PAM was suppressed using a polymer‐coated Zn anode (P‐Zn). Benefiting from these design choices, the P‐Zn||MnO</w:t>
      </w:r>
      <w:r>
        <w:rPr>
          <w:vertAlign w:val="subscript"/>
        </w:rPr>
        <w:t>2</w:t>
      </w:r>
      <w:r>
        <w:t>battery with the acidic PAMPS/PAM and P‐Zn exhibited Mn</w:t>
      </w:r>
      <w:r>
        <w:t xml:space="preserve"> </w:t>
      </w:r>
      <w:r>
        <w:t>2+</w:t>
      </w:r>
      <w:r>
        <w:t xml:space="preserve"> </w:t>
      </w:r>
      <w:r>
        <w:t>/MnO</w:t>
      </w:r>
      <w:r>
        <w:rPr>
          <w:vertAlign w:val="subscript"/>
        </w:rPr>
        <w:t>2</w:t>
      </w:r>
      <w:r>
        <w:t>two‐electron conversion during the complete operation cycle. This battery design delivered a high discharge voltage of 1.9 V, a capacity of 592.9 mAh g</w:t>
      </w:r>
      <w:r>
        <w:t xml:space="preserve"> </w:t>
      </w:r>
      <w:r>
        <w:t>−1</w:t>
      </w:r>
      <w:r>
        <w:t xml:space="preserve"> </w:t>
      </w:r>
      <w:r>
        <w:t>at 10 A g</w:t>
      </w:r>
      <w:r>
        <w:t xml:space="preserve"> </w:t>
      </w:r>
      <w:r>
        <w:t>−1</w:t>
      </w:r>
      <w:r>
        <w:t xml:space="preserve"> </w:t>
      </w:r>
      <w:r>
        <w:t>, and an energy density of 762.6 Wh kg</w:t>
      </w:r>
      <w:r>
        <w:t xml:space="preserve"> </w:t>
      </w:r>
      <w:r>
        <w:t>−1</w:t>
      </w:r>
      <w:r>
        <w:t xml:space="preserve"> </w:t>
      </w:r>
      <w:r>
        <w:t>at a power density of 13821.8 W kg</w:t>
      </w:r>
      <w:r>
        <w:t xml:space="preserve"> </w:t>
      </w:r>
      <w:r>
        <w:t>−1</w:t>
      </w:r>
      <w:r>
        <w:t xml:space="preserve"> </w:t>
      </w:r>
      <w:r>
        <w:t>while maintaining exceptional durability over 1000 cycles. An as‐fabricated fiber‐shaped Zn||MnO</w:t>
      </w:r>
      <w:r>
        <w:rPr>
          <w:vertAlign w:val="subscript"/>
        </w:rPr>
        <w:t>2</w:t>
      </w:r>
      <w:r>
        <w:t>battery further demonstrated the feasibility of this strategy in constructing high energy‐density flexible energy storage devices for wearable electronics.</w:t>
      </w:r>
    </w:p>
    <w:p>
      <w:pPr>
        <w:spacing w:before="120" w:after="120"/>
      </w:pPr>
      <w:r>
        <w:rPr>
          <w:sz w:val="18"/>
        </w:rPr>
        <w:t>——————————————————————————————————————————————————————————————————————</w:t>
      </w:r>
    </w:p>
    <w:p>
      <w:pPr>
        <w:spacing w:before="160" w:after="40" w:line="240" w:lineRule="auto"/>
      </w:pPr>
      <w:r>
        <w:rPr>
          <w:b/>
        </w:rPr>
        <w:t xml:space="preserve">[454] </w:t>
      </w:r>
      <w:hyperlink r:id="rId683">
        <w:r>
          <w:rPr>
            <w:color w:val="1155CC"/>
            <w:u w:val="single"/>
          </w:rPr>
          <w:t>用于防伪和信息加密的可减少压力感敏性荧光开关(Adv.Mater. 6/2026)</w:t>
        </w:r>
      </w:hyperlink>
    </w:p>
    <w:p>
      <w:pPr>
        <w:spacing w:before="0" w:after="80"/>
      </w:pPr>
      <w:r>
        <w:rPr>
          <w:i/>
          <w:sz w:val="20"/>
        </w:rPr>
        <w:t>EN: Reproducible Pressure‐Sensitive Fluorescence Switch for Anti‐Counterfeiting and Information Encryption (Adv. Mater. 6/2026)</w:t>
      </w:r>
    </w:p>
    <w:p>
      <w:pPr>
        <w:spacing w:before="0" w:after="120"/>
      </w:pPr>
      <w:r>
        <w:rPr>
          <w:b/>
        </w:rPr>
        <w:t xml:space="preserve">Source: </w:t>
      </w:r>
      <w:r>
        <w:t>Wiley: Advanced Materials: Table of Contents</w:t>
      </w:r>
      <w:r>
        <w:t xml:space="preserve">    </w:t>
      </w:r>
      <w:r>
        <w:rPr>
          <w:b/>
        </w:rPr>
        <w:t xml:space="preserve">Pub date: </w:t>
      </w:r>
      <w:r>
        <w:t>2026-01-28 09:24:59+00:00</w:t>
      </w:r>
      <w:r>
        <w:t xml:space="preserve">    </w:t>
      </w:r>
      <w:r>
        <w:rPr>
          <w:b/>
        </w:rPr>
        <w:t xml:space="preserve">DOI: </w:t>
      </w:r>
      <w:hyperlink r:id="rId684">
        <w:r>
          <w:rPr>
            <w:color w:val="1155CC"/>
            <w:u w:val="single"/>
          </w:rPr>
          <w:t>10.1002/adma.72037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[455] </w:t>
      </w:r>
      <w:hyperlink r:id="rId685">
        <w:r>
          <w:rPr>
            <w:color w:val="1155CC"/>
            <w:u w:val="single"/>
          </w:rPr>
          <w:t>作为催化剂支持的硬性Supram分子氨化管(Adv. Mater. 6/2026)</w:t>
        </w:r>
      </w:hyperlink>
    </w:p>
    <w:p>
      <w:pPr>
        <w:spacing w:before="0" w:after="80"/>
      </w:pPr>
      <w:r>
        <w:rPr>
          <w:i/>
          <w:sz w:val="20"/>
        </w:rPr>
        <w:t>EN: Rigid Supramolecular Aramid Nanotubes as Catalyst Supports (Adv. Mater. 6/2026)</w:t>
      </w:r>
    </w:p>
    <w:p>
      <w:pPr>
        <w:spacing w:before="0" w:after="120"/>
      </w:pPr>
      <w:r>
        <w:rPr>
          <w:b/>
        </w:rPr>
        <w:t xml:space="preserve">Source: </w:t>
      </w:r>
      <w:r>
        <w:t>Wiley: Advanced Materials: Table of Contents</w:t>
      </w:r>
      <w:r>
        <w:t xml:space="preserve">    </w:t>
      </w:r>
      <w:r>
        <w:rPr>
          <w:b/>
        </w:rPr>
        <w:t xml:space="preserve">Pub date: </w:t>
      </w:r>
      <w:r>
        <w:t>2026-01-28 09:24:59+00:00</w:t>
      </w:r>
      <w:r>
        <w:t xml:space="preserve">    </w:t>
      </w:r>
      <w:r>
        <w:rPr>
          <w:b/>
        </w:rPr>
        <w:t xml:space="preserve">DOI: </w:t>
      </w:r>
      <w:hyperlink r:id="rId686">
        <w:r>
          <w:rPr>
            <w:color w:val="1155CC"/>
            <w:u w:val="single"/>
          </w:rPr>
          <w:t>10.1002/adma.72033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[456] </w:t>
      </w:r>
      <w:hyperlink r:id="rId687">
        <w:r>
          <w:rPr>
            <w:color w:val="1155CC"/>
            <w:u w:val="single"/>
          </w:rPr>
          <w:t>含有晶体中间相的利皮纳米粒子多苯酚经体工程(Adv. 板板板6/2026)</w:t>
        </w:r>
      </w:hyperlink>
    </w:p>
    <w:p>
      <w:pPr>
        <w:spacing w:before="0" w:after="80"/>
      </w:pPr>
      <w:r>
        <w:rPr>
          <w:i/>
          <w:sz w:val="20"/>
        </w:rPr>
        <w:t>EN: Polyphenol‐Mediated Engineering of Lipid Nanoparticles With Crystalline Mesophases (Adv. Mater. 6/2026)</w:t>
      </w:r>
    </w:p>
    <w:p>
      <w:pPr>
        <w:spacing w:before="0" w:after="120"/>
      </w:pPr>
      <w:r>
        <w:rPr>
          <w:b/>
        </w:rPr>
        <w:t xml:space="preserve">Source: </w:t>
      </w:r>
      <w:r>
        <w:t>Wiley: Advanced Materials: Table of Contents</w:t>
      </w:r>
      <w:r>
        <w:t xml:space="preserve">    </w:t>
      </w:r>
      <w:r>
        <w:rPr>
          <w:b/>
        </w:rPr>
        <w:t xml:space="preserve">Pub date: </w:t>
      </w:r>
      <w:r>
        <w:t>2026-01-28 09:24:59+00:00</w:t>
      </w:r>
      <w:r>
        <w:t xml:space="preserve">    </w:t>
      </w:r>
      <w:r>
        <w:rPr>
          <w:b/>
        </w:rPr>
        <w:t xml:space="preserve">DOI: </w:t>
      </w:r>
      <w:hyperlink r:id="rId688">
        <w:r>
          <w:rPr>
            <w:color w:val="1155CC"/>
            <w:u w:val="single"/>
          </w:rPr>
          <w:t>10.1002/adma.72034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[457] </w:t>
      </w:r>
      <w:hyperlink r:id="rId689">
        <w:r>
          <w:rPr>
            <w:color w:val="1155CC"/>
            <w:u w:val="single"/>
          </w:rPr>
          <w:t>通过可再使用和可拆解聚合体Adhesion的阻隔扩散(Adv. Mater. 6/2026)进行超模分子界面工程</w:t>
        </w:r>
      </w:hyperlink>
    </w:p>
    <w:p>
      <w:pPr>
        <w:spacing w:before="0" w:after="80"/>
      </w:pPr>
      <w:r>
        <w:rPr>
          <w:i/>
          <w:sz w:val="20"/>
        </w:rPr>
        <w:t>EN: Supramolecular Interface Engineering via Interdiffusion for Reusable and Dismantlable Polymer Adhesion (Adv. Mater. 6/2026)</w:t>
      </w:r>
    </w:p>
    <w:p>
      <w:pPr>
        <w:spacing w:before="0" w:after="120"/>
      </w:pPr>
      <w:r>
        <w:rPr>
          <w:b/>
        </w:rPr>
        <w:t xml:space="preserve">Source: </w:t>
      </w:r>
      <w:r>
        <w:t>Wiley: Advanced Materials: Table of Contents</w:t>
      </w:r>
      <w:r>
        <w:t xml:space="preserve">    </w:t>
      </w:r>
      <w:r>
        <w:rPr>
          <w:b/>
        </w:rPr>
        <w:t xml:space="preserve">Pub date: </w:t>
      </w:r>
      <w:r>
        <w:t>2026-01-28 09:24:59+00:00</w:t>
      </w:r>
      <w:r>
        <w:t xml:space="preserve">    </w:t>
      </w:r>
      <w:r>
        <w:rPr>
          <w:b/>
        </w:rPr>
        <w:t xml:space="preserve">DOI: </w:t>
      </w:r>
      <w:hyperlink r:id="rId690">
        <w:r>
          <w:rPr>
            <w:color w:val="1155CC"/>
            <w:u w:val="single"/>
          </w:rPr>
          <w:t>10.1002/adma.72038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[458] </w:t>
      </w:r>
      <w:hyperlink r:id="rId691">
        <w:r>
          <w:rPr>
            <w:color w:val="1155CC"/>
            <w:u w:val="single"/>
          </w:rPr>
          <w:t>活性穿透生理障碍:向实际应用的基本纳米构造学(Adv. Mater. 6/2026)</w:t>
        </w:r>
      </w:hyperlink>
    </w:p>
    <w:p>
      <w:pPr>
        <w:spacing w:before="0" w:after="80"/>
      </w:pPr>
      <w:r>
        <w:rPr>
          <w:i/>
          <w:sz w:val="20"/>
        </w:rPr>
        <w:t>EN: Micro/Nanomotors Actively Penetrate Physiological Barriers: Basic Nanoarchitectonics to Practical Application (Adv. Mater. 6/2026)</w:t>
      </w:r>
    </w:p>
    <w:p>
      <w:pPr>
        <w:spacing w:before="0" w:after="120"/>
      </w:pPr>
      <w:r>
        <w:rPr>
          <w:b/>
        </w:rPr>
        <w:t xml:space="preserve">Source: </w:t>
      </w:r>
      <w:r>
        <w:t>Wiley: Advanced Materials: Table of Contents</w:t>
      </w:r>
      <w:r>
        <w:t xml:space="preserve">    </w:t>
      </w:r>
      <w:r>
        <w:rPr>
          <w:b/>
        </w:rPr>
        <w:t xml:space="preserve">Pub date: </w:t>
      </w:r>
      <w:r>
        <w:t>2026-01-28 09:24:59+00:00</w:t>
      </w:r>
      <w:r>
        <w:t xml:space="preserve">    </w:t>
      </w:r>
      <w:r>
        <w:rPr>
          <w:b/>
        </w:rPr>
        <w:t xml:space="preserve">DOI: </w:t>
      </w:r>
      <w:hyperlink r:id="rId692">
        <w:r>
          <w:rPr>
            <w:color w:val="1155CC"/>
            <w:u w:val="single"/>
          </w:rPr>
          <w:t>10.1002/adma.72035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[459] </w:t>
      </w:r>
      <w:hyperlink r:id="rId693">
        <w:r>
          <w:rPr>
            <w:color w:val="1155CC"/>
            <w:u w:val="single"/>
          </w:rPr>
          <w:t>建造针对欧洲气象和气象卫星应用中心</w:t>
        </w:r>
      </w:hyperlink>
    </w:p>
    <w:p>
      <w:pPr>
        <w:spacing w:before="0" w:after="80"/>
      </w:pPr>
      <w:r>
        <w:rPr>
          <w:i/>
          <w:sz w:val="20"/>
        </w:rPr>
        <w:t>EN: Construction of Agonistic Bivalent Double‐Stranded Aptamers Targeting c‐MET</w:t>
      </w:r>
    </w:p>
    <w:p>
      <w:pPr>
        <w:spacing w:before="0" w:after="120"/>
      </w:pPr>
      <w:r>
        <w:rPr>
          <w:b/>
        </w:rPr>
        <w:t xml:space="preserve">Source: </w:t>
      </w:r>
      <w:r>
        <w:t>Wiley: Angewandte Chemie International Edition: Table of Contents</w:t>
      </w:r>
      <w:r>
        <w:t xml:space="preserve">    </w:t>
      </w:r>
      <w:r>
        <w:rPr>
          <w:b/>
        </w:rPr>
        <w:t xml:space="preserve">Pub date: </w:t>
      </w:r>
      <w:r>
        <w:t>2026-01-28 09:28:14+00:00</w:t>
      </w:r>
      <w:r>
        <w:t xml:space="preserve">    </w:t>
      </w:r>
      <w:r>
        <w:rPr>
          <w:b/>
        </w:rPr>
        <w:t xml:space="preserve">DOI: </w:t>
      </w:r>
      <w:hyperlink r:id="rId694">
        <w:r>
          <w:rPr>
            <w:color w:val="1155CC"/>
            <w:u w:val="single"/>
          </w:rPr>
          <w:t>10.1002/anie.202516203</w:t>
        </w:r>
      </w:hyperlink>
    </w:p>
    <w:p>
      <w:pPr>
        <w:spacing w:before="0" w:after="120"/>
      </w:pPr>
      <w:r>
        <w:rPr>
          <w:b/>
        </w:rPr>
        <w:t xml:space="preserve">Notes: </w:t>
      </w:r>
      <w:r>
        <w:t>abstract_source=crossref</w:t>
      </w:r>
    </w:p>
    <w:p>
      <w:pPr>
        <w:spacing w:before="0" w:after="80" w:lineRule="auto" w:line="276"/>
      </w:pPr>
      <w:r>
        <w:rPr>
          <w:b/>
        </w:rPr>
        <w:t xml:space="preserve">摘要（ZH）: </w:t>
      </w:r>
      <w:r>
        <w:t>ABSTACT Aptamers,通过SELEX技术选择的单层核糖核糖核酸分离物,通过折叠到特定的分子三级结构中,对分子表现出高度的亲近性和选择性的约束性。重要的是,当其结合性扰乱目标与其天然离子体之间的相互作用时,吸附者可以抑制目标生物功能。然而,能够激活目标分子功能的吸附者仍然很少。在这项研究中,我们在以前被确定为生物惰性的C-MET aptamer HF3-58上进行了分子工程研究。通过合理设计,我们成功地开发了一系列双价双层和双层吸附器(BVDSAPTs),其强化的c-MET绑合体(BVDSAPTs),而其单层对等者未能捆绑。通过优化百分比,我们成功地开发了一套双价双层双层双层吸附相吸附的吸附器(BVDSAPTs),而其单层对等者未能将它捆绑。</w:t>
      </w:r>
    </w:p>
    <w:p>
      <w:pPr>
        <w:spacing w:before="0" w:after="200" w:lineRule="auto" w:line="276"/>
      </w:pPr>
      <w:r>
        <w:rPr>
          <w:b/>
        </w:rPr>
        <w:t xml:space="preserve">Abstract (EN): </w:t>
      </w:r>
      <w:r>
        <w:t>Aptamers, single‐stranded oligonucleotides selected via SELEX technology, exhibit high‐affinity and selective binding to target molecules by folding into specific intramolecular tertiary structures. Importantly, aptamers can inhibit target biological functions when their binding disrupts the interaction between the target and its natural ligand. However, aptamers capable of activating target molecule functions remain rare. In this study, we performed molecular engineering on the c‐MET aptamer HF3‐58, previously identified as biologically inert. Through rational design, we successfully developed a series of bivalent double‐stranded aptamers (BVDSApts) with enhanced c‐MET binding, while their single‐stranded counterparts failed to bind c‐MET. By optimizing the central duplex length to 18, 20 and 22 base pairs (bp), these aptamers potently induced c‐MET dimerization, phosphorylation, and downstream protein phosphorylation, while significantly enhancing cell migration and dispersion. The process of reconstructing biologically inert aptamers to obtain those with agonistic activity demonstrates that, with a thorough understanding of the binding mechanisms, it is possible to design new aptamers with novel functions through sequence engineering. Additionally, the BVDSApts obtained provide precursor molecules for the further development of HGF substitutes.</w:t>
      </w:r>
    </w:p>
    <w:p>
      <w:pPr>
        <w:spacing w:before="120" w:after="120"/>
      </w:pPr>
      <w:r>
        <w:rPr>
          <w:sz w:val="18"/>
        </w:rPr>
        <w:t>——————————————————————————————————————————————————————————————————————</w:t>
      </w:r>
    </w:p>
    <w:p>
      <w:pPr>
        <w:spacing w:before="160" w:after="40" w:line="240" w:lineRule="auto"/>
      </w:pPr>
      <w:r>
        <w:rPr>
          <w:b/>
        </w:rPr>
        <w:t xml:space="preserve">[460] </w:t>
      </w:r>
      <w:hyperlink r:id="rId695">
        <w:r>
          <w:rPr>
            <w:color w:val="1155CC"/>
            <w:u w:val="single"/>
          </w:rPr>
          <w:t>Iizchalasin A:多种药物S. Aureus利用将TarG捆绑到Inhibit Wall Teichhoic酸性生物合成物结构的海洋富豪代谢物</w:t>
        </w:r>
      </w:hyperlink>
    </w:p>
    <w:p>
      <w:pPr>
        <w:spacing w:before="0" w:after="80"/>
      </w:pPr>
      <w:r>
        <w:rPr>
          <w:i/>
          <w:sz w:val="20"/>
        </w:rPr>
        <w:t>EN: Iizuchalasin A: A Marine Fungal Metabolite With a Cage‐Like Structure That Binds TarG to Inhibit Wall Teichoic Acid Biosynthesis by Multidrug‐Resistant S. aureus</w:t>
      </w:r>
    </w:p>
    <w:p>
      <w:pPr>
        <w:spacing w:before="0" w:after="120"/>
      </w:pPr>
      <w:r>
        <w:rPr>
          <w:b/>
        </w:rPr>
        <w:t xml:space="preserve">Source: </w:t>
      </w:r>
      <w:r>
        <w:t>Wiley: Angewandte Chemie International Edition: Table of Contents</w:t>
      </w:r>
      <w:r>
        <w:t xml:space="preserve">    </w:t>
      </w:r>
      <w:r>
        <w:rPr>
          <w:b/>
        </w:rPr>
        <w:t xml:space="preserve">Pub date: </w:t>
      </w:r>
      <w:r>
        <w:t>2026-01-28 09:29:01+00:00</w:t>
      </w:r>
      <w:r>
        <w:t xml:space="preserve">    </w:t>
      </w:r>
      <w:r>
        <w:rPr>
          <w:b/>
        </w:rPr>
        <w:t xml:space="preserve">DOI: </w:t>
      </w:r>
      <w:hyperlink r:id="rId696">
        <w:r>
          <w:rPr>
            <w:color w:val="1155CC"/>
            <w:u w:val="single"/>
          </w:rPr>
          <w:t>10.1002/anie.202523303</w:t>
        </w:r>
      </w:hyperlink>
    </w:p>
    <w:p>
      <w:pPr>
        <w:spacing w:before="0" w:after="120"/>
      </w:pPr>
      <w:r>
        <w:rPr>
          <w:b/>
        </w:rPr>
        <w:t xml:space="preserve">Notes: </w:t>
      </w:r>
      <w:r>
        <w:t>abstract_source=crossref</w:t>
      </w:r>
    </w:p>
    <w:p>
      <w:pPr>
        <w:spacing w:before="0" w:after="80" w:lineRule="auto" w:line="276"/>
      </w:pPr>
      <w:r>
        <w:rPr>
          <w:b/>
        </w:rPr>
        <w:t xml:space="preserve">摘要（ZH）: </w:t>
      </w:r>
      <w:r>
        <w:t>为解决目前对抗药性多种抗药性菌株的抗药性抗药性抗药性,我们对海洋真菌提取物进行筛查,并对新抗生素进行代谢分析,以确定分子尺寸较大的新抗生素,有针对性地隔离了8种中子细胞切开类,包括4种新化合物(1、4  6),结构特征为MS、NMR和X射线单晶体分解数据分析。</w:t>
      </w:r>
    </w:p>
    <w:p>
      <w:pPr>
        <w:spacing w:before="0" w:after="200" w:lineRule="auto" w:line="276"/>
      </w:pPr>
      <w:r>
        <w:rPr>
          <w:b/>
        </w:rPr>
        <w:t xml:space="preserve">Abstract (EN): </w:t>
      </w:r>
      <w:r>
        <w:t>To address the ongoing</w:t>
      </w:r>
      <w:r>
        <w:t xml:space="preserve"> </w:t>
      </w:r>
      <w:r>
        <w:t>Staphylococcus aureus</w:t>
      </w:r>
      <w:r>
        <w:t xml:space="preserve"> </w:t>
      </w:r>
      <w:r>
        <w:t>drug resistance, we screened marine fungal extracts against a multidrug‐resistant strain and performed a metabolome analysis to identified new antibiotics with larger molecular size. Targeted isolation yielded eight merocytochalasans, including four new compounds (</w:t>
      </w:r>
      <w:r>
        <w:rPr>
          <w:vertAlign w:val="subscript"/>
        </w:rPr>
        <w:t>1</w:t>
      </w:r>
      <w:r>
        <w:t>,</w:t>
      </w:r>
      <w:r>
        <w:rPr>
          <w:vertAlign w:val="subscript"/>
        </w:rPr>
        <w:t>4</w:t>
      </w:r>
      <w:r>
        <w:t>‐</w:t>
      </w:r>
      <w:r>
        <w:rPr>
          <w:vertAlign w:val="subscript"/>
        </w:rPr>
        <w:t>6</w:t>
      </w:r>
      <w:r>
        <w:t>), structurally characterized by MS, NMR, and x‐ray single‐crystal diffraction data analysis. Compound</w:t>
      </w:r>
      <w:r>
        <w:rPr>
          <w:vertAlign w:val="subscript"/>
        </w:rPr>
        <w:t>1</w:t>
      </w:r>
      <w:r>
        <w:t>possessing a unique cage‐like symmetrical skeleton, effectively suppressed growth, adhesion, and virulence of methicillin‐resistant</w:t>
      </w:r>
      <w:r>
        <w:t xml:space="preserve"> </w:t>
      </w:r>
      <w:r>
        <w:t>S. aureus</w:t>
      </w:r>
      <w:r>
        <w:t xml:space="preserve"> </w:t>
      </w:r>
      <w:r>
        <w:t>(MRSA), demonstrated potent efficacy in reducing bacterial burden in a mouse skin infection model, and exhibited low resistance development potential. Mechanistically,</w:t>
      </w:r>
      <w:r>
        <w:rPr>
          <w:vertAlign w:val="subscript"/>
        </w:rPr>
        <w:t>1</w:t>
      </w:r>
      <w:r>
        <w:t>binds the transmembrane component of the ABC transporter TarGH, and inhibiting its ATPase activity.</w:t>
      </w:r>
    </w:p>
    <w:p>
      <w:pPr>
        <w:spacing w:before="120" w:after="120"/>
      </w:pPr>
      <w:r>
        <w:rPr>
          <w:sz w:val="18"/>
        </w:rPr>
        <w:t>——————————————————————————————————————————————————————————————————————</w:t>
      </w:r>
    </w:p>
    <w:p>
      <w:pPr>
        <w:spacing w:before="160" w:after="40" w:line="240" w:lineRule="auto"/>
      </w:pPr>
      <w:r>
        <w:rPr>
          <w:b/>
        </w:rPr>
        <w:t xml:space="preserve">[461] </w:t>
      </w:r>
      <w:hyperlink r:id="rId697">
        <w:r>
          <w:rPr>
            <w:color w:val="1155CC"/>
            <w:u w:val="single"/>
          </w:rPr>
          <w:t>通过高密度分散战略打破热导与铁弹性氧化氧化铁陶瓷强度之间的贸易关系</w:t>
        </w:r>
      </w:hyperlink>
    </w:p>
    <w:p>
      <w:pPr>
        <w:spacing w:before="0" w:after="80"/>
      </w:pPr>
      <w:r>
        <w:rPr>
          <w:i/>
          <w:sz w:val="20"/>
        </w:rPr>
        <w:t>EN: Breaking the Trade‐Off Relationship Between Thermal Conductivity and Toughness of Ferroelastic Oxide Ceramics via a High‐Density Dislocation Strategy</w:t>
      </w:r>
    </w:p>
    <w:p>
      <w:pPr>
        <w:spacing w:before="0" w:after="120"/>
      </w:pPr>
      <w:r>
        <w:rPr>
          <w:b/>
        </w:rPr>
        <w:t xml:space="preserve">Source: </w:t>
      </w:r>
      <w:r>
        <w:t>Wiley: Advanced Materials: Table of Contents</w:t>
      </w:r>
      <w:r>
        <w:t xml:space="preserve">    </w:t>
      </w:r>
      <w:r>
        <w:rPr>
          <w:b/>
        </w:rPr>
        <w:t xml:space="preserve">Pub date: </w:t>
      </w:r>
      <w:r>
        <w:t>2026-01-28 09:29:33+00:00</w:t>
      </w:r>
      <w:r>
        <w:t xml:space="preserve">    </w:t>
      </w:r>
      <w:r>
        <w:rPr>
          <w:b/>
        </w:rPr>
        <w:t xml:space="preserve">DOI: </w:t>
      </w:r>
      <w:hyperlink r:id="rId698">
        <w:r>
          <w:rPr>
            <w:color w:val="1155CC"/>
            <w:u w:val="single"/>
          </w:rPr>
          <w:t>10.1002/adma.202523083</w:t>
        </w:r>
      </w:hyperlink>
    </w:p>
    <w:p>
      <w:pPr>
        <w:spacing w:before="0" w:after="120"/>
      </w:pPr>
      <w:r>
        <w:rPr>
          <w:b/>
        </w:rPr>
        <w:t xml:space="preserve">Notes: </w:t>
      </w:r>
      <w:r>
        <w:t>abstract_source=crossref</w:t>
      </w:r>
    </w:p>
    <w:p>
      <w:pPr>
        <w:spacing w:before="0" w:after="80" w:lineRule="auto" w:line="276"/>
      </w:pPr>
      <w:r>
        <w:rPr>
          <w:b/>
        </w:rPr>
        <w:t xml:space="preserve">摘要（ZH）: </w:t>
      </w:r>
      <w:r>
        <w:t>ABSTACT 热导度与断裂强度之间的权衡关系限制了易碎陶瓷热绝缘材料的应用,我们建议高密度离心机工程作为协同降低热导度和增强强度的有效战略,火花等离子体交结(SPS)和热处理将高密度脱裂(10 +10 10 毫米-2)引入铁弹性YTAO 4/Y 3 TAO 7陶瓷复合材料作为热绝缘材料。</w:t>
      </w:r>
    </w:p>
    <w:p>
      <w:pPr>
        <w:spacing w:before="0" w:after="200" w:lineRule="auto" w:line="276"/>
      </w:pPr>
      <w:r>
        <w:rPr>
          <w:b/>
        </w:rPr>
        <w:t xml:space="preserve">Abstract (EN): </w:t>
      </w:r>
      <w:r>
        <w:t>The trade‐off relation between thermal conductivity and fracture toughness limits applications of brittle ceramic thermal insulation materials, and we propose that the high‐density dislocation engineering acts as an effective strategy to synergistically reduce thermal conductivity and enhance toughness. The spark plasma sintering (SPS) and heat treatments introduce high‐density dislocations (10</w:t>
      </w:r>
      <w:r>
        <w:rPr>
          <w:vertAlign w:val="subscript"/>
        </w:rPr>
        <w:t>8</w:t>
      </w:r>
      <w:r>
        <w:t>∼10</w:t>
      </w:r>
      <w:r>
        <w:rPr>
          <w:vertAlign w:val="subscript"/>
        </w:rPr>
        <w:t>10</w:t>
      </w:r>
      <w:r>
        <w:t>mm</w:t>
      </w:r>
      <w:r>
        <w:t xml:space="preserve"> </w:t>
      </w:r>
      <w:r>
        <w:t>−2</w:t>
      </w:r>
      <w:r>
        <w:t xml:space="preserve"> </w:t>
      </w:r>
      <w:r>
        <w:t>) into the ferroelastic YTaO</w:t>
      </w:r>
      <w:r>
        <w:rPr>
          <w:vertAlign w:val="subscript"/>
        </w:rPr>
        <w:t>4</w:t>
      </w:r>
      <w:r>
        <w:t>/Y</w:t>
      </w:r>
      <w:r>
        <w:rPr>
          <w:vertAlign w:val="subscript"/>
        </w:rPr>
        <w:t>3</w:t>
      </w:r>
      <w:r>
        <w:t>TaO</w:t>
      </w:r>
      <w:r>
        <w:rPr>
          <w:vertAlign w:val="subscript"/>
        </w:rPr>
        <w:t>7</w:t>
      </w:r>
      <w:r>
        <w:t>ceramic composites as thermal insulation materials. The effects of high‐density dislocations on reducing thermal conductivity and enhancing toughness are elucidated from the phonon relaxation time and crack propagation behaviors, respectively. The high‐density dislocations produce large lattice strains to reduce phonon relaxation time, and the lowest thermal conductivity reaches 1.32 W·m</w:t>
      </w:r>
      <w:r>
        <w:t xml:space="preserve"> </w:t>
      </w:r>
      <w:r>
        <w:t>−1</w:t>
      </w:r>
      <w:r>
        <w:t xml:space="preserve"> </w:t>
      </w:r>
      <w:r>
        <w:t>·K</w:t>
      </w:r>
      <w:r>
        <w:t xml:space="preserve"> </w:t>
      </w:r>
      <w:r>
        <w:t>−1</w:t>
      </w:r>
      <w:r>
        <w:t xml:space="preserve"> </w:t>
      </w:r>
      <w:r>
        <w:t>. The interfacial enhancements, ferroelastic domains, and high‐density dislocations synergistically boost the toughness to 5.0 MPa·m</w:t>
      </w:r>
      <w:r>
        <w:t xml:space="preserve"> </w:t>
      </w:r>
      <w:r>
        <w:t>1/2</w:t>
      </w:r>
      <w:r>
        <w:t xml:space="preserve"> </w:t>
      </w:r>
      <w:r>
        <w:t>, and the increment is higher than 50%. The effects of high‐density dislocations on toughness and thermal conductivity are revealed from an atomic scale, and the proposed high‐density dislocation strategy breaks the trade‐off relationship between thermal conductivity and toughness for brittle ceramic thermal insulation materials.</w:t>
      </w:r>
    </w:p>
    <w:p>
      <w:pPr>
        <w:spacing w:before="120" w:after="120"/>
      </w:pPr>
      <w:r>
        <w:rPr>
          <w:sz w:val="18"/>
        </w:rPr>
        <w:t>——————————————————————————————————————————————————————————————————————</w:t>
      </w:r>
    </w:p>
    <w:p>
      <w:pPr>
        <w:spacing w:before="160" w:after="40" w:line="240" w:lineRule="auto"/>
      </w:pPr>
      <w:r>
        <w:rPr>
          <w:b/>
        </w:rPr>
        <w:t xml:space="preserve">[462] </w:t>
      </w:r>
      <w:hyperlink r:id="rId699">
        <w:r>
          <w:rPr>
            <w:color w:val="1155CC"/>
            <w:u w:val="single"/>
          </w:rPr>
          <w:t>实现高水晶非氟接受物高水晶的融合战略,同时增强有机太阳能电池的电流和电压</w:t>
        </w:r>
      </w:hyperlink>
    </w:p>
    <w:p>
      <w:pPr>
        <w:spacing w:before="0" w:after="80"/>
      </w:pPr>
      <w:r>
        <w:rPr>
          <w:i/>
          <w:sz w:val="20"/>
        </w:rPr>
        <w:t>EN: Fusion Strategy Toward Highly Crystalline Non‐Fullerene Acceptor Enables Simultaneously Enhanced Current and Voltage in Organic Solar Cells</w:t>
      </w:r>
    </w:p>
    <w:p>
      <w:pPr>
        <w:spacing w:before="0" w:after="120"/>
      </w:pPr>
      <w:r>
        <w:rPr>
          <w:b/>
        </w:rPr>
        <w:t xml:space="preserve">Source: </w:t>
      </w:r>
      <w:r>
        <w:t>Wiley: Advanced Materials: Table of Contents</w:t>
      </w:r>
      <w:r>
        <w:t xml:space="preserve">    </w:t>
      </w:r>
      <w:r>
        <w:rPr>
          <w:b/>
        </w:rPr>
        <w:t xml:space="preserve">Pub date: </w:t>
      </w:r>
      <w:r>
        <w:t>2026-01-28 09:30:20+00:00</w:t>
      </w:r>
      <w:r>
        <w:t xml:space="preserve">    </w:t>
      </w:r>
      <w:r>
        <w:rPr>
          <w:b/>
        </w:rPr>
        <w:t xml:space="preserve">DOI: </w:t>
      </w:r>
      <w:hyperlink r:id="rId700">
        <w:r>
          <w:rPr>
            <w:color w:val="1155CC"/>
            <w:u w:val="single"/>
          </w:rPr>
          <w:t>10.1002/adma.202521440</w:t>
        </w:r>
      </w:hyperlink>
    </w:p>
    <w:p>
      <w:pPr>
        <w:spacing w:before="0" w:after="120"/>
      </w:pPr>
      <w:r>
        <w:rPr>
          <w:b/>
        </w:rPr>
        <w:t xml:space="preserve">Notes: </w:t>
      </w:r>
      <w:r>
        <w:t>abstract_source=crossref</w:t>
      </w:r>
    </w:p>
    <w:p>
      <w:pPr>
        <w:spacing w:before="0" w:after="80" w:lineRule="auto" w:line="276"/>
      </w:pPr>
      <w:r>
        <w:rPr>
          <w:b/>
        </w:rPr>
        <w:t xml:space="preserve">摘要（ZH）: </w:t>
      </w:r>
      <w:r>
        <w:t>ABSTACT有机太阳能电池(OSC)具有独特的优势,但其光伏性能受到光活材料中优化分子包装挑战的限制。虽然ADADAA型接受器通过形成有利的3D网络包装提高了效率,但进一步加强晶体特性而又不造成有害过度聚集的战略却十分稀少。在这里,我们通过分子聚合战略报告了一个独特的非全新接受器(NFA)同族体,BrTh2Cl。这一设计将高晶化溴化硫苯单元与一个氯化苯组整合到核心,设计出一种高效的终端功能,可以有效地调节分子包装而不造成过度分离。此外,蓝色是蓝色的。</w:t>
      </w:r>
    </w:p>
    <w:p>
      <w:pPr>
        <w:spacing w:before="0" w:after="200" w:lineRule="auto" w:line="276"/>
      </w:pPr>
      <w:r>
        <w:rPr>
          <w:b/>
        </w:rPr>
        <w:t xml:space="preserve">Abstract (EN): </w:t>
      </w:r>
      <w:r>
        <w:t>Organic solar cells (OSCs) offer unique advantages, yet their photovoltaic performance is limited by the challenge of optimizing molecular packing in photoactive materials. While A‐D‐A′‐D‐A‐type acceptors have improved efficiency by forming favorable 3D network packing, strategies to further enhance crystallinity without causing detrimental over‐aggregation are scarce. Herein, we report a distinctive non‐fullerene acceptor (NFA) congener, BrTh‐2Cl, via a molecular fusion strategy. This design ingeniously integrates a highly crystalline brominated‐thiophene unit with a chlorinated phenyl group onto the central core, engineering a highly effective terminal functionality that can effectively modulate molecular packing without over‐aggregation. In addition, the blue‐shifted absorption of BrTh‐2Cl caused by weak electron‐withdrawing of thiophene terminal group without malononitrile achieves complementary advantages with light harvest of L8‐BO. The incorporation of BrTh‐2Cl into a D18‐Cl: L8‐BO host blend enhances film ordering and electron mobility for higher current, while simultaneously suppressing non‐radiative energy loss. Consequently, the adjusted OSC achieves a remarkable power‐conversion efficiency (PCE) of 20.82% (certified 20.34%), a significant increase from the 19.03% of the binary device, accompanied by concurrent improvements in both short‐circuit current density and open‐circuit voltage. This work provides an effective molecular fusion strategy by terminal groups to refine molecular packing and propel the photovoltaic performance of OSCs.</w:t>
      </w:r>
    </w:p>
    <w:p>
      <w:pPr>
        <w:spacing w:before="120" w:after="120"/>
      </w:pPr>
      <w:r>
        <w:rPr>
          <w:sz w:val="18"/>
        </w:rPr>
        <w:t>——————————————————————————————————————————————————————————————————————</w:t>
      </w:r>
    </w:p>
    <w:p>
      <w:pPr>
        <w:spacing w:before="160" w:after="40" w:line="240" w:lineRule="auto"/>
      </w:pPr>
      <w:r>
        <w:rPr>
          <w:b/>
        </w:rPr>
        <w:t xml:space="preserve">[463] </w:t>
      </w:r>
      <w:hyperlink r:id="rId701">
        <w:r>
          <w:rPr>
            <w:color w:val="1155CC"/>
            <w:u w:val="single"/>
          </w:rPr>
          <w:t>低温反向水-通过磁诱导催化催化而促成的气体变化</w:t>
        </w:r>
      </w:hyperlink>
    </w:p>
    <w:p>
      <w:pPr>
        <w:spacing w:before="0" w:after="80"/>
      </w:pPr>
      <w:r>
        <w:rPr>
          <w:i/>
          <w:sz w:val="20"/>
        </w:rPr>
        <w:t>EN: Low‐Temperature Reverse Water–Gas Shift Enabled by Magnetically Induced Catalysis</w:t>
      </w:r>
    </w:p>
    <w:p>
      <w:pPr>
        <w:spacing w:before="0" w:after="120"/>
      </w:pPr>
      <w:r>
        <w:rPr>
          <w:b/>
        </w:rPr>
        <w:t xml:space="preserve">Source: </w:t>
      </w:r>
      <w:r>
        <w:t>Wiley: Angewandte Chemie International Edition: Table of Contents</w:t>
      </w:r>
      <w:r>
        <w:t xml:space="preserve">    </w:t>
      </w:r>
      <w:r>
        <w:rPr>
          <w:b/>
        </w:rPr>
        <w:t xml:space="preserve">Pub date: </w:t>
      </w:r>
      <w:r>
        <w:t>2026-01-28 09:33:38+00:00</w:t>
      </w:r>
      <w:r>
        <w:t xml:space="preserve">    </w:t>
      </w:r>
      <w:r>
        <w:rPr>
          <w:b/>
        </w:rPr>
        <w:t xml:space="preserve">DOI: </w:t>
      </w:r>
      <w:hyperlink r:id="rId702">
        <w:r>
          <w:rPr>
            <w:color w:val="1155CC"/>
            <w:u w:val="single"/>
          </w:rPr>
          <w:t>10.1002/anie.202523576</w:t>
        </w:r>
      </w:hyperlink>
    </w:p>
    <w:p>
      <w:pPr>
        <w:spacing w:before="0" w:after="120"/>
      </w:pPr>
      <w:r>
        <w:rPr>
          <w:b/>
        </w:rPr>
        <w:t xml:space="preserve">Notes: </w:t>
      </w:r>
      <w:r>
        <w:t>abstract_source=crossref</w:t>
      </w:r>
    </w:p>
    <w:p>
      <w:pPr>
        <w:spacing w:before="0" w:after="80" w:lineRule="auto" w:line="276"/>
      </w:pPr>
      <w:r>
        <w:rPr>
          <w:b/>
        </w:rPr>
        <w:t xml:space="preserve">摘要（ZH）: </w:t>
      </w:r>
      <w:r>
        <w:t>ABSTACT 平衡有限后热反应在向更可持续的化学工业过渡过程中发挥着关键作用,但通常受到高操作温度( &amp; gt;500°C)需要的困扰。 在这里,我们表明,冷冷冻反应堆环境中催化剂材料选择性和局部加热产生的温度梯度改变了热动力有限内热反应的平衡,并改善了其性能。 特别是,反水气转移反应和磁感应被分别选为模型反应和选择性催化剂供热方法。 使用标准Cu - Al 脊柱化铁纳米粒子,通过标准Cu - Al 脊柱化催化剂进行磁诱导催化,使得高CO产量成为高CO。</w:t>
      </w:r>
    </w:p>
    <w:p>
      <w:pPr>
        <w:spacing w:before="0" w:after="200" w:lineRule="auto" w:line="276"/>
      </w:pPr>
      <w:r>
        <w:rPr>
          <w:b/>
        </w:rPr>
        <w:t xml:space="preserve">Abstract (EN): </w:t>
      </w:r>
      <w:r>
        <w:t>Equilibrium‐limited endothermic reactions play a crucial role in the transition toward a more sustainable chemical industry, but are typically plagued by the need for high operation temperatures (&amp;gt;500°C). Here, we show that the temperature gradients generated by the selective and localized heating of catalyst materials in a colder reactor environment shift the equilibrium of thermodynamically‐limited endothermic reactions and improve their performance. In particular, the reverse water gas shift reaction and magnetic induction are selected as the model reaction and selective catalyst heating method, respectively. Magnetically induced catalysis using standard Cu–Al spinel‐derived catalyst functionalized with carbon‐coated iron nanoparticles enables high CO yield (up to 62%) at mild catalyst and reactor temperatures (estimated at 300°C and determined as 25–123°C, respectively). We demonstrate that the catalyst temperature and not the reactor temperature governs the equilibrium product composition of the rWGS, and that the temperature gradient promotes the in situ removal of water to shift the gas phase thermodynamic equilibrium. These two points synergistically result in a CO yield that would require a reactor temperature of 650°C in a conventionally heated gas phase reaction.</w:t>
      </w:r>
    </w:p>
    <w:p>
      <w:pPr>
        <w:spacing w:before="120" w:after="120"/>
      </w:pPr>
      <w:r>
        <w:rPr>
          <w:sz w:val="18"/>
        </w:rPr>
        <w:t>——————————————————————————————————————————————————————————————————————</w:t>
      </w:r>
    </w:p>
    <w:p>
      <w:pPr>
        <w:spacing w:before="160" w:after="40" w:line="240" w:lineRule="auto"/>
      </w:pPr>
      <w:r>
        <w:rPr>
          <w:b/>
        </w:rPr>
        <w:t xml:space="preserve">[464] </w:t>
      </w:r>
      <w:hyperlink r:id="rId703">
        <w:r>
          <w:rPr>
            <w:color w:val="1155CC"/>
            <w:u w:val="single"/>
          </w:rPr>
          <w:t>通向无金属电池的无烟金属电池Long-Lifespan Anode</w:t>
        </w:r>
      </w:hyperlink>
    </w:p>
    <w:p>
      <w:pPr>
        <w:spacing w:before="0" w:after="80"/>
      </w:pPr>
      <w:r>
        <w:rPr>
          <w:i/>
          <w:sz w:val="20"/>
        </w:rPr>
        <w:t>EN: Dealloying Engineering and Interfacial Catalyzing toward Long‐Lifespan Anode‐Free Sodium Metal Battery</w:t>
      </w:r>
    </w:p>
    <w:p>
      <w:pPr>
        <w:spacing w:before="0" w:after="120"/>
      </w:pPr>
      <w:r>
        <w:rPr>
          <w:b/>
        </w:rPr>
        <w:t xml:space="preserve">Source: </w:t>
      </w:r>
      <w:r>
        <w:t>Wiley: Advanced Materials: Table of Contents</w:t>
      </w:r>
      <w:r>
        <w:t xml:space="preserve">    </w:t>
      </w:r>
      <w:r>
        <w:rPr>
          <w:b/>
        </w:rPr>
        <w:t xml:space="preserve">Pub date: </w:t>
      </w:r>
      <w:r>
        <w:t>2026-01-28 09:35:38+00:00</w:t>
      </w:r>
      <w:r>
        <w:t xml:space="preserve">    </w:t>
      </w:r>
      <w:r>
        <w:rPr>
          <w:b/>
        </w:rPr>
        <w:t xml:space="preserve">DOI: </w:t>
      </w:r>
      <w:hyperlink r:id="rId704">
        <w:r>
          <w:rPr>
            <w:color w:val="1155CC"/>
            <w:u w:val="single"/>
          </w:rPr>
          <w:t>10.1002/adma.202520703</w:t>
        </w:r>
      </w:hyperlink>
    </w:p>
    <w:p>
      <w:pPr>
        <w:spacing w:before="0" w:after="120"/>
      </w:pPr>
      <w:r>
        <w:rPr>
          <w:b/>
        </w:rPr>
        <w:t xml:space="preserve">Notes: </w:t>
      </w:r>
      <w:r>
        <w:t>abstract_source=crossref</w:t>
      </w:r>
    </w:p>
    <w:p>
      <w:pPr>
        <w:spacing w:before="0" w:after="80" w:lineRule="auto" w:line="276"/>
      </w:pPr>
      <w:r>
        <w:rPr>
          <w:b/>
        </w:rPr>
        <w:t xml:space="preserve">摘要（ZH）: </w:t>
      </w:r>
      <w:r>
        <w:t>Anode-emode-Na金属电池因其高能量密度而备受称赞,目前通过现场收集器在没有活性负面材料的情况下在现场与纳金属一起粘贴,实现了高能量密度,然而,在光现收集器和稳定的电解化学中实现高可逆纳电镀/脱落具有挑战性。在这里,我们报告了一项处理中国帕克通电流收集器的协议策略,控制其晶体定向和地面特性,与(220)方向和(9)高含量的熔化炉(DNZ)提供了高密度核分离点,启动并维持统一的纳金属沉积,以及催化活性点,以形成有利的固体电解相相层。</w:t>
      </w:r>
    </w:p>
    <w:p>
      <w:pPr>
        <w:spacing w:before="0" w:after="200" w:lineRule="auto" w:line="276"/>
      </w:pPr>
      <w:r>
        <w:rPr>
          <w:b/>
        </w:rPr>
        <w:t xml:space="preserve">Abstract (EN): </w:t>
      </w:r>
      <w:r>
        <w:t>Anode‐free Na metal batteries are acclaimed for their high energy densities achieved through current collectors in situ plated with Na metal in the absence of active negative materials. However, realizing high reversible Na plating/stripping on a bare current collector and stable electrolyte chemistry is challenging. Herein, we report a dealloying strategy to treat a Chinese paktong current collector, controlling its crystal orientation and surface properties in situ. The dealloyed foil (D‐CNZ) with (220) orientation and high Ni content provides high‐affinity nucleation sites that initiate and sustain a uniform Na metal deposition, and catalytic active sites to form a propitious solid electrolyte interphase layer. Dealloying treatment enables a highly reversible Na plating/stripping for 10 000 h (1 mA cm</w:t>
      </w:r>
      <w:r>
        <w:t xml:space="preserve"> </w:t>
      </w:r>
      <w:r>
        <w:t>−2</w:t>
      </w:r>
      <w:r>
        <w:t xml:space="preserve"> </w:t>
      </w:r>
      <w:r>
        <w:t>/1 mAh cm</w:t>
      </w:r>
      <w:r>
        <w:t xml:space="preserve"> </w:t>
      </w:r>
      <w:r>
        <w:t>−2</w:t>
      </w:r>
      <w:r>
        <w:t xml:space="preserve"> </w:t>
      </w:r>
      <w:r>
        <w:t>), significantly outperforming current collectors reported in the literature. The present anode‐free Na metal battery (AFSMB) prototype, comprised of D‐CNZ current collector, Na</w:t>
      </w:r>
      <w:r>
        <w:rPr>
          <w:vertAlign w:val="subscript"/>
        </w:rPr>
        <w:t>3</w:t>
      </w:r>
      <w:r>
        <w:t>V</w:t>
      </w:r>
      <w:r>
        <w:rPr>
          <w:vertAlign w:val="subscript"/>
        </w:rPr>
        <w:t>2</w:t>
      </w:r>
      <w:r>
        <w:t>(PO</w:t>
      </w:r>
      <w:r>
        <w:rPr>
          <w:vertAlign w:val="subscript"/>
        </w:rPr>
        <w:t>4</w:t>
      </w:r>
      <w:r>
        <w:t>)</w:t>
      </w:r>
      <w:r>
        <w:rPr>
          <w:vertAlign w:val="subscript"/>
        </w:rPr>
        <w:t>3</w:t>
      </w:r>
      <w:r>
        <w:t>cathode, and ether electrolyte can operate for over 200 cycles at 1C, and 100 cycles at 10C. In addition, the NVP||D‐CNZ anode‐free pouch cell delivers 102 mAh g</w:t>
      </w:r>
      <w:r>
        <w:t xml:space="preserve"> </w:t>
      </w:r>
      <w:r>
        <w:t>−1</w:t>
      </w:r>
      <w:r>
        <w:t xml:space="preserve"> </w:t>
      </w:r>
      <w:r>
        <w:t>at 0.5C and maintains 97% capacity over 120 cycles. Our superior AFSMB enabled by the D‐CNZ enlightens an arena toward large‐scale energy storage applications.</w:t>
      </w:r>
    </w:p>
    <w:p>
      <w:pPr>
        <w:spacing w:before="120" w:after="120"/>
      </w:pPr>
      <w:r>
        <w:rPr>
          <w:sz w:val="18"/>
        </w:rPr>
        <w:t>——————————————————————————————————————————————————————————————————————</w:t>
      </w:r>
    </w:p>
    <w:p>
      <w:pPr>
        <w:spacing w:before="160" w:after="40" w:line="240" w:lineRule="auto"/>
      </w:pPr>
      <w:r>
        <w:rPr>
          <w:b/>
        </w:rPr>
        <w:t xml:space="preserve">[465] </w:t>
      </w:r>
      <w:hyperlink r:id="rId705">
        <w:r>
          <w:rPr>
            <w:color w:val="1155CC"/>
            <w:u w:val="single"/>
          </w:rPr>
          <w:t>工业规模高选用塑料升级,稳定超过1 000小时超过扭曲的PtPdTe纳米表</w:t>
        </w:r>
      </w:hyperlink>
    </w:p>
    <w:p>
      <w:pPr>
        <w:spacing w:before="0" w:after="80"/>
      </w:pPr>
      <w:r>
        <w:rPr>
          <w:i/>
          <w:sz w:val="20"/>
        </w:rPr>
        <w:t>EN: Industrial‐Scale High‐Selectivity Plastic Upgrading with Stability Exceeding 1000 h over Distorted PtPdTe Nanosheets</w:t>
      </w:r>
    </w:p>
    <w:p>
      <w:pPr>
        <w:spacing w:before="0" w:after="120"/>
      </w:pPr>
      <w:r>
        <w:rPr>
          <w:b/>
        </w:rPr>
        <w:t xml:space="preserve">Source: </w:t>
      </w:r>
      <w:r>
        <w:t>Wiley: Advanced Materials: Table of Contents</w:t>
      </w:r>
      <w:r>
        <w:t xml:space="preserve">    </w:t>
      </w:r>
      <w:r>
        <w:rPr>
          <w:b/>
        </w:rPr>
        <w:t xml:space="preserve">Pub date: </w:t>
      </w:r>
      <w:r>
        <w:t>2026-01-28 09:38:15+00:00</w:t>
      </w:r>
      <w:r>
        <w:t xml:space="preserve">    </w:t>
      </w:r>
      <w:r>
        <w:rPr>
          <w:b/>
        </w:rPr>
        <w:t xml:space="preserve">DOI: </w:t>
      </w:r>
      <w:hyperlink r:id="rId706">
        <w:r>
          <w:rPr>
            <w:color w:val="1155CC"/>
            <w:u w:val="single"/>
          </w:rPr>
          <w:t>10.1002/adma.202523545</w:t>
        </w:r>
      </w:hyperlink>
    </w:p>
    <w:p>
      <w:pPr>
        <w:spacing w:before="0" w:after="120"/>
      </w:pPr>
      <w:r>
        <w:rPr>
          <w:b/>
        </w:rPr>
        <w:t xml:space="preserve">Notes: </w:t>
      </w:r>
      <w:r>
        <w:t>abstract_source=crossref</w:t>
      </w:r>
    </w:p>
    <w:p>
      <w:pPr>
        <w:spacing w:before="0" w:after="80" w:lineRule="auto" w:line="276"/>
      </w:pPr>
      <w:r>
        <w:rPr>
          <w:b/>
        </w:rPr>
        <w:t xml:space="preserve">摘要（ZH）: </w:t>
      </w:r>
      <w:r>
        <w:t>电催化乙烯甘醇氧化为增值化学品,对于资源利用有利可图,是极可取的,但产量低,耐久性差。在这里,通过重建层层化的PtPdTe二二氯化二卤化物,形成了高度扭曲的PtPdTe 纳米表(PtPdteTea),具有经调制电子状态和食氧性,通过重建分层的PtPdTe二卤化物,对高玻璃酸法拉地(96.7%)的高液态乙酸(GA)的EG氧化反应产生创纪录的质量活动(11.78 毫克Pt+Pd-1 ) 。 机械学调查显示,PtPdTeáa具有一种强大的混合效应,有利于氢化物的形成和吸附。</w:t>
      </w:r>
    </w:p>
    <w:p>
      <w:pPr>
        <w:spacing w:before="0" w:after="200" w:lineRule="auto" w:line="276"/>
      </w:pPr>
      <w:r>
        <w:rPr>
          <w:b/>
        </w:rPr>
        <w:t xml:space="preserve">Abstract (EN): </w:t>
      </w:r>
      <w:r>
        <w:t>The electrocatalytic ethylene glycol (EG) oxidation to value‐added chemicals is highly desirable for profitable resource utilization,</w:t>
      </w:r>
      <w:r>
        <w:t xml:space="preserve"> </w:t>
      </w:r>
      <w:r>
        <w:t>yet</w:t>
      </w:r>
      <w:r>
        <w:t xml:space="preserve"> </w:t>
      </w:r>
      <w:r>
        <w:t>encounters a low yield rate and poor durability. Herein, a class of highly distorted PtPdTe nanosheets (PtPdTe‐a) with modulated electronic states and oxophilicity is prepared by reconstructing layered PtPdTe dichalcogenide and delivers a record mass activity (11.78 A mg</w:t>
      </w:r>
      <w:r>
        <w:t xml:space="preserve"> </w:t>
      </w:r>
      <w:r>
        <w:t>Pt+Pd</w:t>
      </w:r>
      <w:r>
        <w:t xml:space="preserve"> </w:t>
      </w:r>
      <w:r>
        <w:t>−1</w:t>
      </w:r>
      <w:r>
        <w:t xml:space="preserve"> </w:t>
      </w:r>
      <w:r>
        <w:t>) toward EG oxidation reaction with high glycolic acid (GA) Faradaic efficiency (96.7%). Mechanistic investigations reveal that PtPdTe‐a features a strong p‐d coupling effect for facilitating the formation and adsorption of hydroxyl adspecies to accelerate the oxidation of carbonyl intermediates, thereby avoiding over‐oxidation and switching the pathway toward desired C2 direction. We further demonstrate the unprecedented stability of PtPdTe‐a‐based electrolyzer for over 1000 h (&amp;gt; 150 mA cm</w:t>
      </w:r>
      <w:r>
        <w:t xml:space="preserve"> </w:t>
      </w:r>
      <w:r>
        <w:t>−2</w:t>
      </w:r>
      <w:r>
        <w:t xml:space="preserve"> </w:t>
      </w:r>
      <w:r>
        <w:t>). The scale‐up electrolyzer can achieve GA electrosynthesis with a record yield rate of 5.04 mmol cm</w:t>
      </w:r>
      <w:r>
        <w:t xml:space="preserve"> </w:t>
      </w:r>
      <w:r>
        <w:t>−2</w:t>
      </w:r>
      <w:r>
        <w:t xml:space="preserve"> </w:t>
      </w:r>
      <w:r>
        <w:t>h</w:t>
      </w:r>
      <w:r>
        <w:t xml:space="preserve"> </w:t>
      </w:r>
      <w:r>
        <w:t>−1</w:t>
      </w:r>
      <w:r>
        <w:t xml:space="preserve"> </w:t>
      </w:r>
      <w:r>
        <w:t>and a very high initial current density of over 800 mA cm</w:t>
      </w:r>
      <w:r>
        <w:t xml:space="preserve"> </w:t>
      </w:r>
      <w:r>
        <w:t>−2</w:t>
      </w:r>
      <w:r>
        <w:t xml:space="preserve"> </w:t>
      </w:r>
      <w:r>
        <w:t>from the upgrading of PET. Our new strategy can produce 422.36 g of terephthalic acid, 904.08 g of Na</w:t>
      </w:r>
      <w:r>
        <w:rPr>
          <w:vertAlign w:val="subscript"/>
        </w:rPr>
        <w:t>2</w:t>
      </w:r>
      <w:r>
        <w:t>SO</w:t>
      </w:r>
      <w:r>
        <w:rPr>
          <w:vertAlign w:val="subscript"/>
        </w:rPr>
        <w:t>4</w:t>
      </w:r>
      <w:r>
        <w:t>, and 112.69 g of GA from 500 g of PET with a profit of about $880.23 ton</w:t>
      </w:r>
      <w:r>
        <w:t xml:space="preserve"> </w:t>
      </w:r>
      <w:r>
        <w:t>−1</w:t>
      </w:r>
      <w:r>
        <w:t xml:space="preserve"> </w:t>
      </w:r>
      <w:r>
        <w:t>PET. Besides, PtPdTe‐a is highly efficient for ethanol oxidation into acetic acid with excellent selectivity.</w:t>
      </w:r>
    </w:p>
    <w:p>
      <w:pPr>
        <w:spacing w:before="120" w:after="120"/>
      </w:pPr>
      <w:r>
        <w:rPr>
          <w:sz w:val="18"/>
        </w:rPr>
        <w:t>——————————————————————————————————————————————————————————————————————</w:t>
      </w:r>
    </w:p>
    <w:p>
      <w:pPr>
        <w:spacing w:before="160" w:after="40" w:line="240" w:lineRule="auto"/>
      </w:pPr>
      <w:r>
        <w:rPr>
          <w:b/>
        </w:rPr>
        <w:t xml:space="preserve">[466] </w:t>
      </w:r>
      <w:hyperlink r:id="rId707">
        <w:r>
          <w:rPr>
            <w:color w:val="1155CC"/>
            <w:u w:val="single"/>
          </w:rPr>
          <w:t>稳定Perovskite Tandem太阳能电池的选择性Ion-锁闭战略</w:t>
        </w:r>
      </w:hyperlink>
    </w:p>
    <w:p>
      <w:pPr>
        <w:spacing w:before="0" w:after="80"/>
      </w:pPr>
      <w:r>
        <w:rPr>
          <w:i/>
          <w:sz w:val="20"/>
        </w:rPr>
        <w:t>EN: Selective Ion‐Blocking Strategy for Stabilizing Perovskite Tandem Solar Cells</w:t>
      </w:r>
    </w:p>
    <w:p>
      <w:pPr>
        <w:spacing w:before="0" w:after="120"/>
      </w:pPr>
      <w:r>
        <w:rPr>
          <w:b/>
        </w:rPr>
        <w:t xml:space="preserve">Source: </w:t>
      </w:r>
      <w:r>
        <w:t>Wiley: Advanced Energy Materials: Table of Contents</w:t>
      </w:r>
      <w:r>
        <w:t xml:space="preserve">    </w:t>
      </w:r>
      <w:r>
        <w:rPr>
          <w:b/>
        </w:rPr>
        <w:t xml:space="preserve">Pub date: </w:t>
      </w:r>
      <w:r>
        <w:t>2026-01-28 09:47:25+00:00</w:t>
      </w:r>
      <w:r>
        <w:t xml:space="preserve">    </w:t>
      </w:r>
      <w:r>
        <w:rPr>
          <w:b/>
        </w:rPr>
        <w:t xml:space="preserve">DOI: </w:t>
      </w:r>
      <w:hyperlink r:id="rId708">
        <w:r>
          <w:rPr>
            <w:color w:val="1155CC"/>
            <w:u w:val="single"/>
          </w:rPr>
          <w:t>10.1002/aenm.202506634</w:t>
        </w:r>
      </w:hyperlink>
    </w:p>
    <w:p>
      <w:pPr>
        <w:spacing w:before="0" w:after="120"/>
      </w:pPr>
      <w:r>
        <w:rPr>
          <w:b/>
        </w:rPr>
        <w:t xml:space="preserve">Notes: </w:t>
      </w:r>
      <w:r>
        <w:t>abstract_source=crossref</w:t>
      </w:r>
    </w:p>
    <w:p>
      <w:pPr>
        <w:spacing w:before="0" w:after="80" w:lineRule="auto" w:line="276"/>
      </w:pPr>
      <w:r>
        <w:rPr>
          <w:b/>
        </w:rPr>
        <w:t xml:space="preserve">摘要（ZH）: </w:t>
      </w:r>
      <w:r>
        <w:t>使用碘化二溴化二氮化混合卤化物成分的千伏太阳能电池(BBSTACT WBG) 使用碘化二苯胺混合卤化物混合成分的渗透式太阳能电池对联合整合至关重要,但受到开路电电压(VOC)损失和光离性的影响,广泛采用氟化锂(LiF)跨层,通过间酸性缺陷消化和能量水平调整来增强VOC,然而,在现实条件下,其对业务稳定性和相关降解机制的不利影响仍然不甚为人知。 在这里,我们系统地调查基于LiFZG装置的运作不稳定的根源,并展示有选择地块的战略。</w:t>
      </w:r>
    </w:p>
    <w:p>
      <w:pPr>
        <w:spacing w:before="0" w:after="200" w:lineRule="auto" w:line="276"/>
      </w:pPr>
      <w:r>
        <w:rPr>
          <w:b/>
        </w:rPr>
        <w:t xml:space="preserve">Abstract (EN): </w:t>
      </w:r>
      <w:r>
        <w:t>Wide‐bandgap (WBG) perovskite solar cells employing iodide‐bromide mixed halide compositions are essential for tandem integration but suffer from open‐circuit voltage (</w:t>
      </w:r>
      <w:r>
        <w:t xml:space="preserve"> </w:t>
      </w:r>
      <w:r>
        <w:t>V</w:t>
      </w:r>
      <w:r>
        <w:t xml:space="preserve"> </w:t>
      </w:r>
      <w:r>
        <w:t>OC</w:t>
      </w:r>
      <w:r>
        <w:t xml:space="preserve"> </w:t>
      </w:r>
      <w:r>
        <w:t>) losses and photo‐instability. Lithium fluoride (LiF) interlayers are widely adopted to enhance</w:t>
      </w:r>
      <w:r>
        <w:t xml:space="preserve"> </w:t>
      </w:r>
      <w:r>
        <w:t>V</w:t>
      </w:r>
      <w:r>
        <w:t xml:space="preserve"> </w:t>
      </w:r>
      <w:r>
        <w:t>OC</w:t>
      </w:r>
      <w:r>
        <w:t xml:space="preserve"> </w:t>
      </w:r>
      <w:r>
        <w:t>via interfacial defect passivation and energy‐level alignment, yet their adverse impact on operational stability and the associated degradation mechanism under realistic conditions remains poorly understood. Here, we systematically investigate the origin of operational instability in LiF‐based WBG devices and demonstrate a strategy for selectively blocking fluoride ion (F</w:t>
      </w:r>
      <w:r>
        <w:t xml:space="preserve"> </w:t>
      </w:r>
      <w:r>
        <w:t>−</w:t>
      </w:r>
      <w:r>
        <w:t>) migration into perovskite layer to improve device stability. We found that LiF does not remain confined to the interface but diffuses into the perovskite layer, where F</w:t>
      </w:r>
      <w:r>
        <w:t xml:space="preserve"> </w:t>
      </w:r>
      <w:r>
        <w:t>−</w:t>
      </w:r>
      <w:r>
        <w:t>accelerate halide segregation and compromise device photostability. To address this issue, we introduce lithium bis(trifluoromethanesulfonyl)imide (Li─T) as a selective ion‐blocking interlayer (i.e. ion‐fence), which suppresses F</w:t>
      </w:r>
      <w:r>
        <w:t xml:space="preserve"> </w:t>
      </w:r>
      <w:r>
        <w:t>−</w:t>
      </w:r>
      <w:r>
        <w:t>diffusion while preserving the benefits of LiF, yielding a high</w:t>
      </w:r>
      <w:r>
        <w:t xml:space="preserve"> </w:t>
      </w:r>
      <w:r>
        <w:t>V</w:t>
      </w:r>
      <w:r>
        <w:t xml:space="preserve"> </w:t>
      </w:r>
      <w:r>
        <w:t>OC</w:t>
      </w:r>
      <w:r>
        <w:t xml:space="preserve"> </w:t>
      </w:r>
      <w:r>
        <w:t>of 1.284 V and efficiency of 19.55%. This strategy markedly enhances operational stability without sacrificing efficiency and is successfully extended to monolithic all‐perovskite tandem cells, where Li─T maintains high efficiency of 28.41% while significantly improving device stability. These findings provide critical insights into interfacial engineering of high‐performance WBG perovskites for next‐generation tandem solar cells.</w:t>
      </w:r>
    </w:p>
    <w:p>
      <w:pPr>
        <w:spacing w:before="120" w:after="120"/>
      </w:pPr>
      <w:r>
        <w:rPr>
          <w:sz w:val="18"/>
        </w:rPr>
        <w:t>——————————————————————————————————————————————————————————————————————</w:t>
      </w:r>
    </w:p>
    <w:p>
      <w:pPr>
        <w:spacing w:before="160" w:after="40" w:line="240" w:lineRule="auto"/>
      </w:pPr>
      <w:r>
        <w:rPr>
          <w:b/>
        </w:rPr>
        <w:t xml:space="preserve">[467] </w:t>
      </w:r>
      <w:hyperlink r:id="rId709">
        <w:r>
          <w:rPr>
            <w:color w:val="1155CC"/>
            <w:u w:val="single"/>
          </w:rPr>
          <w:t>通过动态两极等级转移实现三合一普塞多普蒂普蒂普蒂普蒂多立奇礁群立体特立立立见大会</w:t>
        </w:r>
      </w:hyperlink>
    </w:p>
    <w:p>
      <w:pPr>
        <w:spacing w:before="0" w:after="80"/>
      </w:pPr>
      <w:r>
        <w:rPr>
          <w:i/>
          <w:sz w:val="20"/>
        </w:rPr>
        <w:t>EN: Stereospecific Assembly of Triply Chiral Pseudopeptidic Cages Through Dynamic Dual Chirality Transfer</w:t>
      </w:r>
    </w:p>
    <w:p>
      <w:pPr>
        <w:spacing w:before="0" w:after="120"/>
      </w:pPr>
      <w:r>
        <w:rPr>
          <w:b/>
        </w:rPr>
        <w:t xml:space="preserve">Source: </w:t>
      </w:r>
      <w:r>
        <w:t>Wiley: Angewandte Chemie International Edition: Table of Contents</w:t>
      </w:r>
      <w:r>
        <w:t xml:space="preserve">    </w:t>
      </w:r>
      <w:r>
        <w:rPr>
          <w:b/>
        </w:rPr>
        <w:t xml:space="preserve">Pub date: </w:t>
      </w:r>
      <w:r>
        <w:t>2026-01-28 09:48:04+00:00</w:t>
      </w:r>
      <w:r>
        <w:t xml:space="preserve">    </w:t>
      </w:r>
      <w:r>
        <w:rPr>
          <w:b/>
        </w:rPr>
        <w:t xml:space="preserve">DOI: </w:t>
      </w:r>
      <w:hyperlink r:id="rId710">
        <w:r>
          <w:rPr>
            <w:color w:val="1155CC"/>
            <w:u w:val="single"/>
          </w:rPr>
          <w:t>10.1002/anie.202525964</w:t>
        </w:r>
      </w:hyperlink>
    </w:p>
    <w:p>
      <w:pPr>
        <w:spacing w:before="0" w:after="120"/>
      </w:pPr>
      <w:r>
        <w:rPr>
          <w:b/>
        </w:rPr>
        <w:t xml:space="preserve">Notes: </w:t>
      </w:r>
      <w:r>
        <w:t>abstract_source=crossref</w:t>
      </w:r>
    </w:p>
    <w:p>
      <w:pPr>
        <w:spacing w:before="0" w:after="80" w:lineRule="auto" w:line="276"/>
      </w:pPr>
      <w:r>
        <w:rPr>
          <w:b/>
        </w:rPr>
        <w:t xml:space="preserve">摘要（ZH）: </w:t>
      </w:r>
      <w:r>
        <w:t>从可逆正对正反正正正对流工艺的动态合宪合作中,观察到在三角伪伪伪伪皮迪科笼内传出特定立体体信息:铁质粘合和金属协调。来自苯氨氨氨基酸酸基的手性中心将特定的手性引入形成成的八肢(II)复合体中,并进入大型循环的螺旋。 NMR、循环二分化、单晶体X射线分解和理论计算都证实了这一点。相反,在采用结构稳定的Ru(II)复合体时,动态金属交换有效地选择了相同的手性元素的相应相匹配的结合体,最终导致水溶性同质稳定的宏观循环假体。</w:t>
      </w:r>
    </w:p>
    <w:p>
      <w:pPr>
        <w:spacing w:before="0" w:after="200" w:lineRule="auto" w:line="276"/>
      </w:pPr>
      <w:r>
        <w:rPr>
          <w:b/>
        </w:rPr>
        <w:t xml:space="preserve">Abstract (EN): </w:t>
      </w:r>
      <w:r>
        <w:t>A stereospecific transmission of chiral information within tripodal pseudopeptidic cages has been observed from dynamic constitutional co‐operation of reversible orthogonal processes: imine bond and metal coordination. The chiral centers from the phenylalanine amino acid moieties induce a specific chirality into the formed octahedral Fe(II) complex and into the helical twist of the macrobicycle, as confirmed by NMR, circular dichroism, X‐ray diffraction of single crystals, and theoretical calculations. Instead, when a configurationally stable Ru(II) complex is employed, the dynamic imine exchange efficiently selects the corresponding matched‐combination of the same chiral elements, leading after reduction to a water‐soluble homochiral stable macrobicyclic pseudopeptide Ru(II) complex with appealing chemical and photophysical properties. Overall, our study demonstrates how subtle structural factors from a chiral effector in a reversible dynamic system rule the generation and selection of subsequent chiral elements with high fidelity and complete stereocontrol.</w:t>
      </w:r>
    </w:p>
    <w:p>
      <w:pPr>
        <w:spacing w:before="120" w:after="120"/>
      </w:pPr>
      <w:r>
        <w:rPr>
          <w:sz w:val="18"/>
        </w:rPr>
        <w:t>——————————————————————————————————————————————————————————————————————</w:t>
      </w:r>
    </w:p>
    <w:p>
      <w:pPr>
        <w:spacing w:before="160" w:after="40" w:line="240" w:lineRule="auto"/>
      </w:pPr>
      <w:r>
        <w:rPr>
          <w:b/>
        </w:rPr>
        <w:t xml:space="preserve">[468] </w:t>
      </w:r>
      <w:hyperlink r:id="rId711">
        <w:r>
          <w:rPr>
            <w:color w:val="1155CC"/>
            <w:u w:val="single"/>
          </w:rPr>
          <w:t>使用条形码 mRNA 进行活性筛选</w:t>
        </w:r>
      </w:hyperlink>
    </w:p>
    <w:p>
      <w:pPr>
        <w:spacing w:before="0" w:after="80"/>
      </w:pPr>
      <w:r>
        <w:rPr>
          <w:i/>
          <w:sz w:val="20"/>
        </w:rPr>
        <w:t>EN: High‐Throughput In Vivo Screening Using Barcoded mRNA Identifies Lipid Nanoparticles With Extrahepatic Tropism for In Situ Immunoengineering</w:t>
      </w:r>
    </w:p>
    <w:p>
      <w:pPr>
        <w:spacing w:before="0" w:after="120"/>
      </w:pPr>
      <w:r>
        <w:rPr>
          <w:b/>
        </w:rPr>
        <w:t xml:space="preserve">Source: </w:t>
      </w:r>
      <w:r>
        <w:t>Wiley: Advanced Materials: Table of Contents</w:t>
      </w:r>
      <w:r>
        <w:t xml:space="preserve">    </w:t>
      </w:r>
      <w:r>
        <w:rPr>
          <w:b/>
        </w:rPr>
        <w:t xml:space="preserve">Pub date: </w:t>
      </w:r>
      <w:r>
        <w:t>2026-01-28 09:50:32+00:00</w:t>
      </w:r>
      <w:r>
        <w:t xml:space="preserve">    </w:t>
      </w:r>
      <w:r>
        <w:rPr>
          <w:b/>
        </w:rPr>
        <w:t xml:space="preserve">DOI: </w:t>
      </w:r>
      <w:hyperlink r:id="rId712">
        <w:r>
          <w:rPr>
            <w:color w:val="1155CC"/>
            <w:u w:val="single"/>
          </w:rPr>
          <w:t>10.1002/adma.202514370</w:t>
        </w:r>
      </w:hyperlink>
    </w:p>
    <w:p>
      <w:pPr>
        <w:spacing w:before="0" w:after="120"/>
      </w:pPr>
      <w:r>
        <w:rPr>
          <w:b/>
        </w:rPr>
        <w:t xml:space="preserve">Notes: </w:t>
      </w:r>
      <w:r>
        <w:t>abstract_source=crossref</w:t>
      </w:r>
    </w:p>
    <w:p>
      <w:pPr>
        <w:spacing w:before="0" w:after="80" w:lineRule="auto" w:line="276"/>
      </w:pPr>
      <w:r>
        <w:rPr>
          <w:b/>
        </w:rPr>
        <w:t xml:space="preserve">摘要（ZH）: </w:t>
      </w:r>
      <w:r>
        <w:t>ABSTACT在使用 mRNA 疫苗和治疗方法方面的兴趣继续增长。在有效开展传染病免疫工作的同时,用于其他 mRNA 交付应用的脂纳米剂(LNP)配方因非目标积累、免疫性转基因不良和反应性而受到影响,将其应用限于免疫工程。开发新的 mRNA LNP受到LNP发现过程的严重瓶颈,该过程由于依赖于低位的测量,在历史上是低位的通量。在这里,我们开发了一个基于条码 mRNA (bmRNA)的活性MRNA(LNP)高通量排量检查平台。我们利用这个bmRNA 检测平台同时评估122个LNP,我们发现能够产生强力肝脏和异肝脏的新型LNP配方。</w:t>
      </w:r>
    </w:p>
    <w:p>
      <w:pPr>
        <w:spacing w:before="0" w:after="200" w:lineRule="auto" w:line="276"/>
      </w:pPr>
      <w:r>
        <w:rPr>
          <w:b/>
        </w:rPr>
        <w:t xml:space="preserve">Abstract (EN): </w:t>
      </w:r>
      <w:r>
        <w:t>Interest continues to grow in the use of mRNA vaccines and therapeutics. While effective for immunization against infectious diseases, lipid nanoparticle (LNP) formulations used for other mRNA delivery applications suffer from off‐target accumulation, poor immune transfection, and reactogenicity, limiting their application to immunoengineering. Development of new mRNA LNPs is severely bottlenecked by the LNP discovery process, which is historically low‐throughput due to reliance on low‐plex measurements. Here, we develop a high‐throughput in vivo mRNA LNP screening platform based on barcoded mRNA (b‐mRNA). Using this b‐mRNA screening platform to simultaneously evaluate 122 LNPs, we identify novel LNP formulations capable of potent hepatic and extrahepatic transfection. We evaluate a lead LNP candidate for in situ immune modulation in a syngeneic mouse model of melanoma and demonstrate a significant reduction in tumor burden and extended survival compared to mice treated with a gold standard mRNA LNP formulation. We employ novel biochemical characterization techniques to analyze nanoparticle protein corona formation with single‐particle resolution and gain insight into the influence of protein adsorption on hepatic and splenic transfection. Together, our results demonstrate the value of advanced LNP screening and characterization techniques for the development of next‐generation mRNA LNPs for immunoengineering.</w:t>
      </w:r>
    </w:p>
    <w:p>
      <w:pPr>
        <w:spacing w:before="120" w:after="120"/>
      </w:pPr>
      <w:r>
        <w:rPr>
          <w:sz w:val="18"/>
        </w:rPr>
        <w:t>——————————————————————————————————————————————————————————————————————</w:t>
      </w:r>
    </w:p>
    <w:p>
      <w:pPr>
        <w:spacing w:before="160" w:after="40" w:line="240" w:lineRule="auto"/>
      </w:pPr>
      <w:r>
        <w:rPr>
          <w:b/>
        </w:rPr>
        <w:t xml:space="preserve">[469] </w:t>
      </w:r>
      <w:hyperlink r:id="rId713">
        <w:r>
          <w:rPr>
            <w:color w:val="1155CC"/>
            <w:u w:val="single"/>
          </w:rPr>
          <w:t>在Situ Synchrocentron辐射和中子折射反射线替代途径和MO2Ga2CMAX之类阶段的结构性重建中</w:t>
        </w:r>
      </w:hyperlink>
    </w:p>
    <w:p>
      <w:pPr>
        <w:spacing w:before="0" w:after="80"/>
      </w:pPr>
      <w:r>
        <w:rPr>
          <w:i/>
          <w:sz w:val="20"/>
        </w:rPr>
        <w:t>EN: In Situ Synchrotron Radiation and Neutron Diffraction Reveal A‐Site Substitution Pathways and Structural Reconstruction in Mo2Ga2C MAX‐Like Phase</w:t>
      </w:r>
    </w:p>
    <w:p>
      <w:pPr>
        <w:spacing w:before="0" w:after="120"/>
      </w:pPr>
      <w:r>
        <w:rPr>
          <w:b/>
        </w:rPr>
        <w:t xml:space="preserve">Source: </w:t>
      </w:r>
      <w:r>
        <w:t>Wiley: Advanced Materials: Table of Contents</w:t>
      </w:r>
      <w:r>
        <w:t xml:space="preserve">    </w:t>
      </w:r>
      <w:r>
        <w:rPr>
          <w:b/>
        </w:rPr>
        <w:t xml:space="preserve">Pub date: </w:t>
      </w:r>
      <w:r>
        <w:t>2026-01-28 09:51:34+00:00</w:t>
      </w:r>
      <w:r>
        <w:t xml:space="preserve">    </w:t>
      </w:r>
      <w:r>
        <w:rPr>
          <w:b/>
        </w:rPr>
        <w:t xml:space="preserve">DOI: </w:t>
      </w:r>
      <w:hyperlink r:id="rId714">
        <w:r>
          <w:rPr>
            <w:color w:val="1155CC"/>
            <w:u w:val="single"/>
          </w:rPr>
          <w:t>10.1002/adma.202518712</w:t>
        </w:r>
      </w:hyperlink>
    </w:p>
    <w:p>
      <w:pPr>
        <w:spacing w:before="0" w:after="120"/>
      </w:pPr>
      <w:r>
        <w:rPr>
          <w:b/>
        </w:rPr>
        <w:t xml:space="preserve">Notes: </w:t>
      </w:r>
      <w:r>
        <w:t>abstract_source=crossref</w:t>
      </w:r>
    </w:p>
    <w:p>
      <w:pPr>
        <w:spacing w:before="0" w:after="80" w:lineRule="auto" w:line="276"/>
      </w:pPr>
      <w:r>
        <w:rPr>
          <w:b/>
        </w:rPr>
        <w:t xml:space="preserve">摘要（ZH）: </w:t>
      </w:r>
      <w:r>
        <w:t>将金属和陶瓷特性结合在一起的ABSTACT层层混合式MAX类碳化物,具有在恶劣环境中应用的巨大前景,然而,原子规模的替代原子机制仍然没有得到充分理解。在这里,我们通过Lewis熔化的M2 Ga 2 C(一种221-型层化前体)溶化盐处理法合成了一种异构式MAX级,一种221-型层化前体。Rietveld对X射线分解(XRD)和中子分解(中子分解)的改进,以及高分辨率扫描传输电子显微镜和能量分散X射线绘图,显示异式MAX级由M2 SnC和莫2组成。</w:t>
      </w:r>
    </w:p>
    <w:p>
      <w:pPr>
        <w:spacing w:before="0" w:after="200" w:lineRule="auto" w:line="276"/>
      </w:pPr>
      <w:r>
        <w:rPr>
          <w:b/>
        </w:rPr>
        <w:t xml:space="preserve">Abstract (EN): </w:t>
      </w:r>
      <w:r>
        <w:t>Layered MAX‐like carbides, which integrate metallic and ceramic characteristics, hold great promise for applications in harsh environments, yet the atomic‐scale mechanisms of A‐site substitution remain insufficiently understood. Here, we synthesize a heterostructured MAX phase through Lewis molten‐salt treatment of Mo</w:t>
      </w:r>
      <w:r>
        <w:rPr>
          <w:vertAlign w:val="subscript"/>
        </w:rPr>
        <w:t>2</w:t>
      </w:r>
      <w:r>
        <w:t>Ga</w:t>
      </w:r>
      <w:r>
        <w:rPr>
          <w:vertAlign w:val="subscript"/>
        </w:rPr>
        <w:t>2</w:t>
      </w:r>
      <w:r>
        <w:t>C, a 221‐type layered precursor. Rietveld refinements of X‐ray diffraction (XRD) and neutron diffraction data, along with high‐resolution scanning transmission electron microscopy and energy‐dispersive X‐ray mapping, reveal that the hetero‐MAX phase consists of Mo</w:t>
      </w:r>
      <w:r>
        <w:rPr>
          <w:vertAlign w:val="subscript"/>
        </w:rPr>
        <w:t>2</w:t>
      </w:r>
      <w:r>
        <w:t>SnC and Mo</w:t>
      </w:r>
      <w:r>
        <w:rPr>
          <w:vertAlign w:val="subscript"/>
        </w:rPr>
        <w:t>2</w:t>
      </w:r>
      <w:r>
        <w:t>Ga</w:t>
      </w:r>
      <w:r>
        <w:t xml:space="preserve"> </w:t>
      </w:r>
      <w:r>
        <w:t>0.5</w:t>
      </w:r>
      <w:r>
        <w:t xml:space="preserve"> </w:t>
      </w:r>
      <w:r>
        <w:t>Sn</w:t>
      </w:r>
      <w:r>
        <w:t xml:space="preserve"> </w:t>
      </w:r>
      <w:r>
        <w:t>0.5</w:t>
      </w:r>
      <w:r>
        <w:t xml:space="preserve"> </w:t>
      </w:r>
      <w:r>
        <w:t>C (molar ratio 1:2.72). In situ synchrotron radiation XRD uncovers a multi‐step A‐site substitution pathway involving intermediate Mo</w:t>
      </w:r>
      <w:r>
        <w:rPr>
          <w:vertAlign w:val="subscript"/>
        </w:rPr>
        <w:t>2</w:t>
      </w:r>
      <w:r>
        <w:t>(Ga</w:t>
      </w:r>
      <w:r>
        <w:t xml:space="preserve"> </w:t>
      </w:r>
      <w:r>
        <w:t>x</w:t>
      </w:r>
      <w:r>
        <w:t xml:space="preserve"> </w:t>
      </w:r>
      <w:r>
        <w:t>Sn</w:t>
      </w:r>
      <w:r>
        <w:t xml:space="preserve"> </w:t>
      </w:r>
      <w:r>
        <w:t>1−x</w:t>
      </w:r>
      <w:r>
        <w:t xml:space="preserve"> </w:t>
      </w:r>
      <w:r>
        <w:t>)</w:t>
      </w:r>
      <w:r>
        <w:rPr>
          <w:vertAlign w:val="subscript"/>
        </w:rPr>
        <w:t>2</w:t>
      </w:r>
      <w:r>
        <w:t>C phases and a transformation from double to single A‐layers. Density functional theory calculations confirm the thermodynamic stability and formation mechanism of the final structure. The Ga‐to‐Sn substitution drives A‐site reconstruction and local chemical optimization, resulting in significantly improved corrosion resistance in acidic, alkaline, and saline solutions. This work reveals previously unrecognized A‐site dynamics and offers a viable design strategy for chemically robust MAX phases under harsh conditions.</w:t>
      </w:r>
    </w:p>
    <w:p>
      <w:pPr>
        <w:spacing w:before="120" w:after="120"/>
      </w:pPr>
      <w:r>
        <w:rPr>
          <w:sz w:val="18"/>
        </w:rPr>
        <w:t>——————————————————————————————————————————————————————————————————————</w:t>
      </w:r>
    </w:p>
    <w:p>
      <w:pPr>
        <w:spacing w:before="160" w:after="40" w:line="240" w:lineRule="auto"/>
      </w:pPr>
      <w:r>
        <w:rPr>
          <w:b/>
        </w:rPr>
        <w:t xml:space="preserve">[470] </w:t>
      </w:r>
      <w:hyperlink r:id="rId715">
        <w:r>
          <w:rPr>
            <w:color w:val="1155CC"/>
            <w:u w:val="single"/>
          </w:rPr>
          <w:t>通过拉伸的PTFE Nanofiber-再加固复合薄膜(Adv. Energy Matter. 4/2026),克服PEM燃料电池中的厚度-易腐性贸易</w:t>
        </w:r>
      </w:hyperlink>
    </w:p>
    <w:p>
      <w:pPr>
        <w:spacing w:before="0" w:after="80"/>
      </w:pPr>
      <w:r>
        <w:rPr>
          <w:i/>
          <w:sz w:val="20"/>
        </w:rPr>
        <w:t>EN: Overcoming Thickness–Durability Trade‐Off in PEM Fuel Cells via Stretched PTFE Nanofiber‐Reinforced Composite Membranes (Adv. Energy Mater. 4/2026)</w:t>
      </w:r>
    </w:p>
    <w:p>
      <w:pPr>
        <w:spacing w:before="0" w:after="120"/>
      </w:pPr>
      <w:r>
        <w:rPr>
          <w:b/>
        </w:rPr>
        <w:t xml:space="preserve">Source: </w:t>
      </w:r>
      <w:r>
        <w:t>Wiley: Advanced Energy Materials: Table of Contents</w:t>
      </w:r>
      <w:r>
        <w:t xml:space="preserve">    </w:t>
      </w:r>
      <w:r>
        <w:rPr>
          <w:b/>
        </w:rPr>
        <w:t xml:space="preserve">Pub date: </w:t>
      </w:r>
      <w:r>
        <w:t>2026-01-28 09:56:49+00:00</w:t>
      </w:r>
      <w:r>
        <w:t xml:space="preserve">    </w:t>
      </w:r>
      <w:r>
        <w:rPr>
          <w:b/>
        </w:rPr>
        <w:t xml:space="preserve">DOI: </w:t>
      </w:r>
      <w:hyperlink r:id="rId716">
        <w:r>
          <w:rPr>
            <w:color w:val="1155CC"/>
            <w:u w:val="single"/>
          </w:rPr>
          <w:t>10.1002/aenm.70483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[471] </w:t>
      </w:r>
      <w:hyperlink r:id="rId717">
        <w:r>
          <w:rPr>
            <w:color w:val="1155CC"/>
            <w:u w:val="single"/>
          </w:rPr>
          <w:t>议题: 了解水电解过程中氧气进化反应中附带效应的多学科路线图(Adv. Energy Matter. 4/2026)</w:t>
        </w:r>
      </w:hyperlink>
    </w:p>
    <w:p>
      <w:pPr>
        <w:spacing w:before="0" w:after="80"/>
      </w:pPr>
      <w:r>
        <w:rPr>
          <w:i/>
          <w:sz w:val="20"/>
        </w:rPr>
        <w:t>EN: Spin Matters: A Multidisciplinary Roadmap to Understanding Spin Effects in Oxygen Evolution Reaction During Water Electrolysis (Adv. Energy Mater. 4/2026)</w:t>
      </w:r>
    </w:p>
    <w:p>
      <w:pPr>
        <w:spacing w:before="0" w:after="120"/>
      </w:pPr>
      <w:r>
        <w:rPr>
          <w:b/>
        </w:rPr>
        <w:t xml:space="preserve">Source: </w:t>
      </w:r>
      <w:r>
        <w:t>Wiley: Advanced Energy Materials: Table of Contents</w:t>
      </w:r>
      <w:r>
        <w:t xml:space="preserve">    </w:t>
      </w:r>
      <w:r>
        <w:rPr>
          <w:b/>
        </w:rPr>
        <w:t xml:space="preserve">Pub date: </w:t>
      </w:r>
      <w:r>
        <w:t>2026-01-28 09:56:49+00:00</w:t>
      </w:r>
      <w:r>
        <w:t xml:space="preserve">    </w:t>
      </w:r>
      <w:r>
        <w:rPr>
          <w:b/>
        </w:rPr>
        <w:t xml:space="preserve">DOI: </w:t>
      </w:r>
      <w:hyperlink r:id="rId718">
        <w:r>
          <w:rPr>
            <w:color w:val="1155CC"/>
            <w:u w:val="single"/>
          </w:rPr>
          <w:t>10.1002/aenm.70485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[472] </w:t>
      </w:r>
      <w:hyperlink r:id="rId719">
        <w:r>
          <w:rPr>
            <w:color w:val="1155CC"/>
            <w:u w:val="single"/>
          </w:rPr>
          <w:t>将MOF能源国改造为Membrane 制成智能活性感应器,指导C-H Ketene Tumor 细胞治疗</w:t>
        </w:r>
      </w:hyperlink>
    </w:p>
    <w:p>
      <w:pPr>
        <w:spacing w:before="0" w:after="80"/>
      </w:pPr>
      <w:r>
        <w:rPr>
          <w:i/>
          <w:sz w:val="20"/>
        </w:rPr>
        <w:t>EN: Modulation of MOF Energy State to Construct Smart Activated Sensitizers for Membrane Directed C–H Ketene Therapy in Tumor Cells</w:t>
      </w:r>
    </w:p>
    <w:p>
      <w:pPr>
        <w:spacing w:before="0" w:after="120"/>
      </w:pPr>
      <w:r>
        <w:rPr>
          <w:b/>
        </w:rPr>
        <w:t xml:space="preserve">Source: </w:t>
      </w:r>
      <w:r>
        <w:t>Wiley: Advanced Materials: Table of Contents</w:t>
      </w:r>
      <w:r>
        <w:t xml:space="preserve">    </w:t>
      </w:r>
      <w:r>
        <w:rPr>
          <w:b/>
        </w:rPr>
        <w:t xml:space="preserve">Pub date: </w:t>
      </w:r>
      <w:r>
        <w:t>2026-01-28 10:01:33+00:00</w:t>
      </w:r>
      <w:r>
        <w:t xml:space="preserve">    </w:t>
      </w:r>
      <w:r>
        <w:rPr>
          <w:b/>
        </w:rPr>
        <w:t xml:space="preserve">DOI: </w:t>
      </w:r>
      <w:hyperlink r:id="rId720">
        <w:r>
          <w:rPr>
            <w:color w:val="1155CC"/>
            <w:u w:val="single"/>
          </w:rPr>
          <w:t>10.1002/adma.202519153</w:t>
        </w:r>
      </w:hyperlink>
    </w:p>
    <w:p>
      <w:pPr>
        <w:spacing w:before="0" w:after="120"/>
      </w:pPr>
      <w:r>
        <w:rPr>
          <w:b/>
        </w:rPr>
        <w:t xml:space="preserve">Notes: </w:t>
      </w:r>
      <w:r>
        <w:t>abstract_source=crossref</w:t>
      </w:r>
    </w:p>
    <w:p>
      <w:pPr>
        <w:spacing w:before="0" w:after="80" w:lineRule="auto" w:line="276"/>
      </w:pPr>
      <w:r>
        <w:rPr>
          <w:b/>
        </w:rPr>
        <w:t xml:space="preserve">摘要（ZH）: </w:t>
      </w:r>
      <w:r>
        <w:t>ABSTACT 磷脂氧化作用将肿瘤与肿瘤微环境的改造密切相连,容易产生导致炎症和膜损伤的脂过氧化物,磷素过氧化的内在复杂性和不可预测的生物影响要求有精密的催化平台来选择性地放大特定的氧化性脂种,以便能够进行机械学研究。我们设计了一种超分子智能复合材料SD1@PCNRu,方法是将一个精密的经调整的金属有机结构框架与受体性强力血管(RTKs)和瞄准荧光探针(SD1)结合起来。这种设计利用了IMF的金枪鱼易碎性能和催化多功能,通过RTKs对面的表达方式在肿瘤膜上对空间限制氧化性活动。</w:t>
      </w:r>
    </w:p>
    <w:p>
      <w:pPr>
        <w:spacing w:before="0" w:after="200" w:lineRule="auto" w:line="276"/>
      </w:pPr>
      <w:r>
        <w:rPr>
          <w:b/>
        </w:rPr>
        <w:t xml:space="preserve">Abstract (EN): </w:t>
      </w:r>
      <w:r>
        <w:t>Phospholipid oxidation closely links tumorigenesis to tumor microenvironment (TME) remodeling, easily producing lipid peroxides that cause inflammation and membrane damage. The inherent complexity and unpredictable biological effects of phospholipid peroxidation necessitate precision catalytic platforms for selective amplification of specific oxidized lipid species to enable mechanistic studies. We engineered a supramolecular smart composite material, SD‐1@PCN‐Ru, by integrating a ruthenium‐modified metal‐organic framework (MOF) with the receptor tyrosine kinase (RTKs)‐targeting fluorescent probe (SD‐1). This design leverages MOFs’ tunable porosity and catalytic versatility to spatially confine oxidative activity at tumor membranes via RTKs overexpression. Ru‐modified MOFs exhibit enhanced capabilities in photoinduced oxygen activation and electron transfer compared to their pristine counterparts, thereby facilitating phospholipid ketenization. Lipidomics reveals selective depletion of phosphatidylethanolamine (PE) and phosphatidylcholine (PC) at plasma membranes, compromising integrity while generating immunostimulatory oxidized lipids. Concurrently, the excessive reactive oxygen species (ROS) generated by SD‐1@PCN‐Ru activate caspase‐1/3 and GSDMD, thereby inducing immunogenic cell death and remodeling the immunosuppressive TME. In vitro/vivo studies demonstrate tumor‐specific cytotoxicity and growth suppression surpassing non‐targeted analogs, achieved through precision oxidative damage and immune activation. This work pioneers intelligent nanocomposites merging catalytic efficiency with molecular targeting, offering a transformative strategy for lipid peroxidation‐mediated TME modulation via synthetic‐biological integration.</w:t>
      </w:r>
    </w:p>
    <w:p>
      <w:pPr>
        <w:spacing w:before="120" w:after="120"/>
      </w:pPr>
      <w:r>
        <w:rPr>
          <w:sz w:val="18"/>
        </w:rPr>
        <w:t>——————————————————————————————————————————————————————————————————————</w:t>
      </w:r>
    </w:p>
    <w:p>
      <w:pPr>
        <w:spacing w:before="160" w:after="40" w:line="240" w:lineRule="auto"/>
      </w:pPr>
      <w:r>
        <w:rPr>
          <w:b/>
        </w:rPr>
        <w:t xml:space="preserve">[473] </w:t>
      </w:r>
      <w:hyperlink r:id="rId721">
        <w:r>
          <w:rPr>
            <w:color w:val="1155CC"/>
            <w:u w:val="single"/>
          </w:rPr>
          <w:t>利用 Ti3C2CdS 热电结构</w:t>
        </w:r>
      </w:hyperlink>
    </w:p>
    <w:p>
      <w:pPr>
        <w:spacing w:before="0" w:after="80"/>
      </w:pPr>
      <w:r>
        <w:rPr>
          <w:i/>
          <w:sz w:val="20"/>
        </w:rPr>
        <w:t>EN: Thermoelectric Assisted Cascaded Microreactor for Solar Hydrogen Production Using Ti3C2‐CdS Heterostructure Photoelectrocatalysis</w:t>
      </w:r>
    </w:p>
    <w:p>
      <w:pPr>
        <w:spacing w:before="0" w:after="120"/>
      </w:pPr>
      <w:r>
        <w:rPr>
          <w:b/>
        </w:rPr>
        <w:t xml:space="preserve">Source: </w:t>
      </w:r>
      <w:r>
        <w:t>Wiley: Advanced Energy Materials: Table of Contents</w:t>
      </w:r>
      <w:r>
        <w:t xml:space="preserve">    </w:t>
      </w:r>
      <w:r>
        <w:rPr>
          <w:b/>
        </w:rPr>
        <w:t xml:space="preserve">Pub date: </w:t>
      </w:r>
      <w:r>
        <w:t>2026-01-28 10:02:28+00:00</w:t>
      </w:r>
      <w:r>
        <w:t xml:space="preserve">    </w:t>
      </w:r>
      <w:r>
        <w:rPr>
          <w:b/>
        </w:rPr>
        <w:t xml:space="preserve">DOI: </w:t>
      </w:r>
      <w:hyperlink r:id="rId722">
        <w:r>
          <w:rPr>
            <w:color w:val="1155CC"/>
            <w:u w:val="single"/>
          </w:rPr>
          <w:t>10.1002/aenm.202505382</w:t>
        </w:r>
      </w:hyperlink>
    </w:p>
    <w:p>
      <w:pPr>
        <w:spacing w:before="0" w:after="120"/>
      </w:pPr>
      <w:r>
        <w:rPr>
          <w:b/>
        </w:rPr>
        <w:t xml:space="preserve">Notes: </w:t>
      </w:r>
      <w:r>
        <w:t>abstract_source=crossref</w:t>
      </w:r>
    </w:p>
    <w:p>
      <w:pPr>
        <w:spacing w:before="0" w:after="80" w:lineRule="auto" w:line="276"/>
      </w:pPr>
      <w:r>
        <w:rPr>
          <w:b/>
        </w:rPr>
        <w:t xml:space="preserve">摘要（ZH）: </w:t>
      </w:r>
      <w:r>
        <w:t>在光电催化(PEC)水分分离方面,利用全部太阳光谱促进可持续氢生产仍然是一项重大挑战。在这里,我们展示了一个与热电发电机(TEG)结合的级联微氟化化浓缩浓缩铀反应堆,实现了28%的太阳热电发电机(STEG)转换效率。该装置结合了三个协同元素:(一) 提 3 C 2 °C 2 °CdS血压结构催化剂,强化电荷分离和抑制再组合;(二) 一个平板微氟化铀反应堆,确保统一的光渗透、拉米纳流和高效的大规模运输;(三) 一个Bi 2 Te 3。</w:t>
      </w:r>
    </w:p>
    <w:p>
      <w:pPr>
        <w:spacing w:before="0" w:after="200" w:lineRule="auto" w:line="276"/>
      </w:pPr>
      <w:r>
        <w:rPr>
          <w:b/>
        </w:rPr>
        <w:t xml:space="preserve">Abstract (EN): </w:t>
      </w:r>
      <w:r>
        <w:t>Harnessing the full solar spectrum for sustainable hydrogen production remains a major challenge in photoelectrocatalytic (PEC) water splitting. Herein, we present a cascaded microfluidic PEC reactor integrated with a thermoelectric generator (TEG), achieving a Solar‐to‐Hydrogen (STH) conversion efficiency of 28%. The device combines three synergistic elements: (i) Ti</w:t>
      </w:r>
      <w:r>
        <w:rPr>
          <w:vertAlign w:val="subscript"/>
        </w:rPr>
        <w:t>3</w:t>
      </w:r>
      <w:r>
        <w:t>C</w:t>
      </w:r>
      <w:r>
        <w:rPr>
          <w:vertAlign w:val="subscript"/>
        </w:rPr>
        <w:t>2</w:t>
      </w:r>
      <w:r>
        <w:t>‐CdS heterostructure catalysts that enhance charge separation and suppress recombination; (ii) a planar microfluidic reactor that ensures uniform light penetration, laminar flow, and efficient mass transport; and (iii) a Bi</w:t>
      </w:r>
      <w:r>
        <w:rPr>
          <w:vertAlign w:val="subscript"/>
        </w:rPr>
        <w:t>2</w:t>
      </w:r>
      <w:r>
        <w:t>Te</w:t>
      </w:r>
      <w:r>
        <w:rPr>
          <w:vertAlign w:val="subscript"/>
        </w:rPr>
        <w:t>3</w:t>
      </w:r>
      <w:r>
        <w:t>‐based TEG module that harvests solar waste heat to provide supplemental bias for overcoming kinetic barriers. The cascaded architecture enables sequential light harvesting across four reactors, leading to cumulative hydrogen yields exceeding 10 890 µmol g</w:t>
      </w:r>
      <w:r>
        <w:t xml:space="preserve"> </w:t>
      </w:r>
      <w:r>
        <w:t>−1</w:t>
      </w:r>
      <w:r>
        <w:t xml:space="preserve"> </w:t>
      </w:r>
      <w:r>
        <w:t>h</w:t>
      </w:r>
      <w:r>
        <w:t xml:space="preserve"> </w:t>
      </w:r>
      <w:r>
        <w:t>−1</w:t>
      </w:r>
      <w:r>
        <w:t xml:space="preserve"> </w:t>
      </w:r>
      <w:r>
        <w:t>, while simultaneously enabling rapid water treatment. This work establishes a scalable, self‐powered, and multifunctional platform for decentralized clean energy generation and water purification by integrating thermal‐electrics and PEC pathways into a single compact device.</w:t>
      </w:r>
    </w:p>
    <w:p>
      <w:pPr>
        <w:spacing w:before="120" w:after="120"/>
      </w:pPr>
      <w:r>
        <w:rPr>
          <w:sz w:val="18"/>
        </w:rPr>
        <w:t>——————————————————————————————————————————————————————————————————————</w:t>
      </w:r>
    </w:p>
    <w:p>
      <w:pPr>
        <w:spacing w:before="160" w:after="40" w:line="240" w:lineRule="auto"/>
      </w:pPr>
      <w:r>
        <w:rPr>
          <w:b/>
        </w:rPr>
        <w:t xml:space="preserve">[474] </w:t>
      </w:r>
      <w:hyperlink r:id="rId723">
        <w:r>
          <w:rPr>
            <w:color w:val="1155CC"/>
            <w:u w:val="single"/>
          </w:rPr>
          <w:t>将具有Pt1xPdxSn4的C2+产品减少至C2+产品</w:t>
        </w:r>
      </w:hyperlink>
    </w:p>
    <w:p>
      <w:pPr>
        <w:spacing w:before="0" w:after="80"/>
      </w:pPr>
      <w:r>
        <w:rPr>
          <w:i/>
          <w:sz w:val="20"/>
        </w:rPr>
        <w:t>EN: Efficient Photocatalytic CO2 Reduction to C2+ Products with Pt1‐xPdxSn4 Dirac Nodal Arc Semimetal</w:t>
      </w:r>
    </w:p>
    <w:p>
      <w:pPr>
        <w:spacing w:before="0" w:after="120"/>
      </w:pPr>
      <w:r>
        <w:rPr>
          <w:b/>
        </w:rPr>
        <w:t xml:space="preserve">Source: </w:t>
      </w:r>
      <w:r>
        <w:t>Wiley: Advanced Materials: Table of Contents</w:t>
      </w:r>
      <w:r>
        <w:t xml:space="preserve">    </w:t>
      </w:r>
      <w:r>
        <w:rPr>
          <w:b/>
        </w:rPr>
        <w:t xml:space="preserve">Pub date: </w:t>
      </w:r>
      <w:r>
        <w:t>2026-01-28 10:05:03+00:00</w:t>
      </w:r>
      <w:r>
        <w:t xml:space="preserve">    </w:t>
      </w:r>
      <w:r>
        <w:rPr>
          <w:b/>
        </w:rPr>
        <w:t xml:space="preserve">DOI: </w:t>
      </w:r>
      <w:hyperlink r:id="rId724">
        <w:r>
          <w:rPr>
            <w:color w:val="1155CC"/>
            <w:u w:val="single"/>
          </w:rPr>
          <w:t>10.1002/adma.202518317</w:t>
        </w:r>
      </w:hyperlink>
    </w:p>
    <w:p>
      <w:pPr>
        <w:spacing w:before="0" w:after="120"/>
      </w:pPr>
      <w:r>
        <w:rPr>
          <w:b/>
        </w:rPr>
        <w:t xml:space="preserve">Notes: </w:t>
      </w:r>
      <w:r>
        <w:t>abstract_source=crossref</w:t>
      </w:r>
    </w:p>
    <w:p>
      <w:pPr>
        <w:spacing w:before="0" w:after="80" w:lineRule="auto" w:line="276"/>
      </w:pPr>
      <w:r>
        <w:rPr>
          <w:b/>
        </w:rPr>
        <w:t xml:space="preserve">摘要（ZH）: </w:t>
      </w:r>
      <w:r>
        <w:t>光化化学CO2减排反应(CRR)代表了将CO2转化为增值化学品的一种零碳路径,然而其工业实施却受到低选择性和低产品多样性的限制。 具有超高载体机动性特点的Dirac节交弧半金属( &amp; gt; 25 000 cm 2 °V-1 °s-1 °s-1)为寻找高效的CO2转化催化剂提供了一个充满希望的平台。 这里,我们证明战略性Pt融入PdSn 4。</w:t>
      </w:r>
    </w:p>
    <w:p>
      <w:pPr>
        <w:spacing w:before="0" w:after="200" w:lineRule="auto" w:line="276"/>
      </w:pPr>
      <w:r>
        <w:rPr>
          <w:b/>
        </w:rPr>
        <w:t xml:space="preserve">Abstract (EN): </w:t>
      </w:r>
      <w:r>
        <w:t>The photochemical CO</w:t>
      </w:r>
      <w:r>
        <w:rPr>
          <w:vertAlign w:val="subscript"/>
        </w:rPr>
        <w:t>2</w:t>
      </w:r>
      <w:r>
        <w:t>reduction reaction (CRR) represents a zero‐carbon pathway for converting CO</w:t>
      </w:r>
      <w:r>
        <w:rPr>
          <w:vertAlign w:val="subscript"/>
        </w:rPr>
        <w:t>2</w:t>
      </w:r>
      <w:r>
        <w:t>into value‐added chemicals, yet its industrial implementation has been constrained by low selectivity and product diversity. Dirac nodal arc semimetals characterized by ultrahigh carrier mobility (&amp;gt;25 000 cm</w:t>
      </w:r>
      <w:r>
        <w:rPr>
          <w:vertAlign w:val="subscript"/>
        </w:rPr>
        <w:t>2</w:t>
      </w:r>
      <w:r>
        <w:t>·V</w:t>
      </w:r>
      <w:r>
        <w:t xml:space="preserve"> </w:t>
      </w:r>
      <w:r>
        <w:t>−1</w:t>
      </w:r>
      <w:r>
        <w:t xml:space="preserve"> </w:t>
      </w:r>
      <w:r>
        <w:t>·s</w:t>
      </w:r>
      <w:r>
        <w:t xml:space="preserve"> </w:t>
      </w:r>
      <w:r>
        <w:t>−1</w:t>
      </w:r>
      <w:r>
        <w:t xml:space="preserve"> </w:t>
      </w:r>
      <w:r>
        <w:t>) offer a promising platform to search for efficient catalysts for CO</w:t>
      </w:r>
      <w:r>
        <w:rPr>
          <w:vertAlign w:val="subscript"/>
        </w:rPr>
        <w:t>2</w:t>
      </w:r>
      <w:r>
        <w:t>conversion. Herein, we demonstrate that strategic Pt incorporation into PdSn</w:t>
      </w:r>
      <w:r>
        <w:rPr>
          <w:vertAlign w:val="subscript"/>
        </w:rPr>
        <w:t>4</w:t>
      </w:r>
      <w:r>
        <w:t>optimizes the electronic structure and carrier dynamics of this Dirac semimetal. Experimental and theoretical analyses reveal that the resulting Pd─Sn─Pt local electronic structure redistributes charge density around Pd and Pt atoms, which facilitates C─C coupling via *OC─COH and *OC─CHOH intermediates and enhances carrier mobility by 40% versus the pristine PdSn</w:t>
      </w:r>
      <w:r>
        <w:rPr>
          <w:vertAlign w:val="subscript"/>
        </w:rPr>
        <w:t>4</w:t>
      </w:r>
      <w:r>
        <w:t>single crystal. The optimized Pd</w:t>
      </w:r>
      <w:r>
        <w:t xml:space="preserve"> </w:t>
      </w:r>
      <w:r>
        <w:t>0.4</w:t>
      </w:r>
      <w:r>
        <w:t xml:space="preserve"> </w:t>
      </w:r>
      <w:r>
        <w:t>Pt</w:t>
      </w:r>
      <w:r>
        <w:t xml:space="preserve"> </w:t>
      </w:r>
      <w:r>
        <w:t>0.6</w:t>
      </w:r>
      <w:r>
        <w:t xml:space="preserve"> </w:t>
      </w:r>
      <w:r>
        <w:t>Sn</w:t>
      </w:r>
      <w:r>
        <w:rPr>
          <w:vertAlign w:val="subscript"/>
        </w:rPr>
        <w:t>4</w:t>
      </w:r>
      <w:r>
        <w:t>single crystal achieves C</w:t>
      </w:r>
      <w:r>
        <w:rPr>
          <w:vertAlign w:val="subscript"/>
        </w:rPr>
        <w:t>2</w:t>
      </w:r>
      <w:r>
        <w:t>H</w:t>
      </w:r>
      <w:r>
        <w:rPr>
          <w:vertAlign w:val="subscript"/>
        </w:rPr>
        <w:t>4</w:t>
      </w:r>
      <w:r>
        <w:t>i) formation rate of 328 µmol∙g</w:t>
      </w:r>
      <w:r>
        <w:t xml:space="preserve"> </w:t>
      </w:r>
      <w:r>
        <w:t>−1</w:t>
      </w:r>
      <w:r>
        <w:t xml:space="preserve"> </w:t>
      </w:r>
      <w:r>
        <w:t>∙h</w:t>
      </w:r>
      <w:r>
        <w:t xml:space="preserve"> </w:t>
      </w:r>
      <w:r>
        <w:t>−1</w:t>
      </w:r>
      <w:r>
        <w:t xml:space="preserve"> </w:t>
      </w:r>
      <w:r>
        <w:t>; ii) product selectivity of 73.1%; iii) electron‐based selectivity of 89%. This work establishes electronic‐structure‐tunable Dirac semimetals as a new paradigm for multi‐carbon photochemical CO</w:t>
      </w:r>
      <w:r>
        <w:rPr>
          <w:vertAlign w:val="subscript"/>
        </w:rPr>
        <w:t>2</w:t>
      </w:r>
      <w:r>
        <w:t>reduction, providing a design strategy for next‐generation photocatalysts.</w:t>
      </w:r>
    </w:p>
    <w:p>
      <w:pPr>
        <w:spacing w:before="120" w:after="120"/>
      </w:pPr>
      <w:r>
        <w:rPr>
          <w:sz w:val="18"/>
        </w:rPr>
        <w:t>——————————————————————————————————————————————————————————————————————</w:t>
      </w:r>
    </w:p>
    <w:p>
      <w:pPr>
        <w:spacing w:before="160" w:after="40" w:line="240" w:lineRule="auto"/>
      </w:pPr>
      <w:r>
        <w:rPr>
          <w:b/>
        </w:rPr>
        <w:t xml:space="preserve">[475] </w:t>
      </w:r>
      <w:hyperlink r:id="rId725">
        <w:r>
          <w:rPr>
            <w:color w:val="1155CC"/>
            <w:u w:val="single"/>
          </w:rPr>
          <w:t>临床先行模型中用于非压制性外观性海绵的相互关联的高层次大型海绵</w:t>
        </w:r>
      </w:hyperlink>
    </w:p>
    <w:p>
      <w:pPr>
        <w:spacing w:before="0" w:after="80"/>
      </w:pPr>
      <w:r>
        <w:rPr>
          <w:i/>
          <w:sz w:val="20"/>
        </w:rPr>
        <w:t>EN: Bubble Evolution‐Guided Interconnected Hierarchical Macroporous Sponges for Non‐Compressible Hemostasis in Preclinical Models</w:t>
      </w:r>
    </w:p>
    <w:p>
      <w:pPr>
        <w:spacing w:before="0" w:after="120"/>
      </w:pPr>
      <w:r>
        <w:rPr>
          <w:b/>
        </w:rPr>
        <w:t xml:space="preserve">Source: </w:t>
      </w:r>
      <w:r>
        <w:t>Wiley: Advanced Materials: Table of Contents</w:t>
      </w:r>
      <w:r>
        <w:t xml:space="preserve">    </w:t>
      </w:r>
      <w:r>
        <w:rPr>
          <w:b/>
        </w:rPr>
        <w:t xml:space="preserve">Pub date: </w:t>
      </w:r>
      <w:r>
        <w:t>2026-01-28 10:06:05+00:00</w:t>
      </w:r>
      <w:r>
        <w:t xml:space="preserve">    </w:t>
      </w:r>
      <w:r>
        <w:rPr>
          <w:b/>
        </w:rPr>
        <w:t xml:space="preserve">DOI: </w:t>
      </w:r>
      <w:hyperlink r:id="rId726">
        <w:r>
          <w:rPr>
            <w:color w:val="1155CC"/>
            <w:u w:val="single"/>
          </w:rPr>
          <w:t>10.1002/adma.72296</w:t>
        </w:r>
      </w:hyperlink>
    </w:p>
    <w:p>
      <w:pPr>
        <w:spacing w:before="0" w:after="120"/>
      </w:pPr>
      <w:r>
        <w:rPr>
          <w:b/>
        </w:rPr>
        <w:t xml:space="preserve">Notes: </w:t>
      </w:r>
      <w:r>
        <w:t>abstract_source=crossref</w:t>
      </w:r>
    </w:p>
    <w:p>
      <w:pPr>
        <w:spacing w:before="0" w:after="80" w:lineRule="auto" w:line="276"/>
      </w:pPr>
      <w:r>
        <w:rPr>
          <w:b/>
        </w:rPr>
        <w:t xml:space="preserve">摘要（ZH）: </w:t>
      </w:r>
      <w:r>
        <w:t>由于复杂的解剖限制和现有可膨胀的外层材料的局限性和限制,现有可膨胀的外层材料往往缺乏足够的孔隙性、机械坚固性、生物兼容性以及支持组织再生的能力,因此ABSTACT对无节制非压缩性出血出血症的治疗仍然具有挑战性。 为了解决这些问题,利用真空辅助泡沫战略开发了一种可注射的自我扩大的热层海绵,这种战略利用泡沫演变来扩大孔隙和增强互联性,机械稳定性得到物理化学整合的双网络矩阵的加强。</w:t>
      </w:r>
    </w:p>
    <w:p>
      <w:pPr>
        <w:spacing w:before="0" w:after="200" w:lineRule="auto" w:line="276"/>
      </w:pPr>
      <w:r>
        <w:rPr>
          <w:b/>
        </w:rPr>
        <w:t xml:space="preserve">Abstract (EN): </w:t>
      </w:r>
      <w:r>
        <w:t>Treatment of uncontrolled non‐compressible hemorrhage remains challenging due to complex anatomical constraints and limitations of existing expandable hemostatic materials, which often lack sufficient porosity, mechanical robustness, biocompatibility, and capacity to support tissue regeneration. To address these issues, an injectable self‐expanding hemostatic sponge was developed using a vacuum‐assisted foaming strategy that harnesses bubble evolution to enlarge pores and enhance interconnectivity, with mechanical stability reinforced by a physically‐chemically integrated double‐network matrix. The optimized formulation (IHMS) exhibited hierarchically interconnected macroporous networks with excellent fatigue resistance, retaining 94.2% of peak stress and 92.7% of strain after 100 compression cycles at 80% strain. It outperformed commercial hemostatic sponges in fluid absorption, blood retention, clot formation, and tamponade sealing. Systematic evaluations demonstrated its intrinsic antibacterial activity, favorable biocompatibility, and ability to promote tissue repair. In rat liver perforation and femoral artery transection models, IHMS achieved superior hemostatic efficacy compared with cotton and commercial sponges. In lethal porcine hemorrhage models under normal and anticoagulated conditions, IHMS provided rapid and durable tamponade, outperforming the FDA‐approved XSTAT, and could be easily removed after hemostasis. Its efficacy was further validated in junctional gunshot wound models. These findings advance the design of high‐performance expandable hemostats for life‐threatening non‐compressible hemorrhage.</w:t>
      </w:r>
    </w:p>
    <w:p>
      <w:pPr>
        <w:spacing w:before="120" w:after="120"/>
      </w:pPr>
      <w:r>
        <w:rPr>
          <w:sz w:val="18"/>
        </w:rPr>
        <w:t>——————————————————————————————————————————————————————————————————————</w:t>
      </w:r>
    </w:p>
    <w:p>
      <w:pPr>
        <w:spacing w:before="160" w:after="40" w:line="240" w:lineRule="auto"/>
      </w:pPr>
      <w:r>
        <w:rPr>
          <w:b/>
        </w:rPr>
        <w:t xml:space="preserve">[476] </w:t>
      </w:r>
      <w:hyperlink r:id="rId727">
        <w:r>
          <w:rPr>
            <w:color w:val="1155CC"/>
            <w:u w:val="single"/>
          </w:rPr>
          <w:t>[ASAP] Quasi-2D Luddlesden-Poppper Perovskites的结构和设备-操作性光谱: 工程航天员</w:t>
        </w:r>
      </w:hyperlink>
    </w:p>
    <w:p>
      <w:pPr>
        <w:spacing w:before="0" w:after="80"/>
      </w:pPr>
      <w:r>
        <w:rPr>
          <w:i/>
          <w:sz w:val="20"/>
        </w:rPr>
        <w:t>EN: [ASAP] Structure and Device-Operando Photostability of Quasi-2D Ruddlesden–Popper Perovskites: Engineering the Spacer Cation Matters</w:t>
      </w:r>
    </w:p>
    <w:p>
      <w:pPr>
        <w:spacing w:before="0" w:after="120"/>
      </w:pPr>
      <w:r>
        <w:rPr>
          <w:b/>
        </w:rPr>
        <w:t xml:space="preserve">Source: </w:t>
      </w:r>
      <w:r>
        <w:t>ACS Energy Letters: Latest Articles (ACS Publications)</w:t>
      </w:r>
      <w:r>
        <w:t xml:space="preserve">    </w:t>
      </w:r>
      <w:r>
        <w:rPr>
          <w:b/>
        </w:rPr>
        <w:t xml:space="preserve">Pub date: </w:t>
      </w:r>
      <w:r>
        <w:t>2026-01-28 10:10:18+00:00</w:t>
      </w:r>
      <w:r>
        <w:t xml:space="preserve">    </w:t>
      </w:r>
      <w:r>
        <w:rPr>
          <w:b/>
        </w:rPr>
        <w:t xml:space="preserve">DOI: </w:t>
      </w:r>
      <w:hyperlink r:id="rId728">
        <w:r>
          <w:rPr>
            <w:color w:val="1155CC"/>
            <w:u w:val="single"/>
          </w:rPr>
          <w:t>10.1021/acsenergylett.5c03228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[477] </w:t>
      </w:r>
      <w:hyperlink r:id="rId729">
        <w:r>
          <w:rPr>
            <w:color w:val="1155CC"/>
            <w:u w:val="single"/>
          </w:rPr>
          <w:t>低效率滚滚式关闭和高当前效率光光闪光二极管,通过等级CdSe/ZnSe/ZnS 串流量子井启用</w:t>
        </w:r>
      </w:hyperlink>
    </w:p>
    <w:p>
      <w:pPr>
        <w:spacing w:before="0" w:after="80"/>
      </w:pPr>
      <w:r>
        <w:rPr>
          <w:i/>
          <w:sz w:val="20"/>
        </w:rPr>
        <w:t>EN: Low Efficiency Roll‐Off and High Current Efficiency Light‐Emitting Diode Enabled by Graded CdSe/ZnSe/ZnS Colloidal Quantum Wells</w:t>
      </w:r>
    </w:p>
    <w:p>
      <w:pPr>
        <w:spacing w:before="0" w:after="120"/>
      </w:pPr>
      <w:r>
        <w:rPr>
          <w:b/>
        </w:rPr>
        <w:t xml:space="preserve">Source: </w:t>
      </w:r>
      <w:r>
        <w:t>Wiley: Advanced Materials: Table of Contents</w:t>
      </w:r>
      <w:r>
        <w:t xml:space="preserve">    </w:t>
      </w:r>
      <w:r>
        <w:rPr>
          <w:b/>
        </w:rPr>
        <w:t xml:space="preserve">Pub date: </w:t>
      </w:r>
      <w:r>
        <w:t>2026-01-28 10:11:16+00:00</w:t>
      </w:r>
      <w:r>
        <w:t xml:space="preserve">    </w:t>
      </w:r>
      <w:r>
        <w:rPr>
          <w:b/>
        </w:rPr>
        <w:t xml:space="preserve">DOI: </w:t>
      </w:r>
      <w:hyperlink r:id="rId730">
        <w:r>
          <w:rPr>
            <w:color w:val="1155CC"/>
            <w:u w:val="single"/>
          </w:rPr>
          <w:t>10.1002/adma.202521504</w:t>
        </w:r>
      </w:hyperlink>
    </w:p>
    <w:p>
      <w:pPr>
        <w:spacing w:before="0" w:after="120"/>
      </w:pPr>
      <w:r>
        <w:rPr>
          <w:b/>
        </w:rPr>
        <w:t xml:space="preserve">Notes: </w:t>
      </w:r>
      <w:r>
        <w:t>abstract_source=crossref</w:t>
      </w:r>
    </w:p>
    <w:p>
      <w:pPr>
        <w:spacing w:before="0" w:after="80" w:lineRule="auto" w:line="276"/>
      </w:pPr>
      <w:r>
        <w:rPr>
          <w:b/>
        </w:rPr>
        <w:t xml:space="preserve">摘要（ZH）: </w:t>
      </w:r>
      <w:r>
        <w:t>相光释放二极极极光(CQW-RELDs)由于颜色纯度高,效率极高,制造成本低,因此为下一代的显示和照明应用具有巨大的潜力,但是,由于高密度的高效滚动,在高当前密度下实现高亮度和较长寿命期的难度。在这里,我们设计了具有接近统一光光光光度量产量的CdSe/ZnSe/ZnS核心/贝壳/壳体核心/壳壳壳体二极极管(CQWs),分级的螺旋体结构促进了承运人的注入,而以CdSe/ZnSe/ZnS CQWs为基础的底排放装置则以485 mA/cm 2的创纪录高J90(E的当前密度减至90%)为485 mA/cm2,显著抑制了效率滚动。</w:t>
      </w:r>
    </w:p>
    <w:p>
      <w:pPr>
        <w:spacing w:before="0" w:after="200" w:lineRule="auto" w:line="276"/>
      </w:pPr>
      <w:r>
        <w:rPr>
          <w:b/>
        </w:rPr>
        <w:t xml:space="preserve">Abstract (EN): </w:t>
      </w:r>
      <w:r>
        <w:t>Colloidal quantum well light‐emitting diodes (CQW‐LEDs) hold tremendous potential for next‐generation display and lighting applications, owing to their high color purity, excellent efficiency, and low fabrication cost. However, efficiency roll‐off at high current density makes it challenging to achieve high brightness and long lifetime. Here, we designed CdSe/ZnSe/ZnS core/shell/shell CQWs with near‐unity photoluminescence quantum yield. The graded heterostructure promotes carrier injection, and the bottom‐emission device based on CdSe/ZnSe/ZnS CQWs exhibits remarkably suppressed efficiency roll‐off with a record‐high J</w:t>
      </w:r>
      <w:r>
        <w:rPr>
          <w:vertAlign w:val="subscript"/>
        </w:rPr>
        <w:t>90</w:t>
      </w:r>
      <w:r>
        <w:t>(current density for EQE to decrease to 90%) of 485 mA/cm</w:t>
      </w:r>
      <w:r>
        <w:rPr>
          <w:vertAlign w:val="subscript"/>
        </w:rPr>
        <w:t>2</w:t>
      </w:r>
      <w:r>
        <w:t>and a long operational lifetime (T</w:t>
      </w:r>
      <w:r>
        <w:rPr>
          <w:vertAlign w:val="subscript"/>
        </w:rPr>
        <w:t>95</w:t>
      </w:r>
      <w:r>
        <w:t>@ 100 cd/m</w:t>
      </w:r>
      <w:r>
        <w:rPr>
          <w:vertAlign w:val="subscript"/>
        </w:rPr>
        <w:t>2</w:t>
      </w:r>
      <w:r>
        <w:t>) over 47000 h. In addition, the top‐emission device also shows low efficiency roll‐off and high current efficiency of 36.5 cd/A. This study provides a compositionally graded approach to suppress efficiency roll‐off in CQW‐LEDs, demonstrating the strong potential of the newly developed CQWs for next‐generation ultrabright and highly efficient optoelectronic devices.</w:t>
      </w:r>
    </w:p>
    <w:p>
      <w:pPr>
        <w:spacing w:before="120" w:after="120"/>
      </w:pPr>
      <w:r>
        <w:rPr>
          <w:sz w:val="18"/>
        </w:rPr>
        <w:t>——————————————————————————————————————————————————————————————————————</w:t>
      </w:r>
    </w:p>
    <w:p>
      <w:pPr>
        <w:spacing w:before="160" w:after="40" w:line="240" w:lineRule="auto"/>
      </w:pPr>
      <w:r>
        <w:rPr>
          <w:b/>
        </w:rPr>
        <w:t xml:space="preserve">[478] </w:t>
      </w:r>
      <w:hyperlink r:id="rId731">
        <w:r>
          <w:rPr>
            <w:color w:val="1155CC"/>
            <w:u w:val="single"/>
          </w:rPr>
          <w:t>通过合作型表层集合将动态希拉尔辐射与完全的《波兰化》无可见性相结合</w:t>
        </w:r>
      </w:hyperlink>
    </w:p>
    <w:p>
      <w:pPr>
        <w:spacing w:before="0" w:after="80"/>
      </w:pPr>
      <w:r>
        <w:rPr>
          <w:i/>
          <w:sz w:val="20"/>
        </w:rPr>
        <w:t>EN: Integrating Dynamic Chiral Radiation with Full‐Polarization Invisibility via Cooperative Metasurface Ensembles</w:t>
      </w:r>
    </w:p>
    <w:p>
      <w:pPr>
        <w:spacing w:before="0" w:after="120"/>
      </w:pPr>
      <w:r>
        <w:rPr>
          <w:b/>
        </w:rPr>
        <w:t xml:space="preserve">Source: </w:t>
      </w:r>
      <w:r>
        <w:t>Wiley: Advanced Materials: Table of Contents</w:t>
      </w:r>
      <w:r>
        <w:t xml:space="preserve">    </w:t>
      </w:r>
      <w:r>
        <w:rPr>
          <w:b/>
        </w:rPr>
        <w:t xml:space="preserve">Pub date: </w:t>
      </w:r>
      <w:r>
        <w:t>2026-01-28 10:11:18+00:00</w:t>
      </w:r>
      <w:r>
        <w:t xml:space="preserve">    </w:t>
      </w:r>
      <w:r>
        <w:rPr>
          <w:b/>
        </w:rPr>
        <w:t xml:space="preserve">DOI: </w:t>
      </w:r>
      <w:hyperlink r:id="rId732">
        <w:r>
          <w:rPr>
            <w:color w:val="1155CC"/>
            <w:u w:val="single"/>
          </w:rPr>
          <w:t>10.1002/adma.202523247</w:t>
        </w:r>
      </w:hyperlink>
    </w:p>
    <w:p>
      <w:pPr>
        <w:spacing w:before="0" w:after="120"/>
      </w:pPr>
      <w:r>
        <w:rPr>
          <w:b/>
        </w:rPr>
        <w:t xml:space="preserve">Notes: </w:t>
      </w:r>
      <w:r>
        <w:t>abstract_source=crossref</w:t>
      </w:r>
    </w:p>
    <w:p>
      <w:pPr>
        <w:spacing w:before="0" w:after="80" w:lineRule="auto" w:line="276"/>
      </w:pPr>
      <w:r>
        <w:rPr>
          <w:b/>
        </w:rPr>
        <w:t xml:space="preserve">摘要（ZH）: </w:t>
      </w:r>
      <w:r>
        <w:t>ABSTACT 下一代通信和迷彩系统需要安全的信息传输,而没有电磁照射。辐射-轮胎元表层为实现这一目标提供了一条有希望的道路,但辐射和散射仍然在本质上纠缠不休,迫使现有办法将它们分离成正向极极极或断开的频率波段。这从根本上限制了极化控制和光谱共存,使同时存在的全极化窃听和辐射控制在一个共享的频谱中无法实现。在这里,我们建议多组的元表层集合,在其中,合作的跨层相互作用使辐射管制与分散抑制完全分离,使动态的乳房辐射能够同时保存内侧射线。</w:t>
      </w:r>
    </w:p>
    <w:p>
      <w:pPr>
        <w:spacing w:before="0" w:after="200" w:lineRule="auto" w:line="276"/>
      </w:pPr>
      <w:r>
        <w:rPr>
          <w:b/>
        </w:rPr>
        <w:t xml:space="preserve">Abstract (EN): </w:t>
      </w:r>
      <w:r>
        <w:t>Next‐generation communications and camouflage systems require secure information transmission without electromagnetic exposure. Radiation‐stealth metasurfaces offer a promising route toward this goal, yet radiation and scattering remain intrinsically entangled, compelling existing approaches to segregate them into orthogonal polarizations or disjoint frequency bands. This fundamentally restricts polarization controllability and spectral coexistence, leaving concurrent full‐polarization stealth and radiation control within a shared spectrum unachieved. Here, we propose multigroup metasurface ensembles where cooperative interlayer interactions fully decouple radiation regulation from scattering suppression, enabling dynamic chiral radiation while preserving invisibility to arbitrary polarizations across an overlapping spectrum. By leveraging two independent geometric phases to break the conjugation constraint between radiated and scattered spin waves, along with a customized feed‐addressing strategy, desired spin radiation is channeled into tunable directions, with cross‐polarized scattering effectively suppressed via destructive interference. Meanwhile, reciprocity ensures that co‐polarized illumination passes through the multilayer metasurfaces and is dissipated by the embedded feed network, yielding full‐polarization invisibility. To validate the concept, its versatile radiation‐stealth functionalities, including multifunctional chiral beam scanning and full‐polarization invisibility, are experimentally demonstrated. Our methodology unlocks new opportunities for secure satellite links, low‐altitude networks, and covert tactical communications, providing a versatile foundation for next‐generation aerospace and wireless infrastructures.</w:t>
      </w:r>
    </w:p>
    <w:p>
      <w:pPr>
        <w:spacing w:before="120" w:after="120"/>
      </w:pPr>
      <w:r>
        <w:rPr>
          <w:sz w:val="18"/>
        </w:rPr>
        <w:t>——————————————————————————————————————————————————————————————————————</w:t>
      </w:r>
    </w:p>
    <w:p>
      <w:pPr>
        <w:spacing w:before="160" w:after="40" w:line="240" w:lineRule="auto"/>
      </w:pPr>
      <w:r>
        <w:rPr>
          <w:b/>
        </w:rPr>
        <w:t xml:space="preserve">[479] </w:t>
      </w:r>
      <w:hyperlink r:id="rId733">
        <w:r>
          <w:rPr>
            <w:color w:val="1155CC"/>
            <w:u w:val="single"/>
          </w:rPr>
          <w:t>[ASAP]将聚聚聚合体微电池中的多元酸变异解码</w:t>
        </w:r>
      </w:hyperlink>
    </w:p>
    <w:p>
      <w:pPr>
        <w:spacing w:before="0" w:after="80"/>
      </w:pPr>
      <w:r>
        <w:rPr>
          <w:i/>
          <w:sz w:val="20"/>
        </w:rPr>
        <w:t>EN: [ASAP] Decoding the Conformation of Polylactic Acid in Block Copolymer Micelles</w:t>
      </w:r>
    </w:p>
    <w:p>
      <w:pPr>
        <w:spacing w:before="0" w:after="120"/>
      </w:pPr>
      <w:r>
        <w:rPr>
          <w:b/>
        </w:rPr>
        <w:t xml:space="preserve">Source: </w:t>
      </w:r>
      <w:r>
        <w:t>Journal of the American Chemical Society: Latest Articles (ACS Publications)</w:t>
      </w:r>
      <w:r>
        <w:t xml:space="preserve">    </w:t>
      </w:r>
      <w:r>
        <w:rPr>
          <w:b/>
        </w:rPr>
        <w:t xml:space="preserve">Pub date: </w:t>
      </w:r>
      <w:r>
        <w:t>2026-01-28 10:11:56+00:00</w:t>
      </w:r>
      <w:r>
        <w:t xml:space="preserve">    </w:t>
      </w:r>
      <w:r>
        <w:rPr>
          <w:b/>
        </w:rPr>
        <w:t xml:space="preserve">DOI: </w:t>
      </w:r>
      <w:hyperlink r:id="rId734">
        <w:r>
          <w:rPr>
            <w:color w:val="1155CC"/>
            <w:u w:val="single"/>
          </w:rPr>
          <w:t>10.1021/jacs.5c19227</w:t>
        </w:r>
      </w:hyperlink>
    </w:p>
    <w:p>
      <w:pPr>
        <w:spacing w:before="0" w:after="120"/>
      </w:pPr>
      <w:r>
        <w:rPr>
          <w:b/>
        </w:rPr>
        <w:t xml:space="preserve">Notes: </w:t>
      </w:r>
      <w:r>
        <w:t>abstract_source=pubmed</w:t>
      </w:r>
    </w:p>
    <w:p>
      <w:pPr>
        <w:spacing w:before="0" w:after="80" w:lineRule="auto" w:line="276"/>
      </w:pPr>
      <w:r>
        <w:rPr>
          <w:b/>
        </w:rPr>
        <w:t xml:space="preserve">摘要（ZH）: </w:t>
      </w:r>
      <w:r>
        <w:t>了解分子特性如何将两栖共聚物自行组合成明确界定的纳米结构,对于先进软材料的合理设计至关重要,然而,由于涉及大量相互依存的参数,如粒子大小、聚合数、跨轴曲率和分子重量,因此难以制定一般性设计原则。我们在此为固定的水文-氢缺漏比率的PEG-b-PLA小行星建立一个基于规模的框架。分子重量的系统性变化可以精确控制小行星大小和总和数,由DLS、Ceolono-TEM和MALS加以量化。</w:t>
      </w:r>
    </w:p>
    <w:p>
      <w:pPr>
        <w:spacing w:before="0" w:after="200" w:lineRule="auto" w:line="276"/>
      </w:pPr>
      <w:r>
        <w:rPr>
          <w:b/>
        </w:rPr>
        <w:t xml:space="preserve">Abstract (EN): </w:t>
      </w:r>
      <w:r>
        <w:t>Understanding how molecular features dictate the self-assembly of amphiphilic block copolymers into well-defined nanostructures is essential for the rational design of advanced soft materials. However, the large number of interdependent parameters involved, such as particle size, aggregation number, interfacial curvature, and molecular weight, makes it challenging to establish general design principles. Here we establish a scaling-based framework for PEG-b-PLA micelles with a fixed hydrophilic-hydrophobic ratio. Systematic variation of molecular weights enables precise control of micelle size and aggregation number, quantified by DLS, cryo-TEM, and MALS.</w:t>
      </w:r>
    </w:p>
    <w:p>
      <w:pPr>
        <w:spacing w:before="120" w:after="120"/>
      </w:pPr>
      <w:r>
        <w:rPr>
          <w:sz w:val="18"/>
        </w:rPr>
        <w:t>——————————————————————————————————————————————————————————————————————</w:t>
      </w:r>
    </w:p>
    <w:p>
      <w:pPr>
        <w:spacing w:before="160" w:after="40" w:line="240" w:lineRule="auto"/>
      </w:pPr>
      <w:r>
        <w:rPr>
          <w:b/>
        </w:rPr>
        <w:t xml:space="preserve">[480] </w:t>
      </w:r>
      <w:hyperlink r:id="rId735">
        <w:r>
          <w:rPr>
            <w:color w:val="1155CC"/>
            <w:u w:val="single"/>
          </w:rPr>
          <w:t>可缩放 2D 光谱空间相关视觉感应器</w:t>
        </w:r>
      </w:hyperlink>
    </w:p>
    <w:p>
      <w:pPr>
        <w:spacing w:before="0" w:after="80"/>
      </w:pPr>
      <w:r>
        <w:rPr>
          <w:i/>
          <w:sz w:val="20"/>
        </w:rPr>
        <w:t>EN: Scalable 2D Spectral‐Spatial Associated Vision Sensor for Multidimensional Feature Fusion</w:t>
      </w:r>
    </w:p>
    <w:p>
      <w:pPr>
        <w:spacing w:before="0" w:after="120"/>
      </w:pPr>
      <w:r>
        <w:rPr>
          <w:b/>
        </w:rPr>
        <w:t xml:space="preserve">Source: </w:t>
      </w:r>
      <w:r>
        <w:t>Wiley: Advanced Materials: Table of Contents</w:t>
      </w:r>
      <w:r>
        <w:t xml:space="preserve">    </w:t>
      </w:r>
      <w:r>
        <w:rPr>
          <w:b/>
        </w:rPr>
        <w:t xml:space="preserve">Pub date: </w:t>
      </w:r>
      <w:r>
        <w:t>2026-01-28 10:15:27+00:00</w:t>
      </w:r>
      <w:r>
        <w:t xml:space="preserve">    </w:t>
      </w:r>
      <w:r>
        <w:rPr>
          <w:b/>
        </w:rPr>
        <w:t xml:space="preserve">DOI: </w:t>
      </w:r>
      <w:hyperlink r:id="rId736">
        <w:r>
          <w:rPr>
            <w:color w:val="1155CC"/>
            <w:u w:val="single"/>
          </w:rPr>
          <w:t>10.1002/adma.202520191</w:t>
        </w:r>
      </w:hyperlink>
    </w:p>
    <w:p>
      <w:pPr>
        <w:spacing w:before="0" w:after="120"/>
      </w:pPr>
      <w:r>
        <w:rPr>
          <w:b/>
        </w:rPr>
        <w:t xml:space="preserve">Notes: </w:t>
      </w:r>
      <w:r>
        <w:t>abstract_source=crossref</w:t>
      </w:r>
    </w:p>
    <w:p>
      <w:pPr>
        <w:spacing w:before="0" w:after="80" w:lineRule="auto" w:line="276"/>
      </w:pPr>
      <w:r>
        <w:rPr>
          <w:b/>
        </w:rPr>
        <w:t xml:space="preserve">摘要（ZH）: </w:t>
      </w:r>
      <w:r>
        <w:t>对多维信息(如空间、时空和光谱域)的认知在遥感等需要高光学分辨率和精确度的领域发挥着至关重要的作用,目前的方法通常依赖超光谱成像,即带环的图像采集模式,随后通过后处理算法进行特征学习和聚合。这种无同步的工作流程带来大量数据冗余、传输延缓和高能量消耗,限制了其实际部署。在这里,我们提议建立一个新型的光谱空间相关视觉传感器,使光谱和空间信息在硬件一级同步获取和特征融合。具体地说,可高度缩放或可扩展。</w:t>
      </w:r>
    </w:p>
    <w:p>
      <w:pPr>
        <w:spacing w:before="0" w:after="200" w:lineRule="auto" w:line="276"/>
      </w:pPr>
      <w:r>
        <w:rPr>
          <w:b/>
        </w:rPr>
        <w:t xml:space="preserve">Abstract (EN): </w:t>
      </w:r>
      <w:r>
        <w:t>The perception of multidimensional information (e.g., spatial, temporal, and spectral domains) plays a vital role in fields like remote sensing that require high optical resolution and precision. The current approach typically relies on hyperspectral imaging, a band‐by‐band image acquisition mode with subsequent feature learning and fusion through post‐processing algorithms. Such an asynchronous workflow introduces substantial data redundancy, transmission latency, and high energy consumption, limiting its practical deployment. Here, we propose a novel spectral‐spatial associated vision sensor that enables the synchronous acquisition and feature fusion of spectral and spatial information at the hardware level. Specifically, scalable highly oriented 2D Bi</w:t>
      </w:r>
      <w:r>
        <w:rPr>
          <w:vertAlign w:val="subscript"/>
        </w:rPr>
        <w:t>2</w:t>
      </w:r>
      <w:r>
        <w:t>Te</w:t>
      </w:r>
      <w:r>
        <w:rPr>
          <w:vertAlign w:val="subscript"/>
        </w:rPr>
        <w:t>3</w:t>
      </w:r>
      <w:r>
        <w:t>thin films with broadband response are employed for the fabrication of highly uniform device arrays, thus achieving simultaneous capture of spectral‐spatial information. The arrays perform enhanced synaptic behavior under multi‐wavelength stimuli, with a maximum enhanced ratio of more than 20, facilitating feature discriminability and recognition efficiency. By leveraging such a synergistic enhancement characteristic, an increased recognition accuracy of 91.12% is achieved for topography recognition on the Indian Pines dataset. These findings demonstrate that the proposed vision sensor streamlines hardware‐level data acquisition while improving processing efficiency, thereby establishing a new paradigm for multidimensional information fusion, particularly in scenarios with massive data streams.</w:t>
      </w:r>
    </w:p>
    <w:p>
      <w:pPr>
        <w:spacing w:before="120" w:after="120"/>
      </w:pPr>
      <w:r>
        <w:rPr>
          <w:sz w:val="18"/>
        </w:rPr>
        <w:t>——————————————————————————————————————————————————————————————————————</w:t>
      </w:r>
    </w:p>
    <w:p>
      <w:pPr>
        <w:spacing w:before="160" w:after="40" w:line="240" w:lineRule="auto"/>
      </w:pPr>
      <w:r>
        <w:rPr>
          <w:b/>
        </w:rPr>
        <w:t xml:space="preserve">[481] </w:t>
      </w:r>
      <w:hyperlink r:id="rId737">
        <w:r>
          <w:rPr>
            <w:color w:val="1155CC"/>
            <w:u w:val="single"/>
          </w:rPr>
          <w:t>减少多种硫化物化学的协同优化</w:t>
        </w:r>
      </w:hyperlink>
    </w:p>
    <w:p>
      <w:pPr>
        <w:spacing w:before="0" w:after="80"/>
      </w:pPr>
      <w:r>
        <w:rPr>
          <w:i/>
          <w:sz w:val="20"/>
        </w:rPr>
        <w:t>EN: A Homo‐Triatomic Molybdenum Cluster Catalyst Enables Synergistic Optimization of Multi‐Step Sulfur Reduction Chemistry</w:t>
      </w:r>
    </w:p>
    <w:p>
      <w:pPr>
        <w:spacing w:before="0" w:after="120"/>
      </w:pPr>
      <w:r>
        <w:rPr>
          <w:b/>
        </w:rPr>
        <w:t xml:space="preserve">Source: </w:t>
      </w:r>
      <w:r>
        <w:t>Wiley: Advanced Materials: Table of Contents</w:t>
      </w:r>
      <w:r>
        <w:t xml:space="preserve">    </w:t>
      </w:r>
      <w:r>
        <w:rPr>
          <w:b/>
        </w:rPr>
        <w:t xml:space="preserve">Pub date: </w:t>
      </w:r>
      <w:r>
        <w:t>2026-01-28 10:16:19+00:00</w:t>
      </w:r>
      <w:r>
        <w:t xml:space="preserve">    </w:t>
      </w:r>
      <w:r>
        <w:rPr>
          <w:b/>
        </w:rPr>
        <w:t xml:space="preserve">DOI: </w:t>
      </w:r>
      <w:hyperlink r:id="rId738">
        <w:r>
          <w:rPr>
            <w:color w:val="1155CC"/>
            <w:u w:val="single"/>
          </w:rPr>
          <w:t>10.1002/adma.72365</w:t>
        </w:r>
      </w:hyperlink>
    </w:p>
    <w:p>
      <w:pPr>
        <w:spacing w:before="0" w:after="120"/>
      </w:pPr>
      <w:r>
        <w:rPr>
          <w:b/>
        </w:rPr>
        <w:t xml:space="preserve">Notes: </w:t>
      </w:r>
      <w:r>
        <w:t>abstract_source=crossref</w:t>
      </w:r>
    </w:p>
    <w:p>
      <w:pPr>
        <w:spacing w:before="0" w:after="80" w:lineRule="auto" w:line="276"/>
      </w:pPr>
      <w:r>
        <w:rPr>
          <w:b/>
        </w:rPr>
        <w:t xml:space="preserve">摘要（ZH）: </w:t>
      </w:r>
      <w:r>
        <w:t>单子原子催化剂(SACs)的孤立单体活性点往往同时在保持李-S电池的硫磺红氧化反应中的多锂聚硫化物中间体的最佳吸附状态方面受到损害。 此处,我们报告了一个同子三解混合物集催化剂与MO 3-O 3 N 3 motifs一起嵌入一个碳矩阵(Mo 3-O 3/ ONC)来应对这一挑战。 Mo 3-O 3 N 3 motifs带有三角配置特性的多功能。</w:t>
      </w:r>
    </w:p>
    <w:p>
      <w:pPr>
        <w:spacing w:before="0" w:after="200" w:lineRule="auto" w:line="276"/>
      </w:pPr>
      <w:r>
        <w:rPr>
          <w:b/>
        </w:rPr>
        <w:t xml:space="preserve">Abstract (EN): </w:t>
      </w:r>
      <w:r>
        <w:t>The isolated single‐active sites of single‐atom catalysts (SACs) often suffer from simultaneously maintaining the optimal adsorption states of multiple lithium polysulfide intermediates in sulfur redox reactions of Li–S batteries. Herein, we report a homo‐triatomic molybdenum cluster catalyst with Mo</w:t>
      </w:r>
      <w:r>
        <w:rPr>
          <w:vertAlign w:val="subscript"/>
        </w:rPr>
        <w:t>3</w:t>
      </w:r>
      <w:r>
        <w:t>–O</w:t>
      </w:r>
      <w:r>
        <w:rPr>
          <w:vertAlign w:val="subscript"/>
        </w:rPr>
        <w:t>3</w:t>
      </w:r>
      <w:r>
        <w:t>N</w:t>
      </w:r>
      <w:r>
        <w:rPr>
          <w:vertAlign w:val="subscript"/>
        </w:rPr>
        <w:t>3</w:t>
      </w:r>
      <w:r>
        <w:t>motifs embedded within a carbon matrix (Mo</w:t>
      </w:r>
      <w:r>
        <w:rPr>
          <w:vertAlign w:val="subscript"/>
        </w:rPr>
        <w:t>3</w:t>
      </w:r>
      <w:r>
        <w:t>/ONC) that addresses this challenge. The Mo</w:t>
      </w:r>
      <w:r>
        <w:rPr>
          <w:vertAlign w:val="subscript"/>
        </w:rPr>
        <w:t>3</w:t>
      </w:r>
      <w:r>
        <w:t>–O</w:t>
      </w:r>
      <w:r>
        <w:rPr>
          <w:vertAlign w:val="subscript"/>
        </w:rPr>
        <w:t>3</w:t>
      </w:r>
      <w:r>
        <w:t>N</w:t>
      </w:r>
      <w:r>
        <w:rPr>
          <w:vertAlign w:val="subscript"/>
        </w:rPr>
        <w:t>3</w:t>
      </w:r>
      <w:r>
        <w:t>motifs with a triangular configuration feature multi‐active sites and interatomic synergies, which can flexibly adjust the corresponding Mo─S pathway according to different intermediate sulfur species, thereby making the adsorption strength of all species favorable. Meanwhile, the optimized Mo─S interactions can induce more electrons to transfer from the intermediate sulfur species to the Mo</w:t>
      </w:r>
      <w:r>
        <w:rPr>
          <w:vertAlign w:val="subscript"/>
        </w:rPr>
        <w:t>3</w:t>
      </w:r>
      <w:r>
        <w:t>–O</w:t>
      </w:r>
      <w:r>
        <w:rPr>
          <w:vertAlign w:val="subscript"/>
        </w:rPr>
        <w:t>3</w:t>
      </w:r>
      <w:r>
        <w:t>N</w:t>
      </w:r>
      <w:r>
        <w:rPr>
          <w:vertAlign w:val="subscript"/>
        </w:rPr>
        <w:t>3</w:t>
      </w:r>
      <w:r>
        <w:t>catalytic sites, thus weakening the S─S bond and remarkably reducing the energy barriers for the sulfur conversion. Besides, the electrochemical and in situ spectroscopic experiments disclose that the sulfur redox kinetics on Mo</w:t>
      </w:r>
      <w:r>
        <w:rPr>
          <w:vertAlign w:val="subscript"/>
        </w:rPr>
        <w:t>3</w:t>
      </w:r>
      <w:r>
        <w:t>/ONC is significantly improved compared to the Mo‐single‐atom catalyst (Mo</w:t>
      </w:r>
      <w:r>
        <w:rPr>
          <w:vertAlign w:val="subscript"/>
        </w:rPr>
        <w:t>1</w:t>
      </w:r>
      <w:r>
        <w:t>/ONC) counterpart. As thus, the as‐designed Mo</w:t>
      </w:r>
      <w:r>
        <w:rPr>
          <w:vertAlign w:val="subscript"/>
        </w:rPr>
        <w:t>3</w:t>
      </w:r>
      <w:r>
        <w:t>/ONC catalyst renders the Li–S battery with a large rate capability of 661.2 mAh g</w:t>
      </w:r>
      <w:r>
        <w:t xml:space="preserve"> </w:t>
      </w:r>
      <w:r>
        <w:t>−1</w:t>
      </w:r>
      <w:r>
        <w:t xml:space="preserve"> </w:t>
      </w:r>
      <w:r>
        <w:t>and a capacity decay as low as 0.027% per cycle at 10 C for 1200 cycles. This work provides a new perspective on the fundamental design principles of triatomic catalysts for improving the Li–S performance.</w:t>
      </w:r>
    </w:p>
    <w:p>
      <w:pPr>
        <w:spacing w:before="120" w:after="120"/>
      </w:pPr>
      <w:r>
        <w:rPr>
          <w:sz w:val="18"/>
        </w:rPr>
        <w:t>——————————————————————————————————————————————————————————————————————</w:t>
      </w:r>
    </w:p>
    <w:p>
      <w:pPr>
        <w:spacing w:before="160" w:after="40" w:line="240" w:lineRule="auto"/>
      </w:pPr>
      <w:r>
        <w:rPr>
          <w:b/>
        </w:rPr>
        <w:t xml:space="preserve">[482] </w:t>
      </w:r>
      <w:hyperlink r:id="rId739">
        <w:r>
          <w:rPr>
            <w:color w:val="1155CC"/>
            <w:u w:val="single"/>
          </w:rPr>
          <w:t>3D-Printed High entropy合金3D-Printed High entropy Aloy 3Nearero 国家中超光子聚苯乙烯 3D-Printed High entropy Aloy Metcomposites 用于Ultra-Thin 完美RF吸收</w:t>
        </w:r>
      </w:hyperlink>
    </w:p>
    <w:p>
      <w:pPr>
        <w:spacing w:before="0" w:after="80"/>
      </w:pPr>
      <w:r>
        <w:rPr>
          <w:i/>
          <w:sz w:val="20"/>
        </w:rPr>
        <w:t>EN: Ultralow‐Frequency Epsilon‐Near‐Zero States in 3D‐Printed High‐Entropy Alloy Metacomposites for Ultra‐Thin Perfect RF Absorption</w:t>
      </w:r>
    </w:p>
    <w:p>
      <w:pPr>
        <w:spacing w:before="0" w:after="120"/>
      </w:pPr>
      <w:r>
        <w:rPr>
          <w:b/>
        </w:rPr>
        <w:t xml:space="preserve">Source: </w:t>
      </w:r>
      <w:r>
        <w:t>Wiley: Advanced Materials: Table of Contents</w:t>
      </w:r>
      <w:r>
        <w:t xml:space="preserve">    </w:t>
      </w:r>
      <w:r>
        <w:rPr>
          <w:b/>
        </w:rPr>
        <w:t xml:space="preserve">Pub date: </w:t>
      </w:r>
      <w:r>
        <w:t>2026-01-28 10:19:21+00:00</w:t>
      </w:r>
      <w:r>
        <w:t xml:space="preserve">    </w:t>
      </w:r>
      <w:r>
        <w:rPr>
          <w:b/>
        </w:rPr>
        <w:t xml:space="preserve">DOI: </w:t>
      </w:r>
      <w:hyperlink r:id="rId740">
        <w:r>
          <w:rPr>
            <w:color w:val="1155CC"/>
            <w:u w:val="single"/>
          </w:rPr>
          <w:t>10.1002/adma.202516951</w:t>
        </w:r>
      </w:hyperlink>
    </w:p>
    <w:p>
      <w:pPr>
        <w:spacing w:before="0" w:after="120"/>
      </w:pPr>
      <w:r>
        <w:rPr>
          <w:b/>
        </w:rPr>
        <w:t xml:space="preserve">Notes: </w:t>
      </w:r>
      <w:r>
        <w:t>abstract_source=crossref</w:t>
      </w:r>
    </w:p>
    <w:p>
      <w:pPr>
        <w:spacing w:before="0" w:after="80" w:lineRule="auto" w:line="276"/>
      </w:pPr>
      <w:r>
        <w:rPr>
          <w:b/>
        </w:rPr>
        <w:t xml:space="preserve">摘要（ZH）: </w:t>
      </w:r>
      <w:r>
        <w:t>放射性频率完全吸收的ABSTACT Epsilon-near-zero(ENZ)材料对于下一代电磁隐形、5G(第五代移动网络)信号完整性和 IoT(内网)安全至关重要。在这里,3D打印的元化合物实现了低频超丁ENZ吸收( &amp;gt;90%, 55-110 MHz, d/lt;1/2455),通过将高苯丙胺合金(HEA)纳米粒子限制在按等级订购的多孔碳(HOPC)中实现。这种等级设计利用HEA的平板带结构最大限度地增加电子有效质量,同时在HEA-碳边界进行内部电子再分配,降低载体浓度( &amp; gt; 90%, 55-110 MHz, d/lt;1/2455),通过将高分子合金(HEA)纳米粒子粒子限制在按级订购的多孔碳(HOP)中(HOPC)实现。 这种等级设计将HEA的平展带结构将HA的平展带结构用于最大电子质量,同时在HEA的</w:t>
      </w:r>
    </w:p>
    <w:p>
      <w:pPr>
        <w:spacing w:before="0" w:after="200" w:lineRule="auto" w:line="276"/>
      </w:pPr>
      <w:r>
        <w:rPr>
          <w:b/>
        </w:rPr>
        <w:t xml:space="preserve">Abstract (EN): </w:t>
      </w:r>
      <w:r>
        <w:t>Epsilon‐near‐zero (ENZ) materials with radio‐frequency perfect absorption are pivotal for next‐generation electromagnetic stealth, 5G (fifth‐generation mobile networks) signal integrity, and IoT (internet of things) security. Here, 3D‐printed metacomposites achieving low‐frequency ultra‐thin ENZ absorption (&amp;gt;90%, 55–110 MHz, d/△λ&amp;lt;1/2455) are realized by confining high‐entropy alloy (HEA) nanoparticles within hierarchically ordered porous carbon (HOPC). This hierarchical design leverages HEA's flattened band structures to maximize electron effective mass, while interfacial electron redistribution at HEA‐carbon boundaries delocalizes charges and reduces carrier concentration. These dual effects synergistically suppress plasma frequency to 72.4 MHz, converting strong negative permittivity into near‐zero states. A cocktail effect is discovered for reducing the plasma frequency with increasing the entropy. Concurrently, resonant enhancement from three complementary mechanisms—surface plasmons at HEA@graphitic core‐shell interfaces, interfacial polarization in PU/HOPC heterojunctions, and hierarchical pore‐cavity modes—boosts positive permittivity. Engineered cancellation of weakened negative permittivity and reinforced positive permittivity enables an ultra‐broadband |ε'|&amp;lt;1 response spanning 55–110 MHz. The ENZ‐mode perfect absorption of ultra‐thin thickness, ultralow frequency, angle robustness, and broad band is achieved eventually. This work establishes a new paradigm for breaking the Rozanov limit via material‐genesis ENZ engineering, bypassing artificial metamaterial arrays.</w:t>
      </w:r>
    </w:p>
    <w:p>
      <w:pPr>
        <w:spacing w:before="120" w:after="120"/>
      </w:pPr>
      <w:r>
        <w:rPr>
          <w:sz w:val="18"/>
        </w:rPr>
        <w:t>——————————————————————————————————————————————————————————————————————</w:t>
      </w:r>
    </w:p>
    <w:p>
      <w:pPr>
        <w:spacing w:before="160" w:after="40" w:line="240" w:lineRule="auto"/>
      </w:pPr>
      <w:r>
        <w:rPr>
          <w:b/>
        </w:rPr>
        <w:t xml:space="preserve">[483] </w:t>
      </w:r>
      <w:hyperlink r:id="rId741">
        <w:r>
          <w:rPr>
            <w:color w:val="1155CC"/>
            <w:u w:val="single"/>
          </w:rPr>
          <w:t>[ASAP] 逐步波长解析分析相片-数码 - 阿尔德步增长综合分析</w:t>
        </w:r>
      </w:hyperlink>
    </w:p>
    <w:p>
      <w:pPr>
        <w:spacing w:before="0" w:after="80"/>
      </w:pPr>
      <w:r>
        <w:rPr>
          <w:i/>
          <w:sz w:val="20"/>
        </w:rPr>
        <w:t>EN: [ASAP] Step-by-Step Wavelength Resolved Analysis of Photo-Diels–Alder Step Growth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2026-01-28 10:21:44+00:00</w:t>
      </w:r>
      <w:r>
        <w:t xml:space="preserve">    </w:t>
      </w:r>
      <w:r>
        <w:rPr>
          <w:b/>
        </w:rPr>
        <w:t xml:space="preserve">DOI: </w:t>
      </w:r>
      <w:hyperlink r:id="rId742">
        <w:r>
          <w:rPr>
            <w:color w:val="1155CC"/>
            <w:u w:val="single"/>
          </w:rPr>
          <w:t>10.1021/jacs.5c22743</w:t>
        </w:r>
      </w:hyperlink>
    </w:p>
    <w:p>
      <w:pPr>
        <w:spacing w:before="0" w:after="120"/>
      </w:pPr>
      <w:r>
        <w:rPr>
          <w:b/>
        </w:rPr>
        <w:t xml:space="preserve">Notes: </w:t>
      </w:r>
      <w:r>
        <w:t>abstract_source=pubmed</w:t>
      </w:r>
    </w:p>
    <w:p>
      <w:pPr>
        <w:spacing w:before="0" w:after="80" w:lineRule="auto" w:line="276"/>
      </w:pPr>
      <w:r>
        <w:rPr>
          <w:b/>
        </w:rPr>
        <w:t xml:space="preserve">摘要（ZH）: </w:t>
      </w:r>
      <w:r>
        <w:t>光光成继增成聚合物是软物质材料的一个重要途径。然而,光成聚合物对于将光化聚合物拆解入单个反应步骤和确定作为波长函数的这些单个步骤的效率是极具挑战性的。在此,我们引入了合成和光化综合操作图集方法,以分离渐进成光成-迪埃尔-阿尔德聚合物的两个关键反应步骤,并用单色分辨率独立绘制其波长依赖量的量值的单色分辨率图。为了以尽可能高的精确度描述我们的系统,我们引入了光化操作图集方法,以吸收每波长恒定数的光子为基础。我们的具体光聚合系统以双甲基苯甲胺为基础。</w:t>
      </w:r>
    </w:p>
    <w:p>
      <w:pPr>
        <w:spacing w:before="0" w:after="200" w:lineRule="auto" w:line="276"/>
      </w:pPr>
      <w:r>
        <w:rPr>
          <w:b/>
        </w:rPr>
        <w:t xml:space="preserve">Abstract (EN): </w:t>
      </w:r>
      <w:r>
        <w:t>Photoinduced step-growth polymerizations are an important avenue to soft matter materials. However, photopolymerizations are highly challenging to unpack into their individual reaction steps and to determine the efficiency of these individual steps as a function of wavelength. Herein, we introduce a combined synthetic and photochemical action plot methodology to isolate the two key reaction steps of a step-growth photo-Diels-Alder polymerization and independently map their wavelength-dependent quantum yields with monochromatic resolution. To characterize our system with the highest possible precision, we introduce a photochemical action plot method based on the absorption of a constant number of photons at each wavelength. Our specific photopolymer system is based on a bis-o-methylbenzaldehyde (oMBA) species where the two reaction sites are electronically connected. Our approach initially entails the selective synthesis of a mono-Diels-Alder adduct from the symmetrical difunctional oMBA, enabling the precise mapping of the blue-shift in wavelength-dependent reactivity between the first and second addition. Our final molecule represents a distinct system of five fused rings, which matches the macromolecular system.</w:t>
      </w:r>
    </w:p>
    <w:p>
      <w:pPr>
        <w:spacing w:before="120" w:after="120"/>
      </w:pPr>
      <w:r>
        <w:rPr>
          <w:sz w:val="18"/>
        </w:rPr>
        <w:t>——————————————————————————————————————————————————————————————————————</w:t>
      </w:r>
    </w:p>
    <w:p>
      <w:pPr>
        <w:spacing w:before="160" w:after="40" w:line="240" w:lineRule="auto"/>
      </w:pPr>
      <w:r>
        <w:rPr>
          <w:b/>
        </w:rPr>
        <w:t xml:space="preserve">[484] </w:t>
      </w:r>
      <w:hyperlink r:id="rId743">
        <w:r>
          <w:rPr>
            <w:color w:val="1155CC"/>
            <w:u w:val="single"/>
          </w:rPr>
          <w:t>利用内皮病毒合成内皮病毒来提高肿瘤的免疫治疗能力</w:t>
        </w:r>
      </w:hyperlink>
    </w:p>
    <w:p>
      <w:pPr>
        <w:spacing w:before="0" w:after="80"/>
      </w:pPr>
      <w:r>
        <w:rPr>
          <w:i/>
          <w:sz w:val="20"/>
        </w:rPr>
        <w:t>EN: Innovative Biomaterials Synergize Oncolytic Virus for Elevating Tumor Immunotherapy Potency</w:t>
      </w:r>
    </w:p>
    <w:p>
      <w:pPr>
        <w:spacing w:before="0" w:after="120"/>
      </w:pPr>
      <w:r>
        <w:rPr>
          <w:b/>
        </w:rPr>
        <w:t xml:space="preserve">Source: </w:t>
      </w:r>
      <w:r>
        <w:t>Wiley: Advanced Materials: Table of Contents</w:t>
      </w:r>
      <w:r>
        <w:t xml:space="preserve">    </w:t>
      </w:r>
      <w:r>
        <w:rPr>
          <w:b/>
        </w:rPr>
        <w:t xml:space="preserve">Pub date: </w:t>
      </w:r>
      <w:r>
        <w:t>2026-01-28 10:42:09+00:00</w:t>
      </w:r>
      <w:r>
        <w:t xml:space="preserve">    </w:t>
      </w:r>
      <w:r>
        <w:rPr>
          <w:b/>
        </w:rPr>
        <w:t xml:space="preserve">DOI: </w:t>
      </w:r>
      <w:hyperlink r:id="rId744">
        <w:r>
          <w:rPr>
            <w:color w:val="1155CC"/>
            <w:u w:val="single"/>
          </w:rPr>
          <w:t>10.1002/adma.202519222</w:t>
        </w:r>
      </w:hyperlink>
    </w:p>
    <w:p>
      <w:pPr>
        <w:spacing w:before="0" w:after="120"/>
      </w:pPr>
      <w:r>
        <w:rPr>
          <w:b/>
        </w:rPr>
        <w:t xml:space="preserve">Notes: </w:t>
      </w:r>
      <w:r>
        <w:t>abstract_source=crossref</w:t>
      </w:r>
    </w:p>
    <w:p>
      <w:pPr>
        <w:spacing w:before="0" w:after="80" w:lineRule="auto" w:line="276"/>
      </w:pPr>
      <w:r>
        <w:rPr>
          <w:b/>
        </w:rPr>
        <w:t xml:space="preserve">摘要（ZH）: </w:t>
      </w:r>
      <w:r>
        <w:t>ABSTACT癌症免疫疗法,特别是使用肿瘤病毒(OVs),被公认为是治疗恶性肿瘤的一个很有希望的方法,因为它具有有选择性地杀死肿瘤细胞和启动抗肿瘤免疫的双重能力;然而,OV单疗法面临固有的挑战,包括病毒传播效率不理想、免疫抑制性肿瘤微环境、早年系统免疫免疫免疫免疫免疫清除。最近在生物材料方面的突破为利用创新系统设计克服这些限制,优化对肿瘤的循环疗法提供了新的途径。我们在这次审查中系统地审查了生物材料与OVs的协同结合,以加强癌症免疫疗法,强调两大类:纳米材料载体。</w:t>
      </w:r>
    </w:p>
    <w:p>
      <w:pPr>
        <w:spacing w:before="0" w:after="200" w:lineRule="auto" w:line="276"/>
      </w:pPr>
      <w:r>
        <w:rPr>
          <w:b/>
        </w:rPr>
        <w:t xml:space="preserve">Abstract (EN): </w:t>
      </w:r>
      <w:r>
        <w:t>Cancer immunotherapy, particularly using oncolytic viruses (OVs), has been recognized as a promising approach for treating malignant tumors because of its dual ability to selectively kill tumor cells and activate antitumor immunity. However, OV monotherapy faces inherent challenges, including suboptimal viral delivery efficiency, an immunosuppressive tumor microenvironment, and premature systemic‐immune clearance. Recent breakthroughs in biomaterials have provided new avenues for optimizing oncolytic virotherapy by overcoming these limitations using innovative system designs. In this review, we systematically examined the synergistic combination of biomaterials with OVs to enhance cancer immunotherapy, emphasizing two major categories: nanomaterial‐based carriers and cell‐derived materials. Intelligent biomaterial delivery systems can spatiotemporally protect viruses from immune clearance and enable targeted accumulation and controlled release. Functionalized biomaterials can serve as immunomodulators or drug carriers that synergize with OVs to remodel the tumor microenvironment. Particular focus was placed on biomimetic virus‐like nanoparticles, and their design principles, mechanisms, and applications were critically discussed in this review. Finally, we summarize the potential challenges and prospects of combining biomaterials with OVs to enhance cancer immunotherapy, paving the way for a clinical translation of this approach.</w:t>
      </w:r>
    </w:p>
    <w:p>
      <w:pPr>
        <w:spacing w:before="120" w:after="120"/>
      </w:pPr>
      <w:r>
        <w:rPr>
          <w:sz w:val="18"/>
        </w:rPr>
        <w:t>——————————————————————————————————————————————————————————————————————</w:t>
      </w:r>
    </w:p>
    <w:p>
      <w:pPr>
        <w:spacing w:before="160" w:after="40" w:line="240" w:lineRule="auto"/>
      </w:pPr>
      <w:r>
        <w:rPr>
          <w:b/>
        </w:rPr>
        <w:t xml:space="preserve">[485] </w:t>
      </w:r>
      <w:hyperlink r:id="rId745">
        <w:r>
          <w:rPr>
            <w:color w:val="1155CC"/>
            <w:u w:val="single"/>
          </w:rPr>
          <w:t>利用突破高性能全硅金属电池动力限制而变异的液态金属电池</w:t>
        </w:r>
      </w:hyperlink>
    </w:p>
    <w:p>
      <w:pPr>
        <w:spacing w:before="0" w:after="80"/>
      </w:pPr>
      <w:r>
        <w:rPr>
          <w:i/>
          <w:sz w:val="20"/>
        </w:rPr>
        <w:t>EN: Gradient‐Modified Li‐Rich Manganese‐Based Oxides Cathodes with Breakthrough of Kinetic Limitation for High‐Performance All‐Solid‐State Lithium Metal Batteries</w:t>
      </w:r>
    </w:p>
    <w:p>
      <w:pPr>
        <w:spacing w:before="0" w:after="120"/>
      </w:pPr>
      <w:r>
        <w:rPr>
          <w:b/>
        </w:rPr>
        <w:t xml:space="preserve">Source: </w:t>
      </w:r>
      <w:r>
        <w:t>Wiley: Advanced Materials: Table of Contents</w:t>
      </w:r>
      <w:r>
        <w:t xml:space="preserve">    </w:t>
      </w:r>
      <w:r>
        <w:rPr>
          <w:b/>
        </w:rPr>
        <w:t xml:space="preserve">Pub date: </w:t>
      </w:r>
      <w:r>
        <w:t>2026-01-28 10:43:06+00:00</w:t>
      </w:r>
      <w:r>
        <w:t xml:space="preserve">    </w:t>
      </w:r>
      <w:r>
        <w:rPr>
          <w:b/>
        </w:rPr>
        <w:t xml:space="preserve">DOI: </w:t>
      </w:r>
      <w:hyperlink r:id="rId746">
        <w:r>
          <w:rPr>
            <w:color w:val="1155CC"/>
            <w:u w:val="single"/>
          </w:rPr>
          <w:t>10.1002/adma.202521690</w:t>
        </w:r>
      </w:hyperlink>
    </w:p>
    <w:p>
      <w:pPr>
        <w:spacing w:before="0" w:after="120"/>
      </w:pPr>
      <w:r>
        <w:rPr>
          <w:b/>
        </w:rPr>
        <w:t xml:space="preserve">Notes: </w:t>
      </w:r>
      <w:r>
        <w:t>abstract_source=crossref</w:t>
      </w:r>
    </w:p>
    <w:p>
      <w:pPr>
        <w:spacing w:before="0" w:after="80" w:lineRule="auto" w:line="276"/>
      </w:pPr>
      <w:r>
        <w:rPr>
          <w:b/>
        </w:rPr>
        <w:t xml:space="preserve">摘要（ZH）: </w:t>
      </w:r>
      <w:r>
        <w:t>具有高功率和大可逆功率的液态锰基氧化物(LRMO)具有高操作电压和大可逆能力,可以证明在使用全固体锂电池(ASSLBs)时,内在安全和高能量密度的综合优势,然而,由于不稳定的固定氧气和缓慢的李+离子运输,与固态电解液(SES)之间的严重互不兼容性妨碍了其实际应用。</w:t>
      </w:r>
    </w:p>
    <w:p>
      <w:pPr>
        <w:spacing w:before="0" w:after="200" w:lineRule="auto" w:line="276"/>
      </w:pPr>
      <w:r>
        <w:rPr>
          <w:b/>
        </w:rPr>
        <w:t xml:space="preserve">Abstract (EN): </w:t>
      </w:r>
      <w:r>
        <w:t>The Li‐rich manganese‐based oxides (LRMO) with high operating voltage and large reversible capacities can demonstrate comprehensive advantages of intrinsic safety and high energy density when employed in all‐solid‐state lithium batteries (ASSLBs). However, severe interfacial incompatibility with solid electrolytes (SEs) arising from unstable lattice oxygen and sluggish Li</w:t>
      </w:r>
      <w:r>
        <w:t xml:space="preserve"> </w:t>
      </w:r>
      <w:r>
        <w:t>+</w:t>
      </w:r>
      <w:r>
        <w:t xml:space="preserve"> </w:t>
      </w:r>
      <w:r>
        <w:t>ionic transport hinders their practical application. In this contribution, the gradient‐modified structure containing S, Zr co‐doping near‐surface and amorphous Zr(SO</w:t>
      </w:r>
      <w:r>
        <w:rPr>
          <w:vertAlign w:val="subscript"/>
        </w:rPr>
        <w:t>4</w:t>
      </w:r>
      <w:r>
        <w:t>)</w:t>
      </w:r>
      <w:r>
        <w:rPr>
          <w:vertAlign w:val="subscript"/>
        </w:rPr>
        <w:t>2</w:t>
      </w:r>
      <w:r>
        <w:t>coating is simultaneously established onto LRMO cathode by a one‐step mechano‐fusion process. The synergistic co‐functionalization stabilizes the oxygen framework, enhances charge transport, and suppresses oxygen dimerization under high potential. Besides, the amorphous Zr(SO</w:t>
      </w:r>
      <w:r>
        <w:rPr>
          <w:vertAlign w:val="subscript"/>
        </w:rPr>
        <w:t>4</w:t>
      </w:r>
      <w:r>
        <w:t>)</w:t>
      </w:r>
      <w:r>
        <w:rPr>
          <w:vertAlign w:val="subscript"/>
        </w:rPr>
        <w:t>2</w:t>
      </w:r>
      <w:r>
        <w:t>coating evenly adhering onto LRMO bulk ensures long‐term intimate contact with SEs to guarantee electrochemical activities and restrains interfacial parasitic reactions. Consequently, the optimized A‐LRMO cathode exhibits a high discharge capacity of 292 mAh/g at 0.1 C and 81.8% capacity retention after 2000 cycles at 1 C. Pouch cells delivered an areal capacity of 8.5 mAh/cm</w:t>
      </w:r>
      <w:r>
        <w:rPr>
          <w:vertAlign w:val="subscript"/>
        </w:rPr>
        <w:t>2</w:t>
      </w:r>
      <w:r>
        <w:t>with &amp;gt;99.6% Coulombic efficiency. This gradient‐modification strategy offers an effective pathway to improve interfacial stability and accelerate the practical application of LRMO‐based ASSLBs.</w:t>
      </w:r>
    </w:p>
    <w:p>
      <w:pPr>
        <w:spacing w:before="120" w:after="120"/>
      </w:pPr>
      <w:r>
        <w:rPr>
          <w:sz w:val="18"/>
        </w:rPr>
        <w:t>——————————————————————————————————————————————————————————————————————</w:t>
      </w:r>
    </w:p>
    <w:p>
      <w:pPr>
        <w:spacing w:before="160" w:after="40" w:line="240" w:lineRule="auto"/>
      </w:pPr>
      <w:r>
        <w:rPr>
          <w:b/>
        </w:rPr>
        <w:t xml:space="preserve">[486] </w:t>
      </w:r>
      <w:hyperlink r:id="rId747">
        <w:r>
          <w:rPr>
            <w:color w:val="1155CC"/>
            <w:u w:val="single"/>
          </w:rPr>
          <w:t>孔中半导体的空间分子工程,在被倒置的 Perovskite太阳能电池室中实现记录效率和可变性</w:t>
        </w:r>
      </w:hyperlink>
    </w:p>
    <w:p>
      <w:pPr>
        <w:spacing w:before="0" w:after="80"/>
      </w:pPr>
      <w:r>
        <w:rPr>
          <w:i/>
          <w:sz w:val="20"/>
        </w:rPr>
        <w:t>EN: Spatial Molecular Engineering of Hole Semiconductors Enables Record Efficiency and Durability in Inverted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2026-01-28 10:43:26+00:00</w:t>
      </w:r>
      <w:r>
        <w:t xml:space="preserve">    </w:t>
      </w:r>
      <w:r>
        <w:rPr>
          <w:b/>
        </w:rPr>
        <w:t xml:space="preserve">DOI: </w:t>
      </w:r>
      <w:hyperlink r:id="rId748">
        <w:r>
          <w:rPr>
            <w:color w:val="1155CC"/>
            <w:u w:val="single"/>
          </w:rPr>
          <w:t>10.1002/anie.202523665</w:t>
        </w:r>
      </w:hyperlink>
    </w:p>
    <w:p>
      <w:pPr>
        <w:spacing w:before="0" w:after="120"/>
      </w:pPr>
      <w:r>
        <w:rPr>
          <w:b/>
        </w:rPr>
        <w:t xml:space="preserve">Notes: </w:t>
      </w:r>
      <w:r>
        <w:t>abstract_source=crossref</w:t>
      </w:r>
    </w:p>
    <w:p>
      <w:pPr>
        <w:spacing w:before="0" w:after="80" w:lineRule="auto" w:line="276"/>
      </w:pPr>
      <w:r>
        <w:rPr>
          <w:b/>
        </w:rPr>
        <w:t xml:space="preserve">摘要（ZH）: </w:t>
      </w:r>
      <w:r>
        <w:t>ABSTACT 常规小型分子洞式运输材料(SMHTMs)虽然具有很强的形态特征,但通常受到洞洞流动性有限、相互能源失调和低效电荷抽取的影响,这共同阻碍了电转换效率(PCEs)在倒置的千伏不宁太阳能电池(PSCs)中超过25%以上。 因此,与常规设计范式决裂,为SMHTMs提出了新的空间分子工程,以克服内在限制,同时强化优势。通过空间暴露功能性热循环核心以释放其全部潜力,定制的WH13极大地增强了活性/HTM之间的相互作用,促进了结晶化,并促进了洞的提取。更重要的是,其结果是:通过空间暴露功能性热循环核心以释放其全部潜力,定制的WH13极大地增强了活性/HTM之间的相互作用,促进了结晶化,并促进了洞的提取。</w:t>
      </w:r>
    </w:p>
    <w:p>
      <w:pPr>
        <w:spacing w:before="0" w:after="200" w:lineRule="auto" w:line="276"/>
      </w:pPr>
      <w:r>
        <w:rPr>
          <w:b/>
        </w:rPr>
        <w:t xml:space="preserve">Abstract (EN): </w:t>
      </w:r>
      <w:r>
        <w:t>Conventional small‐molecule hole‐transporting materials (SM‐HTMs), although morphologically robust, typically suffer from limited hole mobility, interfacial energy misalignment, and inefficient charge extraction, which collectively hinder power conversion efficiencies (PCEs) above 25% in inverted perovskite solar cells (PSCs). Herein, breaking from conventional design paradigm, novel spatial molecular engineering was targeted proposed for SM‐HTMs to overcome inherent limitations while reinforcing advantages. By spatially exposing the functional heterocyclic core to release its full potential, the tailored WH13 dramatically enhances the perovskite/HTM interfacial interactions, promotes crystallization, and facilitates hole extraction. More importantly, the resultant planar‐steric architecture enables long‐range π‐stacking order while supporting nanocrystal‐level film‐formation, thereby achieving an optimal balance between charge transport dynamics and morphological features. Consequently, WH13‐based inverted PSCs achieve a champion PCE of 26.6% (certified 26.24%) with exceptional operational stability (&amp;gt;99%, ISOS‐L‐1 500 h), representing the highest efficiency reported to date for SM‐HTM‐based PSCs. This spatial molecular engineering strategy establishes a generalizable design paradigm for next‐generation HTMs, opening a promising pathway toward high‐performance, operationally stable, and commercially viable PSCs.</w:t>
      </w:r>
    </w:p>
    <w:p>
      <w:pPr>
        <w:spacing w:before="120" w:after="120"/>
      </w:pPr>
      <w:r>
        <w:rPr>
          <w:sz w:val="18"/>
        </w:rPr>
        <w:t>——————————————————————————————————————————————————————————————————————</w:t>
      </w:r>
    </w:p>
    <w:p>
      <w:pPr>
        <w:spacing w:before="160" w:after="40" w:line="240" w:lineRule="auto"/>
      </w:pPr>
      <w:r>
        <w:rPr>
          <w:b/>
        </w:rPr>
        <w:t xml:space="preserve">[487] </w:t>
      </w:r>
      <w:hyperlink r:id="rId749">
        <w:r>
          <w:rPr>
            <w:color w:val="1155CC"/>
            <w:u w:val="single"/>
          </w:rPr>
          <w:t>Diazapyrene Corrystal 中可编程的氮化物,其重量超过1.2倍</w:t>
        </w:r>
      </w:hyperlink>
    </w:p>
    <w:p>
      <w:pPr>
        <w:spacing w:before="0" w:after="80"/>
      </w:pPr>
      <w:r>
        <w:rPr>
          <w:i/>
          <w:sz w:val="20"/>
        </w:rPr>
        <w:t>EN: Programmable Anisotropic in Diazapyrene Cocrystals With Birefringence Exceeding 1.2</w:t>
      </w:r>
    </w:p>
    <w:p>
      <w:pPr>
        <w:spacing w:before="0" w:after="120"/>
      </w:pPr>
      <w:r>
        <w:rPr>
          <w:b/>
        </w:rPr>
        <w:t xml:space="preserve">Source: </w:t>
      </w:r>
      <w:r>
        <w:t>Wiley: Angewandte Chemie International Edition: Table of Contents</w:t>
      </w:r>
      <w:r>
        <w:t xml:space="preserve">    </w:t>
      </w:r>
      <w:r>
        <w:rPr>
          <w:b/>
        </w:rPr>
        <w:t xml:space="preserve">Pub date: </w:t>
      </w:r>
      <w:r>
        <w:t>2026-01-28 10:44:40+00:00</w:t>
      </w:r>
      <w:r>
        <w:t xml:space="preserve">    </w:t>
      </w:r>
      <w:r>
        <w:rPr>
          <w:b/>
        </w:rPr>
        <w:t xml:space="preserve">DOI: </w:t>
      </w:r>
      <w:hyperlink r:id="rId750">
        <w:r>
          <w:rPr>
            <w:color w:val="1155CC"/>
            <w:u w:val="single"/>
          </w:rPr>
          <w:t>10.1002/anie.202524207</w:t>
        </w:r>
      </w:hyperlink>
    </w:p>
    <w:p>
      <w:pPr>
        <w:spacing w:before="0" w:after="120"/>
      </w:pPr>
      <w:r>
        <w:rPr>
          <w:b/>
        </w:rPr>
        <w:t xml:space="preserve">Notes: </w:t>
      </w:r>
      <w:r>
        <w:t>abstract_source=crossref</w:t>
      </w:r>
    </w:p>
    <w:p>
      <w:pPr>
        <w:spacing w:before="0" w:after="80" w:lineRule="auto" w:line="276"/>
      </w:pPr>
      <w:r>
        <w:rPr>
          <w:b/>
        </w:rPr>
        <w:t xml:space="preserve">摘要（ZH）: </w:t>
      </w:r>
      <w:r>
        <w:t>Birefringingent 晶体是两极化控制和非线性光学中角相匹配的基础,因此吸引了持续的兴趣。然而,实现大双折率(n)在很大程度上取决于由天然丰度或可持续性有限且影响有限的金属构成的无机框架。相比之下,有机凝固器提供简单的准备和容易处理的金枪鱼包装。在这里,我们设计了一系列二丙烯衍生物,并获得13个晶体,包括3个单子成分晶体和10个与3个不同的苯衍生物分别形成的2个成分共晶体,其晶体包装的厌性可编程产生n = 0.152-1.269。两种成分,即:</w:t>
      </w:r>
    </w:p>
    <w:p>
      <w:pPr>
        <w:spacing w:before="0" w:after="200" w:lineRule="auto" w:line="276"/>
      </w:pPr>
      <w:r>
        <w:rPr>
          <w:b/>
        </w:rPr>
        <w:t xml:space="preserve">Abstract (EN): </w:t>
      </w:r>
      <w:r>
        <w:t>Birefringent crystals underpin polarization control and angular phase matching in nonlinear optics and therefore, attract sustained interest. However, achieving large birefringence (Δn) has largely depended on inorganic frameworks composed of metals with limited natural abundance or sustainability concerns. By contrast, organic cocrystals offer simple preparation and readily tunable packing. Here we design a series of diazapyrene derivatives and obtain 13 crystals, including three single‐component crystals and ten two‐component cocrystals formed separately with three distinct benzene derivatives, whose crystal‐packing anisotropy can be programmed to yield Δ</w:t>
      </w:r>
      <w:r>
        <w:t xml:space="preserve"> </w:t>
      </w:r>
      <w:r>
        <w:t>n</w:t>
      </w:r>
      <w:r>
        <w:t xml:space="preserve"> </w:t>
      </w:r>
      <w:r>
        <w:t>= 0.152–1.269. Two compositions,</w:t>
      </w:r>
      <w:r>
        <w:t xml:space="preserve"> </w:t>
      </w:r>
      <w:r>
        <w:t>D27N</w:t>
      </w:r>
      <w:r>
        <w:t xml:space="preserve"> </w:t>
      </w:r>
      <w:r>
        <w:t>and</w:t>
      </w:r>
      <w:r>
        <w:t xml:space="preserve"> </w:t>
      </w:r>
      <w:r>
        <w:t>D13N</w:t>
      </w:r>
      <w:r>
        <w:t xml:space="preserve"> </w:t>
      </w:r>
      <w:r>
        <w:t>, combine suitable optical band gaps with exceptional birefringence (Δ</w:t>
      </w:r>
      <w:r>
        <w:t xml:space="preserve"> </w:t>
      </w:r>
      <w:r>
        <w:t>n</w:t>
      </w:r>
      <w:r>
        <w:t xml:space="preserve"> </w:t>
      </w:r>
      <w:r>
        <w:t>= 1.223 and 1.269 at 546 nm, respectively), ranking among the highest reported for purely organic crystals, and under identical conditions, surpassing all reported inorganic birefringent crystals. Across the series, we uncover a Boltzmann‐type relationship between Δ</w:t>
      </w:r>
      <w:r>
        <w:t xml:space="preserve"> </w:t>
      </w:r>
      <w:r>
        <w:t>n</w:t>
      </w:r>
      <w:r>
        <w:t xml:space="preserve"> </w:t>
      </w:r>
      <w:r>
        <w:t>and a geometric descriptor Δ</w:t>
      </w:r>
      <w:r>
        <w:t xml:space="preserve"> </w:t>
      </w:r>
      <w:r>
        <w:t>S</w:t>
      </w:r>
      <w:r>
        <w:t xml:space="preserve"> </w:t>
      </w:r>
      <w:r>
        <w:t>(minimal/maximal projected area of the conjugated core on crystallographic planes), thereby quantitatively linking molecular‐level packing anisotropy to macroscopic Δ</w:t>
      </w:r>
      <w:r>
        <w:t xml:space="preserve"> </w:t>
      </w:r>
      <w:r>
        <w:t>n</w:t>
      </w:r>
      <w:r>
        <w:t xml:space="preserve"> </w:t>
      </w:r>
      <w:r>
        <w:t>. Cocrystal engineering also modulates second‐order nonlinear optical responses, including symmetry control and second‐harmonic generation tuning. This work establishes a metal‐free, designable route to high‐Δ</w:t>
      </w:r>
      <w:r>
        <w:t xml:space="preserve"> </w:t>
      </w:r>
      <w:r>
        <w:t>n</w:t>
      </w:r>
      <w:r>
        <w:t xml:space="preserve"> </w:t>
      </w:r>
      <w:r>
        <w:t>optical crystals and provides a predictive metric for anisotropy‐driven materials discovery.</w:t>
      </w:r>
    </w:p>
    <w:p>
      <w:pPr>
        <w:spacing w:before="120" w:after="120"/>
      </w:pPr>
      <w:r>
        <w:rPr>
          <w:sz w:val="18"/>
        </w:rPr>
        <w:t>——————————————————————————————————————————————————————————————————————</w:t>
      </w:r>
    </w:p>
    <w:p>
      <w:pPr>
        <w:spacing w:before="160" w:after="40" w:line="240" w:lineRule="auto"/>
      </w:pPr>
      <w:r>
        <w:rPr>
          <w:b/>
        </w:rPr>
        <w:t xml:space="preserve">[488] </w:t>
      </w:r>
      <w:hyperlink r:id="rId751">
        <w:r>
          <w:rPr>
            <w:color w:val="1155CC"/>
            <w:u w:val="single"/>
          </w:rPr>
          <w:t>丙基环烷基烷基甲酸酯获得基拉1,4-二苯的对等选择性结合</w:t>
        </w:r>
      </w:hyperlink>
    </w:p>
    <w:p>
      <w:pPr>
        <w:spacing w:before="0" w:after="80"/>
      </w:pPr>
      <w:r>
        <w:rPr>
          <w:i/>
          <w:sz w:val="20"/>
        </w:rPr>
        <w:t>EN: Iridium‐Catalyzed Enantioselective Allylation of Alkynylboronates to Access Chiral 1,4‐Dienes</w:t>
      </w:r>
    </w:p>
    <w:p>
      <w:pPr>
        <w:spacing w:before="0" w:after="120"/>
      </w:pPr>
      <w:r>
        <w:rPr>
          <w:b/>
        </w:rPr>
        <w:t xml:space="preserve">Source: </w:t>
      </w:r>
      <w:r>
        <w:t>Wiley: Angewandte Chemie International Edition: Table of Contents</w:t>
      </w:r>
      <w:r>
        <w:t xml:space="preserve">    </w:t>
      </w:r>
      <w:r>
        <w:rPr>
          <w:b/>
        </w:rPr>
        <w:t xml:space="preserve">Pub date: </w:t>
      </w:r>
      <w:r>
        <w:t>2026-01-28 10:51:00+00:00</w:t>
      </w:r>
      <w:r>
        <w:t xml:space="preserve">    </w:t>
      </w:r>
      <w:r>
        <w:rPr>
          <w:b/>
        </w:rPr>
        <w:t xml:space="preserve">DOI: </w:t>
      </w:r>
      <w:hyperlink r:id="rId752">
        <w:r>
          <w:rPr>
            <w:color w:val="1155CC"/>
            <w:u w:val="single"/>
          </w:rPr>
          <w:t>10.1002/anie.202523810</w:t>
        </w:r>
      </w:hyperlink>
    </w:p>
    <w:p>
      <w:pPr>
        <w:spacing w:before="0" w:after="120"/>
      </w:pPr>
      <w:r>
        <w:rPr>
          <w:b/>
        </w:rPr>
        <w:t xml:space="preserve">Notes: </w:t>
      </w:r>
      <w:r>
        <w:t>abstract_source=crossref</w:t>
      </w:r>
    </w:p>
    <w:p>
      <w:pPr>
        <w:spacing w:before="0" w:after="80" w:lineRule="auto" w:line="276"/>
      </w:pPr>
      <w:r>
        <w:rPr>
          <w:b/>
        </w:rPr>
        <w:t xml:space="preserve">摘要（ZH）: </w:t>
      </w:r>
      <w:r>
        <w:t>ABSTACT 跳过的didnes,特别是1,4,在制药和有机合成中起着重要作用,因为它们是建筑复杂结构以及生物活分子的关键中间体,但是,从随时可得的起始材料中产生高立立体选择性的这种分子体的催化组装仍然是一个巨大的合成挑战。</w:t>
      </w:r>
    </w:p>
    <w:p>
      <w:pPr>
        <w:spacing w:before="0" w:after="200" w:lineRule="auto" w:line="276"/>
      </w:pPr>
      <w:r>
        <w:rPr>
          <w:b/>
        </w:rPr>
        <w:t xml:space="preserve">Abstract (EN): </w:t>
      </w:r>
      <w:r>
        <w:t>Skipped dienes, particularly 1,4‐dienes, play significant roles in pharmaceuticals and organic synthesis as they serve as key intermediates for the construction of complex structures and also bioactive molecules. However, the catalytic assembly of this motif with high stereoselectivity from readily available starting materials remains a substantial synthetic challenge. Herein, we reported a direct iridium‐catalyzed enantioselective allylation reaction with allylic electrophiles and alkynyl boronates, resulting in various 1,4‐dienes with excellent Z/E ratios and enantioselectivity. The reaction proceeds through a concerted mechanism that involves an allylation‐induced 1,2‐migration of the alkynyl boronate, followed by a</w:t>
      </w:r>
      <w:r>
        <w:t xml:space="preserve"> </w:t>
      </w:r>
      <w:r>
        <w:t>syn</w:t>
      </w:r>
      <w:r>
        <w:t xml:space="preserve"> </w:t>
      </w:r>
      <w:r>
        <w:t>‐addition of the migrating group and Ir(</w:t>
      </w:r>
      <w:r>
        <w:t xml:space="preserve"> </w:t>
      </w:r>
      <w:r>
        <w:t>π</w:t>
      </w:r>
      <w:r>
        <w:t xml:space="preserve"> </w:t>
      </w:r>
      <w:r>
        <w:t>‐allyl) complex across the alkynyl fragment to selectively deliver the more challenging Z‐alkenes. DFT calculations clarify the origins of the observed high chemo‐ and stereoselectivity. Furthermore, this method demonstrates a broad substrate scope, and the resulting enantiomerically enriched 1,4‐diene products can be readily derivatized.</w:t>
      </w:r>
    </w:p>
    <w:p>
      <w:pPr>
        <w:spacing w:before="120" w:after="120"/>
      </w:pPr>
      <w:r>
        <w:rPr>
          <w:sz w:val="18"/>
        </w:rPr>
        <w:t>——————————————————————————————————————————————————————————————————————</w:t>
      </w:r>
    </w:p>
    <w:p>
      <w:pPr>
        <w:spacing w:before="160" w:after="40" w:line="240" w:lineRule="auto"/>
      </w:pPr>
      <w:r>
        <w:rPr>
          <w:b/>
        </w:rPr>
        <w:t xml:space="preserve">[489] </w:t>
      </w:r>
      <w:hyperlink r:id="rId753">
        <w:r>
          <w:rPr>
            <w:color w:val="1155CC"/>
            <w:u w:val="single"/>
          </w:rPr>
          <w:t>[ASAP] N-Type 模拟交换机导导聚合体的两维电子传输</w:t>
        </w:r>
      </w:hyperlink>
    </w:p>
    <w:p>
      <w:pPr>
        <w:spacing w:before="0" w:after="80"/>
      </w:pPr>
      <w:r>
        <w:rPr>
          <w:i/>
          <w:sz w:val="20"/>
        </w:rPr>
        <w:t>EN: [ASAP] Two-Dimensional Electron Transport in N-Type Conducting Polymers by Dication Exchange</w:t>
      </w:r>
    </w:p>
    <w:p>
      <w:pPr>
        <w:spacing w:before="0" w:after="120"/>
      </w:pPr>
      <w:r>
        <w:rPr>
          <w:b/>
        </w:rPr>
        <w:t xml:space="preserve">Source: </w:t>
      </w:r>
      <w:r>
        <w:t>Journal of the American Chemical Society: Latest Articles (ACS Publications)</w:t>
      </w:r>
      <w:r>
        <w:t xml:space="preserve">    </w:t>
      </w:r>
      <w:r>
        <w:rPr>
          <w:b/>
        </w:rPr>
        <w:t xml:space="preserve">Pub date: </w:t>
      </w:r>
      <w:r>
        <w:t>2026-01-28 10:52:43+00:00</w:t>
      </w:r>
      <w:r>
        <w:t xml:space="preserve">    </w:t>
      </w:r>
      <w:r>
        <w:rPr>
          <w:b/>
        </w:rPr>
        <w:t xml:space="preserve">DOI: </w:t>
      </w:r>
      <w:hyperlink r:id="rId754">
        <w:r>
          <w:rPr>
            <w:color w:val="1155CC"/>
            <w:u w:val="single"/>
          </w:rPr>
          <w:t>10.1021/jacs.5c17758</w:t>
        </w:r>
      </w:hyperlink>
    </w:p>
    <w:p>
      <w:pPr>
        <w:spacing w:before="0" w:after="120"/>
      </w:pPr>
      <w:r>
        <w:rPr>
          <w:b/>
        </w:rPr>
        <w:t xml:space="preserve">Notes: </w:t>
      </w:r>
      <w:r>
        <w:t>abstract_source=pubmed</w:t>
      </w:r>
    </w:p>
    <w:p>
      <w:pPr>
        <w:spacing w:before="0" w:after="80" w:lineRule="auto" w:line="276"/>
      </w:pPr>
      <w:r>
        <w:rPr>
          <w:b/>
        </w:rPr>
        <w:t xml:space="preserve">摘要（ZH）: </w:t>
      </w:r>
      <w:r>
        <w:t>据了解,链内电荷迁移的局限性和跨链运输的低效率极大地阻碍了有机导体聚合物的电传导,与链内电子运输相比,实现高效的跨链运输仍然是N型聚合物输送方面的重大挑战。聚合物链在采用协同反制的同时保持弱弱的库伦互动能够形成双维运输方式并大大提高电子传导性。在这项工作中,我们用高剂量的n型电传聚合物调查了离子交换过程,其名称是聚苯二硫磷(PBBFDO),具有不同等值状态,其中包括质子的专用交换。</w:t>
      </w:r>
    </w:p>
    <w:p>
      <w:pPr>
        <w:spacing w:before="0" w:after="200" w:lineRule="auto" w:line="276"/>
      </w:pPr>
      <w:r>
        <w:rPr>
          <w:b/>
        </w:rPr>
        <w:t xml:space="preserve">Abstract (EN): </w:t>
      </w:r>
      <w:r>
        <w:t>The limitation of intrachain charge delocalization and the low efficiency of interchain hopping transport are known to greatly impede the electrical conductivity of organic conducting polymers. In comparison with intrachain electron transport, the achievement of efficient interchain transport remains a significant challenge in n-type conducting polymers. Electron delocalization between polymer chains upon introducing conjugated counterions while keeping weak Coulombic interactions is able to form two-dimensional transport ways and greatly increase the electrical conductivity. In this work, we investigated the ion-exchange process in a highly doped n-type conducting polymer, named poly(benzodifurandione) (PBFDO), with cations of varied valence states. Among them, dication exchange of proton (H+) on PBFDO resulted in significantly enhanced electrical conductivity, which was attributed to the increased electron transport and an improved microstructure, by diminished Coulomb interactions and a strong interchain charge transport. Notably, the tight intermolecular stacking and enhanced electron transport led to the redistribution of electron density of states which together contributed to the metallic conduction behavior after the dication exchange. This work highlights the potential of the dication-exchange strategy as a versatile tool for tailoring the electronic properties of n-type conducting polymers, paving the way for next-generation organic electronic devices.</w:t>
      </w:r>
    </w:p>
    <w:p>
      <w:pPr>
        <w:spacing w:before="120" w:after="120"/>
      </w:pPr>
      <w:r>
        <w:rPr>
          <w:sz w:val="18"/>
        </w:rPr>
        <w:t>——————————————————————————————————————————————————————————————————————</w:t>
      </w:r>
    </w:p>
    <w:p>
      <w:pPr>
        <w:spacing w:before="160" w:after="40" w:line="240" w:lineRule="auto"/>
      </w:pPr>
      <w:r>
        <w:rPr>
          <w:b/>
        </w:rPr>
        <w:t xml:space="preserve">[490] </w:t>
      </w:r>
      <w:hyperlink r:id="rId755">
        <w:r>
          <w:rPr>
            <w:color w:val="1155CC"/>
            <w:u w:val="single"/>
          </w:rPr>
          <w:t>稳定 Perovskite太阳能电池的有机电子运输图层的热-结链连接,由Situ 声波共振解码</w:t>
        </w:r>
      </w:hyperlink>
    </w:p>
    <w:p>
      <w:pPr>
        <w:spacing w:before="0" w:after="80"/>
      </w:pPr>
      <w:r>
        <w:rPr>
          <w:i/>
          <w:sz w:val="20"/>
        </w:rPr>
        <w:t>EN: Thermo‐Crosslinking Organic Electron Transport Layers for Stable Perovskite Solar Cells Decoded by In Situ Acoustic Resonance</w:t>
      </w:r>
    </w:p>
    <w:p>
      <w:pPr>
        <w:spacing w:before="0" w:after="120"/>
      </w:pPr>
      <w:r>
        <w:rPr>
          <w:b/>
        </w:rPr>
        <w:t xml:space="preserve">Source: </w:t>
      </w:r>
      <w:r>
        <w:t>Wiley: Advanced Materials: Table of Contents</w:t>
      </w:r>
      <w:r>
        <w:t xml:space="preserve">    </w:t>
      </w:r>
      <w:r>
        <w:rPr>
          <w:b/>
        </w:rPr>
        <w:t xml:space="preserve">Pub date: </w:t>
      </w:r>
      <w:r>
        <w:t>2026-01-28 10:53:13+00:00</w:t>
      </w:r>
      <w:r>
        <w:t xml:space="preserve">    </w:t>
      </w:r>
      <w:r>
        <w:rPr>
          <w:b/>
        </w:rPr>
        <w:t xml:space="preserve">DOI: </w:t>
      </w:r>
      <w:hyperlink r:id="rId756">
        <w:r>
          <w:rPr>
            <w:color w:val="1155CC"/>
            <w:u w:val="single"/>
          </w:rPr>
          <w:t>10.1002/adma.202522652</w:t>
        </w:r>
      </w:hyperlink>
    </w:p>
    <w:p>
      <w:pPr>
        <w:spacing w:before="0" w:after="120"/>
      </w:pPr>
      <w:r>
        <w:rPr>
          <w:b/>
        </w:rPr>
        <w:t xml:space="preserve">Notes: </w:t>
      </w:r>
      <w:r>
        <w:t>abstract_source=crossref</w:t>
      </w:r>
    </w:p>
    <w:p>
      <w:pPr>
        <w:spacing w:before="0" w:after="80" w:lineRule="auto" w:line="276"/>
      </w:pPr>
      <w:r>
        <w:rPr>
          <w:b/>
        </w:rPr>
        <w:t xml:space="preserve">摘要（ZH）: </w:t>
      </w:r>
      <w:r>
        <w:t>电子运输层(ETL)在确定有结构的无机绝缘太阳能电池(PSCs)的跨度完整性和运行强度方面发挥着关键作用。基于无机的常规锡氧化物的无机性电子运输层经常受到固有点缺陷的困扰,而有机小型分子的装置效率和耐久性往往有限。在本研究中,我们提出了一个创新分子设计战略,通过开发热连接有机电子运输层来克服这些长期存在的跨面挑战。新有机电子运输材料(ETMs)通过战略性地将可导导导导的交叉试用或氧化物功能组纳入n,成功地设计了新有机电子运输材料(ETMs)。</w:t>
      </w:r>
    </w:p>
    <w:p>
      <w:pPr>
        <w:spacing w:before="0" w:after="200" w:lineRule="auto" w:line="276"/>
      </w:pPr>
      <w:r>
        <w:rPr>
          <w:b/>
        </w:rPr>
        <w:t xml:space="preserve">Abstract (EN): </w:t>
      </w:r>
      <w:r>
        <w:t>Electron transport layer (ETL) plays a pivotal role in determining the interfacial integrity and operational robustness of</w:t>
      </w:r>
      <w:r>
        <w:t xml:space="preserve"> </w:t>
      </w:r>
      <w:r>
        <w:t>n‐i‐p</w:t>
      </w:r>
      <w:r>
        <w:t xml:space="preserve"> </w:t>
      </w:r>
      <w:r>
        <w:t>structured perovskite solar cells (PSCs). Conventional tin oxide based inorganic ETLs are often plagued by inherent point defects, while organic small‐molecule ones frequently suffer from limited device efficiency and durability. In this study, we present an innovative molecular design strategy via developing thermo‐crosslinking organic ETLs to overcome these persistent interfacial challenges. Novel organic electron transport materials (ETMs) have been successfully designed by strategically incorporating heat‐inducible cross‐linking triallyl or oxetane functional groups into naphthalene diimide‐based conjugation scaffold, respectively. Such cross‐linkable ETMs exhibit exceptional electronic properties, facile heat‐induced film‐forming capability, and enhanced charge transport. Specifically, featuring optimized energy level alignment and superior surface wettability, oxetane‐functionalized ETL endowed</w:t>
      </w:r>
      <w:r>
        <w:t xml:space="preserve"> </w:t>
      </w:r>
      <w:r>
        <w:t>n‐i‐p</w:t>
      </w:r>
      <w:r>
        <w:t xml:space="preserve"> </w:t>
      </w:r>
      <w:r>
        <w:t>structured PSCs with a champion power conversion efficiency of 25.23%, among the highest values reported for organic ETL‐based devices. Non‐destructive ultrasonic testing and accelerated aging assessments have been explored for the first time to decode the substantial improvements in interfacial robustness and operational stability under thermal (85°C) and humid conditions (65% relative humidity). This work establishes a versatile material design paradigm for developing robust organic ETLs, paving the way for high‐performance and durable perovskite photovoltaics.</w:t>
      </w:r>
    </w:p>
    <w:p>
      <w:pPr>
        <w:spacing w:before="120" w:after="120"/>
      </w:pPr>
      <w:r>
        <w:rPr>
          <w:sz w:val="18"/>
        </w:rPr>
        <w:t>——————————————————————————————————————————————————————————————————————</w:t>
      </w:r>
    </w:p>
    <w:p>
      <w:pPr>
        <w:spacing w:before="160" w:after="40" w:line="240" w:lineRule="auto"/>
      </w:pPr>
      <w:r>
        <w:rPr>
          <w:b/>
        </w:rPr>
        <w:t xml:space="preserve">[491] </w:t>
      </w:r>
      <w:hyperlink r:id="rId757">
        <w:r>
          <w:rPr>
            <w:color w:val="1155CC"/>
            <w:u w:val="single"/>
          </w:rPr>
          <w:t>通过在非自然有机硫化物方面基于增长的选取结果,通过对非自然有机硫化物进行脱卤酶</w:t>
        </w:r>
      </w:hyperlink>
    </w:p>
    <w:p>
      <w:pPr>
        <w:spacing w:before="0" w:after="80"/>
      </w:pPr>
      <w:r>
        <w:rPr>
          <w:i/>
          <w:sz w:val="20"/>
        </w:rPr>
        <w:t>EN: Engineering Fluoroacetate Dehalogenase by Growth‐Based Selections on Non‐Natural Organofluorides</w:t>
      </w:r>
    </w:p>
    <w:p>
      <w:pPr>
        <w:spacing w:before="0" w:after="120"/>
      </w:pPr>
      <w:r>
        <w:rPr>
          <w:b/>
        </w:rPr>
        <w:t xml:space="preserve">Source: </w:t>
      </w:r>
      <w:r>
        <w:t>Wiley: Angewandte Chemie International Edition: Table of Contents</w:t>
      </w:r>
      <w:r>
        <w:t xml:space="preserve">    </w:t>
      </w:r>
      <w:r>
        <w:rPr>
          <w:b/>
        </w:rPr>
        <w:t xml:space="preserve">Pub date: </w:t>
      </w:r>
      <w:r>
        <w:t>2026-01-28 10:57:17+00:00</w:t>
      </w:r>
      <w:r>
        <w:t xml:space="preserve">    </w:t>
      </w:r>
      <w:r>
        <w:rPr>
          <w:b/>
        </w:rPr>
        <w:t xml:space="preserve">DOI: </w:t>
      </w:r>
      <w:hyperlink r:id="rId758">
        <w:r>
          <w:rPr>
            <w:color w:val="1155CC"/>
            <w:u w:val="single"/>
          </w:rPr>
          <w:t>10.1002/anie.202524234</w:t>
        </w:r>
      </w:hyperlink>
    </w:p>
    <w:p>
      <w:pPr>
        <w:spacing w:before="0" w:after="120"/>
      </w:pPr>
      <w:r>
        <w:rPr>
          <w:b/>
        </w:rPr>
        <w:t xml:space="preserve">Notes: </w:t>
      </w:r>
      <w:r>
        <w:t>abstract_source=crossref</w:t>
      </w:r>
    </w:p>
    <w:p>
      <w:pPr>
        <w:spacing w:before="0" w:after="80" w:lineRule="auto" w:line="276"/>
      </w:pPr>
      <w:r>
        <w:rPr>
          <w:b/>
        </w:rPr>
        <w:t xml:space="preserve">摘要（ZH）: </w:t>
      </w:r>
      <w:r>
        <w:t>现代社会广泛使用有机甘油溶解剂,无意中导致有害污染物,最突出的全氟和多氟烷基物质(PFAS)的生物累积,原则上,能够切开C-F债券的量身定制生物催化剂是应对这一(新出现)环境危机的有吸引力的战略,然而,大自然在很大程度上对C-F债券是不偏不倚的,氟乙酸脱卤酶(FACDs)站在外,以高更替率催化氟乙酸盐中单一C-F债券的水解。</w:t>
      </w:r>
    </w:p>
    <w:p>
      <w:pPr>
        <w:spacing w:before="0" w:after="200" w:lineRule="auto" w:line="276"/>
      </w:pPr>
      <w:r>
        <w:rPr>
          <w:b/>
        </w:rPr>
        <w:t xml:space="preserve">Abstract (EN): </w:t>
      </w:r>
      <w:r>
        <w:t>The widespread use of organofluorides in modern society has inadvertently led to the bioaccumulation of harmful pollutants, most prominently per‐ and polyfluorinated alkyl substances (PFAS). In principle, tailored biocatalysts able to cleave C─F bonds represent an attractive strategy to combat this (emerging) environmental crisis. However, Nature is largely impartial to C─F bonds, with fluoroacetate dehalogenases (FAcDs) standing out by catalyzing the hydrolysis of single C─F bonds in fluoroacetate at high turnover rates. To harness its catalytic prowess for non‐natural organofluorides, we designed and applied a robust growth‐based selection strategy for large‐scale FAcD engineering. Specifically, we demonstrate that FAcD‐catalyzed C─F bond cleavage of (natural and) synthetic organofluorides generates metabolizable carbon sources for bacteria, enabling in vivo enrichment of active FAcD variants. By forcing populations expressing diverse FAcD‐libraries to utilize various organofluorides as sole carbon source, we elicited a panel of FAcD variants with improved activities and altered substrate profiles for fluoroacetate, 2‐fluoropropionate, and 2,2‐difluoroacetate. In these efforts, we also identified a previously overlooked inhibition pathway, which impedes the conversion of gem‐difluoride compounds. Overall, our study presents the first large‐scale engineering campaign of FAcDs and introduces an operationally simple selection platform to adapt these enzymes for the sustainable degradation of contaminating organofluorides.</w:t>
      </w:r>
    </w:p>
    <w:p>
      <w:pPr>
        <w:spacing w:before="120" w:after="120"/>
      </w:pPr>
      <w:r>
        <w:rPr>
          <w:sz w:val="18"/>
        </w:rPr>
        <w:t>——————————————————————————————————————————————————————————————————————</w:t>
      </w:r>
    </w:p>
    <w:p>
      <w:pPr>
        <w:spacing w:before="160" w:after="40" w:line="240" w:lineRule="auto"/>
      </w:pPr>
      <w:r>
        <w:rPr>
          <w:b/>
        </w:rPr>
        <w:t xml:space="preserve">[492] </w:t>
      </w:r>
      <w:hyperlink r:id="rId759">
        <w:r>
          <w:rPr>
            <w:color w:val="1155CC"/>
            <w:u w:val="single"/>
          </w:rPr>
          <w:t>用于复杂 3D 时钟的可编程的双轴轴滚动螺旋板</w:t>
        </w:r>
      </w:hyperlink>
    </w:p>
    <w:p>
      <w:pPr>
        <w:spacing w:before="0" w:after="80"/>
      </w:pPr>
      <w:r>
        <w:rPr>
          <w:i/>
          <w:sz w:val="20"/>
        </w:rPr>
        <w:t>EN: Bioinspired Programmable Biaxial Rolling Gel Sheets for Complex 3D Morphing</w:t>
      </w:r>
    </w:p>
    <w:p>
      <w:pPr>
        <w:spacing w:before="0" w:after="120"/>
      </w:pPr>
      <w:r>
        <w:rPr>
          <w:b/>
        </w:rPr>
        <w:t xml:space="preserve">Source: </w:t>
      </w:r>
      <w:r>
        <w:t>Wiley: Advanced Materials: Table of Contents</w:t>
      </w:r>
      <w:r>
        <w:t xml:space="preserve">    </w:t>
      </w:r>
      <w:r>
        <w:rPr>
          <w:b/>
        </w:rPr>
        <w:t xml:space="preserve">Pub date: </w:t>
      </w:r>
      <w:r>
        <w:t>2026-01-28 11:03:21+00:00</w:t>
      </w:r>
      <w:r>
        <w:t xml:space="preserve">    </w:t>
      </w:r>
      <w:r>
        <w:rPr>
          <w:b/>
        </w:rPr>
        <w:t xml:space="preserve">DOI: </w:t>
      </w:r>
      <w:hyperlink r:id="rId760">
        <w:r>
          <w:rPr>
            <w:color w:val="1155CC"/>
            <w:u w:val="single"/>
          </w:rPr>
          <w:t>10.1002/adma.202519226</w:t>
        </w:r>
      </w:hyperlink>
    </w:p>
    <w:p>
      <w:pPr>
        <w:spacing w:before="0" w:after="120"/>
      </w:pPr>
      <w:r>
        <w:rPr>
          <w:b/>
        </w:rPr>
        <w:t xml:space="preserve">Notes: </w:t>
      </w:r>
      <w:r>
        <w:t>abstract_source=crossref</w:t>
      </w:r>
    </w:p>
    <w:p>
      <w:pPr>
        <w:spacing w:before="0" w:after="80" w:lineRule="auto" w:line="276"/>
      </w:pPr>
      <w:r>
        <w:rPr>
          <w:b/>
        </w:rPr>
        <w:t xml:space="preserve">摘要（ZH）: </w:t>
      </w:r>
      <w:r>
        <w:t>形状变形 gels 在广泛领域,包括软机器人、灵活电子和智能医学,已经显示出很有希望的应用,大部分努力都集中在两层结构的形状变形材料的快速反应和多反应上。然而,实现双轴滚动和可控曲度仍然是一个严峻的挑战。在松锥体规模的血压结构的启发下,我们在松锥体规模的血压结构的启发下,报告了一种由湿力驱动的 3D 间聚合(WETDDIP) 战略建造的正弦性体状体状体状体状体状体状体状体状体状体状体状体状体状体状体状体状体状体状体状体型体型体型体型体型体型体型体型体型体型体型体型体型体型体型体型体型体型体型体型体型体型体型体型体型体型体型体型体型体型体型体型体型体型体型体型体型体型体型体型体型体型体型体型体型体型体型</w:t>
      </w:r>
    </w:p>
    <w:p>
      <w:pPr>
        <w:spacing w:before="0" w:after="200" w:lineRule="auto" w:line="276"/>
      </w:pPr>
      <w:r>
        <w:rPr>
          <w:b/>
        </w:rPr>
        <w:t xml:space="preserve">Abstract (EN): </w:t>
      </w:r>
      <w:r>
        <w:t>Shape‐morphing gels have shown promising applications in widespread fields, including soft robotics, flexible electronics, and smart medicine. The majority of efforts have been focused on rapid response and multi‐responsiveness of shape‐morphing materials with bilayer structure. However, achieving biaxial rolling with controllable curvature remains a critical challenge. Herein, inspired by the hygroscopic heterostructures in pine cone scale, we report a sinusoidal‐patterned hydrogel‐semi‐embedded‐organogel (HSEO) sheet constructed by wetting‐enabled 3D interfacial polymerization (WET‐DIP) strategy. The sinusoidal pattern serves as a programmable geometric template to redistribute anisotropic stress spatially. By tuning sinusoidal pattern parameters, we realize biaxial morphing and the modulation of longitudinal and transversal curvatures, consistent with the results of finite element analysis (FEA). The semi‐embedded heterostructure offers compressive force on the organogel to overcome isotropic stress limitations. Notably, this design leverages the sinusoidal periodic topology and semi‐embedded structure to precisely modulate stress distribution, enabling counterintuitive rolling behaviors and complex 3D transformations. This work pioneers a counterintuitive and programmable shape‐morphing mechanism for complex 3D architectures, offering a perspective for novel soft actuators.</w:t>
      </w:r>
    </w:p>
    <w:p>
      <w:pPr>
        <w:spacing w:before="120" w:after="120"/>
      </w:pPr>
      <w:r>
        <w:rPr>
          <w:sz w:val="18"/>
        </w:rPr>
        <w:t>——————————————————————————————————————————————————————————————————————</w:t>
      </w:r>
    </w:p>
    <w:p>
      <w:pPr>
        <w:spacing w:before="160" w:after="40" w:line="240" w:lineRule="auto"/>
      </w:pPr>
      <w:r>
        <w:rPr>
          <w:b/>
        </w:rPr>
        <w:t xml:space="preserve">[493] </w:t>
      </w:r>
      <w:hyperlink r:id="rId761">
        <w:r>
          <w:rPr>
            <w:color w:val="1155CC"/>
            <w:u w:val="single"/>
          </w:rPr>
          <w:t>[ASAP] 强烈阿尔基尔C(sp3)-通过Triflyl激活而启用的硫烷化物H债券的Iridium-C(sp3)-C(H)</w:t>
        </w:r>
      </w:hyperlink>
    </w:p>
    <w:p>
      <w:pPr>
        <w:spacing w:before="0" w:after="80"/>
      </w:pPr>
      <w:r>
        <w:rPr>
          <w:i/>
          <w:sz w:val="20"/>
        </w:rPr>
        <w:t>EN: [ASAP] Iridium-Catalyzed Borylation of Strong Alkyl C(sp3)–H Bonds of Sulfonamides Enabled by Triflyl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2026-01-28 11:04:55+00:00</w:t>
      </w:r>
      <w:r>
        <w:t xml:space="preserve">    </w:t>
      </w:r>
      <w:r>
        <w:rPr>
          <w:b/>
        </w:rPr>
        <w:t xml:space="preserve">DOI: </w:t>
      </w:r>
      <w:hyperlink r:id="rId762">
        <w:r>
          <w:rPr>
            <w:color w:val="1155CC"/>
            <w:u w:val="single"/>
          </w:rPr>
          <w:t>10.1021/jacs.5c15739</w:t>
        </w:r>
      </w:hyperlink>
    </w:p>
    <w:p>
      <w:pPr>
        <w:spacing w:before="0" w:after="120"/>
      </w:pPr>
      <w:r>
        <w:rPr>
          <w:b/>
        </w:rPr>
        <w:t xml:space="preserve">Notes: </w:t>
      </w:r>
      <w:r>
        <w:t>abstract_source=pubmed</w:t>
      </w:r>
    </w:p>
    <w:p>
      <w:pPr>
        <w:spacing w:before="0" w:after="80" w:lineRule="auto" w:line="276"/>
      </w:pPr>
      <w:r>
        <w:rPr>
          <w:b/>
        </w:rPr>
        <w:t xml:space="preserve">摘要（ZH）: </w:t>
      </w:r>
      <w:r>
        <w:t>开发新的催化方法,使坚固和惰性Sp3 C-H 螺旋3 C-H 键发挥功能,这仍然是合成化学的一个主要关注领域,因为它有可能使制造有机分子的战略发生革命性变革。尽管需求很高,但设计能提供一般平台的活性螺旋和催化剂框架存在困难,限制了其在C-H 软质化领域的探索。在此,我们报告了一项将三氟乙烷磺酰(三氟乙烷)作为活性组和在化下使用商业上可用的离子和催化剂框架,使各种环状和环状氨化的环状和环状氨的螺旋3 C-H 螺旋化战略。</w:t>
      </w:r>
    </w:p>
    <w:p>
      <w:pPr>
        <w:spacing w:before="0" w:after="200" w:lineRule="auto" w:line="276"/>
      </w:pPr>
      <w:r>
        <w:rPr>
          <w:b/>
        </w:rPr>
        <w:t xml:space="preserve">Abstract (EN): </w:t>
      </w:r>
      <w:r>
        <w:t>The development of new catalytic methods for the functionalization of strong and inert sp3 C-H bonds remains a major area of interest in synthetic chemistry, as it holds the potential to revolutionize strategies for constructing organic molecules. Despite the high demand, difficulties associated with the designing of reactive ligand and catalyst frameworks capable of offering a general platform have restricted its exploration in the field of C-H borylation. Herein, we report a strategy for sp3 C-H borylation of a wide range of acyclic and cyclic amines by incorporating trifluoromethanesulfonyl (triflyl) as an activating group and by employing a commercially available ligand under iridium catalysis. This method demonstrates highly selective borylation of primary C-H bonds at various positions (α-, β-, γ-, and δ-) with good to excellent isolated yield of the desired products. A series of control experiments, along with extensive DFT calculations, demonstrated that both electrostatic interactions and the formation of a strong Ir-C bond are essential for stabilizing the key Ir(V) hydride intermediate. Moreover, the utility of our developed method was established through the application in the regiospecific N-centric alkyl chain modification of important amino acid derivatives, affording structurally diverse and high-valued scaffolds.</w:t>
      </w:r>
    </w:p>
    <w:p>
      <w:pPr>
        <w:spacing w:before="120" w:after="120"/>
      </w:pPr>
      <w:r>
        <w:rPr>
          <w:sz w:val="18"/>
        </w:rPr>
        <w:t>——————————————————————————————————————————————————————————————————————</w:t>
      </w:r>
    </w:p>
    <w:p>
      <w:pPr>
        <w:spacing w:before="160" w:after="40" w:line="240" w:lineRule="auto"/>
      </w:pPr>
      <w:r>
        <w:rPr>
          <w:b/>
        </w:rPr>
        <w:t xml:space="preserve">[494] </w:t>
      </w:r>
      <w:hyperlink r:id="rId763">
        <w:r>
          <w:rPr>
            <w:color w:val="1155CC"/>
            <w:u w:val="single"/>
          </w:rPr>
          <w:t>向水晶大型巨层超级冰雪中 垂直自立成水晶体的双立化二分立二癸化二分化的二分化二癸化物</w:t>
        </w:r>
      </w:hyperlink>
    </w:p>
    <w:p>
      <w:pPr>
        <w:spacing w:before="0" w:after="80"/>
      </w:pPr>
      <w:r>
        <w:rPr>
          <w:i/>
          <w:sz w:val="20"/>
        </w:rPr>
        <w:t>EN: Double‐Cyclized Dipeptides for Hierarchical Self‐Assembly Into Crystalline Macroscopic Superhelices</w:t>
      </w:r>
    </w:p>
    <w:p>
      <w:pPr>
        <w:spacing w:before="0" w:after="120"/>
      </w:pPr>
      <w:r>
        <w:rPr>
          <w:b/>
        </w:rPr>
        <w:t xml:space="preserve">Source: </w:t>
      </w:r>
      <w:r>
        <w:t>Wiley: Angewandte Chemie International Edition: Table of Contents</w:t>
      </w:r>
      <w:r>
        <w:t xml:space="preserve">    </w:t>
      </w:r>
      <w:r>
        <w:rPr>
          <w:b/>
        </w:rPr>
        <w:t xml:space="preserve">Pub date: </w:t>
      </w:r>
      <w:r>
        <w:t>2026-01-28 12:31:15+00:00</w:t>
      </w:r>
      <w:r>
        <w:t xml:space="preserve">    </w:t>
      </w:r>
      <w:r>
        <w:rPr>
          <w:b/>
        </w:rPr>
        <w:t xml:space="preserve">DOI: </w:t>
      </w:r>
      <w:hyperlink r:id="rId764">
        <w:r>
          <w:rPr>
            <w:color w:val="1155CC"/>
            <w:u w:val="single"/>
          </w:rPr>
          <w:t>10.1002/anie.2476901</w:t>
        </w:r>
      </w:hyperlink>
    </w:p>
    <w:p>
      <w:pPr>
        <w:spacing w:before="0" w:after="120"/>
      </w:pPr>
      <w:r>
        <w:rPr>
          <w:b/>
        </w:rPr>
        <w:t xml:space="preserve">Notes: </w:t>
      </w:r>
      <w:r>
        <w:t>abstract_source=crossref</w:t>
      </w:r>
    </w:p>
    <w:p>
      <w:pPr>
        <w:spacing w:before="0" w:after="80" w:lineRule="auto" w:line="276"/>
      </w:pPr>
      <w:r>
        <w:rPr>
          <w:b/>
        </w:rPr>
        <w:t xml:space="preserve">摘要（ZH）: </w:t>
      </w:r>
      <w:r>
        <w:t>Cyclic Peptide 由于其持久性结构和特殊生物效应而引起人们的极大关注,它们也是创造功能性手性材料的关键构件。在这里,我们报告了一种双环二极二极二极二极极结构——一种嵌入二极二极二极二极基的宏观循环结构——及其在建造超风化结构中的使用。通过进一步循环利用经修改的环二联苯九,一种大型环环环被嵌入一种环二甲二烯被合成。它的独特、僵硬的结构允许通过自下而起的组装过程在溶液中提供等级的螺旋结构。这些超热结构是宏观结构,其长度达到厘米的长度。这显示了从分子到母体的自下而上、多级的体性能转移。</w:t>
      </w:r>
    </w:p>
    <w:p>
      <w:pPr>
        <w:spacing w:before="0" w:after="200" w:lineRule="auto" w:line="276"/>
      </w:pPr>
      <w:r>
        <w:rPr>
          <w:b/>
        </w:rPr>
        <w:t xml:space="preserve">Abstract (EN): </w:t>
      </w:r>
      <w:r>
        <w:t>Cyclic peptides have attracted significant attentiondue to their persistent structures and particular biological effects, which are also key building blocks for creating functional chiral materials. Here, we report a double‐cyclized dipeptide structure—a macrocycle embedded with a cyclic dipeptide—and its use in constructing superhelical structures. By further cyclizing modified cyclic diphenylalanine, a macrocyclic arene embedded with a cyclodipeptide was synthesized. Its unique, rigid structure allows to give hierarchical helical structures by bottom‐up assembly process in solution. These superhelical structures are macroscopic, reaching lengths of at centimeter scale. This demonstrates a bottom‐up, multiscale transfer of chirality from the molecular to the macroscopic scale. Moreover, assembly patterns can be precisely controlled by adjusting kinetic conditions such as temperature, concentration, enantiomeric ratio, and solvent, allowing for both rigid and flexible arrangement modalities. The presence of the macrocycle in these superhelices enables the encapsulation of cationic dyes, leading to both ground‐state and excited‐state chirality transfer. This provides a valuable template for designing macroscopic chiroptical materials.</w:t>
      </w:r>
    </w:p>
    <w:p>
      <w:pPr>
        <w:spacing w:before="120" w:after="120"/>
      </w:pPr>
      <w:r>
        <w:rPr>
          <w:sz w:val="18"/>
        </w:rPr>
        <w:t>——————————————————————————————————————————————————————————————————————</w:t>
      </w:r>
    </w:p>
    <w:p>
      <w:pPr>
        <w:spacing w:before="160" w:after="40" w:line="240" w:lineRule="auto"/>
      </w:pPr>
      <w:r>
        <w:rPr>
          <w:b/>
        </w:rPr>
        <w:t xml:space="preserve">[495] </w:t>
      </w:r>
      <w:hyperlink r:id="rId765">
        <w:r>
          <w:rPr>
            <w:color w:val="1155CC"/>
            <w:u w:val="single"/>
          </w:rPr>
          <w:t>B-OBond经检测的“扩展”能够同时提高工作效率和光辉光度,实现BT.2020-Standard深蓝色MRTADF OLED</w:t>
        </w:r>
      </w:hyperlink>
    </w:p>
    <w:p>
      <w:pPr>
        <w:spacing w:before="0" w:after="80"/>
      </w:pPr>
      <w:r>
        <w:rPr>
          <w:i/>
          <w:sz w:val="20"/>
        </w:rPr>
        <w:t>EN: B─O‐Bond‐Mediated π‐Extension Enables Concurrent High Efficiency and Spectral Purity Toward BT.2020‐Standard Deep‐Blue MR‐TADF OLEDs</w:t>
      </w:r>
    </w:p>
    <w:p>
      <w:pPr>
        <w:spacing w:before="0" w:after="120"/>
      </w:pPr>
      <w:r>
        <w:rPr>
          <w:b/>
        </w:rPr>
        <w:t xml:space="preserve">Source: </w:t>
      </w:r>
      <w:r>
        <w:t>Wiley: Advanced Materials: Table of Contents</w:t>
      </w:r>
      <w:r>
        <w:t xml:space="preserve">    </w:t>
      </w:r>
      <w:r>
        <w:rPr>
          <w:b/>
        </w:rPr>
        <w:t xml:space="preserve">Pub date: </w:t>
      </w:r>
      <w:r>
        <w:t>2026-01-28 12:31:21+00:00</w:t>
      </w:r>
      <w:r>
        <w:t xml:space="preserve">    </w:t>
      </w:r>
      <w:r>
        <w:rPr>
          <w:b/>
        </w:rPr>
        <w:t xml:space="preserve">DOI: </w:t>
      </w:r>
      <w:hyperlink r:id="rId766">
        <w:r>
          <w:rPr>
            <w:color w:val="1155CC"/>
            <w:u w:val="single"/>
          </w:rPr>
          <w:t>10.1002/adma.202520889</w:t>
        </w:r>
      </w:hyperlink>
    </w:p>
    <w:p>
      <w:pPr>
        <w:spacing w:before="0" w:after="120"/>
      </w:pPr>
      <w:r>
        <w:rPr>
          <w:b/>
        </w:rPr>
        <w:t xml:space="preserve">Notes: </w:t>
      </w:r>
      <w:r>
        <w:t>abstract_source=crossref</w:t>
      </w:r>
    </w:p>
    <w:p>
      <w:pPr>
        <w:spacing w:before="0" w:after="80" w:lineRule="auto" w:line="276"/>
      </w:pPr>
      <w:r>
        <w:rPr>
          <w:b/>
        </w:rPr>
        <w:t xml:space="preserve">摘要（ZH）: </w:t>
      </w:r>
      <w:r>
        <w:t>ABSTACT Deep-Blue 多边热发热热激活延迟荧光发射对下一代超高定义 OLED 显示至关重要,但同时实现高彩色纯度、高量效率和快速反向跨系统(RIRC)率仍然难以实现。 在这里,我们提出了一个B-O-bond-mediated  扩展设计来协调这些相互矛盾的性能衡量标准。 在这种方法中,扩展有效缩小排放带宽并缩小单倍能量差距(E ST ), 而B-O 债券的结合可以缓解由扩展通常引发的浴器转移,从而保护高排放能量。</w:t>
      </w:r>
    </w:p>
    <w:p>
      <w:pPr>
        <w:spacing w:before="0" w:after="200" w:lineRule="auto" w:line="276"/>
      </w:pPr>
      <w:r>
        <w:rPr>
          <w:b/>
        </w:rPr>
        <w:t xml:space="preserve">Abstract (EN): </w:t>
      </w:r>
      <w:r>
        <w:t>Deep‐blue multi‐resonance thermally activated delayed fluorescence (MR‐TADF) emitters are crucial for next‐generation ultra‐high‐definition OLED displays, yet the concurrent realization of high color purity, high quantum efficiency, and a fast reverse intersystem crossing (RISC) rate remains elusive. Here, we present a B─O–bond‐mediated π‐extension design that harmonizes these conflicting performance metrics. In this approach, π‐extension effectively narrows the emission bandwidth and reduces the singlet–triplet energy gap (Δ</w:t>
      </w:r>
      <w:r>
        <w:t xml:space="preserve"> </w:t>
      </w:r>
      <w:r>
        <w:t>E</w:t>
      </w:r>
      <w:r>
        <w:t xml:space="preserve"> </w:t>
      </w:r>
      <w:r>
        <w:t>ST</w:t>
      </w:r>
      <w:r>
        <w:t xml:space="preserve"> </w:t>
      </w:r>
      <w:r>
        <w:t>), while the incorporation of B─O bond mitigates the bathochromic shift typically induced by π‐extension, thereby preserving high emission energy. The resulting doubly and triply borylated emitters, accessible via a lithium‐free one‐shot borylation on a gram scale, exhibit deep‐blue emissions with nearly BT.2020 chromaticity, close‐to‐unity quantum yields, and an order‐of‐magnitude enhancements in their RISC rate constants relative to the parent emitter. Correspondingly, the non‐sensitized OLEDs deliver maximum external quantum efficiencies (EQE</w:t>
      </w:r>
      <w:r>
        <w:t xml:space="preserve"> </w:t>
      </w:r>
      <w:r>
        <w:t>max</w:t>
      </w:r>
      <w:r>
        <w:t xml:space="preserve"> </w:t>
      </w:r>
      <w:r>
        <w:t>) of up to 34.7%, blue index values of up to 394, and mitigated efficiency roll‐off. Meanwhile, in a more stable device configuration, LT</w:t>
      </w:r>
      <w:r>
        <w:rPr>
          <w:vertAlign w:val="subscript"/>
        </w:rPr>
        <w:t>90</w:t>
      </w:r>
      <w:r>
        <w:t>lifetimes (time to decay to 90% of the initial luminance) of up to 114.6 h at 500 cd m</w:t>
      </w:r>
      <w:r>
        <w:t xml:space="preserve"> </w:t>
      </w:r>
      <w:r>
        <w:t>−2</w:t>
      </w:r>
      <w:r>
        <w:t xml:space="preserve"> </w:t>
      </w:r>
      <w:r>
        <w:t>are achieved. This work establishes a molecular design paradigm for constructing efficient, spectrally pure, and durable deep‐blue MR‐TADF emitters, advancing the pathway toward next‐generation display technologies.</w:t>
      </w:r>
    </w:p>
    <w:p>
      <w:pPr>
        <w:spacing w:before="120" w:after="120"/>
      </w:pPr>
      <w:r>
        <w:rPr>
          <w:sz w:val="18"/>
        </w:rPr>
        <w:t>——————————————————————————————————————————————————————————————————————</w:t>
      </w:r>
    </w:p>
    <w:p>
      <w:pPr>
        <w:spacing w:before="160" w:after="40" w:line="240" w:lineRule="auto"/>
      </w:pPr>
      <w:r>
        <w:rPr>
          <w:b/>
        </w:rPr>
        <w:t xml:space="preserve">[496] </w:t>
      </w:r>
      <w:hyperlink r:id="rId767">
        <w:r>
          <w:rPr>
            <w:color w:val="1155CC"/>
            <w:u w:val="single"/>
          </w:rPr>
          <w:t>用于重金属清除和太阳能水净化的荧光木</w:t>
        </w:r>
      </w:hyperlink>
    </w:p>
    <w:p>
      <w:pPr>
        <w:spacing w:before="0" w:after="80"/>
      </w:pPr>
      <w:r>
        <w:rPr>
          <w:i/>
          <w:sz w:val="20"/>
        </w:rPr>
        <w:t>EN: Robust Sustainable Biomass Fluorescent Wood for Heavy Metal Removal and Solar Water Purification</w:t>
      </w:r>
    </w:p>
    <w:p>
      <w:pPr>
        <w:spacing w:before="0" w:after="120"/>
      </w:pPr>
      <w:r>
        <w:rPr>
          <w:b/>
        </w:rPr>
        <w:t xml:space="preserve">Source: </w:t>
      </w:r>
      <w:r>
        <w:t>Wiley: Advanced Materials: Table of Contents</w:t>
      </w:r>
      <w:r>
        <w:t xml:space="preserve">    </w:t>
      </w:r>
      <w:r>
        <w:rPr>
          <w:b/>
        </w:rPr>
        <w:t xml:space="preserve">Pub date: </w:t>
      </w:r>
      <w:r>
        <w:t>2026-01-28 12:34:22+00:00</w:t>
      </w:r>
      <w:r>
        <w:t xml:space="preserve">    </w:t>
      </w:r>
      <w:r>
        <w:rPr>
          <w:b/>
        </w:rPr>
        <w:t xml:space="preserve">DOI: </w:t>
      </w:r>
      <w:hyperlink r:id="rId768">
        <w:r>
          <w:rPr>
            <w:color w:val="1155CC"/>
            <w:u w:val="single"/>
          </w:rPr>
          <w:t>10.1002/adma.202522271</w:t>
        </w:r>
      </w:hyperlink>
    </w:p>
    <w:p>
      <w:pPr>
        <w:spacing w:before="0" w:after="120"/>
      </w:pPr>
      <w:r>
        <w:rPr>
          <w:b/>
        </w:rPr>
        <w:t xml:space="preserve">Notes: </w:t>
      </w:r>
      <w:r>
        <w:t>abstract_source=crossref</w:t>
      </w:r>
    </w:p>
    <w:p>
      <w:pPr>
        <w:spacing w:before="0" w:after="80" w:lineRule="auto" w:line="276"/>
      </w:pPr>
      <w:r>
        <w:rPr>
          <w:b/>
        </w:rPr>
        <w:t xml:space="preserve">摘要（ZH）: </w:t>
      </w:r>
      <w:r>
        <w:t>ABSTACT 水生环境中的重金属污染对全球生态安全构成了严重威胁。 尽管已经为探测目的对荧光探测器等常规方法进行了调查,但其实际部署仍受到内在缺陷的阻碍,例如敏感度有限和可再生性差等内在缺陷的阻碍。 我们在此引入了一种“活”复合材料,通过在天然的木材微通道中加入湿度计荧光金属-机体框架(MOFs),为环境补救设定了新的基准。 具体而言,ZIF8----环环曲荧光碳点(DRCDs)通过电动相互作用和电动通膨胀被牢牢地固定在被分解的木质(DW)矩阵上,导致两维。</w:t>
      </w:r>
    </w:p>
    <w:p>
      <w:pPr>
        <w:spacing w:before="0" w:after="200" w:lineRule="auto" w:line="276"/>
      </w:pPr>
      <w:r>
        <w:rPr>
          <w:b/>
        </w:rPr>
        <w:t xml:space="preserve">Abstract (EN): </w:t>
      </w:r>
      <w:r>
        <w:t>Heavy metal contamination in aquatic environments represents a severe threat to global ecological security. While conventional method such as fluorescent probes, have been investigated for detection purposes, their real‐world deployment remains hampered by inherent drawbacks such as limited sensitivity and poor reusability. Herein, we introduce a “living” composite material, fabricated by incorporating ratiometric fluorescent metal–organic frameworks (MOFs) into the natural microchannels of wood, setting a new benchmark for environmental remediation. Specifically, ZIF‐8‐hybridized fluorescent carbon dots (DRZ‐CDs) were firmly immobilized onto a delignified wood (DW) matrix through electrostatic interactions and chelation, resulting in a bifunctional material (DRZ‐CDs‐DW). The composite exhibits good performance, with an exceptional Cu</w:t>
      </w:r>
      <w:r>
        <w:t xml:space="preserve"> </w:t>
      </w:r>
      <w:r>
        <w:t>2+</w:t>
      </w:r>
      <w:r>
        <w:t xml:space="preserve"> </w:t>
      </w:r>
      <w:r>
        <w:t>adsorption capacity of 298.72 mg/g and a low detection limit of 2.3 nM. Going beyond high removal efficiency, we further demonstrate a transformative “waste‐to‐resource” strategy, in which the exhausted adsorbent (DRZ‐CDs‐DW+Cu</w:t>
      </w:r>
      <w:r>
        <w:t xml:space="preserve"> </w:t>
      </w:r>
      <w:r>
        <w:t>2+</w:t>
      </w:r>
      <w:r>
        <w:t xml:space="preserve"> </w:t>
      </w:r>
      <w:r>
        <w:t>) is transformed via in situ sulfidation into a photothermal evaporator (DRZ‐CDs‐DW‐CuS). The resulting system achieves an evaporation rate of 3.54 kg·m</w:t>
      </w:r>
      <w:r>
        <w:t xml:space="preserve"> </w:t>
      </w:r>
      <w:r>
        <w:t>−2</w:t>
      </w:r>
      <w:r>
        <w:t xml:space="preserve"> </w:t>
      </w:r>
      <w:r>
        <w:t>·h</w:t>
      </w:r>
      <w:r>
        <w:t xml:space="preserve"> </w:t>
      </w:r>
      <w:r>
        <w:t>−1</w:t>
      </w:r>
      <w:r>
        <w:t xml:space="preserve"> </w:t>
      </w:r>
      <w:r>
        <w:t>, generating purified water, and is suitable for practical uses such as plant irrigation. In summary, by effectively merging fluorescent carbon dot (CDs) functionalization, wood structural engineering, and solar‐driven interfacial evaporation, this work realizes a synergistic combination of environmental cleanup and resource upcycling.</w:t>
      </w:r>
    </w:p>
    <w:p>
      <w:pPr>
        <w:spacing w:before="120" w:after="120"/>
      </w:pPr>
      <w:r>
        <w:rPr>
          <w:sz w:val="18"/>
        </w:rPr>
        <w:t>——————————————————————————————————————————————————————————————————————</w:t>
      </w:r>
    </w:p>
    <w:p>
      <w:pPr>
        <w:spacing w:before="160" w:after="40" w:line="240" w:lineRule="auto"/>
      </w:pPr>
      <w:r>
        <w:rPr>
          <w:b/>
        </w:rPr>
        <w:t xml:space="preserve">[497] </w:t>
      </w:r>
      <w:hyperlink r:id="rId769">
        <w:r>
          <w:rPr>
            <w:color w:val="1155CC"/>
            <w:u w:val="single"/>
          </w:rPr>
          <w:t>高摩和高光度离子聚合体,通过凝聚缠绕而实现</w:t>
        </w:r>
      </w:hyperlink>
    </w:p>
    <w:p>
      <w:pPr>
        <w:spacing w:before="0" w:after="80"/>
      </w:pPr>
      <w:r>
        <w:rPr>
          <w:i/>
          <w:sz w:val="20"/>
        </w:rPr>
        <w:t>EN: High‐Modulus and High‐Damping Ionic Polymers Enabled by Cohesive Entanglement</w:t>
      </w:r>
    </w:p>
    <w:p>
      <w:pPr>
        <w:spacing w:before="0" w:after="120"/>
      </w:pPr>
      <w:r>
        <w:rPr>
          <w:b/>
        </w:rPr>
        <w:t xml:space="preserve">Source: </w:t>
      </w:r>
      <w:r>
        <w:t>Wiley: Advanced Materials: Table of Contents</w:t>
      </w:r>
      <w:r>
        <w:t xml:space="preserve">    </w:t>
      </w:r>
      <w:r>
        <w:rPr>
          <w:b/>
        </w:rPr>
        <w:t xml:space="preserve">Pub date: </w:t>
      </w:r>
      <w:r>
        <w:t>2026-01-28 12:39:23+00:00</w:t>
      </w:r>
      <w:r>
        <w:t xml:space="preserve">    </w:t>
      </w:r>
      <w:r>
        <w:rPr>
          <w:b/>
        </w:rPr>
        <w:t xml:space="preserve">DOI: </w:t>
      </w:r>
      <w:hyperlink r:id="rId770">
        <w:r>
          <w:rPr>
            <w:color w:val="1155CC"/>
            <w:u w:val="single"/>
          </w:rPr>
          <w:t>10.1002/adma.202517751</w:t>
        </w:r>
      </w:hyperlink>
    </w:p>
    <w:p>
      <w:pPr>
        <w:spacing w:before="0" w:after="120"/>
      </w:pPr>
      <w:r>
        <w:rPr>
          <w:b/>
        </w:rPr>
        <w:t xml:space="preserve">Notes: </w:t>
      </w:r>
      <w:r>
        <w:t>abstract_source=crossref</w:t>
      </w:r>
    </w:p>
    <w:p>
      <w:pPr>
        <w:spacing w:before="0" w:after="80" w:lineRule="auto" w:line="276"/>
      </w:pPr>
      <w:r>
        <w:rPr>
          <w:b/>
        </w:rPr>
        <w:t xml:space="preserve">摘要（ZH）: </w:t>
      </w:r>
      <w:r>
        <w:t>高模模聚合物的特性通常来自高交叉密度和很强的分子间相互作用。相比之下,高压聚合物主要是通过移动分子部分的滑动和摩擦消散能量。这一根本矛盾造成了内在的平衡,使得同时实现高模量和高阻力成为一项重大挑战。在这里,我们报告了通过由侧链的离子相互作用所制约的一致纠结战略开发的僵硬的氨基离心聚合物(AIPs ) 。通过酸基中和,这些AIPs同时实现了0.9千兆帕的高模量和1.5千兆瓦的阻隔系数(损系数,制革系数 ) 。 这一突破意味着一个螺旋体。</w:t>
      </w:r>
    </w:p>
    <w:p>
      <w:pPr>
        <w:spacing w:before="0" w:after="200" w:lineRule="auto" w:line="276"/>
      </w:pPr>
      <w:r>
        <w:rPr>
          <w:b/>
        </w:rPr>
        <w:t xml:space="preserve">Abstract (EN): </w:t>
      </w:r>
      <w:r>
        <w:t>High‐modulus polymers typically derive their properties from high crosslinking density and strong intermolecular interactions. In contrast, high‐damping polymers primarily dissipate energy via the sliding and friction of mobile molecular segments. This fundamental contradiction creates an inherent trade‐off, rendering the simultaneous achievement of high modulus and high damping a significant challenge. Herein, we report rigid‐damping amphoteric ionic polymers (AIPs) developed through a cohesive entanglement strategy governed by side‐chain ionic interactions. Synthesized via acid–base neutralization, these AIPs simultaneously achieve a high Young's modulus of 0.9 GPa and a damping coefficient (loss factor, tan δ) of up to 1.5. This breakthrough proposes a strategy to balance the modulus‐damping trade‐off and highlights the material's potential for advanced impact‐resistant applications, such as transparent coatings for electronic devices and vibration‐damping systems.</w:t>
      </w:r>
    </w:p>
    <w:p>
      <w:pPr>
        <w:spacing w:before="120" w:after="120"/>
      </w:pPr>
      <w:r>
        <w:rPr>
          <w:sz w:val="18"/>
        </w:rPr>
        <w:t>——————————————————————————————————————————————————————————————————————</w:t>
      </w:r>
    </w:p>
    <w:p>
      <w:pPr>
        <w:spacing w:before="160" w:after="40" w:line="240" w:lineRule="auto"/>
      </w:pPr>
      <w:r>
        <w:rPr>
          <w:b/>
        </w:rPr>
        <w:t xml:space="preserve">[498] </w:t>
      </w:r>
      <w:hyperlink r:id="rId771">
        <w:r>
          <w:rPr>
            <w:color w:val="1155CC"/>
            <w:u w:val="single"/>
          </w:rPr>
          <w:t>由生物分子凝聚体生成的具有等级结构的Protein-Cellulose 脚手架的制造</w:t>
        </w:r>
      </w:hyperlink>
    </w:p>
    <w:p>
      <w:pPr>
        <w:spacing w:before="0" w:after="80"/>
      </w:pPr>
      <w:r>
        <w:rPr>
          <w:i/>
          <w:sz w:val="20"/>
        </w:rPr>
        <w:t>EN: Mistletoe‐ and Mussel‐Inspired Fabrication of Hierarchically Structured Protein‐Cellulose Scaffolds From Biomolecular Condensates</w:t>
      </w:r>
    </w:p>
    <w:p>
      <w:pPr>
        <w:spacing w:before="0" w:after="120"/>
      </w:pPr>
      <w:r>
        <w:rPr>
          <w:b/>
        </w:rPr>
        <w:t xml:space="preserve">Source: </w:t>
      </w:r>
      <w:r>
        <w:t>Wiley: Advanced Materials: Table of Contents</w:t>
      </w:r>
      <w:r>
        <w:t xml:space="preserve">    </w:t>
      </w:r>
      <w:r>
        <w:rPr>
          <w:b/>
        </w:rPr>
        <w:t xml:space="preserve">Pub date: </w:t>
      </w:r>
      <w:r>
        <w:t>2026-01-28 12:41:17+00:00</w:t>
      </w:r>
      <w:r>
        <w:t xml:space="preserve">    </w:t>
      </w:r>
      <w:r>
        <w:rPr>
          <w:b/>
        </w:rPr>
        <w:t xml:space="preserve">DOI: </w:t>
      </w:r>
      <w:hyperlink r:id="rId772">
        <w:r>
          <w:rPr>
            <w:color w:val="1155CC"/>
            <w:u w:val="single"/>
          </w:rPr>
          <w:t>10.1002/adma.202520827</w:t>
        </w:r>
      </w:hyperlink>
    </w:p>
    <w:p>
      <w:pPr>
        <w:spacing w:before="0" w:after="120"/>
      </w:pPr>
      <w:r>
        <w:rPr>
          <w:b/>
        </w:rPr>
        <w:t xml:space="preserve">Notes: </w:t>
      </w:r>
      <w:r>
        <w:t>abstract_source=crossref</w:t>
      </w:r>
    </w:p>
    <w:p>
      <w:pPr>
        <w:spacing w:before="0" w:after="80" w:lineRule="auto" w:line="276"/>
      </w:pPr>
      <w:r>
        <w:rPr>
          <w:b/>
        </w:rPr>
        <w:t xml:space="preserve">摘要（ZH）: </w:t>
      </w:r>
      <w:r>
        <w:t>ABSTACT自然界通过生物分子自我组装来生产等级材料的能力,能够激发生物激励利用生物再生成分和水作为溶剂的先进材料的先进材料的渠道。最近的进展表明,生物分子凝聚物是制造生物材料的重要前体阶段。在这里,我们利用最近关于动物和植物系统可腐化生物分子阶段作用的调查结果,开发一种协同的贝贝和摩托性激励方法,用于制造含有金枪鱼可塑等级结构的蛋白-纤维素复合支架。我们证明,再结合的肌肉脚蛋白1 (rMfp+1) 当与表面-功能化厌离子纤维素纳米管混合,形成凝结时,会受到控制的阶段分离。</w:t>
      </w:r>
    </w:p>
    <w:p>
      <w:pPr>
        <w:spacing w:before="0" w:after="200" w:lineRule="auto" w:line="276"/>
      </w:pPr>
      <w:r>
        <w:rPr>
          <w:b/>
        </w:rPr>
        <w:t xml:space="preserve">Abstract (EN): </w:t>
      </w:r>
      <w:r>
        <w:t>Nature's ability to produce hierarchical materials via biomolecular self‐assembly can inspire bioinspired avenues to advanced materials using biorenewable components and water as a solvent. Recent advances indicate that biomolecular condensates are important precursor phases for fabricating biological materials. Here, we leverage recent findings on the role of malleable biomolecular phases from both animal and plant systems to develop a synergistic mussel‐ and mistletoe‐inspired approach for fabricating protein‐cellulose composite scaffolds possessing tunable hierarchical structure. We demonstrate that recombinant mussel foot protein‐1 (rMfp‐1), undergoes controlled phase separation when mixed with surface‐functionalized anionic cellulose nanorods, forming condensates with characteristic core‐shell morphology. Using a facile approach based on freeze‐drying of suspensions, we produce freestanding protein‐cellulose composite scaffolds possessing tunable porous structures with potential as scaffolds for tissue engineering. Through a cross‐disciplinary approach combining various spectroscopic and imaging modalities, we gain mechanistic insights into the role of intermolecular interactions and physical processes in guiding this process. These findings highlight that hierarchically structured materials can be fabricated simply via multi‐component phase separation. This work establishes a framework for understanding and controlling bio‐inspired material fabrication, offering a strategy to engineer materials with tunable structure and properties that bridge biomaterials research and emerging directions in synthetic biology.</w:t>
      </w:r>
    </w:p>
    <w:p>
      <w:pPr>
        <w:spacing w:before="120" w:after="120"/>
      </w:pPr>
      <w:r>
        <w:rPr>
          <w:sz w:val="18"/>
        </w:rPr>
        <w:t>——————————————————————————————————————————————————————————————————————</w:t>
      </w:r>
    </w:p>
    <w:p>
      <w:pPr>
        <w:spacing w:before="160" w:after="40" w:line="240" w:lineRule="auto"/>
      </w:pPr>
      <w:r>
        <w:rPr>
          <w:b/>
        </w:rPr>
        <w:t xml:space="preserve">[499] </w:t>
      </w:r>
      <w:hyperlink r:id="rId773">
        <w:r>
          <w:rPr>
            <w:color w:val="1155CC"/>
            <w:u w:val="single"/>
          </w:rPr>
          <w:t>液凝电解解解锁快速电离传输低温度锌电池</w:t>
        </w:r>
      </w:hyperlink>
    </w:p>
    <w:p>
      <w:pPr>
        <w:spacing w:before="0" w:after="80"/>
      </w:pPr>
      <w:r>
        <w:rPr>
          <w:i/>
          <w:sz w:val="20"/>
        </w:rPr>
        <w:t>EN: Sulfonate‐Mediated Cation‐Switching in Hydrogel Electrolytes to Unlock Fast Ion Transport for Low‐Temperature Zinc Batteries</w:t>
      </w:r>
    </w:p>
    <w:p>
      <w:pPr>
        <w:spacing w:before="0" w:after="120"/>
      </w:pPr>
      <w:r>
        <w:rPr>
          <w:b/>
        </w:rPr>
        <w:t xml:space="preserve">Source: </w:t>
      </w:r>
      <w:r>
        <w:t>Wiley: Advanced Materials: Table of Contents</w:t>
      </w:r>
      <w:r>
        <w:t xml:space="preserve">    </w:t>
      </w:r>
      <w:r>
        <w:rPr>
          <w:b/>
        </w:rPr>
        <w:t xml:space="preserve">Pub date: </w:t>
      </w:r>
      <w:r>
        <w:t>2026-01-28 12:42:07+00:00</w:t>
      </w:r>
      <w:r>
        <w:t xml:space="preserve">    </w:t>
      </w:r>
      <w:r>
        <w:rPr>
          <w:b/>
        </w:rPr>
        <w:t xml:space="preserve">DOI: </w:t>
      </w:r>
      <w:hyperlink r:id="rId774">
        <w:r>
          <w:rPr>
            <w:color w:val="1155CC"/>
            <w:u w:val="single"/>
          </w:rPr>
          <w:t>10.1002/adma.202522750</w:t>
        </w:r>
      </w:hyperlink>
    </w:p>
    <w:p>
      <w:pPr>
        <w:spacing w:before="0" w:after="120"/>
      </w:pPr>
      <w:r>
        <w:rPr>
          <w:b/>
        </w:rPr>
        <w:t xml:space="preserve">Notes: </w:t>
      </w:r>
      <w:r>
        <w:t>abstract_source=crossref</w:t>
      </w:r>
    </w:p>
    <w:p>
      <w:pPr>
        <w:spacing w:before="0" w:after="80" w:lineRule="auto" w:line="276"/>
      </w:pPr>
      <w:r>
        <w:rPr>
          <w:b/>
        </w:rPr>
        <w:t xml:space="preserve">摘要（ZH）: </w:t>
      </w:r>
      <w:r>
        <w:t>由于锌电池具有高度的安全和内在灵活性,ABSTACT Hydragel 电解液(HES)对锌电池来说很有希望,然而,有限承运人将动能从散装阶段转移到Hes接口,妨碍了其在低温下的实际应用。在这里,我们提议了一项以Zn电池快速离子传输方式设计抗冻性电解电解战略。引入的Li+取代了通过强力磺酸(-SO 3-)在聚合物矩阵中捆绑的氧协调点的Zn 2+。Li+ O债券与聚合物网络签订合同。</w:t>
      </w:r>
    </w:p>
    <w:p>
      <w:pPr>
        <w:spacing w:before="0" w:after="200" w:lineRule="auto" w:line="276"/>
      </w:pPr>
      <w:r>
        <w:rPr>
          <w:b/>
        </w:rPr>
        <w:t xml:space="preserve">Abstract (EN): </w:t>
      </w:r>
      <w:r>
        <w:t>Hydrogel electrolytes (HEs) are promising for zinc batteries owing to their high safety and intrinsic flexibility. However, limited carrier transfer kinetics from bulk phase to the interface of HEs hinder their practical applications at low temperatures. Here, we proposed a sulfonate‐mediated cation‐switching strategy to design antifreezing HEs with rapid ion transport for Zn batteries. The introduced Li</w:t>
      </w:r>
      <w:r>
        <w:t xml:space="preserve"> </w:t>
      </w:r>
      <w:r>
        <w:t>+</w:t>
      </w:r>
      <w:r>
        <w:t xml:space="preserve"> </w:t>
      </w:r>
      <w:r>
        <w:t>replaces Zn</w:t>
      </w:r>
      <w:r>
        <w:t xml:space="preserve"> </w:t>
      </w:r>
      <w:r>
        <w:t>2+</w:t>
      </w:r>
      <w:r>
        <w:t xml:space="preserve"> </w:t>
      </w:r>
      <w:r>
        <w:t>from oxygen coordination sites via strong sulfonate (−SO</w:t>
      </w:r>
      <w:r>
        <w:rPr>
          <w:vertAlign w:val="subscript"/>
        </w:rPr>
        <w:t>3</w:t>
      </w:r>
      <w:r>
        <w:t>−</w:t>
      </w:r>
      <w:r>
        <w:t>) binding within the polymer matrix. The Li</w:t>
      </w:r>
      <w:r>
        <w:t xml:space="preserve"> </w:t>
      </w:r>
      <w:r>
        <w:t>+</w:t>
      </w:r>
      <w:r>
        <w:t xml:space="preserve"> </w:t>
      </w:r>
      <w:r>
        <w:t>‐O bonds contract the polymer network, which in turn squeezes and rearranges the water molecules and ions in the pores into a highly interconnected state. This shifts the ion transport from a hopping‐dominated transport to a diffusion‐controlled, enhancing both ionic conductivity (7.75 mS cm</w:t>
      </w:r>
      <w:r>
        <w:t xml:space="preserve"> </w:t>
      </w:r>
      <w:r>
        <w:t>−1</w:t>
      </w:r>
      <w:r>
        <w:t xml:space="preserve"> </w:t>
      </w:r>
      <w:r>
        <w:t>) and Zn</w:t>
      </w:r>
      <w:r>
        <w:t xml:space="preserve"> </w:t>
      </w:r>
      <w:r>
        <w:t>2+</w:t>
      </w:r>
      <w:r>
        <w:t xml:space="preserve"> </w:t>
      </w:r>
      <w:r>
        <w:t>transference number (0.32) at −40°C. The liberated Zn</w:t>
      </w:r>
      <w:r>
        <w:t xml:space="preserve"> </w:t>
      </w:r>
      <w:r>
        <w:t>2+</w:t>
      </w:r>
      <w:r>
        <w:t xml:space="preserve"> </w:t>
      </w:r>
      <w:r>
        <w:t>further coordinates free water, lowering the glass transition temperature to −53.5°C. Moreover, the sacrificial process of polymer and salts results in the gradient interphase with a ZnS/ZnCO</w:t>
      </w:r>
      <w:r>
        <w:rPr>
          <w:vertAlign w:val="subscript"/>
        </w:rPr>
        <w:t>3</w:t>
      </w:r>
      <w:r>
        <w:t>‐rich surface and a Li</w:t>
      </w:r>
      <w:r>
        <w:rPr>
          <w:vertAlign w:val="subscript"/>
        </w:rPr>
        <w:t>2</w:t>
      </w:r>
      <w:r>
        <w:t>S/Li</w:t>
      </w:r>
      <w:r>
        <w:rPr>
          <w:vertAlign w:val="subscript"/>
        </w:rPr>
        <w:t>2</w:t>
      </w:r>
      <w:r>
        <w:t>CO</w:t>
      </w:r>
      <w:r>
        <w:rPr>
          <w:vertAlign w:val="subscript"/>
        </w:rPr>
        <w:t>3</w:t>
      </w:r>
      <w:r>
        <w:t>‐rich bottom, which reduced the Zn</w:t>
      </w:r>
      <w:r>
        <w:t xml:space="preserve"> </w:t>
      </w:r>
      <w:r>
        <w:t>2+</w:t>
      </w:r>
      <w:r>
        <w:t xml:space="preserve"> </w:t>
      </w:r>
      <w:r>
        <w:t>‐diffused activation energy by nearly 50%. The Zn||VO</w:t>
      </w:r>
      <w:r>
        <w:rPr>
          <w:vertAlign w:val="subscript"/>
        </w:rPr>
        <w:t>2</w:t>
      </w:r>
      <w:r>
        <w:t>‐V</w:t>
      </w:r>
      <w:r>
        <w:rPr>
          <w:vertAlign w:val="subscript"/>
        </w:rPr>
        <w:t>2</w:t>
      </w:r>
      <w:r>
        <w:t>O</w:t>
      </w:r>
      <w:r>
        <w:rPr>
          <w:vertAlign w:val="subscript"/>
        </w:rPr>
        <w:t>5</w:t>
      </w:r>
      <w:r>
        <w:t>/NC full cell with optimized HEs cell exhibits 83.7% capacity retention (5 000 cycles, −40°C) and 92% retention at 180° bending.</w:t>
      </w:r>
    </w:p>
    <w:p>
      <w:pPr>
        <w:spacing w:before="120" w:after="120"/>
      </w:pPr>
      <w:r>
        <w:rPr>
          <w:sz w:val="18"/>
        </w:rPr>
        <w:t>——————————————————————————————————————————————————————————————————————</w:t>
      </w:r>
    </w:p>
    <w:p>
      <w:pPr>
        <w:spacing w:before="160" w:after="40" w:line="240" w:lineRule="auto"/>
      </w:pPr>
      <w:r>
        <w:rPr>
          <w:b/>
        </w:rPr>
        <w:t xml:space="preserve">[500] </w:t>
      </w:r>
      <w:hyperlink r:id="rId775">
        <w:r>
          <w:rPr>
            <w:color w:val="1155CC"/>
            <w:u w:val="single"/>
          </w:rPr>
          <w:t>用于程序显示显示的Wafer-SEA 有机神经形态感应器</w:t>
        </w:r>
      </w:hyperlink>
    </w:p>
    <w:p>
      <w:pPr>
        <w:spacing w:before="0" w:after="80"/>
      </w:pPr>
      <w:r>
        <w:rPr>
          <w:i/>
          <w:sz w:val="20"/>
        </w:rPr>
        <w:t>EN: Wafer‐Scale Organic Neuromorphic Sensors for Programmable Displaying</w:t>
      </w:r>
    </w:p>
    <w:p>
      <w:pPr>
        <w:spacing w:before="0" w:after="120"/>
      </w:pPr>
      <w:r>
        <w:rPr>
          <w:b/>
        </w:rPr>
        <w:t xml:space="preserve">Source: </w:t>
      </w:r>
      <w:r>
        <w:t>Wiley: Advanced Materials: Table of Contents</w:t>
      </w:r>
      <w:r>
        <w:t xml:space="preserve">    </w:t>
      </w:r>
      <w:r>
        <w:rPr>
          <w:b/>
        </w:rPr>
        <w:t xml:space="preserve">Pub date: </w:t>
      </w:r>
      <w:r>
        <w:t>2026-01-28 12:42:52+00:00</w:t>
      </w:r>
      <w:r>
        <w:t xml:space="preserve">    </w:t>
      </w:r>
      <w:r>
        <w:rPr>
          <w:b/>
        </w:rPr>
        <w:t xml:space="preserve">DOI: </w:t>
      </w:r>
      <w:hyperlink r:id="rId776">
        <w:r>
          <w:rPr>
            <w:color w:val="1155CC"/>
            <w:u w:val="single"/>
          </w:rPr>
          <w:t>10.1002/adma.202522289</w:t>
        </w:r>
      </w:hyperlink>
    </w:p>
    <w:p>
      <w:pPr>
        <w:spacing w:before="0" w:after="120"/>
      </w:pPr>
      <w:r>
        <w:rPr>
          <w:b/>
        </w:rPr>
        <w:t xml:space="preserve">Notes: </w:t>
      </w:r>
      <w:r>
        <w:t>abstract_source=crossref</w:t>
      </w:r>
    </w:p>
    <w:p>
      <w:pPr>
        <w:spacing w:before="0" w:after="80" w:lineRule="auto" w:line="276"/>
      </w:pPr>
      <w:r>
        <w:rPr>
          <w:b/>
        </w:rPr>
        <w:t xml:space="preserve">摘要（ZH）: </w:t>
      </w:r>
      <w:r>
        <w:t>由于在感测、记忆和处理装置之间的物理隔离,常规机械视觉结构在内在能源效率低下和延迟性瓶颈方面受到内在的能源不足和延迟性瓶颈的影响;新兴有机神经形态装置提供了一个有希望的解决方案,但与此同时,实现强光反应、超低功率操作和可靠的非挥发性记忆仍然是一个重大挑战。在这里,我们将一个电离式电离层、聚(丙酸)/氢氧化物(PAA)/氢氧化物(Hafnium 氧化物)纳入瓦费级有机神经形态装置中,大大提高了充电载器的流动性、光敏度和记忆性能。优化装置展示了一套特殊特性:高载体流动性、超低光度探测灵敏度(1个)。</w:t>
      </w:r>
    </w:p>
    <w:p>
      <w:pPr>
        <w:spacing w:before="0" w:after="200" w:lineRule="auto" w:line="276"/>
      </w:pPr>
      <w:r>
        <w:rPr>
          <w:b/>
        </w:rPr>
        <w:t xml:space="preserve">Abstract (EN): </w:t>
      </w:r>
      <w:r>
        <w:t>Conventional machine vision architectures suffer from intrinsic energy inefficiency and latency bottlenecks due to the physical segregation of sensing, memory, and processing units. Emerging organic neuromorphic devices offer a promising solution, yet concurrently achieving strong photoresponse, ultralow‐power operation, and reliable non‐volatile memory remains a critical challenge. Herein, we integrate a heterostructured dielectric layer, poly (amic acid) (PAA)/hafnium oxide, into wafer‐scale organic neuromorphic devices, significantly enhancing charge carrier mobility, photosensitivity, and memory performance. The optimized devices exhibit a suite of exceptional characteristics: high carrier mobility, ultralow light detection sensitivity (102 nW cm</w:t>
      </w:r>
      <w:r>
        <w:t xml:space="preserve"> </w:t>
      </w:r>
      <w:r>
        <w:t>−2</w:t>
      </w:r>
      <w:r>
        <w:t xml:space="preserve"> </w:t>
      </w:r>
      <w:r>
        <w:t>) with a fast response time (50 µs), minimal energy consumption (53 aJ per spike), long‐term memory retention (50 000 s), and robust endurance. We further demonstrate programmable organic thin‐film transistors (OTFTs) driving LED arrays, enabling repeatable light/mask‐induced pattern writing/erasing and integration of sensing‐memory‐display functions. Linear Dynamic Range Adjustment (LDRA) simulations reveal ultrahigh dynamic range and superior imaging capabilities of PAA‐optimized OTFTs. This hetero‐dielectric strategy establishes a universal platform for organic neuromorphic electronics, addressing key gaps in adaptive edge vision systems and human‐retina‐like interactive meta‐displays.</w:t>
      </w:r>
    </w:p>
    <w:p>
      <w:pPr>
        <w:spacing w:before="120" w:after="120"/>
      </w:pPr>
      <w:r>
        <w:rPr>
          <w:sz w:val="18"/>
        </w:rPr>
        <w:t>——————————————————————————————————————————————————————————————————————</w:t>
      </w:r>
    </w:p>
    <w:p>
      <w:pPr>
        <w:spacing w:before="160" w:after="40" w:line="240" w:lineRule="auto"/>
      </w:pPr>
      <w:r>
        <w:rPr>
          <w:b/>
        </w:rPr>
        <w:t xml:space="preserve">[501] </w:t>
      </w:r>
      <w:hyperlink r:id="rId777">
        <w:r>
          <w:rPr>
            <w:color w:val="1155CC"/>
            <w:u w:val="single"/>
          </w:rPr>
          <w:t>[ASAP] 在 Telluride 化合物中双二维摩丽布denum Tellybdenum 中捕捉和编辑多衰阶段</w:t>
        </w:r>
      </w:hyperlink>
    </w:p>
    <w:p>
      <w:pPr>
        <w:spacing w:before="0" w:after="80"/>
      </w:pPr>
      <w:r>
        <w:rPr>
          <w:i/>
          <w:sz w:val="20"/>
        </w:rPr>
        <w:t>EN: [ASAP] Capturing and Editing Te-Deficient Phases in Two-Dimensional Molybdenum Telluride Compound</w:t>
      </w:r>
    </w:p>
    <w:p>
      <w:pPr>
        <w:spacing w:before="0" w:after="120"/>
      </w:pPr>
      <w:r>
        <w:rPr>
          <w:b/>
        </w:rPr>
        <w:t xml:space="preserve">Source: </w:t>
      </w:r>
      <w:r>
        <w:t>Journal of the American Chemical Society: Latest Articles (ACS Publications)</w:t>
      </w:r>
      <w:r>
        <w:t xml:space="preserve">    </w:t>
      </w:r>
      <w:r>
        <w:rPr>
          <w:b/>
        </w:rPr>
        <w:t xml:space="preserve">Pub date: </w:t>
      </w:r>
      <w:r>
        <w:t>2026-01-28 13:24:18+00:00</w:t>
      </w:r>
      <w:r>
        <w:t xml:space="preserve">    </w:t>
      </w:r>
      <w:r>
        <w:rPr>
          <w:b/>
        </w:rPr>
        <w:t xml:space="preserve">DOI: </w:t>
      </w:r>
      <w:hyperlink r:id="rId778">
        <w:r>
          <w:rPr>
            <w:color w:val="1155CC"/>
            <w:u w:val="single"/>
          </w:rPr>
          <w:t>10.1021/jacs.5c19547</w:t>
        </w:r>
      </w:hyperlink>
    </w:p>
    <w:p>
      <w:pPr>
        <w:spacing w:before="0" w:after="120"/>
      </w:pPr>
      <w:r>
        <w:rPr>
          <w:b/>
        </w:rPr>
        <w:t xml:space="preserve">Notes: </w:t>
      </w:r>
      <w:r>
        <w:t>abstract_source=pubmed</w:t>
      </w:r>
    </w:p>
    <w:p>
      <w:pPr>
        <w:spacing w:before="0" w:after="80" w:lineRule="auto" w:line="276"/>
      </w:pPr>
      <w:r>
        <w:rPr>
          <w:b/>
        </w:rPr>
        <w:t xml:space="preserve">摘要（ZH）: </w:t>
      </w:r>
      <w:r>
        <w:t>声光二维材料及其外层结构的阶段工程工程仍是一项艰巨的挑战,因为各声光二维阶段之间的热动力稳定性差异。 这里, 我们报告了一个动态平衡法( DEA), 以进入mo- Te 系统中的Te- defific 多元形体。 通过动态平衡产生和再填充, 我们沿着不同路径推动选择性阶段的过渡。 从 1T'- MoTe2开始, 我们进入三个不同的 Te- deficial 阶段: 一个新型的van der Waals( VdW) Mo5Te8, 其反射线边界密度很高, Chevrel型的无层M3Te4, 和准-1D vdW Mo6Te6。 这些过渡通过Te-vac- 启动的核分离过程进行, 其后是阶段边界的上表层温度变化。</w:t>
      </w:r>
    </w:p>
    <w:p>
      <w:pPr>
        <w:spacing w:before="0" w:after="200" w:lineRule="auto" w:line="276"/>
      </w:pPr>
      <w:r>
        <w:rPr>
          <w:b/>
        </w:rPr>
        <w:t xml:space="preserve">Abstract (EN): </w:t>
      </w:r>
      <w:r>
        <w:t>Phase engineering of stoichiometric two-dimensional materials and their heterostructures remains a formidable challenge due to the thermodynamic stability disparity among the stoichiometric phases. Here, we report a dynamic-equilibrium approach (DEA) to access Te-deficient polymorphs in the Mo-Te system. By dynamically balancing tellurium vacancy generation and refilling, we drive selective phase transitions along divergent pathways. Starting from 1T'-MoTe2, we access three distinct Te-deficient phases: a novel van der Waals (vdW) Mo5Te8 with a high density of mirror-twin boundaries, a Chevrel-type nonlayered Mo3Te4, and a quasi-1D vdW Mo6Te6. These transitions proceed through Te-vacancy-initiated nucleation, followed by epitaxial templating at phase boundaries, which transforms the polycrystalline matrix into single-crystal phases. Sequentially modulating the Te chemical potential allows for the on-demand synthesis of atomically sharp heterostructures, demonstrating in situ phase editing. Moreover, we achieved wafer-scale synthesis of uniform Te-deficient phases (Mo5Te8, Mo6Te6) by depositing a Mo capping layer to precisely regulate Te vacancy concentrations across the entire substrate. This scalable control enables the fabrication of phase-controlled heterostructure device arrays, underscoring their potential for phase-programmable electronics. This work establishes a defect-mediated pathway to Te-deficient phases and heterostructures.</w:t>
      </w:r>
    </w:p>
    <w:p>
      <w:pPr>
        <w:spacing w:before="120" w:after="120"/>
      </w:pPr>
      <w:r>
        <w:rPr>
          <w:sz w:val="18"/>
        </w:rPr>
        <w:t>——————————————————————————————————————————————————————————————————————</w:t>
      </w:r>
    </w:p>
    <w:p>
      <w:pPr>
        <w:spacing w:before="160" w:after="40" w:line="240" w:lineRule="auto"/>
      </w:pPr>
      <w:r>
        <w:rPr>
          <w:b/>
        </w:rPr>
        <w:t xml:space="preserve">[502] </w:t>
      </w:r>
      <w:hyperlink r:id="rId779">
        <w:r>
          <w:rPr>
            <w:color w:val="1155CC"/>
            <w:u w:val="single"/>
          </w:rPr>
          <w:t>[ASAP] 以镍为基础的阴极的替代 -- -- 计量的焚化:脱钩脱钩、脱钩和晶化</w:t>
        </w:r>
      </w:hyperlink>
    </w:p>
    <w:p>
      <w:pPr>
        <w:spacing w:before="0" w:after="80"/>
      </w:pPr>
      <w:r>
        <w:rPr>
          <w:i/>
          <w:sz w:val="20"/>
        </w:rPr>
        <w:t>EN: [ASAP] Substitution-Mediated Calcination of Nickel-Based Cathodes: Decoupling Lithiation and Crystallization</w:t>
      </w:r>
    </w:p>
    <w:p>
      <w:pPr>
        <w:spacing w:before="0" w:after="120"/>
      </w:pPr>
      <w:r>
        <w:rPr>
          <w:b/>
        </w:rPr>
        <w:t xml:space="preserve">Source: </w:t>
      </w:r>
      <w:r>
        <w:t>Journal of the American Chemical Society: Latest Articles (ACS Publications)</w:t>
      </w:r>
      <w:r>
        <w:t xml:space="preserve">    </w:t>
      </w:r>
      <w:r>
        <w:rPr>
          <w:b/>
        </w:rPr>
        <w:t xml:space="preserve">Pub date: </w:t>
      </w:r>
      <w:r>
        <w:t>2026-01-28 13:33:59+00:00</w:t>
      </w:r>
      <w:r>
        <w:t xml:space="preserve">    </w:t>
      </w:r>
      <w:r>
        <w:rPr>
          <w:b/>
        </w:rPr>
        <w:t xml:space="preserve">DOI: </w:t>
      </w:r>
      <w:hyperlink r:id="rId780">
        <w:r>
          <w:rPr>
            <w:color w:val="1155CC"/>
            <w:u w:val="single"/>
          </w:rPr>
          <w:t>10.1021/jacs.5c14714</w:t>
        </w:r>
      </w:hyperlink>
    </w:p>
    <w:p>
      <w:pPr>
        <w:spacing w:before="0" w:after="120"/>
      </w:pPr>
      <w:r>
        <w:rPr>
          <w:b/>
        </w:rPr>
        <w:t xml:space="preserve">Notes: </w:t>
      </w:r>
      <w:r>
        <w:t>abstract_source=pubmed</w:t>
      </w:r>
    </w:p>
    <w:p>
      <w:pPr>
        <w:spacing w:before="0" w:after="80" w:lineRule="auto" w:line="276"/>
      </w:pPr>
      <w:r>
        <w:rPr>
          <w:b/>
        </w:rPr>
        <w:t xml:space="preserve">摘要（ZH）: </w:t>
      </w:r>
      <w:r>
        <w:t>LiNiO2等以镍为基层的层层阴极如LiNiO2为锂离子电池提供了高能量密度,然而,如LiNi0.80Mn0.10C0.1010O2(NMC811)中的那样,实际使用锰和钴替代通常需要改进自行车性能和安全性,但这种替代如何影响计算,即规范电动、结构定序、结晶和最终产生的物质特性的关键过程,仍然不清楚。这里,我们调查NMC811中的替代中位焚化动态,而使用多尺度的现场光谱和原子到气象模型,比LiNiO2中与LiO2的替代中位化性能和安全性能需要改进。虽然两种系统都通过相同的中间序列向热力偏好层阶段前进,NMC811展示了耳。</w:t>
      </w:r>
    </w:p>
    <w:p>
      <w:pPr>
        <w:spacing w:before="0" w:after="200" w:lineRule="auto" w:line="276"/>
      </w:pPr>
      <w:r>
        <w:rPr>
          <w:b/>
        </w:rPr>
        <w:t xml:space="preserve">Abstract (EN): </w:t>
      </w:r>
      <w:r>
        <w:t>Nickel-based layered cathodes such as LiNiO2 offer high energy density for lithium-ion batteries, yet improvements in cycling performance and safety are required for practical use─often achieved through manganese and cobalt substitution as in LiNi0.80Mn0.10Co0.10O2 (NMC811). However, how such substitution impacts calcination, the key process that governs lithiation, structural ordering, crystallization, and ultimately the resulting material properties, remains unclear. Here, we investigate substitution-mediated calcination dynamics in NMC811 compared to LiNiO2 using multiscale-correlated in situ spectroscopy and atomistic-to-mesoscale modeling. While both systems progress through the same sequence of intermediates toward the thermodynamically favored layered phase, NMC811 exhibits an earlier onset of layering, concurrent with hydroxide decomposition followed by sluggish crystallization. Modeling reveals that Mn and Co lower the energy barrier for lithium incorporation and ordering but increase the penalty for interlayer gliding, thereby slowing crystal growth at elevated temperatures. This substitution-mediated decoupling of lithiation and crystallization explains the fine-grained microstructure observed in NMC811 versus coarsened particles in LiNiO2 and establishes a mechanistic framework for predictive microstructure engineering of Ni-based cathodes.</w:t>
      </w:r>
    </w:p>
    <w:p>
      <w:pPr>
        <w:spacing w:before="120" w:after="120"/>
      </w:pPr>
      <w:r>
        <w:rPr>
          <w:sz w:val="18"/>
        </w:rPr>
        <w:t>——————————————————————————————————————————————————————————————————————</w:t>
      </w:r>
    </w:p>
    <w:p>
      <w:pPr>
        <w:spacing w:before="160" w:after="40" w:line="240" w:lineRule="auto"/>
      </w:pPr>
      <w:r>
        <w:rPr>
          <w:b/>
        </w:rPr>
        <w:t xml:space="preserve">[503] </w:t>
      </w:r>
      <w:hyperlink r:id="rId781">
        <w:r>
          <w:rPr>
            <w:color w:val="1155CC"/>
            <w:u w:val="single"/>
          </w:rPr>
          <w:t>[ASAP] 远程双倍C(sp3)-H 键对通过双金属矫形中继气解析而未激活的 Alken 的无活性 Alken 的测分</w:t>
        </w:r>
      </w:hyperlink>
    </w:p>
    <w:p>
      <w:pPr>
        <w:spacing w:before="0" w:after="80"/>
      </w:pPr>
      <w:r>
        <w:rPr>
          <w:i/>
          <w:sz w:val="20"/>
        </w:rPr>
        <w:t>EN: [ASAP] Remote Double C(sp3)–H Bond Asymmetric Aminoboration of Unactivated Alkenes via Bimetallic Orthogonal Relay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2026-01-28 13:36:49+00:00</w:t>
      </w:r>
      <w:r>
        <w:t xml:space="preserve">    </w:t>
      </w:r>
      <w:r>
        <w:rPr>
          <w:b/>
        </w:rPr>
        <w:t xml:space="preserve">DOI: </w:t>
      </w:r>
      <w:hyperlink r:id="rId782">
        <w:r>
          <w:rPr>
            <w:color w:val="1155CC"/>
            <w:u w:val="single"/>
          </w:rPr>
          <w:t>10.1021/jacs.5c20365</w:t>
        </w:r>
      </w:hyperlink>
    </w:p>
    <w:p>
      <w:pPr>
        <w:spacing w:before="0" w:after="120"/>
      </w:pPr>
      <w:r>
        <w:rPr>
          <w:b/>
        </w:rPr>
        <w:t xml:space="preserve">Notes: </w:t>
      </w:r>
      <w:r>
        <w:t>abstract_source=pubmed</w:t>
      </w:r>
    </w:p>
    <w:p>
      <w:pPr>
        <w:spacing w:before="0" w:after="80" w:lineRule="auto" w:line="276"/>
      </w:pPr>
      <w:r>
        <w:rPr>
          <w:b/>
        </w:rPr>
        <w:t xml:space="preserve">摘要（ZH）: </w:t>
      </w:r>
      <w:r>
        <w:t>通过“链形行走”路径的催化远程C(sp3)-H债券通过“链状行走”路径功能化被公认为是建设多种分子框架的一个有希望的战略,然而,无障碍功能化地点仍然有限,主要集中于单一地点,通常是碳链的终点或特定内部地点。多点C(sp3)-H债券功能化,特别是以不对称的方式,仍是一个巨大的挑战。在这里,我们提出了一个由钴和铜催化剂组成的双金属或硫化催化系统,配有两种独特的手链,使最初的C-C双份债券的远程位置同时进行双倍C(sp3)-H债券化。这个系统具有广泛的子基范围和普遍性。</w:t>
      </w:r>
    </w:p>
    <w:p>
      <w:pPr>
        <w:spacing w:before="0" w:after="200" w:lineRule="auto" w:line="276"/>
      </w:pPr>
      <w:r>
        <w:rPr>
          <w:b/>
        </w:rPr>
        <w:t xml:space="preserve">Abstract (EN): </w:t>
      </w:r>
      <w:r>
        <w:t>Catalytic remote C(sp3)-H bond functionalization via the "chain-walking" pathway has been recognized as a promising strategy for constructing diverse molecular frameworks. However, the accessible functionalization sites remain limited and predominantly focus on a single site, typically either the terminal position or a specific internal site of the carbon chain. Multisite C(sp3)-H bond functionalization, particularly in an asymmetric manner, remains a substantial challenge. Herein, we present a bimetallic orthogonal catalytic system comprising cobalt and copper catalysts paired with two distinct chiral ligands, which enables simultaneous double C(sp3)-H bond aminoboration at remote positions from the initial C-C double bond. This system features broad substrate scope and generality across a variety of counterparts with excellent regio- and enantioselectivity. The synthetic utility of this method is highlighted by the late-stage modification of natural products and drugs, as well as in the enantioselective synthesis of β-aminoalkylboronate directly from aryl alkane via sequential dehydrogenation of alkanes followed by our bimetallic catalysis, without isolation of intermediates. A series of experimental studies were conducted to elucidate the orthogonal feature of the two metal catalysts and the synergistic effect of the two chiral ligands in governing the "chain-walking" and the subsequent aminoboration process.</w:t>
      </w:r>
    </w:p>
    <w:p>
      <w:pPr>
        <w:spacing w:before="120" w:after="120"/>
      </w:pPr>
      <w:r>
        <w:rPr>
          <w:sz w:val="18"/>
        </w:rPr>
        <w:t>——————————————————————————————————————————————————————————————————————</w:t>
      </w:r>
    </w:p>
    <w:p>
      <w:pPr>
        <w:spacing w:before="160" w:after="40" w:line="240" w:lineRule="auto"/>
      </w:pPr>
      <w:r>
        <w:rPr>
          <w:b/>
        </w:rPr>
        <w:t xml:space="preserve">[504] </w:t>
      </w:r>
      <w:hyperlink r:id="rId783">
        <w:r>
          <w:rPr>
            <w:color w:val="1155CC"/>
            <w:u w:val="single"/>
          </w:rPr>
          <w:t>[ASAP] Alkenes的铜-磁解对称氨烷化:直接获得1,2-烷基氨基酒精衍生物</w:t>
        </w:r>
      </w:hyperlink>
    </w:p>
    <w:p>
      <w:pPr>
        <w:spacing w:before="0" w:after="80"/>
      </w:pPr>
      <w:r>
        <w:rPr>
          <w:i/>
          <w:sz w:val="20"/>
        </w:rPr>
        <w:t>EN: [ASAP] Copper-Catalyzed Asymmetric Amino Lactonization of Alkenes: Direct Access to Enantioenriched 1,2-Alkylamino Alcohol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2026-01-28 13:53:58+00:00</w:t>
      </w:r>
      <w:r>
        <w:t xml:space="preserve">    </w:t>
      </w:r>
      <w:r>
        <w:rPr>
          <w:b/>
        </w:rPr>
        <w:t xml:space="preserve">DOI: </w:t>
      </w:r>
      <w:hyperlink r:id="rId784">
        <w:r>
          <w:rPr>
            <w:color w:val="1155CC"/>
            <w:u w:val="single"/>
          </w:rPr>
          <w:t>10.1021/jacs.5c23103</w:t>
        </w:r>
      </w:hyperlink>
    </w:p>
    <w:p>
      <w:pPr>
        <w:spacing w:before="0" w:after="120"/>
      </w:pPr>
      <w:r>
        <w:rPr>
          <w:b/>
        </w:rPr>
        <w:t xml:space="preserve">Notes: </w:t>
      </w:r>
      <w:r>
        <w:t>abstract_source=pubmed</w:t>
      </w:r>
    </w:p>
    <w:p>
      <w:pPr>
        <w:spacing w:before="0" w:after="80" w:lineRule="auto" w:line="276"/>
      </w:pPr>
      <w:r>
        <w:rPr>
          <w:b/>
        </w:rPr>
        <w:t xml:space="preserve">摘要（ZH）: </w:t>
      </w:r>
      <w:r>
        <w:t>我们报告有对等选择性的铜催化活性对地白白烷的氨氧化,使得能够直接获得高达96%的产量和99%的乳液,与以前采用受保护的阿米因形式的方法不同,这种方法允许通过使用奥乙基氢氧lamine的微粒过程直接安装富含电子的阿基拉米因。此外,通过使用阿基基尔-奥乙基氢氧来开发出一种更原子-经济单一成分协议。通过确定易于获取的丙基铜-苯丙基系统和关键氢-苯丙酸之间的关键互动,可以实现这种反应的高效和对应性控制。这种方法具有广泛的基底基范围和良好的功能性群体耐受性。这种方法提供了一种抗拉剂。</w:t>
      </w:r>
    </w:p>
    <w:p>
      <w:pPr>
        <w:spacing w:before="0" w:after="200" w:lineRule="auto" w:line="276"/>
      </w:pPr>
      <w:r>
        <w:rPr>
          <w:b/>
        </w:rPr>
        <w:t xml:space="preserve">Abstract (EN): </w:t>
      </w:r>
      <w:r>
        <w:t>We report an enantioselective copper-catalyzed amino oxygenation of alkenes, enabling direct access to chiral β-alkylamino lactones in up to 96% yield and 99% ee. In contrast to previous methods that introduced protected forms of amines, this method allows for the direct installation of electron-rich alkylamines through an umpolung process using O-acylhydroxylamines. Furthermore, a more atom-economic one-component protocol was developed by the use of alkenyl O-acylhydroxylamines. High efficacy and enantiocontrol of this reaction are achieved by identifying a readily accessible chiral copper-PyBox system and critical hydrogen-bonding interaction between the alkylamino radical and carboxylic acid. Featuring a broad substrate scope and good functional group tolerance, this method affords a rapid entry to a wide array of 1,2-alkylamino alcohol derivatives, such as β-alkylamino ethers and diversely functionalized β-alkylamino alcohols.</w:t>
      </w:r>
    </w:p>
    <w:p>
      <w:pPr>
        <w:spacing w:before="120" w:after="120"/>
      </w:pPr>
      <w:r>
        <w:rPr>
          <w:sz w:val="18"/>
        </w:rPr>
        <w:t>——————————————————————————————————————————————————————————————————————</w:t>
      </w:r>
    </w:p>
    <w:p>
      <w:pPr>
        <w:spacing w:before="160" w:after="40" w:line="240" w:lineRule="auto"/>
      </w:pPr>
      <w:r>
        <w:rPr>
          <w:b/>
        </w:rPr>
        <w:t xml:space="preserve">[505] </w:t>
      </w:r>
      <w:hyperlink r:id="rId785">
        <w:r>
          <w:rPr>
            <w:color w:val="1155CC"/>
            <w:u w:val="single"/>
          </w:rPr>
          <w:t>[ASAP]通过逆转和转基因选择性脱质对转基因元体代谢和转基因选择性脱质对转成代谢的代谢性代谢物周期的升温率进行昆虫控制</w:t>
        </w:r>
      </w:hyperlink>
    </w:p>
    <w:p>
      <w:pPr>
        <w:spacing w:before="0" w:after="80"/>
      </w:pPr>
      <w:r>
        <w:rPr>
          <w:i/>
          <w:sz w:val="20"/>
        </w:rPr>
        <w:t>EN: [ASAP] Entropic Control of the Helicity Inversion Rates of Twisted Metallomacrocycles by Reversible and Regioselective Deprotonation</w:t>
      </w:r>
    </w:p>
    <w:p>
      <w:pPr>
        <w:spacing w:before="0" w:after="120"/>
      </w:pPr>
      <w:r>
        <w:rPr>
          <w:b/>
        </w:rPr>
        <w:t xml:space="preserve">Source: </w:t>
      </w:r>
      <w:r>
        <w:t>Journal of the American Chemical Society: Latest Articles (ACS Publications)</w:t>
      </w:r>
      <w:r>
        <w:t xml:space="preserve">    </w:t>
      </w:r>
      <w:r>
        <w:rPr>
          <w:b/>
        </w:rPr>
        <w:t xml:space="preserve">Pub date: </w:t>
      </w:r>
      <w:r>
        <w:t>2026-01-28 14:11:22+00:00</w:t>
      </w:r>
      <w:r>
        <w:t xml:space="preserve">    </w:t>
      </w:r>
      <w:r>
        <w:rPr>
          <w:b/>
        </w:rPr>
        <w:t xml:space="preserve">DOI: </w:t>
      </w:r>
      <w:hyperlink r:id="rId786">
        <w:r>
          <w:rPr>
            <w:color w:val="1155CC"/>
            <w:u w:val="single"/>
          </w:rPr>
          <w:t>10.1021/jacs.5c18601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[506] </w:t>
      </w:r>
      <w:hyperlink r:id="rId787">
        <w:r>
          <w:rPr>
            <w:color w:val="1155CC"/>
            <w:u w:val="single"/>
          </w:rPr>
          <w:t>[ASAP]为酸介质中持久光电化学水分分割专门设计一个以聚(丙烯酸)为基础的氢凝保护层</w:t>
        </w:r>
      </w:hyperlink>
    </w:p>
    <w:p>
      <w:pPr>
        <w:spacing w:before="0" w:after="80"/>
      </w:pPr>
      <w:r>
        <w:rPr>
          <w:i/>
          <w:sz w:val="20"/>
        </w:rPr>
        <w:t>EN: [ASAP] Tailoring a Poly(acrylic acid)-Based Hydrogel Protective Layer for Durable Photoelectrochemical Water Splitting in Acidic Media</w:t>
      </w:r>
    </w:p>
    <w:p>
      <w:pPr>
        <w:spacing w:before="0" w:after="120"/>
      </w:pPr>
      <w:r>
        <w:rPr>
          <w:b/>
        </w:rPr>
        <w:t xml:space="preserve">Source: </w:t>
      </w:r>
      <w:r>
        <w:t>ACS Energy Letters: Latest Articles (ACS Publications)</w:t>
      </w:r>
      <w:r>
        <w:t xml:space="preserve">    </w:t>
      </w:r>
      <w:r>
        <w:rPr>
          <w:b/>
        </w:rPr>
        <w:t xml:space="preserve">Pub date: </w:t>
      </w:r>
      <w:r>
        <w:t>2026-01-28 14:18:58+00:00</w:t>
      </w:r>
      <w:r>
        <w:t xml:space="preserve">    </w:t>
      </w:r>
      <w:r>
        <w:rPr>
          <w:b/>
        </w:rPr>
        <w:t xml:space="preserve">DOI: </w:t>
      </w:r>
      <w:hyperlink r:id="rId788">
        <w:r>
          <w:rPr>
            <w:color w:val="1155CC"/>
            <w:u w:val="single"/>
          </w:rPr>
          <w:t>10.1021/acsenergylett.6c00107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[507] </w:t>
      </w:r>
      <w:hyperlink r:id="rId789">
        <w:r>
          <w:rPr>
            <w:color w:val="1155CC"/>
            <w:u w:val="single"/>
          </w:rPr>
          <w:t>[ASAP]电化价低电化中混合替代异名反应</w:t>
        </w:r>
      </w:hyperlink>
    </w:p>
    <w:p>
      <w:pPr>
        <w:spacing w:before="0" w:after="80"/>
      </w:pPr>
      <w:r>
        <w:rPr>
          <w:i/>
          <w:sz w:val="20"/>
        </w:rPr>
        <w:t>EN: [ASAP] Coupling Alternative Anodic Reactions in Electrochemical Valorization</w:t>
      </w:r>
    </w:p>
    <w:p>
      <w:pPr>
        <w:spacing w:before="0" w:after="120"/>
      </w:pPr>
      <w:r>
        <w:rPr>
          <w:b/>
        </w:rPr>
        <w:t xml:space="preserve">Source: </w:t>
      </w:r>
      <w:r>
        <w:t>ACS Energy Letters: Latest Articles (ACS Publications)</w:t>
      </w:r>
      <w:r>
        <w:t xml:space="preserve">    </w:t>
      </w:r>
      <w:r>
        <w:rPr>
          <w:b/>
        </w:rPr>
        <w:t xml:space="preserve">Pub date: </w:t>
      </w:r>
      <w:r>
        <w:t>2026-01-28 14:44:40+00:00</w:t>
      </w:r>
      <w:r>
        <w:t xml:space="preserve">    </w:t>
      </w:r>
      <w:r>
        <w:rPr>
          <w:b/>
        </w:rPr>
        <w:t xml:space="preserve">DOI: </w:t>
      </w:r>
      <w:hyperlink r:id="rId790">
        <w:r>
          <w:rPr>
            <w:color w:val="1155CC"/>
            <w:u w:val="single"/>
          </w:rPr>
          <w:t>10.1021/acsenergylett.5c03360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[508] </w:t>
      </w:r>
      <w:hyperlink r:id="rId791">
        <w:r>
          <w:rPr>
            <w:color w:val="1155CC"/>
            <w:u w:val="single"/>
          </w:rPr>
          <w:t>[ASAP] 超快电荷传输和长程电荷分离</w:t>
        </w:r>
      </w:hyperlink>
    </w:p>
    <w:p>
      <w:pPr>
        <w:spacing w:before="0" w:after="80"/>
      </w:pPr>
      <w:r>
        <w:rPr>
          <w:i/>
          <w:sz w:val="20"/>
        </w:rPr>
        <w:t>EN: [ASAP] Ultrafast Charge Transfer and Long-Lived Charge Separation in Covalently Linked MoS2–Pyrene–Phenothiazine Heterojunction Monolayers</w:t>
      </w:r>
    </w:p>
    <w:p>
      <w:pPr>
        <w:spacing w:before="0" w:after="120"/>
      </w:pPr>
      <w:r>
        <w:rPr>
          <w:b/>
        </w:rPr>
        <w:t xml:space="preserve">Source: </w:t>
      </w:r>
      <w:r>
        <w:t>Journal of the American Chemical Society: Latest Articles (ACS Publications)</w:t>
      </w:r>
      <w:r>
        <w:t xml:space="preserve">    </w:t>
      </w:r>
      <w:r>
        <w:rPr>
          <w:b/>
        </w:rPr>
        <w:t xml:space="preserve">Pub date: </w:t>
      </w:r>
      <w:r>
        <w:t>2026-01-28 15:36:34+00:00</w:t>
      </w:r>
      <w:r>
        <w:t xml:space="preserve">    </w:t>
      </w:r>
      <w:r>
        <w:rPr>
          <w:b/>
        </w:rPr>
        <w:t xml:space="preserve">DOI: </w:t>
      </w:r>
      <w:hyperlink r:id="rId792">
        <w:r>
          <w:rPr>
            <w:color w:val="1155CC"/>
            <w:u w:val="single"/>
          </w:rPr>
          <w:t>10.1021/jacs.5c22062</w:t>
        </w:r>
      </w:hyperlink>
    </w:p>
    <w:p>
      <w:pPr>
        <w:spacing w:before="0" w:after="120"/>
      </w:pPr>
      <w:r>
        <w:rPr>
          <w:b/>
        </w:rPr>
        <w:t xml:space="preserve">Notes: </w:t>
      </w:r>
      <w:r>
        <w:t>abstract_source=pubmed</w:t>
      </w:r>
    </w:p>
    <w:p>
      <w:pPr>
        <w:spacing w:before="0" w:after="80" w:lineRule="auto" w:line="276"/>
      </w:pPr>
      <w:r>
        <w:rPr>
          <w:b/>
        </w:rPr>
        <w:t xml:space="preserve">摘要（ZH）: </w:t>
      </w:r>
      <w:r>
        <w:t>二维(2D)过渡-金属二甲基三卤化物的共价功能化正在成为为下一代能源转换计划定制跨面光物理学的有力途径。这里我们展示了单层聚苯乙烯(Py)和苯丙胺(PTz)通过苯(ph) 和 xyle(xy) 桥联结的单层聚氨酯(MOS2-Py-ph-Py-Ptz)和MOS2-Py-xy-PTz。超长中程吸收光谱学,辅之以时间溶解电磁共振反应测量,显示光学引发了阻力充电传导(CT),兴奋地表示随后脱落产生长寿命的MOS2-/PTz充电分离配对。</w:t>
      </w:r>
    </w:p>
    <w:p>
      <w:pPr>
        <w:spacing w:before="0" w:after="200" w:lineRule="auto" w:line="276"/>
      </w:pPr>
      <w:r>
        <w:rPr>
          <w:b/>
        </w:rPr>
        <w:t xml:space="preserve">Abstract (EN): </w:t>
      </w:r>
      <w:r>
        <w:t>Covalent functionalization of two-dimensional (2D) transition-metal dichalcogenides is emerging as a powerful route to tailor interfacial photophysics for next-generation energy conversion schemes. Here we present monolayer molybdenum disulfide (MoS2) covalently linked to pyrene (Py) and phenothiazine (PTz) units through phenylene (ph) and xylene (xy) bridges, affording the molecularly well-defined triads MoS2-Py-ph-PTz and MoS2-Py-xy-PTz. Ultrafast transient absorption spectroscopy, complemented by time-resolved electron paramagnetic resonance measurements, reveals that photoexcitation initiates interfacial charge-transfer (CT) excited states that subsequently dissociate to yield a long-lived MoS2•-/PTz•+ charge-separated pair. Direct comparison of the phenylene and xylene bridge architectures shows that the rigidity and conformational freedom of the linker exert decisive control over electronic coupling and the kinetics of both CT and charge dissociation. These results establish a rare platform in which donor-acceptor distance, coupling strength, and CT dynamics at a 2D semiconductor interface can be tuned with molecular precision. Beyond elucidating the governing principles of interfacial CT in 2D-organic hybrids, this work demonstrates that covalent MoS2-donor junctions can sustain long-lived charge separation reminiscent of processes central to organic photovoltaics. The modular design presented here opens clear avenues for constructing function-tailored 2D semiconductor architectures capable of directional charge flow, photoredox activity, and energy transduction, offering foundational insight for artificial photosynthesis, solar-fuel generation, and hybrid optoelectronic devices.</w:t>
      </w:r>
    </w:p>
    <w:p>
      <w:pPr>
        <w:spacing w:before="120" w:after="120"/>
      </w:pPr>
      <w:r>
        <w:rPr>
          <w:sz w:val="18"/>
        </w:rPr>
        <w:t>——————————————————————————————————————————————————————————————————————</w:t>
      </w:r>
    </w:p>
    <w:p>
      <w:pPr>
        <w:spacing w:before="160" w:after="40" w:line="240" w:lineRule="auto"/>
      </w:pPr>
      <w:r>
        <w:rPr>
          <w:b/>
        </w:rPr>
        <w:t xml:space="preserve">[509] </w:t>
      </w:r>
      <w:hyperlink r:id="rId793">
        <w:r>
          <w:rPr>
            <w:color w:val="1155CC"/>
            <w:u w:val="single"/>
          </w:rPr>
          <w:t>[ASAP] 在模拟二氨(Photo)电化学H2进化反应条件下的MOS2降解动态</w:t>
        </w:r>
      </w:hyperlink>
    </w:p>
    <w:p>
      <w:pPr>
        <w:spacing w:before="0" w:after="80"/>
      </w:pPr>
      <w:r>
        <w:rPr>
          <w:i/>
          <w:sz w:val="20"/>
        </w:rPr>
        <w:t>EN: [ASAP] MoS2 Degradation Dynamics under Simulated Diurnal (Photo)electrochemical H2 Evolution Reaction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2026-01-28 16:15:30+00:00</w:t>
      </w:r>
      <w:r>
        <w:t xml:space="preserve">    </w:t>
      </w:r>
      <w:r>
        <w:rPr>
          <w:b/>
        </w:rPr>
        <w:t xml:space="preserve">DOI: </w:t>
      </w:r>
      <w:hyperlink r:id="rId794">
        <w:r>
          <w:rPr>
            <w:color w:val="1155CC"/>
            <w:u w:val="single"/>
          </w:rPr>
          <w:t>10.1021/jacs.5c16527</w:t>
        </w:r>
      </w:hyperlink>
    </w:p>
    <w:p>
      <w:pPr>
        <w:spacing w:before="0" w:after="120"/>
      </w:pPr>
      <w:r>
        <w:rPr>
          <w:b/>
        </w:rPr>
        <w:t xml:space="preserve">Notes: </w:t>
      </w:r>
      <w:r>
        <w:t>abstract_source=pubmed</w:t>
      </w:r>
    </w:p>
    <w:p>
      <w:pPr>
        <w:spacing w:before="0" w:after="80" w:lineRule="auto" w:line="276"/>
      </w:pPr>
      <w:r>
        <w:rPr>
          <w:b/>
        </w:rPr>
        <w:t xml:space="preserve">摘要（ZH）: </w:t>
      </w:r>
      <w:r>
        <w:t>开发高性能光电化太阳能燃料装置户外操作高性能光电极,这要求阐明光电化太阳能燃料装置在二极管操作条件下的稳定性。在这项工作中,我们建立了一个实验性方法,以了解二极环流影响耐久性与二极环流相关的动态微环境,利用由Si组成的模型系统,上面涂有薄膜的莫/莫S2薄膜层,作为“保护”层和催化剂,以驱动H2进化反应。我们的努力将电化学方法与在线电导结合的等离子质光谱学、软体电化学质谱学和拉曼光谱学结合起来,以识别模拟二极环化下的降解机制。我们的结果显示,在模拟日间周期下,电化学方法与电感结合了。</w:t>
      </w:r>
    </w:p>
    <w:p>
      <w:pPr>
        <w:spacing w:before="0" w:after="200" w:lineRule="auto" w:line="276"/>
      </w:pPr>
      <w:r>
        <w:rPr>
          <w:b/>
        </w:rPr>
        <w:t xml:space="preserve">Abstract (EN): </w:t>
      </w:r>
      <w:r>
        <w:t>Developing high-performance photoelectrodes for outdoor operation of (photo)electrochemical solar fuel devices requires elucidating the stability of photoelectrodes under diurnal operating conditions. In this work, we establish an experimental approach to understand how the dynamic microenvironment associated with diurnal cycling impacts durability, utilizing a model system consisting of Si coated with a thin-film layer of Mo/MoS2 to serve as a "protective" layer and catalyst to drive the H2 evolution reaction. Our efforts combine electrochemical methods with online inductively coupled plasma mass spectrometry, operando electrochemical mass spectrometry, and Raman spectroscopy to identify degradation mechanisms under simulated diurnal cycling. Our results show that under simulated daytime conditions, S slowly leaches from the MoS2 surface as H2S. At "nighttime," simulated by open-circuit conditions, we observe Mo dissolution, which is further accelerated when exposed to increasing concentrations of dissolved O2. These insights enable a design strategy to mitigate corrosion, demonstrating that small expenditures of power during nighttime conditions can suppress O2-driven Mo dissolution. This work presents an analysis of diurnal irradiation-driven (photo)electrode degradation that can be used to engineer resilience in future (photo)electrochemical systems.</w:t>
      </w:r>
    </w:p>
    <w:p>
      <w:pPr>
        <w:spacing w:before="120" w:after="120"/>
      </w:pPr>
      <w:r>
        <w:rPr>
          <w:sz w:val="18"/>
        </w:rPr>
        <w:t>——————————————————————————————————————————————————————————————————————</w:t>
      </w:r>
    </w:p>
    <w:p>
      <w:pPr>
        <w:spacing w:before="160" w:after="40" w:line="240" w:lineRule="auto"/>
      </w:pPr>
      <w:r>
        <w:rPr>
          <w:b/>
        </w:rPr>
        <w:t xml:space="preserve">[510] </w:t>
      </w:r>
      <w:hyperlink r:id="rId795">
        <w:r>
          <w:rPr>
            <w:color w:val="1155CC"/>
            <w:u w:val="single"/>
          </w:rPr>
          <w:t>[ASAP] 微缩Sn-Hard碳合成阳极,用于钠离子电池的容量为583 mAh克-1和1073 mAh立方厘米-3</w:t>
        </w:r>
      </w:hyperlink>
    </w:p>
    <w:p>
      <w:pPr>
        <w:spacing w:before="0" w:after="80"/>
      </w:pPr>
      <w:r>
        <w:rPr>
          <w:i/>
          <w:sz w:val="20"/>
        </w:rPr>
        <w:t>EN: [ASAP] Microsized Sn-Hard Carbon Composite Anode with Capacities of 583 mAh g–1 and 1073 mAh cm–3 for Sodium-Ion Batteries</w:t>
      </w:r>
    </w:p>
    <w:p>
      <w:pPr>
        <w:spacing w:before="0" w:after="120"/>
      </w:pPr>
      <w:r>
        <w:rPr>
          <w:b/>
        </w:rPr>
        <w:t xml:space="preserve">Source: </w:t>
      </w:r>
      <w:r>
        <w:t>ACS Energy Letters: Latest Articles (ACS Publications)</w:t>
      </w:r>
      <w:r>
        <w:t xml:space="preserve">    </w:t>
      </w:r>
      <w:r>
        <w:rPr>
          <w:b/>
        </w:rPr>
        <w:t xml:space="preserve">Pub date: </w:t>
      </w:r>
      <w:r>
        <w:t>2026-01-28 18:49:06+00:00</w:t>
      </w:r>
      <w:r>
        <w:t xml:space="preserve">    </w:t>
      </w:r>
      <w:r>
        <w:rPr>
          <w:b/>
        </w:rPr>
        <w:t xml:space="preserve">DOI: </w:t>
      </w:r>
      <w:hyperlink r:id="rId796">
        <w:r>
          <w:rPr>
            <w:color w:val="1155CC"/>
            <w:u w:val="single"/>
          </w:rPr>
          <w:t>10.1021/acsenergylett.5c03621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[511] </w:t>
      </w:r>
      <w:hyperlink r:id="rId797">
        <w:r>
          <w:rPr>
            <w:color w:val="1155CC"/>
            <w:u w:val="single"/>
          </w:rPr>
          <w:t>[ASAP] 多功能超声波微泡泡</w:t>
        </w:r>
      </w:hyperlink>
    </w:p>
    <w:p>
      <w:pPr>
        <w:spacing w:before="0" w:after="80"/>
      </w:pPr>
      <w:r>
        <w:rPr>
          <w:i/>
          <w:sz w:val="20"/>
        </w:rPr>
        <w:t>EN: [ASAP] Multifunctional Ultrasound Microbubbles</w:t>
      </w:r>
    </w:p>
    <w:p>
      <w:pPr>
        <w:spacing w:before="0" w:after="120"/>
      </w:pPr>
      <w:r>
        <w:rPr>
          <w:b/>
        </w:rPr>
        <w:t xml:space="preserve">Source: </w:t>
      </w:r>
      <w:r>
        <w:t>Chemical Reviews: Latest Articles (ACS Publications)</w:t>
      </w:r>
      <w:r>
        <w:t xml:space="preserve">    </w:t>
      </w:r>
      <w:r>
        <w:rPr>
          <w:b/>
        </w:rPr>
        <w:t xml:space="preserve">Pub date: </w:t>
      </w:r>
      <w:r>
        <w:t>2026-01-28 19:21:20+00:00</w:t>
      </w:r>
      <w:r>
        <w:t xml:space="preserve">    </w:t>
      </w:r>
      <w:r>
        <w:rPr>
          <w:b/>
        </w:rPr>
        <w:t xml:space="preserve">DOI: </w:t>
      </w:r>
      <w:hyperlink r:id="rId798">
        <w:r>
          <w:rPr>
            <w:color w:val="1155CC"/>
            <w:u w:val="single"/>
          </w:rPr>
          <w:t>10.1021/acs.chemrev.5c00280</w:t>
        </w:r>
      </w:hyperlink>
    </w:p>
    <w:p>
      <w:pPr>
        <w:spacing w:before="0" w:after="120"/>
      </w:pPr>
      <w:r>
        <w:rPr>
          <w:b/>
        </w:rPr>
        <w:t xml:space="preserve">Notes: </w:t>
      </w:r>
      <w:r>
        <w:t>abstract_source=pubmed</w:t>
      </w:r>
    </w:p>
    <w:p>
      <w:pPr>
        <w:spacing w:before="0" w:after="80" w:lineRule="auto" w:line="276"/>
      </w:pPr>
      <w:r>
        <w:rPr>
          <w:b/>
        </w:rPr>
        <w:t xml:space="preserve">摘要（ZH）: </w:t>
      </w:r>
      <w:r>
        <w:t>30多年来,微bubles(MBs)在心脏成像和肝肿瘤定性方面一直作为超声(US)对比剂(MBs)发挥作用;此外,近年来,对肿瘤和炎症的临床评估正在对分子目标的MBs进行;除了诊断外,MBs作为治疗工具日益受到关注,利用它们强大的声学特性进行美国中间药物输送,生物屏障(即血液脑屏障)的隔离和定向血栓解。 装有磁性或光学功能的MB弹壳能够利用磁共振或光声成像进行治疗监测,与(临床设备前)发展的最新多式联运进展保持一致。因此,本审查总结并严格评估了第(临床)设备发展的进展。</w:t>
      </w:r>
    </w:p>
    <w:p>
      <w:pPr>
        <w:spacing w:before="0" w:after="200" w:lineRule="auto" w:line="276"/>
      </w:pPr>
      <w:r>
        <w:rPr>
          <w:b/>
        </w:rPr>
        <w:t xml:space="preserve">Abstract (EN): </w:t>
      </w:r>
      <w:r>
        <w:t>Microbubbles (MBs) have served as ultrasound (US) contrast agents for over 30 years in cardiac imaging and liver tumor characterization. Moreover, in recent years, molecularly targeted MBs are currently under clinical evaluation for oncological and inflammatory diseases. Beyond diagnostics, MBs are gaining attention as therapeutic tools, leveraging their strong acoustic properties for US-mediated drug delivery, sonopermeation of biological barriers (i.e., the blood-brain barrier), and targeted thrombolysis. Loading MB shells with magnetic or optical functionalities allows therapy monitoring using magnetic resonance or photoacoustic imaging, aligning with recent multimodal advances in (pre)clinical device developments. Therefore, this review summarizes and critically assesses advances in the use of multifunctional MBs for biomedical applications. A comprehensive overview of existing MB formulations is provided, analyzing the primary types of functional agents incorporated, including small molecules, nanomaterials, and targeting ligands, as well as the conjugation and functionalization strategies involved in constructing next-generation MBs. Current trends in multifunctional MBs for imaging and therapy are critically evaluated, along with the challenges in their clinical translation. Overall, this review highlights the potential of multifunctional MBs to address unmet biomedical needs that plain additives cannot fulfill, and it showcases promising future directions for the diagnostic and therapeutic use of next-generation MB formulations.</w:t>
      </w:r>
    </w:p>
    <w:p>
      <w:pPr>
        <w:spacing w:before="120" w:after="120"/>
      </w:pPr>
      <w:r>
        <w:rPr>
          <w:sz w:val="18"/>
        </w:rPr>
        <w:t>——————————————————————————————————————————————————————————————————————</w:t>
      </w:r>
    </w:p>
    <w:p>
      <w:pPr>
        <w:spacing w:before="160" w:after="40" w:line="240" w:lineRule="auto"/>
      </w:pPr>
      <w:r>
        <w:rPr>
          <w:b/>
        </w:rPr>
        <w:t xml:space="preserve">[512] </w:t>
      </w:r>
      <w:hyperlink r:id="rId799">
        <w:r>
          <w:rPr>
            <w:color w:val="1155CC"/>
            <w:u w:val="single"/>
          </w:rPr>
          <w:t>[ASAP] 光烷烷和C(sp3)-H债券通过光诱发的化催化</w:t>
        </w:r>
      </w:hyperlink>
    </w:p>
    <w:p>
      <w:pPr>
        <w:spacing w:before="0" w:after="80"/>
      </w:pPr>
      <w:r>
        <w:rPr>
          <w:i/>
          <w:sz w:val="20"/>
        </w:rPr>
        <w:t>EN: [ASAP] Enantioselective Functionalization of Light Alkanes and C(sp3)–H Bonds via Photoinduced Palladium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2026-01-28 19:38:48+00:00</w:t>
      </w:r>
      <w:r>
        <w:t xml:space="preserve">    </w:t>
      </w:r>
      <w:r>
        <w:rPr>
          <w:b/>
        </w:rPr>
        <w:t xml:space="preserve">DOI: </w:t>
      </w:r>
      <w:hyperlink r:id="rId800">
        <w:r>
          <w:rPr>
            <w:color w:val="1155CC"/>
            <w:u w:val="single"/>
          </w:rPr>
          <w:t>10.1021/jacs.5c19864</w:t>
        </w:r>
      </w:hyperlink>
    </w:p>
    <w:p>
      <w:pPr>
        <w:spacing w:before="0" w:after="120"/>
      </w:pPr>
      <w:r>
        <w:rPr>
          <w:b/>
        </w:rPr>
        <w:t xml:space="preserve">Notes: </w:t>
      </w:r>
      <w:r>
        <w:t>abstract_source=pubmed</w:t>
      </w:r>
    </w:p>
    <w:p>
      <w:pPr>
        <w:spacing w:before="0" w:after="80" w:lineRule="auto" w:line="276"/>
      </w:pPr>
      <w:r>
        <w:rPr>
          <w:b/>
        </w:rPr>
        <w:t xml:space="preserve">摘要（ZH）: </w:t>
      </w:r>
      <w:r>
        <w:t>大量光烷(C1-C4)的直接和选择性功能化(C1-C4)是化学合成的一个长期挑战,以对应选择性方式实现这一目标的方法仍然是一个尚未解决的问题,因为碳-H债券高度惰性,碳-氢债券的惰性很高。 我们在此报告一个光源诱发的、催化的、三部分反应,它允许使用光烷和其他未激活的C(sp3)-H原料首次对1,3-dienes进行对等选择性的对等选择性拨丁。 该战略依靠光源丙烯基启动氢原子转移(HAT)级联,在温和条件下甚至激活甲烷中最强的碳-H级联。</w:t>
      </w:r>
    </w:p>
    <w:p>
      <w:pPr>
        <w:spacing w:before="0" w:after="200" w:lineRule="auto" w:line="276"/>
      </w:pPr>
      <w:r>
        <w:rPr>
          <w:b/>
        </w:rPr>
        <w:t xml:space="preserve">Abstract (EN): </w:t>
      </w:r>
      <w:r>
        <w:t>The direct and selective functionalization of abundant light alkanes (C1-C4) is a long-standing challenge in chemical synthesis, and methods to achieve this goal in an enantioselective fashion have remained an unsolved problem due to the high inertness of alkane C-H bonds. Here, we report a photoinduced, palladium-catalyzed, three-component reaction that allows the first enantioselective dialkylation of 1,3-dienes using light alkanes and other unactivated C(sp3)-H feedstocks. The strategy relies on a photogenerated aryl radical to initiate a hydrogen atom transfer (HAT) cascade, activating even the strongest C-H bonds in methane under mild conditions. This versatile methodology provides access to a diverse array of valuable chiral products in high yields and with excellent diastereo- and enantioselectivities. The protocol exhibits a broad scope, encompassing gaseous alkanes, cyclic hydrocarbons, ethers, and carbonyl compounds. Continuous-flow compatibility addresses practical challenges of handling gaseous substrates. Experimental and computational studies confirm that an excited-state palladium-mediated radical pathway is key for achieving stereocontrol and enabling the conversion of the simplest hydrocarbon feedstocks into enantiomerically enriched molecules.</w:t>
      </w:r>
    </w:p>
    <w:p>
      <w:pPr>
        <w:spacing w:before="120" w:after="120"/>
      </w:pPr>
      <w:r>
        <w:rPr>
          <w:sz w:val="18"/>
        </w:rPr>
        <w:t>——————————————————————————————————————————————————————————————————————</w:t>
      </w:r>
    </w:p>
    <w:p>
      <w:pPr>
        <w:spacing w:before="160" w:after="40" w:line="240" w:lineRule="auto"/>
      </w:pPr>
      <w:r>
        <w:rPr>
          <w:b/>
        </w:rPr>
        <w:t xml:space="preserve">[513] </w:t>
      </w:r>
      <w:hyperlink r:id="rId801">
        <w:r>
          <w:rPr>
            <w:color w:val="1155CC"/>
            <w:u w:val="single"/>
          </w:rPr>
          <w:t>[ASAP] 银氧化氧化物纳米粒子作为瓦特散离交换薄膜燃料电池的固态氢氧化物离子导体</w:t>
        </w:r>
      </w:hyperlink>
    </w:p>
    <w:p>
      <w:pPr>
        <w:spacing w:before="0" w:after="80"/>
      </w:pPr>
      <w:r>
        <w:rPr>
          <w:i/>
          <w:sz w:val="20"/>
        </w:rPr>
        <w:t>EN: [ASAP] Silver Oxide Nanoparticles as Solid-State Hydroxide Ion Conductors for Watt-Scale Anion Exchange Membrane Fuel Cells</w:t>
      </w:r>
    </w:p>
    <w:p>
      <w:pPr>
        <w:spacing w:before="0" w:after="120"/>
      </w:pPr>
      <w:r>
        <w:rPr>
          <w:b/>
        </w:rPr>
        <w:t xml:space="preserve">Source: </w:t>
      </w:r>
      <w:r>
        <w:t>ACS Energy Letters: Latest Articles (ACS Publications)</w:t>
      </w:r>
      <w:r>
        <w:t xml:space="preserve">    </w:t>
      </w:r>
      <w:r>
        <w:rPr>
          <w:b/>
        </w:rPr>
        <w:t xml:space="preserve">Pub date: </w:t>
      </w:r>
      <w:r>
        <w:t>2026-01-28 19:47:06+00:00</w:t>
      </w:r>
      <w:r>
        <w:t xml:space="preserve">    </w:t>
      </w:r>
      <w:r>
        <w:rPr>
          <w:b/>
        </w:rPr>
        <w:t xml:space="preserve">DOI: </w:t>
      </w:r>
      <w:hyperlink r:id="rId802">
        <w:r>
          <w:rPr>
            <w:color w:val="1155CC"/>
            <w:u w:val="single"/>
          </w:rPr>
          <w:t>10.1021/acsenergylett.5c03292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[514] </w:t>
      </w:r>
      <w:hyperlink r:id="rId803">
        <w:r>
          <w:rPr>
            <w:color w:val="1155CC"/>
            <w:u w:val="single"/>
          </w:rPr>
          <w:t>[ASAP]动态水晶光子:机械移动有机非线性非线性光学微粒共振器</w:t>
        </w:r>
      </w:hyperlink>
    </w:p>
    <w:p>
      <w:pPr>
        <w:spacing w:before="0" w:after="80"/>
      </w:pPr>
      <w:r>
        <w:rPr>
          <w:i/>
          <w:sz w:val="20"/>
        </w:rPr>
        <w:t>EN: [ASAP] Dynamic Crystal Photonics: Mechanically Mobile Organic Nonlinear Optical Microring Resonators</w:t>
      </w:r>
    </w:p>
    <w:p>
      <w:pPr>
        <w:spacing w:before="0" w:after="120"/>
      </w:pPr>
      <w:r>
        <w:rPr>
          <w:b/>
        </w:rPr>
        <w:t xml:space="preserve">Source: </w:t>
      </w:r>
      <w:r>
        <w:t>Journal of the American Chemical Society: Latest Articles (ACS Publications)</w:t>
      </w:r>
      <w:r>
        <w:t xml:space="preserve">    </w:t>
      </w:r>
      <w:r>
        <w:rPr>
          <w:b/>
        </w:rPr>
        <w:t xml:space="preserve">Pub date: </w:t>
      </w:r>
      <w:r>
        <w:t>2026-01-28 19:48:38+00:00</w:t>
      </w:r>
      <w:r>
        <w:t xml:space="preserve">    </w:t>
      </w:r>
      <w:r>
        <w:rPr>
          <w:b/>
        </w:rPr>
        <w:t xml:space="preserve">DOI: </w:t>
      </w:r>
      <w:hyperlink r:id="rId804">
        <w:r>
          <w:rPr>
            <w:color w:val="1155CC"/>
            <w:u w:val="single"/>
          </w:rPr>
          <w:t>10.1021/jacs.5c17711</w:t>
        </w:r>
      </w:hyperlink>
    </w:p>
    <w:p>
      <w:pPr>
        <w:spacing w:before="0" w:after="120"/>
      </w:pPr>
      <w:r>
        <w:rPr>
          <w:b/>
        </w:rPr>
        <w:t xml:space="preserve">Notes: </w:t>
      </w:r>
      <w:r>
        <w:t>abstract_source=pubmed</w:t>
      </w:r>
    </w:p>
    <w:p>
      <w:pPr>
        <w:spacing w:before="0" w:after="80" w:lineRule="auto" w:line="276"/>
      </w:pPr>
      <w:r>
        <w:rPr>
          <w:b/>
        </w:rPr>
        <w:t xml:space="preserve">摘要（ZH）: </w:t>
      </w:r>
      <w:r>
        <w:t>这项工作在机械驱动的多方面运动下,对有机晶微粒反应器(MRRs)的光学方面进行了调查,从而开创了动态晶体光子的概念。MRRs是用6,6'(1,1'E,1'E)-hydazine-1,2,4-二溴苯基(甲烷基)双(2,4-二溴苯基)双(HDBP),展示非线性光学(NLO)排放和频率梳式耳语-透镜模式,通过表面加固(6,6'(1,1'E)-(1,1'E)-Hydalazine-1,2,2,2,4'E)-二溴酚(HDBP)双(HDBP)的自我合成,显示非线性光学光学(NLO)排放和频率型耳感测模式。有趣的是,MRRRRs是微机械性可重组成各种压力结构的,包括升降、转动、垂直站立、垂直站立、轴、轴旋转和轮式滚动</w:t>
      </w:r>
    </w:p>
    <w:p>
      <w:pPr>
        <w:spacing w:before="0" w:after="200" w:lineRule="auto" w:line="276"/>
      </w:pPr>
      <w:r>
        <w:rPr>
          <w:b/>
        </w:rPr>
        <w:t xml:space="preserve">Abstract (EN): </w:t>
      </w:r>
      <w:r>
        <w:t>This work investigates the photonic aspects of organic crystal microring resonators (MRRs) under mechanically driven multifaceted motions, thereby pioneering the concept of dynamic crystal photonics. The MRRs are fabricated via surface-tension-assisted self-assembly of 6,6'-((1E,1'E)-hydrazine-1,2-diylidenebis(methaneylylidene))bis(2,4-dibromophenol) (HDBP), exhibiting nonlinear optical (NLO) emission and frequency comb-type whispering-gallery modes. Interestingly, the MRRs are micromechanically reconfigurable into various strained architectures, including lifting, transferring, vertical standing, axial spinning, and wheel-like rolling, using an atomic force microscopy cantilever tip. The MRRs retained their photonic traits throughout these dynamic motions, underscoring their mechanical robustness. Notably, the demonstration of axial spinning and rolling locomotion extends the manipulation capabilities beyond 2D control, enabling complete 3D spatial control. These results lay the groundwork for next-generation mechanophotonic crystal systems, enabling precise, dynamic control of the spatial orientation and photonic behavior of soft organic elements.</w:t>
      </w:r>
    </w:p>
    <w:p>
      <w:pPr>
        <w:spacing w:before="120" w:after="120"/>
      </w:pPr>
      <w:r>
        <w:rPr>
          <w:sz w:val="18"/>
        </w:rPr>
        <w:t>——————————————————————————————————————————————————————————————————————</w:t>
      </w:r>
    </w:p>
    <w:p>
      <w:pPr>
        <w:spacing w:before="160" w:after="40" w:line="240" w:lineRule="auto"/>
      </w:pPr>
      <w:r>
        <w:rPr>
          <w:b/>
        </w:rPr>
        <w:t xml:space="preserve">[515] </w:t>
      </w:r>
      <w:hyperlink r:id="rId805">
        <w:r>
          <w:rPr>
            <w:color w:val="1155CC"/>
            <w:u w:val="single"/>
          </w:rPr>
          <w:t>促进在100%可再生的欧洲扩大传播的激励合作计划</w:t>
        </w:r>
      </w:hyperlink>
    </w:p>
    <w:p>
      <w:pPr>
        <w:spacing w:before="0" w:after="80"/>
      </w:pPr>
      <w:r>
        <w:rPr>
          <w:i/>
          <w:sz w:val="20"/>
        </w:rPr>
        <w:t>EN: An incentivized cooperative scheme for transmission expansion in a 100% renewable Europe</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[516] </w:t>
      </w:r>
      <w:hyperlink r:id="rId806">
        <w:r>
          <w:rPr>
            <w:color w:val="1155CC"/>
            <w:u w:val="single"/>
          </w:rPr>
          <w:t>水溶性六边形BAAL2O4,作为独立晶晶膜和柔性装置的牺牲层</w:t>
        </w:r>
      </w:hyperlink>
    </w:p>
    <w:p>
      <w:pPr>
        <w:spacing w:before="0" w:after="80"/>
      </w:pPr>
      <w:r>
        <w:rPr>
          <w:i/>
          <w:sz w:val="20"/>
        </w:rPr>
        <w:t>EN: Water-soluble hexagonal BaAl2O4 as sacrificial layer for freestanding crystalline membranes and flexible devices</w:t>
      </w:r>
    </w:p>
    <w:p>
      <w:pPr>
        <w:spacing w:before="0" w:after="120"/>
      </w:pPr>
      <w:r>
        <w:rPr>
          <w:b/>
        </w:rPr>
        <w:t xml:space="preserve">Source: </w:t>
      </w:r>
      <w:r>
        <w:t>Nature Materials</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独立功能膜为制造灵活电子装置开辟了充满希望的途径,迄今为止,研究主要侧重于使用伪立体结构的百草枯类氧化物,对独立六角氧化物材料的调查由于缺乏适当的牺牲层而受到严重限制。这里我们介绍我们发现的可溶水晶晶体体-BaAL2O4的发现,它可以成为获得六倍或三倍对称膜的极好的牺牲层。值得注意的是,BaAL2O4可以在水中迅速溶解(2和NH3),即使在极高的温度下也是如此,从而允许集成装置的高质量材料在原地或原地增长。为了证明这一铸造层的一般性质,我们测试了大量的氧化物。</w:t>
      </w:r>
    </w:p>
    <w:p>
      <w:pPr>
        <w:spacing w:before="0" w:after="200" w:lineRule="auto" w:line="276"/>
      </w:pPr>
      <w:r>
        <w:rPr>
          <w:b/>
        </w:rPr>
        <w:t xml:space="preserve">Abstract (EN): </w:t>
      </w:r>
      <w:r>
        <w:t>Freestanding functional membranes open a promising avenue to the fabrication of flexible electronic devices. To date, research has mainly focused on perovskite-like oxides with pseudocubic structures. Investigation of freestanding hexagonal oxide materials is severely restricted due to the lack of a proper sacrificial layer. Here we present our discovery of water-soluble crystalline hexagonal BaAl2O4, which can serve as an excellent sacrificial layer for obtaining membranes with six-fold or three-fold symmetry. Remarkably, BaAl2O4 can rapidly dissolve in water (2 and NH3, even at very high temperatures, thus allowing in situ or ex situ growth of high-quality materials for integrated devices. To demonstrate the generic nature of this sacrificial layer, we tested a large collection of oxide and nitride films, including YMnO3 (0001), LiCoO2 (0001), α-Fe2O3 (0001), In2O3 (111), NiO (111), β-Ga2O3 (\bar{2}01\bar{2}01) and TiN (111). Furthermore, integrated devices based on such crystalline membranes demonstrate a substantially improved performance.</w:t>
      </w:r>
    </w:p>
    <w:p>
      <w:pPr>
        <w:spacing w:before="120" w:after="120"/>
      </w:pPr>
      <w:r>
        <w:rPr>
          <w:sz w:val="18"/>
        </w:rPr>
        <w:t>——————————————————————————————————————————————————————————————————————</w:t>
      </w:r>
    </w:p>
    <w:p>
      <w:pPr>
        <w:spacing w:before="160" w:after="40" w:line="240" w:lineRule="auto"/>
      </w:pPr>
      <w:r>
        <w:rPr>
          <w:b/>
        </w:rPr>
        <w:t xml:space="preserve">[517] </w:t>
      </w:r>
      <w:hyperlink r:id="rId807">
        <w:r>
          <w:rPr>
            <w:color w:val="1155CC"/>
            <w:u w:val="single"/>
          </w:rPr>
          <w:t>借助电共振效应而启用的稳定 15 - 无Ah 阴极无李式邮袋电池</w:t>
        </w:r>
      </w:hyperlink>
    </w:p>
    <w:p>
      <w:pPr>
        <w:spacing w:before="0" w:after="80"/>
      </w:pPr>
      <w:r>
        <w:rPr>
          <w:i/>
          <w:sz w:val="20"/>
        </w:rPr>
        <w:t>EN: Stable 15-Ah Anode-Free Li Pouch Cell Enabled by Electron Resonance Effect</w:t>
      </w:r>
    </w:p>
    <w:p>
      <w:pPr>
        <w:spacing w:before="0" w:after="120"/>
      </w:pPr>
      <w:r>
        <w:rPr>
          <w:b/>
        </w:rPr>
        <w:t xml:space="preserve">Source: </w:t>
      </w:r>
      <w:r>
        <w:t>RSC - Energy Environ. Sci. latest articles</w:t>
      </w:r>
      <w:r>
        <w:t xml:space="preserve">    </w:t>
      </w:r>
      <w:r>
        <w:rPr>
          <w:b/>
        </w:rPr>
        <w:t xml:space="preserve">Pub date: </w:t>
      </w:r>
      <w:r>
        <w:t>2026-01-29 00:00:00+00:00</w:t>
      </w:r>
    </w:p>
    <w:p>
      <w:pPr>
        <w:spacing w:before="0" w:after="120"/>
      </w:pPr>
      <w:r>
        <w:rPr>
          <w:b/>
        </w:rPr>
        <w:t xml:space="preserve">Notes: </w:t>
      </w:r>
      <w:r>
        <w:t>abstract_source=rsc_html</w:t>
      </w:r>
    </w:p>
    <w:p>
      <w:pPr>
        <w:spacing w:before="0" w:after="80" w:lineRule="auto" w:line="276"/>
      </w:pPr>
      <w:r>
        <w:rPr>
          <w:b/>
        </w:rPr>
        <w:t xml:space="preserve">摘要（ZH）: </w:t>
      </w:r>
      <w:r>
        <w:t>Ah级无阴极李金属电池(AFLMBs)是可再充电电池的最高理论能量密度;然而,由于电解耗耗竭严重和李氏活性消耗,这些电池的实际应用受到阻碍。 保护不足的固态电解相交点(SEI)限制了长期循环过程中的李静电保值。 我们在此设定了两个标准,即电共振能和交换反射能,利用电子共振原则促进形成稳定的SEI,高含量的减少离子产品的SEI。 根据这一原则,从肛门向溶剂分子的分电子转移有助于降低阴离子周围的电子密度,从而有利于优先减少离子。这种电子共振素。</w:t>
      </w:r>
    </w:p>
    <w:p>
      <w:pPr>
        <w:spacing w:before="0" w:after="200" w:lineRule="auto" w:line="276"/>
      </w:pPr>
      <w:r>
        <w:rPr>
          <w:b/>
        </w:rPr>
        <w:t xml:space="preserve">Abstract (EN): </w:t>
      </w:r>
      <w:r>
        <w:t>Ah-level anode-free Li metal batteries (AFLMBs) exhibit the highest theoretical energy density for rechargeable batteries; however, their practical application is hindered by serious electrolyte depletion and active Li consumption. The insufficiently protective solid electrolyte interphase (SEI) limits the Li retention during the prolonged cycling. Here we establish two criteria, i.e., electron resonance energy and exchange repulsion energy, using the principle of electron resonance to facilitate the formation of stable SEI with high content of anion reduction products. Based on this principle, fractional electron transfer from anions to solvent molecules helps decrease the electron density around the anions, thereby facilitating the preferential reduction of anions. This electron resonance mechanism effectively promotes the incorporation of anion-decomposition products into the SEI, mitigating electrolyte consumption and dead Li formation. Additionally, battery stability is improved through the anode-free configuration in the optimized electrolyte due to the reduced galvanic corrosion and Li metal inventory. Using an electrolyte enlighted by electron resonance effect, an anode-free Cu||LiNi0.8Mn0.1Co0.1O2 pouch cell with a 15-Ah capacity was assembled, achieving a high energy density of 500 Wh kg-1 with excellent reversibility. This study offers insights into advanced electrolyte design, focusing on anion-decomposed interphase to boost the stable application of Ah-level AFLMBs.</w:t>
      </w:r>
    </w:p>
    <w:p>
      <w:pPr>
        <w:spacing w:before="120" w:after="120"/>
      </w:pPr>
      <w:r>
        <w:rPr>
          <w:sz w:val="18"/>
        </w:rPr>
        <w:t>——————————————————————————————————————————————————————————————————————</w:t>
      </w:r>
    </w:p>
    <w:p>
      <w:pPr>
        <w:spacing w:before="160" w:after="40" w:line="240" w:lineRule="auto"/>
      </w:pPr>
      <w:r>
        <w:rPr>
          <w:b/>
        </w:rPr>
        <w:t xml:space="preserve">[518] </w:t>
      </w:r>
      <w:hyperlink r:id="rId808">
        <w:r>
          <w:rPr>
            <w:color w:val="1155CC"/>
            <w:u w:val="single"/>
          </w:rPr>
          <w:t>从经修改的肿瘤细胞中工程而成的生物动能囊作为外科癌症后免疫疗法的个性化疫苗。</w:t>
        </w:r>
      </w:hyperlink>
    </w:p>
    <w:p>
      <w:pPr>
        <w:spacing w:before="0" w:after="80"/>
      </w:pPr>
      <w:r>
        <w:rPr>
          <w:i/>
          <w:sz w:val="20"/>
        </w:rPr>
        <w:t>EN: Biomimetic vesicles engineered from modified tumour cells act as personalized vaccines for post-surgical cancer immunotherapy</w:t>
      </w:r>
    </w:p>
    <w:p>
      <w:pPr>
        <w:spacing w:before="0" w:after="120"/>
      </w:pPr>
      <w:r>
        <w:rPr>
          <w:b/>
        </w:rPr>
        <w:t xml:space="preserve">Source: </w:t>
      </w:r>
      <w:r>
        <w:t>Nature Nanotechnology</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外科切除仍然是大多数固体肿瘤的主要治疗方法,但手术后留下的转移性肿瘤细胞在很大程度上助长了与癌症有关的死亡和复发。在这里,我们确定11型突变肿瘤为关键的调节器,可以加强肿瘤细胞膜上的MHC I和共同刺激分子的表达方式,使肿瘤细胞获得类似细胞特征的CD80/CD86。通过在外科切除的自动肿瘤细胞中过多地表达突变性肿瘤11,我们生成了MHC Ihigh/CD80high/CD86high 登地细胞类细胞细胞。利用这些改良细胞的细胞膜,我们设计了人造的硬体细胞类细胞衍生卵,作为个人化的自动纳米疫苗,用于手术后呼吸道癌的免疫治疗。这种纳米真空。</w:t>
      </w:r>
    </w:p>
    <w:p>
      <w:pPr>
        <w:spacing w:before="0" w:after="200" w:lineRule="auto" w:line="276"/>
      </w:pPr>
      <w:r>
        <w:rPr>
          <w:b/>
        </w:rPr>
        <w:t xml:space="preserve">Abstract (EN): </w:t>
      </w:r>
      <w:r>
        <w:t>Surgical resection remains the primary treatment for most solid tumours, yet metastatic tumour cells remaining after surgery substantially contribute to cancer-related mortality and recurrence. Here we identify syntaxin 11 as a key regulator that enhances the expression of MHC I and co-stimulatory molecules CD80/CD86 on tumour cell membranes, enabling cancer cells to acquire dendritic-cell-like features. By overexpressing syntaxin 11 in autologous tumour cells obtained from surgical resections, we generated MHC Ihigh/CD80high/CD86high dendritic-cell-like cells. Utilizing the cell membranes of these modified cells, we engineered artificial dendritic-cell-like cell-derived vesicles as a personalized autologous nanovaccine for the immunotherapy of postoperative metastatic cancer. This nanovaccine substantially improves antigen delivery to lymphoid organs and enhances antigen presentation efficiency through tumour self-presentation, thereby disrupting traditional vaccine development paradigms. Our work provides a promising avenue for developing effective metastatic cancer immunotherapies and offers hope for personalized postoperative immunotherapy.</w:t>
      </w:r>
    </w:p>
    <w:p>
      <w:pPr>
        <w:spacing w:before="120" w:after="120"/>
      </w:pPr>
      <w:r>
        <w:rPr>
          <w:sz w:val="18"/>
        </w:rPr>
        <w:t>——————————————————————————————————————————————————————————————————————</w:t>
      </w:r>
    </w:p>
    <w:p>
      <w:pPr>
        <w:spacing w:before="160" w:after="40" w:line="240" w:lineRule="auto"/>
      </w:pPr>
      <w:r>
        <w:rPr>
          <w:b/>
        </w:rPr>
        <w:t xml:space="preserve">[519] </w:t>
      </w:r>
      <w:hyperlink r:id="rId809">
        <w:r>
          <w:rPr>
            <w:color w:val="1155CC"/>
            <w:u w:val="single"/>
          </w:rPr>
          <w:t>还清醒吗 麻醉时的脑标记信号</w:t>
        </w:r>
      </w:hyperlink>
    </w:p>
    <w:p>
      <w:pPr>
        <w:spacing w:before="0" w:after="80"/>
      </w:pPr>
      <w:r>
        <w:rPr>
          <w:i/>
          <w:sz w:val="20"/>
        </w:rPr>
        <w:t>EN: Still conscious? Brain marker signals when anaesthesia takes hold</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[520] </w:t>
      </w:r>
      <w:hyperlink r:id="rId810">
        <w:r>
          <w:rPr>
            <w:color w:val="1155CC"/>
            <w:u w:val="single"/>
          </w:rPr>
          <w:t>量身定制的具有很强DNA结合能力的MOS2膜,通过环境DNA元条码,加强水生生物群的探测</w:t>
        </w:r>
      </w:hyperlink>
    </w:p>
    <w:p>
      <w:pPr>
        <w:spacing w:before="0" w:after="80"/>
      </w:pPr>
      <w:r>
        <w:rPr>
          <w:i/>
          <w:sz w:val="20"/>
        </w:rPr>
        <w:t>EN: A tailored MoS2 membrane with strong DNA binding capability enhances aquatic biota detection through environmental DNA metabarcoding</w:t>
      </w:r>
    </w:p>
    <w:p>
      <w:pPr>
        <w:spacing w:before="0" w:after="120"/>
      </w:pPr>
      <w:r>
        <w:rPr>
          <w:b/>
        </w:rPr>
        <w:t xml:space="preserve">Source: </w:t>
      </w:r>
      <w:r>
        <w:t>National Science Review Advance Access</w:t>
      </w:r>
      <w:r>
        <w:t xml:space="preserve">    </w:t>
      </w:r>
      <w:r>
        <w:rPr>
          <w:b/>
        </w:rPr>
        <w:t xml:space="preserve">Pub date: </w:t>
      </w:r>
      <w:r>
        <w:t>2026-01-29 00:00:00+00:00</w:t>
      </w:r>
      <w:r>
        <w:t xml:space="preserve">    </w:t>
      </w:r>
      <w:r>
        <w:rPr>
          <w:b/>
        </w:rPr>
        <w:t xml:space="preserve">DOI: </w:t>
      </w:r>
      <w:hyperlink r:id="rId811">
        <w:r>
          <w:rPr>
            <w:color w:val="1155CC"/>
            <w:u w:val="single"/>
          </w:rPr>
          <w:t>10.1093/nsr/nwag055/8444594</w:t>
        </w:r>
      </w:hyperlink>
    </w:p>
    <w:p>
      <w:pPr>
        <w:spacing w:before="0" w:after="120"/>
      </w:pPr>
      <w:r>
        <w:rPr>
          <w:b/>
        </w:rPr>
        <w:t xml:space="preserve">Notes: </w:t>
      </w:r>
      <w:r>
        <w:t>abstract_source=rss_oup</w:t>
      </w:r>
    </w:p>
    <w:p>
      <w:pPr>
        <w:spacing w:before="0" w:after="80" w:lineRule="auto" w:line="276"/>
      </w:pPr>
      <w:r>
        <w:rPr>
          <w:b/>
        </w:rPr>
        <w:t xml:space="preserve">摘要（ZH）: </w:t>
      </w:r>
      <w:r>
        <w:t>活性环境DNA(eDNA)取样通常涉及水过滤,其优势是捕获到相对较高的eDNA浓度,使其在低DNA浓度的水生环境中特别宝贵,然而,这一方法面临若干限制,包括DNA捕获效率低、分子选择性有限以及过滤和处理过程中的污染风险。此外,常用的膜材料往往缺乏强大和具体的DNA约束性亲近性,这降低了检测敏感度和生物多样性评估。为应对这些挑战,我们开发了MOS2-相形混合纤维素酯(MCE)膜,大大提高了捕获eDNA的效率和选择性。</w:t>
      </w:r>
    </w:p>
    <w:p>
      <w:pPr>
        <w:spacing w:before="0" w:after="200" w:lineRule="auto" w:line="276"/>
      </w:pPr>
      <w:r>
        <w:rPr>
          <w:b/>
        </w:rPr>
        <w:t xml:space="preserve">Abstract (EN): </w:t>
      </w:r>
      <w:r>
        <w:t>Active environmental DNA (eDNA) sampling, typically involving water filtration, offers the advantage of capturing relatively high concentrations of eDNA, making it particularly valuable in aquatic environments with low-DNA concentrations. However, this approach faces several limitations, including low DNA capture efficiency, limited molecular selectivity, and the risk of contamination during filtration and handling. Moreover, commonly used membrane materials often lack strong and specific DNA-binding affinity, which reduces detection sensitivity and compromises biodiversity assessment. To address these challenges, we developed a MoS2-coated mixed cellulose ester (MCE) membrane that significantly enhances both the efficiency and selectivity in capturing eDNA. The MoS2 coating facilitates preferential interactions with DNA via van der Waals forces between sulfur atoms in MoS2 and the oxygen or nitrogen atoms in DNA bases. Laboratory and field tests with marine fish confirmed that the MoS2-coated membrane significantly enhanced the selectivity and sensitivity of eDNA-based biota detection. This work represents the first application of a two-dimensional (2D) nanomaterial-based membrane for eDNA collection and detection. Furthermore, the membrane is low-cost, scalable, and requires no further processing. This invention offers a promising strategy for the development of 2D nanomaterials-based eDNA sampling tools and showcases their broader potential in environmental biotechnology applications.</w:t>
      </w:r>
    </w:p>
    <w:p>
      <w:pPr>
        <w:spacing w:before="120" w:after="120"/>
      </w:pPr>
      <w:r>
        <w:rPr>
          <w:sz w:val="18"/>
        </w:rPr>
        <w:t>——————————————————————————————————————————————————————————————————————</w:t>
      </w:r>
    </w:p>
    <w:p>
      <w:pPr>
        <w:spacing w:before="160" w:after="40" w:line="240" w:lineRule="auto"/>
      </w:pPr>
      <w:r>
        <w:rPr>
          <w:b/>
        </w:rPr>
        <w:t xml:space="preserve">[521] </w:t>
      </w:r>
      <w:hyperlink r:id="rId812">
        <w:r>
          <w:rPr>
            <w:color w:val="1155CC"/>
            <w:u w:val="single"/>
          </w:rPr>
          <w:t>即时城市外表光电池光电效应潜在评估:任意规划前景的端至端深层学习框架</w:t>
        </w:r>
      </w:hyperlink>
    </w:p>
    <w:p>
      <w:pPr>
        <w:spacing w:before="0" w:after="80"/>
      </w:pPr>
      <w:r>
        <w:rPr>
          <w:i/>
          <w:sz w:val="20"/>
        </w:rPr>
        <w:t>EN: Instantaneous urban facade PV potential assessment: An end-to-end deep learning framework for arbitrary planning horizons</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[522] </w:t>
      </w:r>
      <w:hyperlink r:id="rId813">
        <w:r>
          <w:rPr>
            <w:color w:val="1155CC"/>
            <w:u w:val="single"/>
          </w:rPr>
          <w:t>软生物传感器,带有可打印的、反应灵敏的水文凝胶界面,用于检测和分辨血液循环并发症</w:t>
        </w:r>
      </w:hyperlink>
    </w:p>
    <w:p>
      <w:pPr>
        <w:spacing w:before="0" w:after="80"/>
      </w:pPr>
      <w:r>
        <w:rPr>
          <w:i/>
          <w:sz w:val="20"/>
        </w:rPr>
        <w:t>EN: A soft biosensor with printable responsive hydrogel interfaces for detection and differentiation of blood circulation complications</w:t>
      </w:r>
    </w:p>
    <w:p>
      <w:pPr>
        <w:spacing w:before="0" w:after="120"/>
      </w:pPr>
      <w:r>
        <w:rPr>
          <w:b/>
        </w:rPr>
        <w:t xml:space="preserve">Source: </w:t>
      </w:r>
      <w:r>
        <w:t>National Science Review Advance Access</w:t>
      </w:r>
      <w:r>
        <w:t xml:space="preserve">    </w:t>
      </w:r>
      <w:r>
        <w:rPr>
          <w:b/>
        </w:rPr>
        <w:t xml:space="preserve">Pub date: </w:t>
      </w:r>
      <w:r>
        <w:t>2026-01-29 00:00:00+00:00</w:t>
      </w:r>
      <w:r>
        <w:t xml:space="preserve">    </w:t>
      </w:r>
      <w:r>
        <w:rPr>
          <w:b/>
        </w:rPr>
        <w:t xml:space="preserve">DOI: </w:t>
      </w:r>
      <w:hyperlink r:id="rId814">
        <w:r>
          <w:rPr>
            <w:color w:val="1155CC"/>
            <w:u w:val="single"/>
          </w:rPr>
          <w:t>10.1093/nsr/nwag058/8444591</w:t>
        </w:r>
      </w:hyperlink>
    </w:p>
    <w:p>
      <w:pPr>
        <w:spacing w:before="0" w:after="120"/>
      </w:pPr>
      <w:r>
        <w:rPr>
          <w:b/>
        </w:rPr>
        <w:t xml:space="preserve">Notes: </w:t>
      </w:r>
      <w:r>
        <w:t>abstract_source=rss_oup</w:t>
      </w:r>
    </w:p>
    <w:p>
      <w:pPr>
        <w:spacing w:before="0" w:after="80" w:lineRule="auto" w:line="276"/>
      </w:pPr>
      <w:r>
        <w:rPr>
          <w:b/>
        </w:rPr>
        <w:t xml:space="preserve">摘要（ZH）: </w:t>
      </w:r>
      <w:r>
        <w:t>灵活电子学一直引起对医疗应用的极大关注,并表现出监测血液循环的巨大前景(如对自由片片片进行手术后监测),然而,现有与人体皮肤接口的设计和制造方法仍无法满足在监测和避免剥皮期间对伤口的伤害进行监测和避免过程中对高级粘合的临床挑战性要求。在这里,我们提议建立一个软生物传感器,配有通用反应快的水文凝胶接口,用于检测血液循环并发症。特别是,我们开发热反应和可打印的水文凝胶墨,以迅速实现高精度图案和对界面层的广泛粘合监管。在临床案例中,水文凝胶生物传感器可以建立强大的水凝/纤维皮突变。</w:t>
      </w:r>
    </w:p>
    <w:p>
      <w:pPr>
        <w:spacing w:before="0" w:after="200" w:lineRule="auto" w:line="276"/>
      </w:pPr>
      <w:r>
        <w:rPr>
          <w:b/>
        </w:rPr>
        <w:t xml:space="preserve">Abstract (EN): </w:t>
      </w:r>
      <w:r>
        <w:t>Flexible electronics have been drawing significant attention for healthcare applications and show great promise for monitoring of blood circulation (e.g. postoperative monitoring of free flaps). However, existing methods for design and fabrication of interfaces with human skin still cannot meet the challenging clinical requirements of superior adhesion during monitoring and avoiding wound damage during peel-off. Here, we propose a soft biosensor with universal responsive hydrogel interfaces for detecting blood circulation complications. Particularly, we develop thermoresponsive and printable hydrogel inks to achieve rapidly high-precision patterning and wide-range adhesion regulation of interface layers. In clinical cases, the hydrogel biosensor can establish robust hydrogel/flap skin coupling for high-fidelity signal acquisition during monitoring, and ensure benign detachment to prevent tissue injury after monitoring. We achieve precise arterial perfusion monitoring based on the perfusion index (PI) via an 810 nm light source. Additionally, we propose a new metric, the balance index (BI), to monitor venous congestion. By analyzing BI, PI, and skin temperature, the biosensor enables accurate detection and differentiation of blood circulation complications. The printable thermoresponsive hydrogel can be adopted as a universal interface in flexible electronics for healthcare applications, and the biosensor represents a promising platform for blood circulation monitoring.</w:t>
      </w:r>
    </w:p>
    <w:p>
      <w:pPr>
        <w:spacing w:before="120" w:after="120"/>
      </w:pPr>
      <w:r>
        <w:rPr>
          <w:sz w:val="18"/>
        </w:rPr>
        <w:t>——————————————————————————————————————————————————————————————————————</w:t>
      </w:r>
    </w:p>
    <w:p>
      <w:pPr>
        <w:spacing w:before="160" w:after="40" w:line="240" w:lineRule="auto"/>
      </w:pPr>
      <w:r>
        <w:rPr>
          <w:b/>
        </w:rPr>
        <w:t xml:space="preserve">[523] </w:t>
      </w:r>
      <w:hyperlink r:id="rId815">
        <w:r>
          <w:rPr>
            <w:color w:val="1155CC"/>
            <w:u w:val="single"/>
          </w:rPr>
          <w:t>大气海洋科学:进步、挑战和前进道路</w:t>
        </w:r>
      </w:hyperlink>
    </w:p>
    <w:p>
      <w:pPr>
        <w:spacing w:before="0" w:after="80"/>
      </w:pPr>
      <w:r>
        <w:rPr>
          <w:i/>
          <w:sz w:val="20"/>
        </w:rPr>
        <w:t>EN: AI for atmosphere-ocean sciences: advancements, challenges, and ways forward</w:t>
      </w:r>
    </w:p>
    <w:p>
      <w:pPr>
        <w:spacing w:before="0" w:after="120"/>
      </w:pPr>
      <w:r>
        <w:rPr>
          <w:b/>
        </w:rPr>
        <w:t xml:space="preserve">Source: </w:t>
      </w:r>
      <w:r>
        <w:t>National Science Review Advance Access</w:t>
      </w:r>
      <w:r>
        <w:t xml:space="preserve">    </w:t>
      </w:r>
      <w:r>
        <w:rPr>
          <w:b/>
        </w:rPr>
        <w:t xml:space="preserve">Pub date: </w:t>
      </w:r>
      <w:r>
        <w:t>2026-01-29 00:00:00+00:00</w:t>
      </w:r>
      <w:r>
        <w:t xml:space="preserve">    </w:t>
      </w:r>
      <w:r>
        <w:rPr>
          <w:b/>
        </w:rPr>
        <w:t xml:space="preserve">DOI: </w:t>
      </w:r>
      <w:hyperlink r:id="rId816">
        <w:r>
          <w:rPr>
            <w:color w:val="1155CC"/>
            <w:u w:val="single"/>
          </w:rPr>
          <w:t>10.1093/nsr/nwag063/8444589</w:t>
        </w:r>
      </w:hyperlink>
    </w:p>
    <w:p>
      <w:pPr>
        <w:spacing w:before="0" w:after="120"/>
      </w:pPr>
      <w:r>
        <w:rPr>
          <w:b/>
        </w:rPr>
        <w:t xml:space="preserve">Notes: </w:t>
      </w:r>
      <w:r>
        <w:t>abstract_source=rss_oup</w:t>
      </w:r>
    </w:p>
    <w:p>
      <w:pPr>
        <w:spacing w:before="0" w:after="80" w:lineRule="auto" w:line="276"/>
      </w:pPr>
      <w:r>
        <w:rPr>
          <w:b/>
        </w:rPr>
        <w:t xml:space="preserve">摘要（ZH）: </w:t>
      </w:r>
      <w:r>
        <w:t>人工智能(AI)正在迅速改变地球科学,提供了前所未有的应对该领域最紧迫挑战的能力。 这项工作探索了全AI在大气海洋科学方面的重大进步和新出现的挑战,同时概述了关键的前进方向。我们审查了深层次的学习方法及其在天气和气候预报中的应用,这些方法在准确性和计算效率方面超过了动态模型。 也研究了AI在发现复杂现象、加强数据同化和重建、纠正偏见和缩小粗糙模型产出方面的作用。 然而,复杂的AI模型的“黑盒子”性质要求侧重于可解释的AI,以建立信任和提取机械洞察力。</w:t>
      </w:r>
    </w:p>
    <w:p>
      <w:pPr>
        <w:spacing w:before="0" w:after="200" w:lineRule="auto" w:line="276"/>
      </w:pPr>
      <w:r>
        <w:rPr>
          <w:b/>
        </w:rPr>
        <w:t xml:space="preserve">Abstract (EN): </w:t>
      </w:r>
      <w:r>
        <w:t>Artificial Intelligence (AI) is rapidly transforming Earth science, offering unprecedented capabilities to tackle the field’s most pressing challenges. This work explores significant advances and emerging challenges across the AI for atmosphere-ocean sciences, while outlining critical ways forward. We review deep learning methods and their application in weather and climate forecasting, which outperforms dynamical models in accuracy and computational efficiency. The role of AI in detecting complex phenomena, enhancing data assimilation and reconstruction, bias correction and downscaling coarse model outputs is also examined. However, the “black box” nature of complex AI models necessitates a focus on explainable AI to build trust and extract mechanistic insight. The most promising path forward is identified as the development of hybrid physics-AI modeling, which integrates the data-driven power of AI with the foundational constraints of physical laws to ensure generalizability and causal consistency. A new framework for AI-based model intercomparison is essential for rigorously benchmark performance. Finally, we contextualize these technical developments by discussing the usefulness and applicability of AI to society, including the improvement of multi-hazard early warning systems and green energy production. We conclude by envisioning the future of AI agents for Earth science—autonomous, goal-oriented systems capable of designing and running experiments, generating and testing hypotheses, and learning dynamics from multi-source data. This synthesis underscores that AI is not merely a tool but a paradigm shift, which will significantly improve how we understand and adapt to a changing climate.</w:t>
      </w:r>
    </w:p>
    <w:p>
      <w:pPr>
        <w:spacing w:before="120" w:after="120"/>
      </w:pPr>
      <w:r>
        <w:rPr>
          <w:sz w:val="18"/>
        </w:rPr>
        <w:t>——————————————————————————————————————————————————————————————————————</w:t>
      </w:r>
    </w:p>
    <w:p>
      <w:pPr>
        <w:spacing w:before="160" w:after="40" w:line="240" w:lineRule="auto"/>
      </w:pPr>
      <w:r>
        <w:rPr>
          <w:b/>
        </w:rPr>
        <w:t xml:space="preserve">[524] </w:t>
      </w:r>
      <w:hyperlink r:id="rId817">
        <w:r>
          <w:rPr>
            <w:color w:val="1155CC"/>
            <w:u w:val="single"/>
          </w:rPr>
          <w:t>非洲特别经济区和能源贫穷:超出原定目的的外溢效应</w:t>
        </w:r>
      </w:hyperlink>
    </w:p>
    <w:p>
      <w:pPr>
        <w:spacing w:before="0" w:after="80"/>
      </w:pPr>
      <w:r>
        <w:rPr>
          <w:i/>
          <w:sz w:val="20"/>
        </w:rPr>
        <w:t>EN: Special economic zones and energy poverty in Africa: spillover effects beyond their initial purpose</w:t>
      </w:r>
    </w:p>
    <w:p>
      <w:pPr>
        <w:spacing w:before="0" w:after="120"/>
      </w:pPr>
      <w:r>
        <w:rPr>
          <w:b/>
        </w:rPr>
        <w:t xml:space="preserve">Source: </w:t>
      </w:r>
      <w:r>
        <w:t>ScienceDirect Publication: Energy Policy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[525] </w:t>
      </w:r>
      <w:hyperlink r:id="rId818">
        <w:r>
          <w:rPr>
            <w:color w:val="1155CC"/>
            <w:u w:val="single"/>
          </w:rPr>
          <w:t>太阳能与细菌新陈代谢相互作用,促进可持续化学合成</w:t>
        </w:r>
      </w:hyperlink>
    </w:p>
    <w:p>
      <w:pPr>
        <w:spacing w:before="0" w:after="80"/>
      </w:pPr>
      <w:r>
        <w:rPr>
          <w:i/>
          <w:sz w:val="20"/>
        </w:rPr>
        <w:t>EN: Interfacing solar energy with bacterial metabolism for sustainable chemical synthesis</w:t>
      </w:r>
    </w:p>
    <w:p>
      <w:pPr>
        <w:spacing w:before="0" w:after="120"/>
      </w:pPr>
      <w:r>
        <w:rPr>
          <w:b/>
        </w:rPr>
        <w:t xml:space="preserve">Source: </w:t>
      </w:r>
      <w:r>
        <w:t>Nature Reviews Clean Technology</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光营养细菌利用太阳能支持新陈代谢和生物化学合成,作为工业化学制造系统越来越受人关注,使用光营养细菌的生物合成可以使用各种可再生有机和无机碳来源推动化学生产,而无需外源供应工业生物技术中传统黑发酵所需的精炼有机碳。利用太阳能将二氧化碳转化为有用产品或循环利用的各种废物流的潜力为化学制造开辟了渠道,使之与矿物资源耗竭脱钩,可能的环境足迹比其他生物技术路线要小。尽管有这种潜力,但光营养细菌的商业用途还是用于这一目的。</w:t>
      </w:r>
    </w:p>
    <w:p>
      <w:pPr>
        <w:spacing w:before="0" w:after="200" w:lineRule="auto" w:line="276"/>
      </w:pPr>
      <w:r>
        <w:rPr>
          <w:b/>
        </w:rPr>
        <w:t xml:space="preserve">Abstract (EN): </w:t>
      </w:r>
      <w:r>
        <w:t>Phototrophic bacteria use solar energy to support metabolism and biochemical synthesis and are of increasing interest as systems for industrial chemical manufacture. Biosynthesis using phototrophic bacteria can use various renewable organic and inorganic carbon sources to drive chemical production, without an exogenous supply of refined organic carbon required for traditional dark fermentation used in industrial biotechnology. The potential to use solar energy to convert CO2 into useful products or upcycle diverse waste streams opens avenues for chemical manufacturing decoupled from fossil resource depletion, potentially with a smaller environmental footprint than other biotechnological routes. Despite this potential, the commercial application of phototrophic bacteria for this purpose is currently limited. In this Review, we discuss the basis for solar chemical bioprocesses in bacteria, emerging tools to engineer phototrophy for bioproduction and give examples of bulk chemical and high-value products synthesized in these species. Finally, we discuss the outlook for this nascent field in the context of chemical synthesis through engineering biology and outline the further progress required to realize the potential of light-powered microbial cell factories for future sustainable industrial synthesis.</w:t>
      </w:r>
    </w:p>
    <w:p>
      <w:pPr>
        <w:spacing w:before="120" w:after="120"/>
      </w:pPr>
      <w:r>
        <w:rPr>
          <w:sz w:val="18"/>
        </w:rPr>
        <w:t>——————————————————————————————————————————————————————————————————————</w:t>
      </w:r>
    </w:p>
    <w:p>
      <w:pPr>
        <w:spacing w:before="160" w:after="40" w:line="240" w:lineRule="auto"/>
      </w:pPr>
      <w:r>
        <w:rPr>
          <w:b/>
        </w:rPr>
        <w:t xml:space="preserve">[526] </w:t>
      </w:r>
      <w:hyperlink r:id="rId819">
        <w:r>
          <w:rPr>
            <w:color w:val="1155CC"/>
            <w:u w:val="single"/>
          </w:rPr>
          <w:t>48小时无肺:人工器官使人类活到移植</w:t>
        </w:r>
      </w:hyperlink>
    </w:p>
    <w:p>
      <w:pPr>
        <w:spacing w:before="0" w:after="80"/>
      </w:pPr>
      <w:r>
        <w:rPr>
          <w:i/>
          <w:sz w:val="20"/>
        </w:rPr>
        <w:t>EN: 48 hours without lungs: artificial organ kept man alive until transplant</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[527] </w:t>
      </w:r>
      <w:hyperlink r:id="rId820">
        <w:r>
          <w:rPr>
            <w:color w:val="1155CC"/>
            <w:u w:val="single"/>
          </w:rPr>
          <w:t>该AI公司拥有化学专门知识,帮助合成35种新的化合物。</w:t>
        </w:r>
      </w:hyperlink>
    </w:p>
    <w:p>
      <w:pPr>
        <w:spacing w:before="0" w:after="80"/>
      </w:pPr>
      <w:r>
        <w:rPr>
          <w:i/>
          <w:sz w:val="20"/>
        </w:rPr>
        <w:t>EN: This AI has chemical expertise — and helps synthesize 35 new compounds</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[528] </w:t>
      </w:r>
      <w:hyperlink r:id="rId821">
        <w:r>
          <w:rPr>
            <w:color w:val="1155CC"/>
            <w:u w:val="single"/>
          </w:rPr>
          <w:t>基因工程制造的 " 臭草 " 带来玫瑰,用来制造种子油</w:t>
        </w:r>
      </w:hyperlink>
    </w:p>
    <w:p>
      <w:pPr>
        <w:spacing w:before="0" w:after="80"/>
      </w:pPr>
      <w:r>
        <w:rPr>
          <w:i/>
          <w:sz w:val="20"/>
        </w:rPr>
        <w:t>EN: Genetically engineered ‘stinkweed’ comes up roses for making seed oil</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[529] </w:t>
      </w:r>
      <w:hyperlink r:id="rId822">
        <w:r>
          <w:rPr>
            <w:color w:val="1155CC"/>
            <w:u w:val="single"/>
          </w:rPr>
          <w:t>通过混合氢溶液,使硬到缓解部门去碳化途径</w:t>
        </w:r>
      </w:hyperlink>
    </w:p>
    <w:p>
      <w:pPr>
        <w:spacing w:before="0" w:after="80"/>
      </w:pPr>
      <w:r>
        <w:rPr>
          <w:i/>
          <w:sz w:val="20"/>
        </w:rPr>
        <w:t>EN: Decarbonization pathways of Hard-to-Abate sectors through hydrogen blending solutions</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[530] </w:t>
      </w:r>
      <w:hyperlink r:id="rId823">
        <w:r>
          <w:rPr>
            <w:color w:val="1155CC"/>
            <w:u w:val="single"/>
          </w:rPr>
          <w:t>燃料电池能源管理战略:趋势绘图和算法进步的Word2Vec驱动的理论计量框架</w:t>
        </w:r>
      </w:hyperlink>
    </w:p>
    <w:p>
      <w:pPr>
        <w:spacing w:before="0" w:after="80"/>
      </w:pPr>
      <w:r>
        <w:rPr>
          <w:i/>
          <w:sz w:val="20"/>
        </w:rPr>
        <w:t>EN: Fuel cell energy management strategies (FCEMS): a Word2Vec-driven bibliometric framework for trend mapping and algorithmic advancements</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[531] </w:t>
      </w:r>
      <w:hyperlink r:id="rId824">
        <w:r>
          <w:rPr>
            <w:color w:val="1155CC"/>
            <w:u w:val="single"/>
          </w:rPr>
          <w:t>ArXiv说提交文件必须用英文:</w:t>
        </w:r>
      </w:hyperlink>
    </w:p>
    <w:p>
      <w:pPr>
        <w:spacing w:before="0" w:after="80"/>
      </w:pPr>
      <w:r>
        <w:rPr>
          <w:i/>
          <w:sz w:val="20"/>
        </w:rPr>
        <w:t>EN: ArXiv says submissions must be in English: are AI translators up for the job?</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[532] </w:t>
      </w:r>
      <w:hyperlink r:id="rId825">
        <w:r>
          <w:rPr>
            <w:color w:val="1155CC"/>
            <w:u w:val="single"/>
          </w:rPr>
          <w:t>为低碳过渡提供效率驱动的减税,低碳过渡:一个跨进进进进进进进式游戏方法</w:t>
        </w:r>
      </w:hyperlink>
    </w:p>
    <w:p>
      <w:pPr>
        <w:spacing w:before="0" w:after="80"/>
      </w:pPr>
      <w:r>
        <w:rPr>
          <w:i/>
          <w:sz w:val="20"/>
        </w:rPr>
        <w:t>EN: Efficiency-driven tax rebates for low-carbon transition: A translog–evolutionary game approach</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[533] </w:t>
      </w:r>
      <w:hyperlink r:id="rId826">
        <w:r>
          <w:rPr>
            <w:color w:val="1155CC"/>
            <w:u w:val="single"/>
          </w:rPr>
          <w:t>全周期含氧可耐氧有机流动电池</w:t>
        </w:r>
      </w:hyperlink>
    </w:p>
    <w:p>
      <w:pPr>
        <w:spacing w:before="0" w:after="80"/>
      </w:pPr>
      <w:r>
        <w:rPr>
          <w:i/>
          <w:sz w:val="20"/>
        </w:rPr>
        <w:t>EN: Full-cycle oxygen-tolerant organic flow batteries</w:t>
      </w:r>
    </w:p>
    <w:p>
      <w:pPr>
        <w:spacing w:before="0" w:after="120"/>
      </w:pPr>
      <w:r>
        <w:rPr>
          <w:b/>
        </w:rPr>
        <w:t xml:space="preserve">Source: </w:t>
      </w:r>
      <w:r>
        <w:t>Joule</w:t>
      </w:r>
      <w:r>
        <w:t xml:space="preserve">    </w:t>
      </w:r>
      <w:r>
        <w:rPr>
          <w:b/>
        </w:rPr>
        <w:t xml:space="preserve">Pub date: </w:t>
      </w:r>
      <w:r>
        <w:t>2026-01-29 00:00:00+00:00</w:t>
      </w:r>
    </w:p>
    <w:p>
      <w:pPr>
        <w:spacing w:before="0" w:after="120"/>
      </w:pPr>
      <w:r>
        <w:rPr>
          <w:b/>
        </w:rPr>
        <w:t xml:space="preserve">Notes: </w:t>
      </w:r>
      <w:r>
        <w:t>abstract_source=rss_cell</w:t>
      </w:r>
    </w:p>
    <w:p>
      <w:pPr>
        <w:spacing w:before="0" w:after="80" w:lineRule="auto" w:line="276"/>
      </w:pPr>
      <w:r>
        <w:rPr>
          <w:b/>
        </w:rPr>
        <w:t xml:space="preserve">摘要（ZH）: </w:t>
      </w:r>
      <w:r>
        <w:t>这项工作为构建一个全循环氧耐氧水有机红氧化物流动电池(AORFB)提供了一个范式设计。 Forma-dimer结构使具有依赖浓度的含氧耐氧能力的 vologen negolyte 得以使用,为在空气下运行的AORFB提供了高共振效率和超强循环稳定性。</w:t>
      </w:r>
    </w:p>
    <w:p>
      <w:pPr>
        <w:spacing w:before="0" w:after="200" w:lineRule="auto" w:line="276"/>
      </w:pPr>
      <w:r>
        <w:rPr>
          <w:b/>
        </w:rPr>
        <w:t xml:space="preserve">Abstract (EN): </w:t>
      </w:r>
      <w:r>
        <w:t>This work presents a paradigm design for constructing a full-cycle oxygen-tolerant aqueous organic redox flow battery (AORFB). The folda-dimer structure enables the viologen negolyte with a concentration-independent oxygen-tolerant ability, providing high coulombic efficiency and superior cycling stability for AORFB operated under air.</w:t>
      </w:r>
    </w:p>
    <w:p>
      <w:pPr>
        <w:spacing w:before="120" w:after="120"/>
      </w:pPr>
      <w:r>
        <w:rPr>
          <w:sz w:val="18"/>
        </w:rPr>
        <w:t>——————————————————————————————————————————————————————————————————————</w:t>
      </w:r>
    </w:p>
    <w:p>
      <w:pPr>
        <w:spacing w:before="160" w:after="40" w:line="240" w:lineRule="auto"/>
      </w:pPr>
      <w:r>
        <w:rPr>
          <w:b/>
        </w:rPr>
        <w:t xml:space="preserve">[534] </w:t>
      </w:r>
      <w:hyperlink r:id="rId827">
        <w:r>
          <w:rPr>
            <w:color w:val="1155CC"/>
            <w:u w:val="single"/>
          </w:rPr>
          <w:t>作者更正: 向地中海最偏远岛屿延伸的狩猎-采集海洋航行</w:t>
        </w:r>
      </w:hyperlink>
    </w:p>
    <w:p>
      <w:pPr>
        <w:spacing w:before="0" w:after="80"/>
      </w:pPr>
      <w:r>
        <w:rPr>
          <w:i/>
          <w:sz w:val="20"/>
        </w:rPr>
        <w:t>EN: Author Correction: Hunter-gatherer sea voyages extended to remotest Mediterranean islands</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[535] </w:t>
      </w:r>
      <w:hyperlink r:id="rId828">
        <w:r>
          <w:rPr>
            <w:color w:val="1155CC"/>
            <w:u w:val="single"/>
          </w:rPr>
          <w:t>百草枯/库(In,Ga)2将太阳能电池连成2,提高效率</w:t>
        </w:r>
      </w:hyperlink>
    </w:p>
    <w:p>
      <w:pPr>
        <w:spacing w:before="0" w:after="80"/>
      </w:pPr>
      <w:r>
        <w:rPr>
          <w:i/>
          <w:sz w:val="20"/>
        </w:rPr>
        <w:t>EN: Crystallization suppression of mixed-halide intermediates for perovskite/Cu(In,Ga)Se2 tandem solar cells with improved efficiency</w:t>
      </w:r>
    </w:p>
    <w:p>
      <w:pPr>
        <w:spacing w:before="0" w:after="120"/>
      </w:pPr>
      <w:r>
        <w:rPr>
          <w:b/>
        </w:rPr>
        <w:t xml:space="preserve">Source: </w:t>
      </w:r>
      <w:r>
        <w:t>Nature Energy</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Perovskite/Cu(In,Ga)Se2(CIGS)(CIGS(CIGS))的太阳电池对灵活和轻量化应用特别有希望,但其效率仍然落后于其他千草枯基同步结构。为了实现与千草枯底细胞的最佳光谱匹配,百草枯顶细胞需要一个宽带宽,可获取含有高溴含量混合卤化物成分的宽带宽。然而,高溴含量的百草枯薄膜存在不均匀的卤化物分布,特别是可缩放的胶片制作方法。我们在这里使用2-丙烯酮作为协调溶剂,以抑制卤化中间体的晶化,在百草枯薄膜的环境刀片涂层期间保持同质的卤化物分布。我们展示了一种灵活的单片两端。</w:t>
      </w:r>
    </w:p>
    <w:p>
      <w:pPr>
        <w:spacing w:before="0" w:after="200" w:lineRule="auto" w:line="276"/>
      </w:pPr>
      <w:r>
        <w:rPr>
          <w:b/>
        </w:rPr>
        <w:t xml:space="preserve">Abstract (EN): </w:t>
      </w:r>
      <w:r>
        <w:t>Perovskite/Cu(In,Ga)Se2 (CIGS) tandem solar cells hold particular promise for flexible and lightweight applications, yet their efficiency still lags behind other perovskite-based tandem architectures. To achieve optimal spectral matching with the CIGS bottom cell, the perovskite top cell requires a wide bandgap, obtainable with a mixed-halide composition with high bromide content. However, perovskite films made with high bromide content suffer from inhomogeneous halide distribution, especially for scalable film fabrication method. Here we use 2-pyrrolidinone as the coordinating solvent to suppress the crystallization of the halide intermediates, maintaining a homogeneous halide distribution during ambient blade-coating of the perovskite film. We demonstrate a flexible monolithic two-terminal perovskite/CIGS tandem cell with a power conversion efficiency of 27.3%, with minimal efficiency loss over 500 h of operation.</w:t>
      </w:r>
    </w:p>
    <w:p>
      <w:pPr>
        <w:spacing w:before="120" w:after="120"/>
      </w:pPr>
      <w:r>
        <w:rPr>
          <w:sz w:val="18"/>
        </w:rPr>
        <w:t>——————————————————————————————————————————————————————————————————————</w:t>
      </w:r>
    </w:p>
    <w:p>
      <w:pPr>
        <w:spacing w:before="160" w:after="40" w:line="240" w:lineRule="auto"/>
      </w:pPr>
      <w:r>
        <w:rPr>
          <w:b/>
        </w:rPr>
        <w:t xml:space="preserve">[536] </w:t>
      </w:r>
      <w:hyperlink r:id="rId829">
        <w:r>
          <w:rPr>
            <w:color w:val="1155CC"/>
            <w:u w:val="single"/>
          </w:rPr>
          <w:t>小型碱化直接将CO2电解成碳氢化合物而不是氧酸盐</w:t>
        </w:r>
      </w:hyperlink>
    </w:p>
    <w:p>
      <w:pPr>
        <w:spacing w:before="0" w:after="80"/>
      </w:pPr>
      <w:r>
        <w:rPr>
          <w:i/>
          <w:sz w:val="20"/>
        </w:rPr>
        <w:t>EN: Small alkali cations direct CO electroreduction to hydrocarbons rather than oxygenates</w:t>
      </w:r>
    </w:p>
    <w:p>
      <w:pPr>
        <w:spacing w:before="0" w:after="120"/>
      </w:pPr>
      <w:r>
        <w:rPr>
          <w:b/>
        </w:rPr>
        <w:t xml:space="preserve">Source: </w:t>
      </w:r>
      <w:r>
        <w:t>Nature Chemistry</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降低电化学CO的减少具有使低碳密集化学和燃料成为低碳化学和燃料的潜力,但反应产生多种碳产品的混合体,而基本的选择性驱动机制也不明确。 在这里,我们探索了碱化趋势,并发现锂与二氧化碳电减量相反,它能促进乙烯生产。 我们利用Approndo Raman光谱和模拟研究电解液-催化器界面,发现电极表面的液化里加与中间体氧站点的氢联结作用最大,二极分解作用最小。 这些相互作用抑制了碳氢化,促进了导致碳氢化合物的氢脱氧反应。 我们利用了这一理解和理解。</w:t>
      </w:r>
    </w:p>
    <w:p>
      <w:pPr>
        <w:spacing w:before="0" w:after="200" w:lineRule="auto" w:line="276"/>
      </w:pPr>
      <w:r>
        <w:rPr>
          <w:b/>
        </w:rPr>
        <w:t xml:space="preserve">Abstract (EN): </w:t>
      </w:r>
      <w:r>
        <w:t>Electrochemical CO reduction has the potential to enable low-carbon-intensity chemicals and fuels, but the reaction yields a mixture of multi-carbon products, and the underlying selectivity-driving mechanisms are unclear. Here we explore trends in alkali cations and find, in contradistinction to carbon dioxide electroreduction, that lithium promotes ethylene production. We study the electrolyte–catalyst interface using operando Raman spectroscopy and simulations and find that hydrated Li+ on the electrode surface has the greatest hydrogen bonding and the least cation–dipole interaction with the oxygen site on intermediates. These interactions suppress hydrogenation on carbon and promote the competing hydrodeoxygenation reaction that leads to hydrocarbons. We leverage this understanding and reduce the oxygen affinity of copper via antimony doping, suppressing the formation of the O-tethered CHCHO* intermediate on the surface that would otherwise lead to oxygenates. Combining these strategies, we achieve an ethylene faradaic efficiency of 79% at 150 mA cm−2 and an energy efficiency of 39% in a membrane electrode assembly electrolyser.</w:t>
      </w:r>
    </w:p>
    <w:p>
      <w:pPr>
        <w:spacing w:before="120" w:after="120"/>
      </w:pPr>
      <w:r>
        <w:rPr>
          <w:sz w:val="18"/>
        </w:rPr>
        <w:t>——————————————————————————————————————————————————————————————————————</w:t>
      </w:r>
    </w:p>
    <w:p>
      <w:pPr>
        <w:spacing w:before="160" w:after="40" w:line="240" w:lineRule="auto"/>
      </w:pPr>
      <w:r>
        <w:rPr>
          <w:b/>
        </w:rPr>
        <w:t xml:space="preserve">[537] </w:t>
      </w:r>
      <w:hyperlink r:id="rId830">
        <w:r>
          <w:rPr>
            <w:color w:val="1155CC"/>
            <w:u w:val="single"/>
          </w:rPr>
          <w:t>在Mott绝缘状态附近以WSe2/WS2型乙型乙型六氯环己烷在Mott绝缘状态下集体光子排放和电电电刺激</w:t>
        </w:r>
      </w:hyperlink>
    </w:p>
    <w:p>
      <w:pPr>
        <w:spacing w:before="0" w:after="80"/>
      </w:pPr>
      <w:r>
        <w:rPr>
          <w:i/>
          <w:sz w:val="20"/>
        </w:rPr>
        <w:t>EN: Collective photon emission and ferroelectric exciton ordering near Mott insulating state in WSe2/WS2 heterobilayers</w:t>
      </w:r>
    </w:p>
    <w:p>
      <w:pPr>
        <w:spacing w:before="0" w:after="120"/>
      </w:pPr>
      <w:r>
        <w:rPr>
          <w:b/>
        </w:rPr>
        <w:t xml:space="preserve">Source: </w:t>
      </w:r>
      <w:r>
        <w:t>Nature Materials</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由相互竞争的相互作用和量子波动驱动的自发性对称性断裂对于理解定序电子阶段至关重要。 虽然电子中性,但刺激性激素等光学刺激可以在其极光瞬间互动,从而增加光学活性定序阶段的可能性。自发定序对光学特性的影响仍然未得到充分探讨。最近在半导导摩伊雷晶体中观察到的超声波热绝缘状态可能有助于澄清这一问题。 我们在这里提供了由强烈的exciton-exciton相互作用驱动的电磁铁电极二极莫伊雷电振动阶段的证据。 我们揭示了晚些时候光子排放的加速和极度衰减中的低密度。 这种反直觉行为可归因于集体。</w:t>
      </w:r>
    </w:p>
    <w:p>
      <w:pPr>
        <w:spacing w:before="0" w:after="200" w:lineRule="auto" w:line="276"/>
      </w:pPr>
      <w:r>
        <w:rPr>
          <w:b/>
        </w:rPr>
        <w:t xml:space="preserve">Abstract (EN): </w:t>
      </w:r>
      <w:r>
        <w:t>Spontaneous symmetry breaking, driven by competing interactions and quantum fluctuations, is fundamental to understanding ordered electronic phases. Although electrically neutral, optical excitations like excitons can interact through their dipole moment, raising the possibility of optically active ordered phases. The effects of spontaneous ordering on optical properties remains underexplored. The excitonic Mott insulating state recently observed in semiconducting moiré crystals may help clarify this question. Here we present evidence for an in-plane ferroelectric phase of dipolar moiré excitons driven by strong exciton–exciton interactions. We reveal a speed-up of photon emission at late times and low densities in excitonic decay. This counterintuitive behaviour is attributed to collective radiance, linked to the transition between disordered and symmetry-broken ferroelectric phases of moiré excitons. Our findings provide evidence for strong dipolar intersite interactions in moiré lattices, demonstrate collective photon emission as a probe for moiré quantum materials and a path for exploring cooperative optical phenomena in strongly correlated systems.</w:t>
      </w:r>
    </w:p>
    <w:p>
      <w:pPr>
        <w:spacing w:before="120" w:after="120"/>
      </w:pPr>
      <w:r>
        <w:rPr>
          <w:sz w:val="18"/>
        </w:rPr>
        <w:t>——————————————————————————————————————————————————————————————————————</w:t>
      </w:r>
    </w:p>
    <w:p>
      <w:pPr>
        <w:spacing w:before="160" w:after="40" w:line="240" w:lineRule="auto"/>
      </w:pPr>
      <w:r>
        <w:rPr>
          <w:b/>
        </w:rPr>
        <w:t xml:space="preserve">[538] </w:t>
      </w:r>
      <w:hyperlink r:id="rId831">
        <w:r>
          <w:rPr>
            <w:color w:val="1155CC"/>
            <w:u w:val="single"/>
          </w:rPr>
          <w:t>通过电荷中和,生物分子凝聚器通过电荷平衡维持pH值梯度</w:t>
        </w:r>
      </w:hyperlink>
    </w:p>
    <w:p>
      <w:pPr>
        <w:spacing w:before="0" w:after="80"/>
      </w:pPr>
      <w:r>
        <w:rPr>
          <w:i/>
          <w:sz w:val="20"/>
        </w:rPr>
        <w:t>EN: Biomolecular condensates sustain pH gradients at equilibrium through charge neutralization</w:t>
      </w:r>
    </w:p>
    <w:p>
      <w:pPr>
        <w:spacing w:before="0" w:after="120"/>
      </w:pPr>
      <w:r>
        <w:rPr>
          <w:b/>
        </w:rPr>
        <w:t xml:space="preserve">Source: </w:t>
      </w:r>
      <w:r>
        <w:t>Nature Chemistry</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电化学梯度对于使用活性运输器的细胞和成体跨膜形成细胞的功能至关重要。我们在这里表明,相形之下,浓缩的生物分子系统——通常称为冷凝器——在没有任何外部能量投入的情况下保持pH梯度。我们通过使用微滴平台研究微米规模的单个凝聚物,揭示了向最低电静反作用条件的密度阶段pH值变化。我们证明,蛋白凝聚物可以驱动大量的碱性和酸性梯度,这些碱性和酸性梯度在成分上具有缓冲性,可以扩展到同时维持多种独特的pH条件的复杂结构。我们通过对人类蛋白质凝聚体网络的硅定性,进一步突出潜在的广泛电子化学素。</w:t>
      </w:r>
    </w:p>
    <w:p>
      <w:pPr>
        <w:spacing w:before="0" w:after="200" w:lineRule="auto" w:line="276"/>
      </w:pPr>
      <w:r>
        <w:rPr>
          <w:b/>
        </w:rPr>
        <w:t xml:space="preserve">Abstract (EN): </w:t>
      </w:r>
      <w:r>
        <w:t>Electrochemical gradients are essential to the functioning of cells and form across membranes using active transporters. Here we show in contrast that condensed biomolecular systems—often termed condensates—sustain pH gradients without any external energy input. By studying individual condensates on the micrometre scale using a microdroplet platform, we reveal dense-phase pH shifts towards conditions of minimal electrostatic repulsion. We demonstrate that protein condensates can drive substantial alkaline and acidic gradients, which are compositionally tunable and can extend to complex architectures sustaining multiple unique pH conditions simultaneously. Through in silico characterization of human proteomic condensate networks, we further highlight potential wide-ranging electrochemical properties emerging from condensation in nature, while correlating intracellular condensate pH gradients with complex biomolecular composition. Together, the emergent nature of condensation shapes distinct pH microenvironments, thereby creating a regulatory mechanism to modulate biochemical activity in living and artificial systems.</w:t>
      </w:r>
    </w:p>
    <w:p>
      <w:pPr>
        <w:spacing w:before="120" w:after="120"/>
      </w:pPr>
      <w:r>
        <w:rPr>
          <w:sz w:val="18"/>
        </w:rPr>
        <w:t>——————————————————————————————————————————————————————————————————————</w:t>
      </w:r>
    </w:p>
    <w:p>
      <w:pPr>
        <w:spacing w:before="160" w:after="40" w:line="240" w:lineRule="auto"/>
      </w:pPr>
      <w:r>
        <w:rPr>
          <w:b/>
        </w:rPr>
        <w:t xml:space="preserve">[539] </w:t>
      </w:r>
      <w:hyperlink r:id="rId832">
        <w:r>
          <w:rPr>
            <w:color w:val="1155CC"/>
            <w:u w:val="single"/>
          </w:rPr>
          <w:t>使用水下车辆对接和充电的波能转换器的性能和可行性评估</w:t>
        </w:r>
      </w:hyperlink>
    </w:p>
    <w:p>
      <w:pPr>
        <w:spacing w:before="0" w:after="80"/>
      </w:pPr>
      <w:r>
        <w:rPr>
          <w:i/>
          <w:sz w:val="20"/>
        </w:rPr>
        <w:t>EN: Performance and feasibility assessment of a wave energy converter with underwater vehicle docking and charging</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[540] </w:t>
      </w:r>
      <w:hyperlink r:id="rId833">
        <w:r>
          <w:rPr>
            <w:color w:val="1155CC"/>
            <w:u w:val="single"/>
          </w:rPr>
          <w:t>用于绿色氢生产的高分辨率高分辨率动态建模和技术经济优化离网光电解电解-BESS系统的绿色氢生产技术-经济优化</w:t>
        </w:r>
      </w:hyperlink>
    </w:p>
    <w:p>
      <w:pPr>
        <w:spacing w:before="0" w:after="80"/>
      </w:pPr>
      <w:r>
        <w:rPr>
          <w:i/>
          <w:sz w:val="20"/>
        </w:rPr>
        <w:t>EN: High-resolution dynamic modeling and techno-economic optimization of off-grid PV–electrolysis–BESS systems for green hydrogen production</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[541] </w:t>
      </w:r>
      <w:hyperlink r:id="rId834">
        <w:r>
          <w:rPr>
            <w:color w:val="1155CC"/>
            <w:u w:val="single"/>
          </w:rPr>
          <w:t>人类自闭症干细胞模型的发展趋同和差异</w:t>
        </w:r>
      </w:hyperlink>
    </w:p>
    <w:p>
      <w:pPr>
        <w:spacing w:before="0" w:after="80"/>
      </w:pPr>
      <w:r>
        <w:rPr>
          <w:i/>
          <w:sz w:val="20"/>
        </w:rPr>
        <w:t>EN: Developmental convergence and divergence in human stem cell models of autism</w:t>
      </w:r>
    </w:p>
    <w:p>
      <w:pPr>
        <w:spacing w:before="0" w:after="120"/>
      </w:pPr>
      <w:r>
        <w:rPr>
          <w:b/>
        </w:rPr>
        <w:t xml:space="preserve">Source: </w:t>
      </w:r>
      <w:r>
        <w:t>Nature</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20年来对自闭症谱系障碍进行的遗传研究发现,100多个遗传基因含有罕见风险突变的稀有基因1、2、3、4、5、5、6、7、8、9、9、10、11、11、12、13.尽管进行了这种巨大的异异异性、超脱缩和前遗传分析,还是查明了自闭症后大脑14、15、16、17. 为了确定与自闭症相关变异的共有和不同的机制,我们收集了大量人类诱导多功能干(HIPS)细胞的病人,其中包括经过严格质量控制的70个高PS细胞,代表了8个与自闭症相关的突变、异病性自闭症和20条非受影响控制的个人。</w:t>
      </w:r>
    </w:p>
    <w:p>
      <w:pPr>
        <w:spacing w:before="0" w:after="200" w:lineRule="auto" w:line="276"/>
      </w:pPr>
      <w:r>
        <w:rPr>
          <w:b/>
        </w:rPr>
        <w:t xml:space="preserve">Abstract (EN): </w:t>
      </w:r>
      <w:r>
        <w:t>Two decades of genetic studies in autism spectrum disorder (ASD) have identified more than 100 genes harbouring rare risk mutations1,2,3,4,5,6,7,8,9,10,11,12,13. Despite this substantial heterogeneity, transcriptomic and epigenetic analyses have identified convergent patterns of dysregulation across the ASD postmortem brain14,15,16,17. To identify shared and distinct mechanisms of ASD-linked mutations, we assembled a large patient collection of human induced pluripotent stem (hiPS) cells, consisting of 70 hiPS cell lines after stringent quality control representing 8 ASD-associated mutations, idiopathic ASD, and 20 lines from non-affected control individuals. Here we used these hiPS cell lines to generate human cortical organoids, profiling by RNA sequencing at four distinct time points up to 100 days after in vitro differentiation. Early time points harboured the largest mutation-specific changes, but different mutations converged on shared transcriptional changes as development progressed. We identified a shared RNA and protein interaction network, which was enriched in ASD risk genes and predicted to drive the observed downstream changes in gene expression. CRISPR–Cas9 screening of these candidate transcriptional regulators in induced human neural progenitors validated their downstream convergent molecular effects. These data illustrate how risk associated with genetically defined forms of ASD can propagate by means of transcriptional regulation to affect convergently dysregulated pathways, providing new insight into the convergent impact of ASD genetic risk on human neurodevelopment.</w:t>
      </w:r>
    </w:p>
    <w:p>
      <w:pPr>
        <w:spacing w:before="120" w:after="120"/>
      </w:pPr>
      <w:r>
        <w:rPr>
          <w:sz w:val="18"/>
        </w:rPr>
        <w:t>——————————————————————————————————————————————————————————————————————</w:t>
      </w:r>
    </w:p>
    <w:p>
      <w:pPr>
        <w:spacing w:before="160" w:after="40" w:line="240" w:lineRule="auto"/>
      </w:pPr>
      <w:r>
        <w:rPr>
          <w:b/>
        </w:rPr>
        <w:t xml:space="preserve">[542] </w:t>
      </w:r>
      <w:hyperlink r:id="rId835">
        <w:r>
          <w:rPr>
            <w:color w:val="1155CC"/>
            <w:u w:val="single"/>
          </w:rPr>
          <w:t>长寿存在于基因中:半衰期是可遗传的。</w:t>
        </w:r>
      </w:hyperlink>
    </w:p>
    <w:p>
      <w:pPr>
        <w:spacing w:before="0" w:after="80"/>
      </w:pPr>
      <w:r>
        <w:rPr>
          <w:i/>
          <w:sz w:val="20"/>
        </w:rPr>
        <w:t>EN: Longevity is in the genes: half of lifespan is heritable</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[543] </w:t>
      </w:r>
      <w:hyperlink r:id="rId836">
        <w:r>
          <w:rPr>
            <w:color w:val="1155CC"/>
            <w:u w:val="single"/>
          </w:rPr>
          <w:t>NPP-GPT:利用预先培训的大型语言模型预测核电厂运行参数</w:t>
        </w:r>
      </w:hyperlink>
    </w:p>
    <w:p>
      <w:pPr>
        <w:spacing w:before="0" w:after="80"/>
      </w:pPr>
      <w:r>
        <w:rPr>
          <w:i/>
          <w:sz w:val="20"/>
        </w:rPr>
        <w:t>EN: NPP-GPT: Forecasting nuclear power plants operating parameters using pre-trained large language model</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[544] </w:t>
      </w:r>
      <w:hyperlink r:id="rId837">
        <w:r>
          <w:rPr>
            <w:color w:val="1155CC"/>
            <w:u w:val="single"/>
          </w:rPr>
          <w:t>使学术工作单位今年更幸福、更健康的五种方式</w:t>
        </w:r>
      </w:hyperlink>
    </w:p>
    <w:p>
      <w:pPr>
        <w:spacing w:before="0" w:after="80"/>
      </w:pPr>
      <w:r>
        <w:rPr>
          <w:i/>
          <w:sz w:val="20"/>
        </w:rPr>
        <w:t>EN: Five ways to make the academic workplace happier and healthier this year</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[545] </w:t>
      </w:r>
      <w:hyperlink r:id="rId838">
        <w:r>
          <w:rPr>
            <w:color w:val="1155CC"/>
            <w:u w:val="single"/>
          </w:rPr>
          <w:t>与撤销科学论文有关的重要社交媒体文章</w:t>
        </w:r>
      </w:hyperlink>
    </w:p>
    <w:p>
      <w:pPr>
        <w:spacing w:before="0" w:after="80"/>
      </w:pPr>
      <w:r>
        <w:rPr>
          <w:i/>
          <w:sz w:val="20"/>
        </w:rPr>
        <w:t>EN: Critical social media posts linked to retractions of scientific papers</w:t>
      </w:r>
    </w:p>
    <w:p>
      <w:pPr>
        <w:spacing w:before="0" w:after="120"/>
      </w:pPr>
      <w:r>
        <w:rPr>
          <w:b/>
        </w:rPr>
        <w:t xml:space="preserve">Source: </w:t>
      </w:r>
      <w:r>
        <w:t>Nature</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[546] </w:t>
      </w:r>
      <w:hyperlink r:id="rId839">
        <w:r>
          <w:rPr>
            <w:color w:val="1155CC"/>
            <w:u w:val="single"/>
          </w:rPr>
          <w:t>低温电池的干涉动力学</w:t>
        </w:r>
      </w:hyperlink>
    </w:p>
    <w:p>
      <w:pPr>
        <w:spacing w:before="0" w:after="80"/>
      </w:pPr>
      <w:r>
        <w:rPr>
          <w:i/>
          <w:sz w:val="20"/>
        </w:rPr>
        <w:t>EN: Solvation-configurational entropy governs interfacial kinetics in low-temperature batteries</w:t>
      </w:r>
    </w:p>
    <w:p>
      <w:pPr>
        <w:spacing w:before="0" w:after="120"/>
      </w:pPr>
      <w:r>
        <w:rPr>
          <w:b/>
        </w:rPr>
        <w:t xml:space="preserve">Source: </w:t>
      </w:r>
      <w:r>
        <w:t>Joule</w:t>
      </w:r>
      <w:r>
        <w:t xml:space="preserve">    </w:t>
      </w:r>
      <w:r>
        <w:rPr>
          <w:b/>
        </w:rPr>
        <w:t xml:space="preserve">Pub date: </w:t>
      </w:r>
      <w:r>
        <w:t>2026-01-29 00:00:00+00:00</w:t>
      </w:r>
    </w:p>
    <w:p>
      <w:pPr>
        <w:spacing w:before="0" w:after="120"/>
      </w:pPr>
      <w:r>
        <w:rPr>
          <w:b/>
        </w:rPr>
        <w:t xml:space="preserve">Notes: </w:t>
      </w:r>
      <w:r>
        <w:t>abstract_source=rss_cell</w:t>
      </w:r>
    </w:p>
    <w:p>
      <w:pPr>
        <w:spacing w:before="0" w:after="80" w:lineRule="auto" w:line="276"/>
      </w:pPr>
      <w:r>
        <w:rPr>
          <w:b/>
        </w:rPr>
        <w:t xml:space="preserve">摘要（ZH）: </w:t>
      </w:r>
      <w:r>
        <w:t>低温电池往往受到低温离子脱尘作用的影响。 这项工作引入了溶解-配置酶,以量化溶解多样性,揭示高温聚变电解解尘层的低溶解屏障,加速电荷转移,并使电池系统能够在恶劣条件下稳定运行。</w:t>
      </w:r>
    </w:p>
    <w:p>
      <w:pPr>
        <w:spacing w:before="0" w:after="200" w:lineRule="auto" w:line="276"/>
      </w:pPr>
      <w:r>
        <w:rPr>
          <w:b/>
        </w:rPr>
        <w:t xml:space="preserve">Abstract (EN): </w:t>
      </w:r>
      <w:r>
        <w:t>Low-temperature batteries often suffer from sluggish ion desolvation. This work introduces solvation-configurational entropy to quantify solvation diversity, revealing that higher entropy electrolytes lower desolvation barriers, accelerate charge transfer, and enable stable operation of battery systems under harsh conditions.</w:t>
      </w:r>
    </w:p>
    <w:p>
      <w:pPr>
        <w:spacing w:before="120" w:after="120"/>
      </w:pPr>
      <w:r>
        <w:rPr>
          <w:sz w:val="18"/>
        </w:rPr>
        <w:t>——————————————————————————————————————————————————————————————————————</w:t>
      </w:r>
    </w:p>
    <w:p>
      <w:pPr>
        <w:spacing w:before="160" w:after="40" w:line="240" w:lineRule="auto"/>
      </w:pPr>
      <w:r>
        <w:rPr>
          <w:b/>
        </w:rPr>
        <w:t xml:space="preserve">[547] </w:t>
      </w:r>
      <w:hyperlink r:id="rId840">
        <w:r>
          <w:rPr>
            <w:color w:val="1155CC"/>
            <w:u w:val="single"/>
          </w:rPr>
          <w:t>可缩缩制造近纯级金属级微S2纳米表</w:t>
        </w:r>
      </w:hyperlink>
    </w:p>
    <w:p>
      <w:pPr>
        <w:spacing w:before="0" w:after="80"/>
      </w:pPr>
      <w:r>
        <w:rPr>
          <w:i/>
          <w:sz w:val="20"/>
        </w:rPr>
        <w:t>EN: Scalable manufacture of nearly pure-phase metallic MoS2 nanosheets</w:t>
      </w:r>
    </w:p>
    <w:p>
      <w:pPr>
        <w:spacing w:before="0" w:after="120"/>
      </w:pPr>
      <w:r>
        <w:rPr>
          <w:b/>
        </w:rPr>
        <w:t xml:space="preserve">Source: </w:t>
      </w:r>
      <w:r>
        <w:t>Nature Materials</w:t>
      </w:r>
      <w:r>
        <w:t xml:space="preserve">    </w:t>
      </w:r>
      <w:r>
        <w:rPr>
          <w:b/>
        </w:rPr>
        <w:t xml:space="preserve">Pub date: </w:t>
      </w:r>
      <w:r>
        <w:t>2026-01-29 00:00:00+00:00</w:t>
      </w:r>
    </w:p>
    <w:p>
      <w:pPr>
        <w:spacing w:before="0" w:after="120"/>
      </w:pPr>
      <w:r>
        <w:rPr>
          <w:b/>
        </w:rPr>
        <w:t xml:space="preserve">Notes: </w:t>
      </w:r>
      <w:r>
        <w:t>abstract_source=nature_html</w:t>
      </w:r>
    </w:p>
    <w:p>
      <w:pPr>
        <w:spacing w:before="0" w:after="80" w:lineRule="auto" w:line="276"/>
      </w:pPr>
      <w:r>
        <w:rPr>
          <w:b/>
        </w:rPr>
        <w:t xml:space="preserve">摘要（ZH）: </w:t>
      </w:r>
      <w:r>
        <w:t>金属、二维分子溶性脱硫(MOS2)纳米表显示了能源储存和催化应用的前景。然而,目前的化学脱硫方法需要48小时以上才能生产毫克的材料,并导致金属(1T/1T,约5070%)和半导体(2H)阶段的不纯混合物。在这里,我们展示了利用微波辐照,大规模和快速(&gt;600g h-1)生产近纯级金属二维MOS2纳米表。原子分辨率成像和X射线光光电极光谱分析显示,玄武层近100%的金属相。这种高纯度导致氢进化反应的大型交换电流密度(0.175 +0.030 mA厘米-2)和低塔菲尔斜度(39-47 mV Dec-1)。在超电容器和锂-硫化中,超电容器和锂-硫化物。</w:t>
      </w:r>
    </w:p>
    <w:p>
      <w:pPr>
        <w:spacing w:before="0" w:after="200" w:lineRule="auto" w:line="276"/>
      </w:pPr>
      <w:r>
        <w:rPr>
          <w:b/>
        </w:rPr>
        <w:t xml:space="preserve">Abstract (EN): </w:t>
      </w:r>
      <w:r>
        <w:t>Metallic, two-dimensional molybdenum disulfide (MoS2) nanosheets show promise for energy storage and catalysis applications. However, current chemical exfoliation methods require more than 48 h to produce milligrams of material, and result in an impure mixture of metallic (1T/1T′, approximately 50%–70%) and semiconducting (2H) phases. Here we demonstrate large-scale and rapid (&gt;600 g h−1) production of nearly pure-phase metallic two-dimensional MoS2 nanosheets using microwave irradiation. Atomic-resolution imaging and X-ray photoelectron spectroscopy show nearly 100% metallic phase in the basal plane. This high purity leads to a large exchange current density (0.175 ± 0.030 mA cm−2) and low Tafel slopes (39–47 mV dec−1) for hydrogen evolution reaction. In supercapacitors and lithium–sulfur pouch-cell batteries, the resulting nanosheets enable a high volumetric capacitance of 753.0 ± 3.6 F cm−3 and a specific capacity of 1,245 ± 16 mAh g−1 (electrolyte-to-sulfur ratio, 2 µl mg−1), respectively. Our method provides a practical pathway for producing high-quality metallic two-dimensional materials for high-performance energy devices.</w:t>
      </w:r>
    </w:p>
    <w:p>
      <w:pPr>
        <w:spacing w:before="120" w:after="120"/>
      </w:pPr>
      <w:r>
        <w:rPr>
          <w:sz w:val="18"/>
        </w:rPr>
        <w:t>——————————————————————————————————————————————————————————————————————</w:t>
      </w:r>
    </w:p>
    <w:p>
      <w:pPr>
        <w:spacing w:before="160" w:after="40" w:line="240" w:lineRule="auto"/>
      </w:pPr>
      <w:r>
        <w:rPr>
          <w:b/>
        </w:rPr>
        <w:t xml:space="preserve">[548] </w:t>
      </w:r>
      <w:hyperlink r:id="rId841">
        <w:r>
          <w:rPr>
            <w:color w:val="1155CC"/>
            <w:u w:val="single"/>
          </w:rPr>
          <w:t>考虑储备要求的地点边边边排放率计算</w:t>
        </w:r>
      </w:hyperlink>
    </w:p>
    <w:p>
      <w:pPr>
        <w:spacing w:before="0" w:after="80"/>
      </w:pPr>
      <w:r>
        <w:rPr>
          <w:i/>
          <w:sz w:val="20"/>
        </w:rPr>
        <w:t>EN: Locational marginal emission rates calculation considering reserve requirements</w:t>
      </w:r>
    </w:p>
    <w:p>
      <w:pPr>
        <w:spacing w:before="0" w:after="120"/>
      </w:pPr>
      <w:r>
        <w:rPr>
          <w:b/>
        </w:rPr>
        <w:t xml:space="preserve">Source: </w:t>
      </w:r>
      <w:r>
        <w:t>ScienceDirect Publication: Applied Energy</w:t>
      </w:r>
      <w:r>
        <w:t xml:space="preserve">    </w:t>
      </w:r>
      <w:r>
        <w:rPr>
          <w:b/>
        </w:rPr>
        <w:t xml:space="preserve">Pub date: </w:t>
      </w:r>
      <w:r>
        <w:t>2026-01-29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[549] </w:t>
      </w:r>
      <w:hyperlink r:id="rId842">
        <w:r>
          <w:rPr>
            <w:color w:val="1155CC"/>
            <w:u w:val="single"/>
          </w:rPr>
          <w:t>PROTACs通过“AND”逻辑在生物体内切入分解:具体蛋白降解</w:t>
        </w:r>
      </w:hyperlink>
    </w:p>
    <w:p>
      <w:pPr>
        <w:spacing w:before="0" w:after="80"/>
      </w:pPr>
      <w:r>
        <w:rPr>
          <w:i/>
          <w:sz w:val="20"/>
        </w:rPr>
        <w:t>EN: Split‐Deliver‐Click: Tumor‐Specific Protein Degradation via “AND” Logic‐Gated In‐Cell Bioorthogonal Clicking of PROTACs</w:t>
      </w:r>
    </w:p>
    <w:p>
      <w:pPr>
        <w:spacing w:before="0" w:after="120"/>
      </w:pPr>
      <w:r>
        <w:rPr>
          <w:b/>
        </w:rPr>
        <w:t xml:space="preserve">Source: </w:t>
      </w:r>
      <w:r>
        <w:t>Wiley: Angewandte Chemie International Edition: Table of Contents</w:t>
      </w:r>
      <w:r>
        <w:t xml:space="preserve">    </w:t>
      </w:r>
      <w:r>
        <w:rPr>
          <w:b/>
        </w:rPr>
        <w:t xml:space="preserve">Pub date: </w:t>
      </w:r>
      <w:r>
        <w:t>2026-01-29 04:21:35+00:00</w:t>
      </w:r>
      <w:r>
        <w:t xml:space="preserve">    </w:t>
      </w:r>
      <w:r>
        <w:rPr>
          <w:b/>
        </w:rPr>
        <w:t xml:space="preserve">DOI: </w:t>
      </w:r>
      <w:hyperlink r:id="rId843">
        <w:r>
          <w:rPr>
            <w:color w:val="1155CC"/>
            <w:u w:val="single"/>
          </w:rPr>
          <w:t>10.1002/anie.202520774</w:t>
        </w:r>
      </w:hyperlink>
    </w:p>
    <w:p>
      <w:pPr>
        <w:spacing w:before="0" w:after="120"/>
      </w:pPr>
      <w:r>
        <w:rPr>
          <w:b/>
        </w:rPr>
        <w:t xml:space="preserve">Notes: </w:t>
      </w:r>
      <w:r>
        <w:t>abstract_source=crossref</w:t>
      </w:r>
    </w:p>
    <w:p>
      <w:pPr>
        <w:spacing w:before="0" w:after="80" w:lineRule="auto" w:line="276"/>
      </w:pPr>
      <w:r>
        <w:rPr>
          <w:b/>
        </w:rPr>
        <w:t xml:space="preserve">摘要（ZH）: </w:t>
      </w:r>
      <w:r>
        <w:t>ABSTACT Protact Proteolication TACT Chimeras (PROTACs) 是一种有希望的治疗模式,有可能使目标蛋白降解发生革命性革命,然而,低生物利用率和离目标效应等挑战极大地限制了它们的临床功效。 我们在此引入了 Splite-Deliver-Click 纳米平台,通过“AND”逻辑化、细胞生物实验点击PROTACs(PROTACs)的永恒结构以及逻辑化刺激敏感药物的交付,使肿瘤特定蛋白质降解成为可能。 首先,PROTACs与点击-反应活性皮条和离子分离,使其能够直接用于细胞分析高效的PROTAC筛查。接下来,我们开发了一种交付系统,利用由肿瘤过度化引发的“AND”逻辑门机制。</w:t>
      </w:r>
    </w:p>
    <w:p>
      <w:pPr>
        <w:spacing w:before="0" w:after="200" w:lineRule="auto" w:line="276"/>
      </w:pPr>
      <w:r>
        <w:rPr>
          <w:b/>
        </w:rPr>
        <w:t xml:space="preserve">Abstract (EN): </w:t>
      </w:r>
      <w:r>
        <w:t>PROteolysis TArgeting Chimeras (PROTACs) represents a promising therapeutic modality with the potential to revolutionize targeted protein degradation. However, challenges such as low bioavailability and off‐target effects significantly limit their clinical efficacy. Herein, we introduce a Split‐Deliver‐Click nanoplatform that enables tumor‐specific protein degradation through “AND” logic‐gated, in‐cell bioorthogonal clicking of PROTACs, inspired by the ternary structure of PROTACs and logic‐gated stimulus‐sensitive drug delivery. First, PROTACs were split with click‐reactive ligands, enabling their direct use in cellular assays for efficient PROTAC screening. Next, a delivery system was developed, utilizing an “AND” logic gate mechanism triggered by tumor‐overexpressed enzymes legumain and cathepsin B to separately activate and release the split PROTAC precursors. Finally, this approach permitted in‐cell click chemistry to generate PROTAC (Click‐PROTAC), achieving efficient and specific protein degradation. This Split‐Deliver‐Click strategy facilitated the in situ generation of PROTACs for precise protein degradation.</w:t>
      </w:r>
    </w:p>
    <w:p>
      <w:pPr>
        <w:spacing w:before="120" w:after="120"/>
      </w:pPr>
      <w:r>
        <w:rPr>
          <w:sz w:val="18"/>
        </w:rPr>
        <w:t>——————————————————————————————————————————————————————————————————————</w:t>
      </w:r>
    </w:p>
    <w:p>
      <w:pPr>
        <w:spacing w:before="160" w:after="40" w:line="240" w:lineRule="auto"/>
      </w:pPr>
      <w:r>
        <w:rPr>
          <w:b/>
        </w:rPr>
        <w:t xml:space="preserve">[550] </w:t>
      </w:r>
      <w:hyperlink r:id="rId844">
        <w:r>
          <w:rPr>
            <w:color w:val="1155CC"/>
            <w:u w:val="single"/>
          </w:rPr>
          <w:t>以原子散散射单原子催化器的原子散散射单原子催化器进行拆散-硫电池电池性能</w:t>
        </w:r>
      </w:hyperlink>
    </w:p>
    <w:p>
      <w:pPr>
        <w:spacing w:before="0" w:after="80"/>
      </w:pPr>
      <w:r>
        <w:rPr>
          <w:i/>
          <w:sz w:val="20"/>
        </w:rPr>
        <w:t>EN: Unleashing Sodium–Sulfur Battery Performance With Atomically Dispersed Single Atom Catalysts</w:t>
      </w:r>
    </w:p>
    <w:p>
      <w:pPr>
        <w:spacing w:before="0" w:after="120"/>
      </w:pPr>
      <w:r>
        <w:rPr>
          <w:b/>
        </w:rPr>
        <w:t xml:space="preserve">Source: </w:t>
      </w:r>
      <w:r>
        <w:t>Wiley: Advanced Energy Materials: Table of Contents</w:t>
      </w:r>
      <w:r>
        <w:t xml:space="preserve">    </w:t>
      </w:r>
      <w:r>
        <w:rPr>
          <w:b/>
        </w:rPr>
        <w:t xml:space="preserve">Pub date: </w:t>
      </w:r>
      <w:r>
        <w:t>2026-01-29 04:22:02+00:00</w:t>
      </w:r>
      <w:r>
        <w:t xml:space="preserve">    </w:t>
      </w:r>
      <w:r>
        <w:rPr>
          <w:b/>
        </w:rPr>
        <w:t xml:space="preserve">DOI: </w:t>
      </w:r>
      <w:hyperlink r:id="rId845">
        <w:r>
          <w:rPr>
            <w:color w:val="1155CC"/>
            <w:u w:val="single"/>
          </w:rPr>
          <w:t>10.1002/aenm.202505686</w:t>
        </w:r>
      </w:hyperlink>
    </w:p>
    <w:p>
      <w:pPr>
        <w:spacing w:before="0" w:after="120"/>
      </w:pPr>
      <w:r>
        <w:rPr>
          <w:b/>
        </w:rPr>
        <w:t xml:space="preserve">Notes: </w:t>
      </w:r>
      <w:r>
        <w:t>abstract_source=crossref</w:t>
      </w:r>
    </w:p>
    <w:p>
      <w:pPr>
        <w:spacing w:before="0" w:after="80" w:lineRule="auto" w:line="276"/>
      </w:pPr>
      <w:r>
        <w:rPr>
          <w:b/>
        </w:rPr>
        <w:t xml:space="preserve">摘要（ZH）: </w:t>
      </w:r>
      <w:r>
        <w:t>在使用大量廉价材料的同时,C(RT Na-S)电池设计理论能量密度极强的装置时,C(RT Na-S)电池可成为强大的候选设备,然而,RT Na-S电池的广泛改造却受到许多突出关切的阻碍,包括S型阴极缓慢的红氧动能学和溶解聚硫化钠中间体(NAPS)的穿梭效应。 这些缺陷通过降低煤气效率、快速衰减能力和抑制稳定的循环,限制了此类电池的工业应用。 尽管如此,单原子催化剂(SACs)是缓解这些问题的可行候选产品,因为它们具有独特的活跃地点、可捕量的电子结构以及理想化原子利用。 这些特性赋予SACs上限。</w:t>
      </w:r>
    </w:p>
    <w:p>
      <w:pPr>
        <w:spacing w:before="0" w:after="200" w:lineRule="auto" w:line="276"/>
      </w:pPr>
      <w:r>
        <w:rPr>
          <w:b/>
        </w:rPr>
        <w:t xml:space="preserve">Abstract (EN): </w:t>
      </w:r>
      <w:r>
        <w:t>To design devices with formidable theoretical energy density while employing abundant and inexpensive materials, c (RT Na–S) batteries serve as formidable candidates. However, widespread adaptation of RT Na–S batteries is impeded by numerous salient concerns, including slow redox kinetics at S cathodes and the shuttle effect of solvated sodium polysulfide intermediates (NaPSs). These drawbacks limit industrial implementation of such batteries by diminishing Coulombic efficiency, rapidly decaying capacity, and inhibiting stable cycling. Nevertheless, single atom catalysts (SACs) are viable candidates for alleviating these problems, given their distinctive active sites, tunable electronic structures, and idealized atomic utilization. These properties grant SACs capabilities spanning the acceleration of electrochemical kinetics, the anchoring of intermediate species, and unmitigated NaPS conversion. Herein, we first investigate how morphological features and well‐characterized atomic structures are linked to catalytic performance enhancement in RT Na–S batteries, describing how SACs impact redox kinetics and reactive efficiency toward developing battery technologies. Subsequently, we expound upon how theoretical density functional theory (DFT) simulations resolve the adsorbate‐surface configurations and electronic structures respectively responsible for the fundamental reaction mechanisms and charge transfer processes undergirding battery electrochemical performance. Lastly, this review encapsulates current challenges to Na–S SAC research, proposing avenues to guide future work.</w:t>
      </w:r>
    </w:p>
    <w:p>
      <w:pPr>
        <w:spacing w:before="120" w:after="120"/>
      </w:pPr>
      <w:r>
        <w:rPr>
          <w:sz w:val="18"/>
        </w:rPr>
        <w:t>——————————————————————————————————————————————————————————————————————</w:t>
      </w:r>
    </w:p>
    <w:p>
      <w:pPr>
        <w:spacing w:before="160" w:after="40" w:line="240" w:lineRule="auto"/>
      </w:pPr>
      <w:r>
        <w:rPr>
          <w:b/>
        </w:rPr>
        <w:t xml:space="preserve">[551] </w:t>
      </w:r>
      <w:hyperlink r:id="rId846">
        <w:r>
          <w:rPr>
            <w:color w:val="1155CC"/>
            <w:u w:val="single"/>
          </w:rPr>
          <w:t>解决有机太阳能电池效率-机械贸易效率-机械贸易:20.4%通过氢孵化工程实现</w:t>
        </w:r>
      </w:hyperlink>
    </w:p>
    <w:p>
      <w:pPr>
        <w:spacing w:before="0" w:after="80"/>
      </w:pPr>
      <w:r>
        <w:rPr>
          <w:i/>
          <w:sz w:val="20"/>
        </w:rPr>
        <w:t>EN: Resolving the Efficiency–Mechanical Trade‐off in Organic Solar Cells: 20.4% Enabled by Hydrogen‐Bonding Engineering</w:t>
      </w:r>
    </w:p>
    <w:p>
      <w:pPr>
        <w:spacing w:before="0" w:after="120"/>
      </w:pPr>
      <w:r>
        <w:rPr>
          <w:b/>
        </w:rPr>
        <w:t xml:space="preserve">Source: </w:t>
      </w:r>
      <w:r>
        <w:t>Wiley: Angewandte Chemie International Edition: Table of Contents</w:t>
      </w:r>
      <w:r>
        <w:t xml:space="preserve">    </w:t>
      </w:r>
      <w:r>
        <w:rPr>
          <w:b/>
        </w:rPr>
        <w:t xml:space="preserve">Pub date: </w:t>
      </w:r>
      <w:r>
        <w:t>2026-01-29 04:22:52+00:00</w:t>
      </w:r>
      <w:r>
        <w:t xml:space="preserve">    </w:t>
      </w:r>
      <w:r>
        <w:rPr>
          <w:b/>
        </w:rPr>
        <w:t xml:space="preserve">DOI: </w:t>
      </w:r>
      <w:hyperlink r:id="rId847">
        <w:r>
          <w:rPr>
            <w:color w:val="1155CC"/>
            <w:u w:val="single"/>
          </w:rPr>
          <w:t>10.1002/anie.202524211</w:t>
        </w:r>
      </w:hyperlink>
    </w:p>
    <w:p>
      <w:pPr>
        <w:spacing w:before="0" w:after="120"/>
      </w:pPr>
      <w:r>
        <w:rPr>
          <w:b/>
        </w:rPr>
        <w:t xml:space="preserve">Notes: </w:t>
      </w:r>
      <w:r>
        <w:t>abstract_source=crossref</w:t>
      </w:r>
    </w:p>
    <w:p>
      <w:pPr>
        <w:spacing w:before="0" w:after="80" w:lineRule="auto" w:line="276"/>
      </w:pPr>
      <w:r>
        <w:rPr>
          <w:b/>
        </w:rPr>
        <w:t xml:space="preserve">摘要（ZH）: </w:t>
      </w:r>
      <w:r>
        <w:t>ABSTACT有机太阳能电池(OSC)面临电力转换效率(PCE)和机械坚固度之间的权衡:高强度要求低晶晶晶晶度非无定型聚合物,从而损害光伏性能。在此,我们提出一项战略,将随机共聚和氢碳调制结合,以解决这一冲突。首先,纳入一个替代异硫苯(PM6H)产生PM6H,显示出较强的强度(高裂变菌株,COS),但更低的PCE。随后,在烷链终端引入了-OH和-OOCH 6 H 13 组,形成PH6-OH和P6-UR。氢联结具有双重作用。</w:t>
      </w:r>
    </w:p>
    <w:p>
      <w:pPr>
        <w:spacing w:before="0" w:after="200" w:lineRule="auto" w:line="276"/>
      </w:pPr>
      <w:r>
        <w:rPr>
          <w:b/>
        </w:rPr>
        <w:t xml:space="preserve">Abstract (EN): </w:t>
      </w:r>
      <w:r>
        <w:t>Organic solar cells (OSCs) face a trade‐off between power conversion efficiency (PCE) and mechanical robustness: high toughness requires low‐crystallinity amorphous polymers, which impair photovoltaic performance. Herein, we propose a strategy combining random copolymerization and hydrogen‐bonding modulation to resolve this conflict. First, the incorporation of an ester‐substituted thiophene yields PM6‐H, exhibiting improved toughness (high crack‐onset strain,</w:t>
      </w:r>
      <w:r>
        <w:t xml:space="preserve"> </w:t>
      </w:r>
      <w:r>
        <w:t>COS</w:t>
      </w:r>
      <w:r>
        <w:t xml:space="preserve"> </w:t>
      </w:r>
      <w:r>
        <w:t>) but lower PCE. Subsequently, introducing ─OH and ─OOCNHC</w:t>
      </w:r>
      <w:r>
        <w:rPr>
          <w:vertAlign w:val="subscript"/>
        </w:rPr>
        <w:t>6</w:t>
      </w:r>
      <w:r>
        <w:t>H</w:t>
      </w:r>
      <w:r>
        <w:rPr>
          <w:vertAlign w:val="subscript"/>
        </w:rPr>
        <w:t>13</w:t>
      </w:r>
      <w:r>
        <w:t>groups at the terminals of alkyl chains forms PM6‐OH and PM6‐UR. The hydrogen bonding serves dual functions: acting as dynamic cross‐linking sites to further enhance mechanical properties while restoring optimal lamellar stacking for efficient charge transport. As a result, these copolymers simultaneously achieve a</w:t>
      </w:r>
      <w:r>
        <w:t xml:space="preserve"> </w:t>
      </w:r>
      <w:r>
        <w:t>COS</w:t>
      </w:r>
      <w:r>
        <w:t xml:space="preserve"> </w:t>
      </w:r>
      <w:r>
        <w:t>exceeding 46%, a high PCE of up to 20.4%, and superior storage, thermal, and light stability (with</w:t>
      </w:r>
      <w:r>
        <w:t xml:space="preserve"> </w:t>
      </w:r>
      <w:r>
        <w:t>T</w:t>
      </w:r>
      <w:r>
        <w:rPr>
          <w:vertAlign w:val="subscript"/>
        </w:rPr>
        <w:t>80</w:t>
      </w:r>
      <w:r>
        <w:t>being twice that of the PM6 benchmark). Flexible OSCs fabricated using these donor polymers deliver a PCE of 18.22% while maintaining outstanding flexibility, with ∼90% PCE retention after 2200 bending cycles (vs. 78% for controls). This work demonstrates that copolymerization with controlled hydrogen‐bonding interactions overcomes the efficiency‐robustness trade‐off in OSCs through precise structural modulation, paving the way for high‐performance, mechanically durable, and stable OSCs suitable for practical applications.</w:t>
      </w:r>
    </w:p>
    <w:p>
      <w:pPr>
        <w:spacing w:before="120" w:after="120"/>
      </w:pPr>
      <w:r>
        <w:rPr>
          <w:sz w:val="18"/>
        </w:rPr>
        <w:t>——————————————————————————————————————————————————————————————————————</w:t>
      </w:r>
    </w:p>
    <w:p>
      <w:pPr>
        <w:spacing w:before="160" w:after="40" w:line="240" w:lineRule="auto"/>
      </w:pPr>
      <w:r>
        <w:rPr>
          <w:b/>
        </w:rPr>
        <w:t xml:space="preserve">[552] </w:t>
      </w:r>
      <w:hyperlink r:id="rId848">
        <w:r>
          <w:rPr>
            <w:color w:val="1155CC"/>
            <w:u w:val="single"/>
          </w:rPr>
          <w:t>如何控制在酸介质中减少氧气反应的FeNC的活动和稳定性</w:t>
        </w:r>
      </w:hyperlink>
    </w:p>
    <w:p>
      <w:pPr>
        <w:spacing w:before="0" w:after="80"/>
      </w:pPr>
      <w:r>
        <w:rPr>
          <w:i/>
          <w:sz w:val="20"/>
        </w:rPr>
        <w:t>EN: How Electrolytes Control the Activity and Stability of Fe‐N‐C for Oxygen Reduction Reaction in Acidic Media</w:t>
      </w:r>
    </w:p>
    <w:p>
      <w:pPr>
        <w:spacing w:before="0" w:after="120"/>
      </w:pPr>
      <w:r>
        <w:rPr>
          <w:b/>
        </w:rPr>
        <w:t xml:space="preserve">Source: </w:t>
      </w:r>
      <w:r>
        <w:t>Wiley: Advanced Energy Materials: Table of Contents</w:t>
      </w:r>
      <w:r>
        <w:t xml:space="preserve">    </w:t>
      </w:r>
      <w:r>
        <w:rPr>
          <w:b/>
        </w:rPr>
        <w:t xml:space="preserve">Pub date: </w:t>
      </w:r>
      <w:r>
        <w:t>2026-01-29 04:23:10+00:00</w:t>
      </w:r>
      <w:r>
        <w:t xml:space="preserve">    </w:t>
      </w:r>
      <w:r>
        <w:rPr>
          <w:b/>
        </w:rPr>
        <w:t xml:space="preserve">DOI: </w:t>
      </w:r>
      <w:hyperlink r:id="rId849">
        <w:r>
          <w:rPr>
            <w:color w:val="1155CC"/>
            <w:u w:val="single"/>
          </w:rPr>
          <w:t>10.1002/aenm.202505944</w:t>
        </w:r>
      </w:hyperlink>
    </w:p>
    <w:p>
      <w:pPr>
        <w:spacing w:before="0" w:after="120"/>
      </w:pPr>
      <w:r>
        <w:rPr>
          <w:b/>
        </w:rPr>
        <w:t xml:space="preserve">Notes: </w:t>
      </w:r>
      <w:r>
        <w:t>abstract_source=crossref</w:t>
      </w:r>
    </w:p>
    <w:p>
      <w:pPr>
        <w:spacing w:before="0" w:after="80" w:lineRule="auto" w:line="276"/>
      </w:pPr>
      <w:r>
        <w:rPr>
          <w:b/>
        </w:rPr>
        <w:t xml:space="preserve">摘要（ZH）: </w:t>
      </w:r>
      <w:r>
        <w:t>ABSTACT FeNC 单原子催化剂(SACs)被广泛公认为是酸介质中减氧反应(ORR)最有希望的无白化反应(ORR)候选者,但是,它们的活动和稳定性仍然不足,主要是因为酸电解液中的活性场地配置仍然不明确,这限制了机械理解和合理设计。在这里,在大罐化方法的帮助下,辅之以实验验证,对酸电解液中feN 4点的行为进行了系统调查。事实证明,电解肛门,而不是通常假定的氧化中间体,决定了FEN 4的轴线。</w:t>
      </w:r>
    </w:p>
    <w:p>
      <w:pPr>
        <w:spacing w:before="0" w:after="200" w:lineRule="auto" w:line="276"/>
      </w:pPr>
      <w:r>
        <w:rPr>
          <w:b/>
        </w:rPr>
        <w:t xml:space="preserve">Abstract (EN): </w:t>
      </w:r>
      <w:r>
        <w:t>Fe‐N‐C single‐atom catalysts (SACs) are widely recognized as the most promising platinum‐free candidates for the oxygen reduction reaction (ORR) in acidic media. However, their activity and stability remain insufficient, primarily because the active site configuration in acidic electrolytes remains unclear, which limits mechanistic understanding and rational design. Here, with the aid of the grand canonical method, complemented by experimental validation, the behavior of FeN</w:t>
      </w:r>
      <w:r>
        <w:rPr>
          <w:vertAlign w:val="subscript"/>
        </w:rPr>
        <w:t>4</w:t>
      </w:r>
      <w:r>
        <w:t>sites in acidic electrolytes was systematically investigated. It is shown that electrolyte anions, rather than oxygenated intermediates as commonly presumed, dictate the axial ligation of FeN</w:t>
      </w:r>
      <w:r>
        <w:rPr>
          <w:vertAlign w:val="subscript"/>
        </w:rPr>
        <w:t>4</w:t>
      </w:r>
      <w:r>
        <w:t>sites under acidic conditions and thereby control both catalytic activity and durability. Using H</w:t>
      </w:r>
      <w:r>
        <w:rPr>
          <w:vertAlign w:val="subscript"/>
        </w:rPr>
        <w:t>2</w:t>
      </w:r>
      <w:r>
        <w:t>SO</w:t>
      </w:r>
      <w:r>
        <w:rPr>
          <w:vertAlign w:val="subscript"/>
        </w:rPr>
        <w:t>4</w:t>
      </w:r>
      <w:r>
        <w:t>and HClO</w:t>
      </w:r>
      <w:r>
        <w:rPr>
          <w:vertAlign w:val="subscript"/>
        </w:rPr>
        <w:t>4</w:t>
      </w:r>
      <w:r>
        <w:t>as prototypical acidic electrolytes, we reveal distinct coordination environments: in H</w:t>
      </w:r>
      <w:r>
        <w:rPr>
          <w:vertAlign w:val="subscript"/>
        </w:rPr>
        <w:t>2</w:t>
      </w:r>
      <w:r>
        <w:t>SO</w:t>
      </w:r>
      <w:r>
        <w:rPr>
          <w:vertAlign w:val="subscript"/>
        </w:rPr>
        <w:t>4</w:t>
      </w:r>
      <w:r>
        <w:t>, SO</w:t>
      </w:r>
      <w:r>
        <w:rPr>
          <w:vertAlign w:val="subscript"/>
        </w:rPr>
        <w:t>4</w:t>
      </w:r>
      <w:r>
        <w:t>2−</w:t>
      </w:r>
      <w:r>
        <w:t>binds strongly to Fe, forming SO</w:t>
      </w:r>
      <w:r>
        <w:rPr>
          <w:vertAlign w:val="subscript"/>
        </w:rPr>
        <w:t>4</w:t>
      </w:r>
      <w:r>
        <w:t>‐Fe</w:t>
      </w:r>
      <w:r>
        <w:t xml:space="preserve"> </w:t>
      </w:r>
      <w:r>
        <w:t>*</w:t>
      </w:r>
      <w:r>
        <w:t xml:space="preserve"> </w:t>
      </w:r>
      <w:r>
        <w:t>sites with a higher onset potential (0.94 V) and improved kinetic stability, whereas in HClO</w:t>
      </w:r>
      <w:r>
        <w:rPr>
          <w:vertAlign w:val="subscript"/>
        </w:rPr>
        <w:t>4</w:t>
      </w:r>
      <w:r>
        <w:t>, hydration dominates, yielding H</w:t>
      </w:r>
      <w:r>
        <w:rPr>
          <w:vertAlign w:val="subscript"/>
        </w:rPr>
        <w:t>2</w:t>
      </w:r>
      <w:r>
        <w:t>O‐Fe</w:t>
      </w:r>
      <w:r>
        <w:t xml:space="preserve"> </w:t>
      </w:r>
      <w:r>
        <w:t>*</w:t>
      </w:r>
      <w:r>
        <w:t xml:space="preserve"> </w:t>
      </w:r>
      <w:r>
        <w:t>sites with lower activity (0.67 V) and greater demetallation susceptibility. These computational insights, corroborated by electrochemical measurements, establish electrolyte identity as a decisive factor in shaping the activity and stability of Fe‐N‐C catalysts and highlight electrolyte engineering as a promising strategy for durable platinum‐free ORR catalysis.</w:t>
      </w:r>
    </w:p>
    <w:p>
      <w:pPr>
        <w:spacing w:before="120" w:after="120"/>
      </w:pPr>
      <w:r>
        <w:rPr>
          <w:sz w:val="18"/>
        </w:rPr>
        <w:t>——————————————————————————————————————————————————————————————————————</w:t>
      </w:r>
    </w:p>
    <w:p>
      <w:pPr>
        <w:spacing w:before="160" w:after="40" w:line="240" w:lineRule="auto"/>
      </w:pPr>
      <w:r>
        <w:rPr>
          <w:b/>
        </w:rPr>
        <w:t xml:space="preserve">[553] </w:t>
      </w:r>
      <w:hyperlink r:id="rId850">
        <w:r>
          <w:rPr>
            <w:color w:val="1155CC"/>
            <w:u w:val="single"/>
          </w:rPr>
          <w:t>生物启发显示器:建立有积极感知和适应界面的智能系统</w:t>
        </w:r>
      </w:hyperlink>
    </w:p>
    <w:p>
      <w:pPr>
        <w:spacing w:before="0" w:after="80"/>
      </w:pPr>
      <w:r>
        <w:rPr>
          <w:i/>
          <w:sz w:val="20"/>
        </w:rPr>
        <w:t>EN: Bio‐inspired Displays: Toward Intelligent Systems With Active Perception and Adaptive Interfaces</w:t>
      </w:r>
    </w:p>
    <w:p>
      <w:pPr>
        <w:spacing w:before="0" w:after="120"/>
      </w:pPr>
      <w:r>
        <w:rPr>
          <w:b/>
        </w:rPr>
        <w:t xml:space="preserve">Source: </w:t>
      </w:r>
      <w:r>
        <w:t>Wiley: Advanced Materials: Table of Contents</w:t>
      </w:r>
      <w:r>
        <w:t xml:space="preserve">    </w:t>
      </w:r>
      <w:r>
        <w:rPr>
          <w:b/>
        </w:rPr>
        <w:t xml:space="preserve">Pub date: </w:t>
      </w:r>
      <w:r>
        <w:t>2026-01-29 04:29:57+00:00</w:t>
      </w:r>
      <w:r>
        <w:t xml:space="preserve">    </w:t>
      </w:r>
      <w:r>
        <w:rPr>
          <w:b/>
        </w:rPr>
        <w:t xml:space="preserve">DOI: </w:t>
      </w:r>
      <w:hyperlink r:id="rId851">
        <w:r>
          <w:rPr>
            <w:color w:val="1155CC"/>
            <w:u w:val="single"/>
          </w:rPr>
          <w:t>10.1002/adma.202521854</w:t>
        </w:r>
      </w:hyperlink>
    </w:p>
    <w:p>
      <w:pPr>
        <w:spacing w:before="0" w:after="120"/>
      </w:pPr>
      <w:r>
        <w:rPr>
          <w:b/>
        </w:rPr>
        <w:t xml:space="preserve">Notes: </w:t>
      </w:r>
      <w:r>
        <w:t>abstract_source=crossref</w:t>
      </w:r>
    </w:p>
    <w:p>
      <w:pPr>
        <w:spacing w:before="0" w:after="80" w:lineRule="auto" w:line="276"/>
      </w:pPr>
      <w:r>
        <w:rPr>
          <w:b/>
        </w:rPr>
        <w:t xml:space="preserve">摘要（ZH）: </w:t>
      </w:r>
      <w:r>
        <w:t>在数字化和情报的深度融合背景下,传统显示技术面临多种制约,包括僵硬的形式因素、有限的视觉体验、有限的物理性能和环境互动薄弱;生物启发式显示技术,利用生物系统演变的优化结构和机制,为下一代显示系统的发展提供开拓性概念和创新途径;这一审查系统地引入“生物启发式显示”概念,从两个方面,即“人类激励”和“自然激励”方法,组织当前生物激励式战略和信息显示设备的研究进展。</w:t>
      </w:r>
    </w:p>
    <w:p>
      <w:pPr>
        <w:spacing w:before="0" w:after="200" w:lineRule="auto" w:line="276"/>
      </w:pPr>
      <w:r>
        <w:rPr>
          <w:b/>
        </w:rPr>
        <w:t xml:space="preserve">Abstract (EN): </w:t>
      </w:r>
      <w:r>
        <w:t>Under the backdrop of deep integration between digitalization and intelligence, conventional display technologies are confronted with multiple constraints, including rigid form factors, limited visual experience, restricted physical performance, and weak environmental interaction. Bio‐inspired display technology, which draws on the evolutionarily optimized structures and mechanisms of biological systems, offers groundbreaking concepts and innovative pathways for the development of next‐generation display systems. This review systematically introduces the concept of “bio‐inspired displays” and organizes current bio‐inspired strategies and research advances in information display devices from two dimensions: “human‐inspired” and “nature‐inspired” approaches. Human‐inspired displays focus on human visual behavior and perceptual mechanisms, aiming to achieve deep integration between devices and users and provide healthier visual services. Nature‐inspired displays leverage the optical properties of biological structures to overcome the inherent limitations of conventional materials and architectures. The synergistic evolution of display technology and bio‐inspired engineering will significantly enhance the natural interactivity, visual comfort, and environmental adaptability of display systems. This paper provides an in‐depth analysis of the latest progress, existing challenges, and future directions in the field of bio‐inspired displays, reviews emerging bio‐inspired technologies and related fabrication processes, and establishes a theoretical framework and technical roadmap for next‐generation display innovation. It is foreseeable that bio‐inspired display technology will advance human–computer interaction from “passive viewing” to “active perception,” enabling breakthrough applications in smart terminals, digital twins, remote collaboration, and beyond.</w:t>
      </w:r>
    </w:p>
    <w:p>
      <w:pPr>
        <w:spacing w:before="120" w:after="120"/>
      </w:pPr>
      <w:r>
        <w:rPr>
          <w:sz w:val="18"/>
        </w:rPr>
        <w:t>——————————————————————————————————————————————————————————————————————</w:t>
      </w:r>
    </w:p>
    <w:p>
      <w:pPr>
        <w:spacing w:before="160" w:after="40" w:line="240" w:lineRule="auto"/>
      </w:pPr>
      <w:r>
        <w:rPr>
          <w:b/>
        </w:rPr>
        <w:t xml:space="preserve">[554] </w:t>
      </w:r>
      <w:hyperlink r:id="rId852">
        <w:r>
          <w:rPr>
            <w:color w:val="1155CC"/>
            <w:u w:val="single"/>
          </w:rPr>
          <w:t>隐藏二极:Thiele的碳氢化合物中溶解政体 NIR 排放与 Quantum 联合倾弃的溶解式二极分解开关</w:t>
        </w:r>
      </w:hyperlink>
    </w:p>
    <w:p>
      <w:pPr>
        <w:spacing w:before="0" w:after="80"/>
      </w:pPr>
      <w:r>
        <w:rPr>
          <w:i/>
          <w:sz w:val="20"/>
        </w:rPr>
        <w:t>EN: Hidden Diradical: Conformational Switch for Solvatochromic NIR Emission With Unity Quantum Yield in Thiele's Hydrocarbon</w:t>
      </w:r>
    </w:p>
    <w:p>
      <w:pPr>
        <w:spacing w:before="0" w:after="120"/>
      </w:pPr>
      <w:r>
        <w:rPr>
          <w:b/>
        </w:rPr>
        <w:t xml:space="preserve">Source: </w:t>
      </w:r>
      <w:r>
        <w:t>Wiley: Angewandte Chemie International Edition: Table of Contents</w:t>
      </w:r>
      <w:r>
        <w:t xml:space="preserve">    </w:t>
      </w:r>
      <w:r>
        <w:rPr>
          <w:b/>
        </w:rPr>
        <w:t xml:space="preserve">Pub date: </w:t>
      </w:r>
      <w:r>
        <w:t>2026-01-29 04:36:22+00:00</w:t>
      </w:r>
      <w:r>
        <w:t xml:space="preserve">    </w:t>
      </w:r>
      <w:r>
        <w:rPr>
          <w:b/>
        </w:rPr>
        <w:t xml:space="preserve">DOI: </w:t>
      </w:r>
      <w:hyperlink r:id="rId853">
        <w:r>
          <w:rPr>
            <w:color w:val="1155CC"/>
            <w:u w:val="single"/>
          </w:rPr>
          <w:t>10.1002/anie.202524042</w:t>
        </w:r>
      </w:hyperlink>
    </w:p>
    <w:p>
      <w:pPr>
        <w:spacing w:before="0" w:after="120"/>
      </w:pPr>
      <w:r>
        <w:rPr>
          <w:b/>
        </w:rPr>
        <w:t xml:space="preserve">Notes: </w:t>
      </w:r>
      <w:r>
        <w:t>abstract_source=crossref</w:t>
      </w:r>
    </w:p>
    <w:p>
      <w:pPr>
        <w:spacing w:before="0" w:after="80" w:lineRule="auto" w:line="276"/>
      </w:pPr>
      <w:r>
        <w:rPr>
          <w:b/>
        </w:rPr>
        <w:t xml:space="preserve">摘要（ZH）: </w:t>
      </w:r>
      <w:r>
        <w:t>ABSTACT 我们提出,通过转换氟和氯替代成分的位置,可以获得折叠(1 1)和平板(2 、 3)结构的卤代和空气中可呼吸的Thiele型二类二氧基体结构。 严重扭曲的p quinodime 1表明UV-可见/近亚红(UV-vis/NIR)范围内的排放量,光光光度量量产量为100 %, 极大的斯托克斯转移高达2.0 eV, 兴奋的寿命期为81 ns, 以及明显的烟气排放(从1.81 eV到n)</w:t>
      </w:r>
    </w:p>
    <w:p>
      <w:pPr>
        <w:spacing w:before="0" w:after="200" w:lineRule="auto" w:line="276"/>
      </w:pPr>
      <w:r>
        <w:rPr>
          <w:b/>
        </w:rPr>
        <w:t xml:space="preserve">Abstract (EN): </w:t>
      </w:r>
      <w:r>
        <w:t>We present that halogen‐substituted and air‐stable Thiele‐type diradicaloids with folded (</w:t>
      </w:r>
      <w:r>
        <w:rPr>
          <w:vertAlign w:val="subscript"/>
        </w:rPr>
        <w:t>1</w:t>
      </w:r>
      <w:r>
        <w:t>) and planar (</w:t>
      </w:r>
      <w:r>
        <w:rPr>
          <w:vertAlign w:val="subscript"/>
        </w:rPr>
        <w:t>2</w:t>
      </w:r>
      <w:r>
        <w:t>,</w:t>
      </w:r>
      <w:r>
        <w:rPr>
          <w:vertAlign w:val="subscript"/>
        </w:rPr>
        <w:t>3</w:t>
      </w:r>
      <w:r>
        <w:t>) structures can be obtained by switching the positions of fluorine and chlorine substituents. The strongly distorted</w:t>
      </w:r>
      <w:r>
        <w:t xml:space="preserve"> </w:t>
      </w:r>
      <w:r>
        <w:t>p</w:t>
      </w:r>
      <w:r>
        <w:t xml:space="preserve"> </w:t>
      </w:r>
      <w:r>
        <w:t>‐quinodimethane</w:t>
      </w:r>
      <w:r>
        <w:rPr>
          <w:vertAlign w:val="subscript"/>
        </w:rPr>
        <w:t>1</w:t>
      </w:r>
      <w:r>
        <w:t>demonstrates emission in the UV–visible/near‐infrared (UV–vis/NIR) range with a photoluminescence quantum yield (PLQY) of 100%, an exceedingly large Stokes shift of up to 2.0 eV, an excited state lifetime of 81 ns, and pronounced solvatochromic emission (from 1.81 eV in</w:t>
      </w:r>
      <w:r>
        <w:t xml:space="preserve"> </w:t>
      </w:r>
      <w:r>
        <w:t>n</w:t>
      </w:r>
      <w:r>
        <w:t xml:space="preserve"> </w:t>
      </w:r>
      <w:r>
        <w:t>‐pentane to approximately 2.0 eV in dichloromethane). Dual emission in pentane, transient absorption spectroscopy, quantum chemical calculations, as well as the comparison with compounds</w:t>
      </w:r>
      <w:r>
        <w:rPr>
          <w:vertAlign w:val="subscript"/>
        </w:rPr>
        <w:t>2</w:t>
      </w:r>
      <w:r>
        <w:t>and</w:t>
      </w:r>
      <w:r>
        <w:rPr>
          <w:vertAlign w:val="subscript"/>
        </w:rPr>
        <w:t>3</w:t>
      </w:r>
      <w:r>
        <w:t>reveal that the exceptional photophysical properties of closed‐shell</w:t>
      </w:r>
      <w:r>
        <w:rPr>
          <w:vertAlign w:val="subscript"/>
        </w:rPr>
        <w:t>1</w:t>
      </w:r>
      <w:r>
        <w:t>are thanks to interconversion with its planar conformer</w:t>
      </w:r>
      <w:r>
        <w:t xml:space="preserve"> </w:t>
      </w:r>
      <w:r>
        <w:rPr>
          <w:vertAlign w:val="subscript"/>
        </w:rPr>
        <w:t>1</w:t>
      </w:r>
      <w:r>
        <w:t>flat</w:t>
      </w:r>
      <w:r>
        <w:t xml:space="preserve"> </w:t>
      </w:r>
      <w:r>
        <w:t>. The key here is that the conformer</w:t>
      </w:r>
      <w:r>
        <w:t xml:space="preserve"> </w:t>
      </w:r>
      <w:r>
        <w:rPr>
          <w:vertAlign w:val="subscript"/>
        </w:rPr>
        <w:t>1</w:t>
      </w:r>
      <w:r>
        <w:t>flat</w:t>
      </w:r>
      <w:r>
        <w:t xml:space="preserve"> </w:t>
      </w:r>
      <w:r>
        <w:t>, which is generated upon photoexcitation, excels with a pronounced singlet diradical character (</w:t>
      </w:r>
      <w:r>
        <w:t xml:space="preserve"> </w:t>
      </w:r>
      <w:r>
        <w:t>y</w:t>
      </w:r>
      <w:r>
        <w:rPr>
          <w:vertAlign w:val="subscript"/>
        </w:rPr>
        <w:t>0</w:t>
      </w:r>
      <w:r>
        <w:t>= 0.78) and a dark doubly excited (DE) S1 state. Our findings delineate how to leverage conformational equilibria to design bright luminescent materials based on hidden and thus air‐stable organic diradicals.</w:t>
      </w:r>
    </w:p>
    <w:p>
      <w:pPr>
        <w:spacing w:before="120" w:after="120"/>
      </w:pPr>
      <w:r>
        <w:rPr>
          <w:sz w:val="18"/>
        </w:rPr>
        <w:t>——————————————————————————————————————————————————————————————————————</w:t>
      </w:r>
    </w:p>
    <w:p>
      <w:pPr>
        <w:spacing w:before="160" w:after="40" w:line="240" w:lineRule="auto"/>
      </w:pPr>
      <w:r>
        <w:rPr>
          <w:b/>
        </w:rPr>
        <w:t xml:space="preserve">[555] </w:t>
      </w:r>
      <w:hyperlink r:id="rId854">
        <w:r>
          <w:rPr>
            <w:color w:val="1155CC"/>
            <w:u w:val="single"/>
          </w:rPr>
          <w:t>推力增强使斯特拉因耐耐力微型结构和可伸缩的聚合体太阳能电池的性能增强</w:t>
        </w:r>
      </w:hyperlink>
    </w:p>
    <w:p>
      <w:pPr>
        <w:spacing w:before="0" w:after="80"/>
      </w:pPr>
      <w:r>
        <w:rPr>
          <w:i/>
          <w:sz w:val="20"/>
        </w:rPr>
        <w:t>EN: Elasticization Enables Strain‐Tolerant Microstructure and Enhanced Performance in Stretchable Polymer Solar Cells</w:t>
      </w:r>
    </w:p>
    <w:p>
      <w:pPr>
        <w:spacing w:before="0" w:after="120"/>
      </w:pPr>
      <w:r>
        <w:rPr>
          <w:b/>
        </w:rPr>
        <w:t xml:space="preserve">Source: </w:t>
      </w:r>
      <w:r>
        <w:t>Wiley: Advanced Materials: Table of Contents</w:t>
      </w:r>
      <w:r>
        <w:t xml:space="preserve">    </w:t>
      </w:r>
      <w:r>
        <w:rPr>
          <w:b/>
        </w:rPr>
        <w:t xml:space="preserve">Pub date: </w:t>
      </w:r>
      <w:r>
        <w:t>2026-01-29 04:47:27+00:00</w:t>
      </w:r>
      <w:r>
        <w:t xml:space="preserve">    </w:t>
      </w:r>
      <w:r>
        <w:rPr>
          <w:b/>
        </w:rPr>
        <w:t xml:space="preserve">DOI: </w:t>
      </w:r>
      <w:hyperlink r:id="rId855">
        <w:r>
          <w:rPr>
            <w:color w:val="1155CC"/>
            <w:u w:val="single"/>
          </w:rPr>
          <w:t>10.1002/adma.202520990</w:t>
        </w:r>
      </w:hyperlink>
    </w:p>
    <w:p>
      <w:pPr>
        <w:spacing w:before="0" w:after="120"/>
      </w:pPr>
      <w:r>
        <w:rPr>
          <w:b/>
        </w:rPr>
        <w:t xml:space="preserve">Notes: </w:t>
      </w:r>
      <w:r>
        <w:t>abstract_source=crossref</w:t>
      </w:r>
    </w:p>
    <w:p>
      <w:pPr>
        <w:spacing w:before="0" w:after="80" w:lineRule="auto" w:line="276"/>
      </w:pPr>
      <w:r>
        <w:rPr>
          <w:b/>
        </w:rPr>
        <w:t xml:space="preserve">摘要（ZH）: </w:t>
      </w:r>
      <w:r>
        <w:t>推进内在可伸展光伏薄膜对于通过所有聚合物太阳能电池为下一代可磨损电子设备提供动力至关重要。虽然与弹性材料混合已成为提高机械坚固度的有效战略,但菌株下的基本微结构演变仍不易理解。在这里,我们引入并实施了基于同步的伸展式散射式散射技术,以直接探测实时纳米规模的形态变化。引入了质苯乙烯-isoprene-styrene-styrene Eliastomer SIS, 使堆叠强度增加,既平行又与伸展方向相连。因此,可伸展式散射式散射式散射器实现了超过16%的创纪录率和例外的我。</w:t>
      </w:r>
    </w:p>
    <w:p>
      <w:pPr>
        <w:spacing w:before="0" w:after="200" w:lineRule="auto" w:line="276"/>
      </w:pPr>
      <w:r>
        <w:rPr>
          <w:b/>
        </w:rPr>
        <w:t xml:space="preserve">Abstract (EN): </w:t>
      </w:r>
      <w:r>
        <w:t>The advancement of intrinsically stretchable photovoltaic films is essential for powering next‐generation wearable electronics through all‐polymer solar cells (APSCs). While blending with elastomeric materials has emerged as an effective strategy to enhance mechanical robustness, the fundamental microstructural evolution under strain remains poorly understood. Here we introduce and implement a synchrotron‐based in situ stretching X‐ray scattering technique to directly probe nanoscale morphological changes in real time. Incorporating a styrene‐isoprene‐styrene elastomer SIS induces enhanced π–π stacking intensity both parallel and perpendicular to the stretching direction. The resulting stretchable APSCs achieve a record‐high efficiency over 16% and exceptional mechanical stability, retaining over 80% of initial efficiency at 60% strain and 81% after 1000 stretching cycles at 40% strain. Furthermore, power output remains stable under strains of up to 60%, and the mechancial parameters are well predicted by the Coral‐Patel model. This study provides critical insights for elastomer selection and microstructure design in stretchable electronics.</w:t>
      </w:r>
    </w:p>
    <w:p>
      <w:pPr>
        <w:spacing w:before="120" w:after="120"/>
      </w:pPr>
      <w:r>
        <w:rPr>
          <w:sz w:val="18"/>
        </w:rPr>
        <w:t>——————————————————————————————————————————————————————————————————————</w:t>
      </w:r>
    </w:p>
    <w:p>
      <w:pPr>
        <w:spacing w:before="160" w:after="40" w:line="240" w:lineRule="auto"/>
      </w:pPr>
      <w:r>
        <w:rPr>
          <w:b/>
        </w:rPr>
        <w:t xml:space="preserve">[556] </w:t>
      </w:r>
      <w:hyperlink r:id="rId856">
        <w:r>
          <w:rPr>
            <w:color w:val="1155CC"/>
            <w:u w:val="single"/>
          </w:rPr>
          <w:t>复杂环环系统诊断和反对准选择性合成硅化碳反应</w:t>
        </w:r>
      </w:hyperlink>
    </w:p>
    <w:p>
      <w:pPr>
        <w:spacing w:before="0" w:after="80"/>
      </w:pPr>
      <w:r>
        <w:rPr>
          <w:i/>
          <w:sz w:val="20"/>
        </w:rPr>
        <w:t>EN: An Iridium‐Catalyzed Conia‐ene Reaction for the Diastereo‐ and Enantioselective Synthesis of Complex Ring Systems</w:t>
      </w:r>
    </w:p>
    <w:p>
      <w:pPr>
        <w:spacing w:before="0" w:after="120"/>
      </w:pPr>
      <w:r>
        <w:rPr>
          <w:b/>
        </w:rPr>
        <w:t xml:space="preserve">Source: </w:t>
      </w:r>
      <w:r>
        <w:t>Wiley: Angewandte Chemie International Edition: Table of Contents</w:t>
      </w:r>
      <w:r>
        <w:t xml:space="preserve">    </w:t>
      </w:r>
      <w:r>
        <w:rPr>
          <w:b/>
        </w:rPr>
        <w:t xml:space="preserve">Pub date: </w:t>
      </w:r>
      <w:r>
        <w:t>2026-01-29 05:10:18+00:00</w:t>
      </w:r>
      <w:r>
        <w:t xml:space="preserve">    </w:t>
      </w:r>
      <w:r>
        <w:rPr>
          <w:b/>
        </w:rPr>
        <w:t xml:space="preserve">DOI: </w:t>
      </w:r>
      <w:hyperlink r:id="rId857">
        <w:r>
          <w:rPr>
            <w:color w:val="1155CC"/>
            <w:u w:val="single"/>
          </w:rPr>
          <w:t>10.1002/anie.6718169</w:t>
        </w:r>
      </w:hyperlink>
    </w:p>
    <w:p>
      <w:pPr>
        <w:spacing w:before="0" w:after="120"/>
      </w:pPr>
      <w:r>
        <w:rPr>
          <w:b/>
        </w:rPr>
        <w:t xml:space="preserve">Notes: </w:t>
      </w:r>
      <w:r>
        <w:t>abstract_source=crossref</w:t>
      </w:r>
    </w:p>
    <w:p>
      <w:pPr>
        <w:spacing w:before="0" w:after="80" w:lineRule="auto" w:line="276"/>
      </w:pPr>
      <w:r>
        <w:rPr>
          <w:b/>
        </w:rPr>
        <w:t xml:space="preserve">摘要（ZH）: </w:t>
      </w:r>
      <w:r>
        <w:t>描述了氨氨酰胺的化学催化化学反应摘要,这些单元对氨基乙酰胺进行了6-或7-的排出循环,以向氨基乙烷循环提供苯并二硝基乙酸酯。在这一过程中,安装了具有高分泌和对等选择性的具有挑战性的毗连立体中心。该方法为建造 sp 3 富乙酰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甲烷反应提供了多功能平台,并提供了从事对乙基苯基苯基苯基苯基苯基乙基苯和乙基苯基苯有选择的甲烷基苯基苯基苯的异常例子。该研究为正在形成利用的一批正在形成的过程,利用的热源代代新工艺。</w:t>
      </w:r>
    </w:p>
    <w:p>
      <w:pPr>
        <w:spacing w:before="0" w:after="200" w:lineRule="auto" w:line="276"/>
      </w:pPr>
      <w:r>
        <w:rPr>
          <w:b/>
        </w:rPr>
        <w:t xml:space="preserve">Abstract (EN): </w:t>
      </w:r>
      <w:r>
        <w:t>Iridium‐catalyzed Conia‐ene reactions of α‐amino amides are described. These units undergo 6‐ or 7‐</w:t>
      </w:r>
      <w:r>
        <w:t xml:space="preserve"> </w:t>
      </w:r>
      <w:r>
        <w:t>exo</w:t>
      </w:r>
      <w:r>
        <w:t xml:space="preserve"> </w:t>
      </w:r>
      <w:r>
        <w:t>cyclization onto amido‐tethered alkenes to provide benzofused</w:t>
      </w:r>
      <w:r>
        <w:t xml:space="preserve"> </w:t>
      </w:r>
      <w:r>
        <w:t>N</w:t>
      </w:r>
      <w:r>
        <w:t xml:space="preserve"> </w:t>
      </w:r>
      <w:r>
        <w:t>‐heterocycles. In this process, challenging contiguous stereocenters are installed with high diastereo‐ and enantioselectivity. The method provides a versatile platform for constructing sp</w:t>
      </w:r>
      <w:r>
        <w:rPr>
          <w:vertAlign w:val="subscript"/>
        </w:rPr>
        <w:t>3</w:t>
      </w:r>
      <w:r>
        <w:t>‐rich heterocycles, and offers unusual examples of alkenes engaging in enantio‐ and diastereoselective Conia‐ene reactions. This study adds to an emerging body of processes that exploit the directed generation of Ir‐enolates.</w:t>
      </w:r>
    </w:p>
    <w:p>
      <w:pPr>
        <w:spacing w:before="120" w:after="120"/>
      </w:pPr>
      <w:r>
        <w:rPr>
          <w:sz w:val="18"/>
        </w:rPr>
        <w:t>——————————————————————————————————————————————————————————————————————</w:t>
      </w:r>
    </w:p>
    <w:p>
      <w:pPr>
        <w:spacing w:before="160" w:after="40" w:line="240" w:lineRule="auto"/>
      </w:pPr>
      <w:r>
        <w:rPr>
          <w:b/>
        </w:rPr>
        <w:t xml:space="preserve">[557] </w:t>
      </w:r>
      <w:hyperlink r:id="rId858">
        <w:r>
          <w:rPr>
            <w:color w:val="1155CC"/>
            <w:u w:val="single"/>
          </w:rPr>
          <w:t>氢天天综合光免疫治疗综合管管外转机病</w:t>
        </w:r>
      </w:hyperlink>
    </w:p>
    <w:p>
      <w:pPr>
        <w:spacing w:before="0" w:after="80"/>
      </w:pPr>
      <w:r>
        <w:rPr>
          <w:i/>
          <w:sz w:val="20"/>
        </w:rPr>
        <w:t>EN: Zinc‐Complex Orchestrating Pyroptosis for Hypoxia‐Tolerant Photoimmunotherapy</w:t>
      </w:r>
    </w:p>
    <w:p>
      <w:pPr>
        <w:spacing w:before="0" w:after="120"/>
      </w:pPr>
      <w:r>
        <w:rPr>
          <w:b/>
        </w:rPr>
        <w:t xml:space="preserve">Source: </w:t>
      </w:r>
      <w:r>
        <w:t>Wiley: Angewandte Chemie International Edition: Table of Contents</w:t>
      </w:r>
      <w:r>
        <w:t xml:space="preserve">    </w:t>
      </w:r>
      <w:r>
        <w:rPr>
          <w:b/>
        </w:rPr>
        <w:t xml:space="preserve">Pub date: </w:t>
      </w:r>
      <w:r>
        <w:t>2026-01-29 05:24:02+00:00</w:t>
      </w:r>
      <w:r>
        <w:t xml:space="preserve">    </w:t>
      </w:r>
      <w:r>
        <w:rPr>
          <w:b/>
        </w:rPr>
        <w:t xml:space="preserve">DOI: </w:t>
      </w:r>
      <w:hyperlink r:id="rId859">
        <w:r>
          <w:rPr>
            <w:color w:val="1155CC"/>
            <w:u w:val="single"/>
          </w:rPr>
          <w:t>10.1002/anie.202525200</w:t>
        </w:r>
      </w:hyperlink>
    </w:p>
    <w:p>
      <w:pPr>
        <w:spacing w:before="0" w:after="120"/>
      </w:pPr>
      <w:r>
        <w:rPr>
          <w:b/>
        </w:rPr>
        <w:t xml:space="preserve">Notes: </w:t>
      </w:r>
      <w:r>
        <w:t>abstract_source=crossref</w:t>
      </w:r>
    </w:p>
    <w:p>
      <w:pPr>
        <w:spacing w:before="0" w:after="80" w:lineRule="auto" w:line="276"/>
      </w:pPr>
      <w:r>
        <w:rPr>
          <w:b/>
        </w:rPr>
        <w:t xml:space="preserve">摘要（ZH）: </w:t>
      </w:r>
      <w:r>
        <w:t>光子驱动的血滴虫病是一种先进和有希望的抗心细胞免疫疗法模式,为防治癌症复发和转移提供了新的途径。 基本的金属复合体在光模化疗法中表现出巨大的潜力,但光模化疗法却几乎没有产生活性氧物种(ROS ), 在光辐照下,由于低旋转-轨道联动(SOC ), 导致系统间交叉(ISC ) 的阻塞,因此,我们创新地提出了基本金属离子概念,作为电子退出组来调节捐赠者接收器(D&amp;A ) 系统,从而显著提高ROS 生成效率。 作为概念的证明,我们设计并合成了一系列Zn。</w:t>
      </w:r>
    </w:p>
    <w:p>
      <w:pPr>
        <w:spacing w:before="0" w:after="200" w:lineRule="auto" w:line="276"/>
      </w:pPr>
      <w:r>
        <w:rPr>
          <w:b/>
        </w:rPr>
        <w:t xml:space="preserve">Abstract (EN): </w:t>
      </w:r>
      <w:r>
        <w:t>Photon‐driven pyroptosis represents an advanced and promising modality in anti‐tumor immunotherapy, offering new avenue in combating cancer recurrence and metastasis. Essential metal‐complex shows great potential in photoimmunotherapy, which however hardly generates reactive oxygen species (ROS) to active photoimmunotherapy under light irradiation due to low spin–orbit coupling (SOC) resulting in intersystem crossing (ISC) being blocked. To address this challenge, we innovatively proposed the concept of essential‐metal ion as an electron‐withdrawing group to modulate the donor‐acceptor (D‐A) system, thereby significantly improving ROS generation efficiency. As a proof of concept, we designed and synthesized a series of Zn</w:t>
      </w:r>
      <w:r>
        <w:t xml:space="preserve"> </w:t>
      </w:r>
      <w:r>
        <w:t>2+</w:t>
      </w:r>
      <w:r>
        <w:t xml:space="preserve"> </w:t>
      </w:r>
      <w:r>
        <w:t>‐complexes through constructing enhanced D‐A systems. Zn</w:t>
      </w:r>
      <w:r>
        <w:t xml:space="preserve"> </w:t>
      </w:r>
      <w:r>
        <w:t>2+</w:t>
      </w:r>
      <w:r>
        <w:t xml:space="preserve"> </w:t>
      </w:r>
      <w:r>
        <w:t>coordination efficiently enhances the ISC by lowering the excited singlet‐triplet energy gap (ΔE</w:t>
      </w:r>
      <w:r>
        <w:t xml:space="preserve"> </w:t>
      </w:r>
      <w:r>
        <w:t>S1−T1</w:t>
      </w:r>
      <w:r>
        <w:t xml:space="preserve"> </w:t>
      </w:r>
      <w:r>
        <w:t>), leading to exceptionally high ROS generation efficiency through Type I mechanisms to overcome hypoxia and the immunosuppression of tumor microenvironment. In these Zn</w:t>
      </w:r>
      <w:r>
        <w:t xml:space="preserve"> </w:t>
      </w:r>
      <w:r>
        <w:t>2+</w:t>
      </w:r>
      <w:r>
        <w:t xml:space="preserve"> </w:t>
      </w:r>
      <w:r>
        <w:t>‐complexes, Zn‐TPY‐TPA‐DTZ can photodynamically damage lysosomes to trigger pyroptosis, which further induce anti‐tumor immune responses through the promotion of immunogenic cell death (ICD), and ultimately generates a robust anti‐tumor immune response and curbed the proliferation of 4T1 tumors in vivo. This study provides systematic guidance for the rational design of advanced Zn</w:t>
      </w:r>
      <w:r>
        <w:t xml:space="preserve"> </w:t>
      </w:r>
      <w:r>
        <w:t>2+</w:t>
      </w:r>
      <w:r>
        <w:t xml:space="preserve"> </w:t>
      </w:r>
      <w:r>
        <w:t>‐complexes, propelling advancements in cancer treatment strategies.</w:t>
      </w:r>
    </w:p>
    <w:p>
      <w:pPr>
        <w:spacing w:before="120" w:after="120"/>
      </w:pPr>
      <w:r>
        <w:rPr>
          <w:sz w:val="18"/>
        </w:rPr>
        <w:t>——————————————————————————————————————————————————————————————————————</w:t>
      </w:r>
    </w:p>
    <w:p>
      <w:pPr>
        <w:spacing w:before="160" w:after="40" w:line="240" w:lineRule="auto"/>
      </w:pPr>
      <w:r>
        <w:rPr>
          <w:b/>
        </w:rPr>
        <w:t xml:space="preserve">[558] </w:t>
      </w:r>
      <w:hyperlink r:id="rId860">
        <w:r>
          <w:rPr>
            <w:color w:val="1155CC"/>
            <w:u w:val="single"/>
          </w:rPr>
          <w:t>快速RASER MRI</w:t>
        </w:r>
      </w:hyperlink>
    </w:p>
    <w:p>
      <w:pPr>
        <w:spacing w:before="0" w:after="80"/>
      </w:pPr>
      <w:r>
        <w:rPr>
          <w:i/>
          <w:sz w:val="20"/>
        </w:rPr>
        <w:t>EN: Rapid RASER MRI</w:t>
      </w:r>
    </w:p>
    <w:p>
      <w:pPr>
        <w:spacing w:before="0" w:after="120"/>
      </w:pPr>
      <w:r>
        <w:rPr>
          <w:b/>
        </w:rPr>
        <w:t xml:space="preserve">Source: </w:t>
      </w:r>
      <w:r>
        <w:t>Wiley: Angewandte Chemie International Edition: Table of Contents</w:t>
      </w:r>
      <w:r>
        <w:t xml:space="preserve">    </w:t>
      </w:r>
      <w:r>
        <w:rPr>
          <w:b/>
        </w:rPr>
        <w:t xml:space="preserve">Pub date: </w:t>
      </w:r>
      <w:r>
        <w:t>2026-01-29 05:42:37+00:00</w:t>
      </w:r>
      <w:r>
        <w:t xml:space="preserve">    </w:t>
      </w:r>
      <w:r>
        <w:rPr>
          <w:b/>
        </w:rPr>
        <w:t xml:space="preserve">DOI: </w:t>
      </w:r>
      <w:hyperlink r:id="rId861">
        <w:r>
          <w:rPr>
            <w:color w:val="1155CC"/>
            <w:u w:val="single"/>
          </w:rPr>
          <w:t>10.1002/anie.202525699</w:t>
        </w:r>
      </w:hyperlink>
    </w:p>
    <w:p>
      <w:pPr>
        <w:spacing w:before="0" w:after="120"/>
      </w:pPr>
      <w:r>
        <w:rPr>
          <w:b/>
        </w:rPr>
        <w:t xml:space="preserve">Notes: </w:t>
      </w:r>
      <w:r>
        <w:t>abstract_source=crossref</w:t>
      </w:r>
    </w:p>
    <w:p>
      <w:pPr>
        <w:spacing w:before="0" w:after="80" w:lineRule="auto" w:line="276"/>
      </w:pPr>
      <w:r>
        <w:rPr>
          <w:b/>
        </w:rPr>
        <w:t xml:space="preserve">摘要（ZH）: </w:t>
      </w:r>
      <w:r>
        <w:t>高功能放射性射频脉冲依靠高功能无线电频率成像(RF)脉冲来刺激核旋,从而产生NMR信号,这些脉脉冲需要大型高功率RF增压装置,并在组织内造成热沉降,为了安全起见,必须尽量减少,在向高地磁力成像(MRI)移动时,这个问题日益严重。</w:t>
      </w:r>
    </w:p>
    <w:p>
      <w:pPr>
        <w:spacing w:before="0" w:after="200" w:lineRule="auto" w:line="276"/>
      </w:pPr>
      <w:r>
        <w:rPr>
          <w:b/>
        </w:rPr>
        <w:t xml:space="preserve">Abstract (EN): </w:t>
      </w:r>
      <w:r>
        <w:t>Conventional Magnetic Resonance Imaging (MRI) relies on high‐power Radio‐Frequency (RF) pulses to excite nuclear spins and in turn generate NMR signals. These pulses require large high‐power RF‐amplifiers and cause heat deposition in the tissue, which must be minimized for safety, presenting a growing problem when moving toward ever‐higher field MRI. An alternative to RF‐pulse excitation is self‐excitation of nuclear spins using Radiofrequency Amplification by Stimulated Emission of Radiation (RASER), where the nuclear spins undergo spontaneous transition, without RF excitation, from an over‐populated state to a ground state. Here, the feasibility of recording rapid proton RASER MRI images of pyrazine at low concentration (120 mM) with large matrix (128x128 pixels) in as little as 78 ms is demonstrated at 500 MHz (11.7 T). We also recorded a time‐series of images using a single bolus hyperpolarized pyrazine highlighting the feasibility of dynamic tracking. The demonstrated approach allows recording MRI scans without transmit‐receive electronics of the MRI scanner, which is highly desirable for portable MRI as well as the emerging field of hyperpolarized MRI using, e.g., HP protons,</w:t>
      </w:r>
      <w:r>
        <w:rPr>
          <w:vertAlign w:val="subscript"/>
        </w:rPr>
        <w:t>129</w:t>
      </w:r>
      <w:r>
        <w:t>Xe gas or HP</w:t>
      </w:r>
      <w:r>
        <w:rPr>
          <w:vertAlign w:val="subscript"/>
        </w:rPr>
        <w:t>13</w:t>
      </w:r>
      <w:r>
        <w:t>C labeled biomolecules as molecular tracers and imaging agents.</w:t>
      </w:r>
    </w:p>
    <w:p>
      <w:pPr>
        <w:spacing w:before="120" w:after="120"/>
      </w:pPr>
      <w:r>
        <w:rPr>
          <w:sz w:val="18"/>
        </w:rPr>
        <w:t>——————————————————————————————————————————————————————————————————————</w:t>
      </w:r>
    </w:p>
    <w:p>
      <w:pPr>
        <w:spacing w:before="160" w:after="40" w:line="240" w:lineRule="auto"/>
      </w:pPr>
      <w:r>
        <w:rPr>
          <w:b/>
        </w:rPr>
        <w:t xml:space="preserve">[559] </w:t>
      </w:r>
      <w:hyperlink r:id="rId862">
        <w:r>
          <w:rPr>
            <w:color w:val="1155CC"/>
            <w:u w:val="single"/>
          </w:rPr>
          <w:t>通过Tyrosine和Tryptophan与Cyclic Imine Mannich 人电生物学的共价蛋白蛋白异比生物</w:t>
        </w:r>
      </w:hyperlink>
    </w:p>
    <w:p>
      <w:pPr>
        <w:spacing w:before="0" w:after="80"/>
      </w:pPr>
      <w:r>
        <w:rPr>
          <w:i/>
          <w:sz w:val="20"/>
        </w:rPr>
        <w:t>EN: Covalent Protein Inhibitors via Tyrosine and Tryptophan Conjugation with Cyclic Imine Mannich Electrophiles</w:t>
      </w:r>
    </w:p>
    <w:p>
      <w:pPr>
        <w:spacing w:before="0" w:after="120"/>
      </w:pPr>
      <w:r>
        <w:rPr>
          <w:b/>
        </w:rPr>
        <w:t xml:space="preserve">Source: </w:t>
      </w:r>
      <w:r>
        <w:t>Wiley: Angewandte Chemie International Edition: Table of Contents</w:t>
      </w:r>
      <w:r>
        <w:t xml:space="preserve">    </w:t>
      </w:r>
      <w:r>
        <w:rPr>
          <w:b/>
        </w:rPr>
        <w:t xml:space="preserve">Pub date: </w:t>
      </w:r>
      <w:r>
        <w:t>2026-01-29 05:48:52+00:00</w:t>
      </w:r>
      <w:r>
        <w:t xml:space="preserve">    </w:t>
      </w:r>
      <w:r>
        <w:rPr>
          <w:b/>
        </w:rPr>
        <w:t xml:space="preserve">DOI: </w:t>
      </w:r>
      <w:hyperlink r:id="rId863">
        <w:r>
          <w:rPr>
            <w:color w:val="1155CC"/>
            <w:u w:val="single"/>
          </w:rPr>
          <w:t>10.1002/anie.202516630</w:t>
        </w:r>
      </w:hyperlink>
    </w:p>
    <w:p>
      <w:pPr>
        <w:spacing w:before="0" w:after="120"/>
      </w:pPr>
      <w:r>
        <w:rPr>
          <w:b/>
        </w:rPr>
        <w:t xml:space="preserve">Notes: </w:t>
      </w:r>
      <w:r>
        <w:t>abstract_source=crossref</w:t>
      </w:r>
    </w:p>
    <w:p>
      <w:pPr>
        <w:spacing w:before="0" w:after="80" w:lineRule="auto" w:line="276"/>
      </w:pPr>
      <w:r>
        <w:rPr>
          <w:b/>
        </w:rPr>
        <w:t xml:space="preserve">摘要（ZH）: </w:t>
      </w:r>
      <w:r>
        <w:t>在目前的TCI中,化学基本上限于cystene和赖氨酸侧链反应。我们在这里调查了环球乳液-芒尼奇电极作为共价弹头对蛋白强氧和锥虫侧链的效用。我们把几颗环状非粒子对亚麻黄素和其他氨基酸侧链的内在反应率定性为强酸和其他氨基酸侧链,并用环状碘三甲基苯丙胺与E. Coli dihydrofolate Reductionase变异体的环状三甲基苯丙胺和锥形变异体的蛋白质近亲近标志验证了反应率。为了验证这一方法的效用,我们将一些环状非亚麻黄碱与其他氨基酸侧链的内在反应率作了定性。</w:t>
      </w:r>
    </w:p>
    <w:p>
      <w:pPr>
        <w:spacing w:before="0" w:after="200" w:lineRule="auto" w:line="276"/>
      </w:pPr>
      <w:r>
        <w:rPr>
          <w:b/>
        </w:rPr>
        <w:t xml:space="preserve">Abstract (EN): </w:t>
      </w:r>
      <w:r>
        <w:t>Targeted covalent inhibitors (TCIs) are increasingly popular as drug candidates and chemical probes. Among current TCIs, the chemistry is largely limited to cysteine and lysine side chain reactivity. Here, we investigated the utility of cyclic imine Mannich electrophiles as covalent warheads to target protein tyrosine and tryptophan side chains. We characterized the intrinsic reaction rates of several cyclic imines to tyrosine and other amino acid side chains and validated reactivity using protein affinity labeling of a cyclic imine‐modified trimethoprim with tyrosine and tryptophan mutants of</w:t>
      </w:r>
      <w:r>
        <w:t xml:space="preserve"> </w:t>
      </w:r>
      <w:r>
        <w:t>E. coli</w:t>
      </w:r>
      <w:r>
        <w:t xml:space="preserve"> </w:t>
      </w:r>
      <w:r>
        <w:t>dihydrofolate reductase. To validate the utility of the approach, we appended cyclic imine warheads to a CBX8 chromodomain inhibitor to label a non‐conserved tyrosine, which improved both the potency and selectivity of the inhibitor for CBX8 in vitro and in cells. These findings indicate that Mannich electrophiles are promising and robust chemical warheads for tyrosine and tryptophan bioconjugation and development of covalent inhibitors.</w:t>
      </w:r>
    </w:p>
    <w:p>
      <w:pPr>
        <w:spacing w:before="120" w:after="120"/>
      </w:pPr>
      <w:r>
        <w:rPr>
          <w:sz w:val="18"/>
        </w:rPr>
        <w:t>——————————————————————————————————————————————————————————————————————</w:t>
      </w:r>
    </w:p>
    <w:p>
      <w:pPr>
        <w:spacing w:before="160" w:after="40" w:line="240" w:lineRule="auto"/>
      </w:pPr>
      <w:r>
        <w:rPr>
          <w:b/>
        </w:rPr>
        <w:t xml:space="preserve">[560] </w:t>
      </w:r>
      <w:hyperlink r:id="rId864">
        <w:r>
          <w:rPr>
            <w:color w:val="1155CC"/>
            <w:u w:val="single"/>
          </w:rPr>
          <w:t>高高效深蓝室 高高效深蓝室 具有金枪鱼可长期活性后光和可逆光活性光电动行为的热光磷光学行为</w:t>
        </w:r>
      </w:hyperlink>
    </w:p>
    <w:p>
      <w:pPr>
        <w:spacing w:before="0" w:after="80"/>
      </w:pPr>
      <w:r>
        <w:rPr>
          <w:i/>
          <w:sz w:val="20"/>
        </w:rPr>
        <w:t>EN: Highly Efficient Deep‐Blue Room‐Temperature Phosphorescence With Tunable Long‐Lived Afterglow and Reversible Photoactivation Behavior</w:t>
      </w:r>
    </w:p>
    <w:p>
      <w:pPr>
        <w:spacing w:before="0" w:after="120"/>
      </w:pPr>
      <w:r>
        <w:rPr>
          <w:b/>
        </w:rPr>
        <w:t xml:space="preserve">Source: </w:t>
      </w:r>
      <w:r>
        <w:t>Wiley: Angewandte Chemie International Edition: Table of Contents</w:t>
      </w:r>
      <w:r>
        <w:t xml:space="preserve">    </w:t>
      </w:r>
      <w:r>
        <w:rPr>
          <w:b/>
        </w:rPr>
        <w:t xml:space="preserve">Pub date: </w:t>
      </w:r>
      <w:r>
        <w:t>2026-01-29 05:51:06+00:00</w:t>
      </w:r>
      <w:r>
        <w:t xml:space="preserve">    </w:t>
      </w:r>
      <w:r>
        <w:rPr>
          <w:b/>
        </w:rPr>
        <w:t xml:space="preserve">DOI: </w:t>
      </w:r>
      <w:hyperlink r:id="rId865">
        <w:r>
          <w:rPr>
            <w:color w:val="1155CC"/>
            <w:u w:val="single"/>
          </w:rPr>
          <w:t>10.1002/anie.202525851</w:t>
        </w:r>
      </w:hyperlink>
    </w:p>
    <w:p>
      <w:pPr>
        <w:spacing w:before="0" w:after="120"/>
      </w:pPr>
      <w:r>
        <w:rPr>
          <w:b/>
        </w:rPr>
        <w:t xml:space="preserve">Notes: </w:t>
      </w:r>
      <w:r>
        <w:t>abstract_source=crossref</w:t>
      </w:r>
    </w:p>
    <w:p>
      <w:pPr>
        <w:spacing w:before="0" w:after="80" w:lineRule="auto" w:line="276"/>
      </w:pPr>
      <w:r>
        <w:rPr>
          <w:b/>
        </w:rPr>
        <w:t xml:space="preserve">摘要（ZH）: </w:t>
      </w:r>
      <w:r>
        <w:t>ABSTACT ABSTACT 具有超长室温光度磷化(RTP)的宽波段宽幅有机分子在光电子领域仍是一个巨大的挑战,因为相对于荧光而言,磷化物与荧光的内在大规模转移,以及填充和稳定高能量三重兴奋状态的复杂性。 在这项工作中,根据三聚苯乙烯和三苯胺组设计和合成了三种有机小分子MSPA、BSPA和TSPA, 并且通过将三聚苯乙烯酒精(PVA)矩阵的物理喷洒,成功地实现了具有可逆光电特性的深蓝色RTP。</w:t>
      </w:r>
    </w:p>
    <w:p>
      <w:pPr>
        <w:spacing w:before="0" w:after="200" w:lineRule="auto" w:line="276"/>
      </w:pPr>
      <w:r>
        <w:rPr>
          <w:b/>
        </w:rPr>
        <w:t xml:space="preserve">Abstract (EN): </w:t>
      </w:r>
      <w:r>
        <w:t>Wide band gap organic molecule with ultralong room‐temperature phosphorescence (RTP) remains a big challenge in optoelectronic field due to the intrinsic large Stokes shift of phosphorescence relative to fluorescence, and complexity of filling and stabilizing high‐energy triplet excited states. In this work, three organic small molecules,</w:t>
      </w:r>
      <w:r>
        <w:t xml:space="preserve"> </w:t>
      </w:r>
      <w:r>
        <w:t>MSPA</w:t>
      </w:r>
      <w:r>
        <w:t xml:space="preserve"> </w:t>
      </w:r>
      <w:r>
        <w:t>,</w:t>
      </w:r>
      <w:r>
        <w:t xml:space="preserve"> </w:t>
      </w:r>
      <w:r>
        <w:t>BSPA</w:t>
      </w:r>
      <w:r>
        <w:t xml:space="preserve"> </w:t>
      </w:r>
      <w:r>
        <w:t>, and</w:t>
      </w:r>
      <w:r>
        <w:t xml:space="preserve"> </w:t>
      </w:r>
      <w:r>
        <w:t>TSPA</w:t>
      </w:r>
      <w:r>
        <w:t xml:space="preserve"> </w:t>
      </w:r>
      <w:r>
        <w:t>, based on succinimide and triphenylamine groups are designed and synthesized, and deep‐blue RTP with reversible photoactivation properties is successfully realized by physically doping them into polyvinyl alcohol (PVA) matrix. Notably,</w:t>
      </w:r>
      <w:r>
        <w:t xml:space="preserve"> </w:t>
      </w:r>
      <w:r>
        <w:t>MSPA</w:t>
      </w:r>
      <w:r>
        <w:t xml:space="preserve"> </w:t>
      </w:r>
      <w:r>
        <w:t>‐doped film exhibits RTP at 440 nm with ultralong lifetime of 1403 ms and phosphorescence quantum yield as high as 14.32%. Theoretical calculations reveal that the efficient intersystem crossing and strong intermolecular hydrogen‐bonding interactions leads to the ultralong RTP in</w:t>
      </w:r>
      <w:r>
        <w:t xml:space="preserve"> </w:t>
      </w:r>
      <w:r>
        <w:t>MSPA</w:t>
      </w:r>
      <w:r>
        <w:t xml:space="preserve"> </w:t>
      </w:r>
      <w:r>
        <w:t>/PVA doping system. Taking advantages of the wide band gaps, tunable organic afterglow, and reversible photoactivation behaviors of</w:t>
      </w:r>
      <w:r>
        <w:t xml:space="preserve"> </w:t>
      </w:r>
      <w:r>
        <w:t>MSPA</w:t>
      </w:r>
      <w:r>
        <w:t xml:space="preserve"> </w:t>
      </w:r>
      <w:r>
        <w:t>,</w:t>
      </w:r>
      <w:r>
        <w:t xml:space="preserve"> </w:t>
      </w:r>
      <w:r>
        <w:t>BSPA</w:t>
      </w:r>
      <w:r>
        <w:t xml:space="preserve"> </w:t>
      </w:r>
      <w:r>
        <w:t>, and</w:t>
      </w:r>
      <w:r>
        <w:t xml:space="preserve"> </w:t>
      </w:r>
      <w:r>
        <w:t>TSPA</w:t>
      </w:r>
      <w:r>
        <w:t xml:space="preserve"> </w:t>
      </w:r>
      <w:r>
        <w:t>, the amorphous and flexible films are prepared and show potential applications in photoactivated information encryption, advanced anti‐counterfeiting, and multicolored displays through triplet‐to‐singlet Förster energy transfer. This work provides a reliable strategy to realize high‐performance wide band gap RTP materials and further broadening practical applications in organic optoelectronic information.</w:t>
      </w:r>
    </w:p>
    <w:p>
      <w:pPr>
        <w:spacing w:before="120" w:after="120"/>
      </w:pPr>
      <w:r>
        <w:rPr>
          <w:sz w:val="18"/>
        </w:rPr>
        <w:t>——————————————————————————————————————————————————————————————————————</w:t>
      </w:r>
    </w:p>
    <w:p>
      <w:pPr>
        <w:spacing w:before="160" w:after="40" w:line="240" w:lineRule="auto"/>
      </w:pPr>
      <w:r>
        <w:rPr>
          <w:b/>
        </w:rPr>
        <w:t xml:space="preserve">[561] </w:t>
      </w:r>
      <w:hyperlink r:id="rId866">
        <w:r>
          <w:rPr>
            <w:color w:val="1155CC"/>
            <w:u w:val="single"/>
          </w:rPr>
          <w:t>促使极化增强和共生电子结构条例以促进二氧化碳减少照片</w:t>
        </w:r>
      </w:hyperlink>
    </w:p>
    <w:p>
      <w:pPr>
        <w:spacing w:before="0" w:after="80"/>
      </w:pPr>
      <w:r>
        <w:rPr>
          <w:i/>
          <w:sz w:val="20"/>
        </w:rPr>
        <w:t>EN: Cu Sites Induced Polarization Enhancement and Symbiotic Electronic Structure Regulation to Facilitate CO2 Photoreduction</w:t>
      </w:r>
    </w:p>
    <w:p>
      <w:pPr>
        <w:spacing w:before="0" w:after="120"/>
      </w:pPr>
      <w:r>
        <w:rPr>
          <w:b/>
        </w:rPr>
        <w:t xml:space="preserve">Source: </w:t>
      </w:r>
      <w:r>
        <w:t>Wiley: Advanced Energy Materials: Table of Contents</w:t>
      </w:r>
      <w:r>
        <w:t xml:space="preserve">    </w:t>
      </w:r>
      <w:r>
        <w:rPr>
          <w:b/>
        </w:rPr>
        <w:t xml:space="preserve">Pub date: </w:t>
      </w:r>
      <w:r>
        <w:t>2026-01-29 06:14:05+00:00</w:t>
      </w:r>
      <w:r>
        <w:t xml:space="preserve">    </w:t>
      </w:r>
      <w:r>
        <w:rPr>
          <w:b/>
        </w:rPr>
        <w:t xml:space="preserve">DOI: </w:t>
      </w:r>
      <w:hyperlink r:id="rId867">
        <w:r>
          <w:rPr>
            <w:color w:val="1155CC"/>
            <w:u w:val="single"/>
          </w:rPr>
          <w:t>10.1002/aenm.202506247</w:t>
        </w:r>
      </w:hyperlink>
    </w:p>
    <w:p>
      <w:pPr>
        <w:spacing w:before="0" w:after="120"/>
      </w:pPr>
      <w:r>
        <w:rPr>
          <w:b/>
        </w:rPr>
        <w:t xml:space="preserve">Notes: </w:t>
      </w:r>
      <w:r>
        <w:t>abstract_source=crossref</w:t>
      </w:r>
    </w:p>
    <w:p>
      <w:pPr>
        <w:spacing w:before="0" w:after="80" w:lineRule="auto" w:line="276"/>
      </w:pPr>
      <w:r>
        <w:rPr>
          <w:b/>
        </w:rPr>
        <w:t xml:space="preserve">摘要（ZH）: </w:t>
      </w:r>
      <w:r>
        <w:t>ABSTACT 缓慢的电荷转移和薄弱的表层反应作用严重限制了CO2的减光效率。虽然晶体结构决定了散装电荷分离,但地表原子配置决定了反应动力学和热动力学。因此,同时优化这两个领域至关重要。在这项工作中,我们提出了一个简明的战略,利用经Cu原子改造的极地Bi 4 O 5 Br 2纳米表将CO 2 选择性转换为CO,以诱导大宗极分化增强和共生电子结构规范(SESSR)。</w:t>
      </w:r>
    </w:p>
    <w:p>
      <w:pPr>
        <w:spacing w:before="0" w:after="200" w:lineRule="auto" w:line="276"/>
      </w:pPr>
      <w:r>
        <w:rPr>
          <w:b/>
        </w:rPr>
        <w:t xml:space="preserve">Abstract (EN): </w:t>
      </w:r>
      <w:r>
        <w:t>The sluggish charge transfer and weak surface‐site reactivity critically limit CO</w:t>
      </w:r>
      <w:r>
        <w:rPr>
          <w:vertAlign w:val="subscript"/>
        </w:rPr>
        <w:t>2</w:t>
      </w:r>
      <w:r>
        <w:t>photoreduction efficiency. While the crystal structure dictates bulk charge separation, the surface atomic configuration governs reaction kinetics and thermodynamics. Thus, concurrent optimization of both domains is essential. In this work, we present a concise strategy for the selective conversion of CO</w:t>
      </w:r>
      <w:r>
        <w:rPr>
          <w:vertAlign w:val="subscript"/>
        </w:rPr>
        <w:t>2</w:t>
      </w:r>
      <w:r>
        <w:t>to CO using polar Bi</w:t>
      </w:r>
      <w:r>
        <w:rPr>
          <w:vertAlign w:val="subscript"/>
        </w:rPr>
        <w:t>4</w:t>
      </w:r>
      <w:r>
        <w:t>O</w:t>
      </w:r>
      <w:r>
        <w:rPr>
          <w:vertAlign w:val="subscript"/>
        </w:rPr>
        <w:t>5</w:t>
      </w:r>
      <w:r>
        <w:t>Br</w:t>
      </w:r>
      <w:r>
        <w:rPr>
          <w:vertAlign w:val="subscript"/>
        </w:rPr>
        <w:t>2</w:t>
      </w:r>
      <w:r>
        <w:t>nanosheets modified with Cu atoms to induce bulk polarization enhancement and symbiotic electronic structure regulation (SESR). The SESR effect establishes a dynamic coupling between internal polarization and surface electronic states. Cu incorporation into the asymmetric Bi</w:t>
      </w:r>
      <w:r>
        <w:rPr>
          <w:vertAlign w:val="subscript"/>
        </w:rPr>
        <w:t>4</w:t>
      </w:r>
      <w:r>
        <w:t>O</w:t>
      </w:r>
      <w:r>
        <w:rPr>
          <w:vertAlign w:val="subscript"/>
        </w:rPr>
        <w:t>5</w:t>
      </w:r>
      <w:r>
        <w:t>Br</w:t>
      </w:r>
      <w:r>
        <w:rPr>
          <w:vertAlign w:val="subscript"/>
        </w:rPr>
        <w:t>2</w:t>
      </w:r>
      <w:r>
        <w:t>layered framework enhances intrinsic polarization through polar‐unit stacking, thereby extending carrier lifetime by 48.6‐fold and facilitating efficient charge separation and migration. Meanwhile, the strengthened polarization modulates the surface electronic configuration of Cu sites, promoting CO</w:t>
      </w:r>
      <w:r>
        <w:rPr>
          <w:vertAlign w:val="subscript"/>
        </w:rPr>
        <w:t>2</w:t>
      </w:r>
      <w:r>
        <w:t>adsorption and activation, as supported by experimental characterization and theoretical simulation under polarized conditions. Without any sacrificial agents or sensitizers, Cu‐Bi</w:t>
      </w:r>
      <w:r>
        <w:rPr>
          <w:vertAlign w:val="subscript"/>
        </w:rPr>
        <w:t>4</w:t>
      </w:r>
      <w:r>
        <w:t>O</w:t>
      </w:r>
      <w:r>
        <w:rPr>
          <w:vertAlign w:val="subscript"/>
        </w:rPr>
        <w:t>5</w:t>
      </w:r>
      <w:r>
        <w:t>Br</w:t>
      </w:r>
      <w:r>
        <w:rPr>
          <w:vertAlign w:val="subscript"/>
        </w:rPr>
        <w:t>2</w:t>
      </w:r>
      <w:r>
        <w:t>achieves a remarkable CO</w:t>
      </w:r>
      <w:r>
        <w:rPr>
          <w:vertAlign w:val="subscript"/>
        </w:rPr>
        <w:t>2</w:t>
      </w:r>
      <w:r>
        <w:t>‐to‐CO rate of 45.34 µmol g</w:t>
      </w:r>
      <w:r>
        <w:t xml:space="preserve"> </w:t>
      </w:r>
      <w:r>
        <w:t>−1</w:t>
      </w:r>
      <w:r>
        <w:t xml:space="preserve"> </w:t>
      </w:r>
      <w:r>
        <w:t>h</w:t>
      </w:r>
      <w:r>
        <w:t xml:space="preserve"> </w:t>
      </w:r>
      <w:r>
        <w:t>−1</w:t>
      </w:r>
      <w:r>
        <w:t xml:space="preserve"> </w:t>
      </w:r>
      <w:r>
        <w:t>with high selectivity in pure water. This work elucidates the cooperative interplay between polarization fields and surface electronic regulation, providing a generalizable paradigm for manipulating charge dynamics and catalytic‐site chemistry toward efficient solar‐driven CO</w:t>
      </w:r>
      <w:r>
        <w:rPr>
          <w:vertAlign w:val="subscript"/>
        </w:rPr>
        <w:t>2</w:t>
      </w:r>
      <w:r>
        <w:t>conversion.</w:t>
      </w:r>
    </w:p>
    <w:p>
      <w:pPr>
        <w:spacing w:before="120" w:after="120"/>
      </w:pPr>
      <w:r>
        <w:rPr>
          <w:sz w:val="18"/>
        </w:rPr>
        <w:t>——————————————————————————————————————————————————————————————————————</w:t>
      </w:r>
    </w:p>
    <w:p>
      <w:pPr>
        <w:spacing w:before="160" w:after="40" w:line="240" w:lineRule="auto"/>
      </w:pPr>
      <w:r>
        <w:rPr>
          <w:b/>
        </w:rPr>
        <w:t xml:space="preserve">[562] </w:t>
      </w:r>
      <w:hyperlink r:id="rId868">
        <w:r>
          <w:rPr>
            <w:color w:val="1155CC"/>
            <w:u w:val="single"/>
          </w:rPr>
          <w:t>利用PiperazineTailored PCM 热液稳定高效反转的Perovskite光伏接口启用的动态碘再生</w:t>
        </w:r>
      </w:hyperlink>
    </w:p>
    <w:p>
      <w:pPr>
        <w:spacing w:before="0" w:after="80"/>
      </w:pPr>
      <w:r>
        <w:rPr>
          <w:i/>
          <w:sz w:val="20"/>
        </w:rPr>
        <w:t>EN: Dynamic Iodide Regeneration Enabled by Piperazine‐Tailored PCBM Interfaces for Photothermally Stable and Efficient Inverted Perovskite Photovoltaics</w:t>
      </w:r>
    </w:p>
    <w:p>
      <w:pPr>
        <w:spacing w:before="0" w:after="120"/>
      </w:pPr>
      <w:r>
        <w:rPr>
          <w:b/>
        </w:rPr>
        <w:t xml:space="preserve">Source: </w:t>
      </w:r>
      <w:r>
        <w:t>Wiley: Angewandte Chemie International Edition: Table of Contents</w:t>
      </w:r>
      <w:r>
        <w:t xml:space="preserve">    </w:t>
      </w:r>
      <w:r>
        <w:rPr>
          <w:b/>
        </w:rPr>
        <w:t xml:space="preserve">Pub date: </w:t>
      </w:r>
      <w:r>
        <w:t>2026-01-29 06:16:31+00:00</w:t>
      </w:r>
      <w:r>
        <w:t xml:space="preserve">    </w:t>
      </w:r>
      <w:r>
        <w:rPr>
          <w:b/>
        </w:rPr>
        <w:t xml:space="preserve">DOI: </w:t>
      </w:r>
      <w:hyperlink r:id="rId869">
        <w:r>
          <w:rPr>
            <w:color w:val="1155CC"/>
            <w:u w:val="single"/>
          </w:rPr>
          <w:t>10.1002/anie.6909224</w:t>
        </w:r>
      </w:hyperlink>
    </w:p>
    <w:p>
      <w:pPr>
        <w:spacing w:before="0" w:after="120"/>
      </w:pPr>
      <w:r>
        <w:rPr>
          <w:b/>
        </w:rPr>
        <w:t xml:space="preserve">Notes: </w:t>
      </w:r>
      <w:r>
        <w:t>abstract_source=crossref</w:t>
      </w:r>
    </w:p>
    <w:p>
      <w:pPr>
        <w:spacing w:before="0" w:after="80" w:lineRule="auto" w:line="276"/>
      </w:pPr>
      <w:r>
        <w:rPr>
          <w:b/>
        </w:rPr>
        <w:t xml:space="preserve">摘要（ZH）: </w:t>
      </w:r>
      <w:r>
        <w:t>尽管取得了显著进展,但制定了简单而有效的战略来遏制这一退化路径,同时在不牺牲免费运输的情况下调和高光热稳定性和效率,这仍然是挑战。 在这里,我们通过综合分子设计、理论模型建模和实验性验证,开发了新型的管子素(PA),即配齐的更全面衍生物(PCBMPA),它独特地展示了碘捕获和分离的双重功能。 密度功能理论(DFT)的计算表明,PCBMPA促进I 2 吸附。</w:t>
      </w:r>
    </w:p>
    <w:p>
      <w:pPr>
        <w:spacing w:before="0" w:after="200" w:lineRule="auto" w:line="276"/>
      </w:pPr>
      <w:r>
        <w:rPr>
          <w:b/>
        </w:rPr>
        <w:t xml:space="preserve">Abstract (EN): </w:t>
      </w:r>
      <w:r>
        <w:t>Molecular iodine release under working conditions remains a major obstacle to the long‐term stability of perovskite solar cells (PSCs). Despite significant progress, developing a simple yet effective strategy to suppress this degradation pathway—while reconciling high photothermal stability and high efficiency without sacrificing charge transport—remains challenging. Here, through integrated molecular design, theoretical modeling, and experimental validation, we develop a new class of piperazine (PA)‐tailored fullerene derivative, PCBM‐PA, that uniquely exhibits dual functionality in iodine capture and dissociation. Density functional theory (DFT) calculations reveal that PCBM‐PA promotes I</w:t>
      </w:r>
      <w:r>
        <w:rPr>
          <w:vertAlign w:val="subscript"/>
        </w:rPr>
        <w:t>2</w:t>
      </w:r>
      <w:r>
        <w:t>adsorption and I─I bond cleavage at the perovskite surface, facilitating dynamic iodide regeneration. Comprehensive experiments further confirm that PCBM‐PA effectively suppresses I</w:t>
      </w:r>
      <w:r>
        <w:rPr>
          <w:vertAlign w:val="subscript"/>
        </w:rPr>
        <w:t>2</w:t>
      </w:r>
      <w:r>
        <w:t>release through robust N···I halogen‐bonding (XB) interactions, while simultaneously promoting I─I bond cleavage and restoration of iodide ions, consistent with theoretical insights. This coupled “iodine adsorption–dissociation” behavior, unprecedented among previously reported XB acceptors, enables dynamic self‐repair of iodine vacancy defects. Consequently, inverted PSCs incorporating PCBM‐PA exhibit outstanding photothermal stability, retaining over 93% of their initial efficiency after 1000 h under maximum power point tracking (MPPT) at 65 °C, together with a champion efficiency of 26.26%. This work offers a new molecular‐engineering pathway toward iodine‐resilient, high‐performance perovskite photovoltaics.</w:t>
      </w:r>
    </w:p>
    <w:p>
      <w:pPr>
        <w:spacing w:before="120" w:after="120"/>
      </w:pPr>
      <w:r>
        <w:rPr>
          <w:sz w:val="18"/>
        </w:rPr>
        <w:t>——————————————————————————————————————————————————————————————————————</w:t>
      </w:r>
    </w:p>
    <w:p>
      <w:pPr>
        <w:spacing w:before="160" w:after="40" w:line="240" w:lineRule="auto"/>
      </w:pPr>
      <w:r>
        <w:rPr>
          <w:b/>
        </w:rPr>
        <w:t xml:space="preserve">[563] </w:t>
      </w:r>
      <w:hyperlink r:id="rId870">
        <w:r>
          <w:rPr>
            <w:color w:val="1155CC"/>
            <w:u w:val="single"/>
          </w:rPr>
          <w:t>蛋白质上的金属催化</w:t>
        </w:r>
      </w:hyperlink>
    </w:p>
    <w:p>
      <w:pPr>
        <w:spacing w:before="0" w:after="80"/>
      </w:pPr>
      <w:r>
        <w:rPr>
          <w:i/>
          <w:sz w:val="20"/>
        </w:rPr>
        <w:t>EN: Inert Complexes Unlock Ligand‐Accelerated Transition‐Metal Catalysis on Proteins</w:t>
      </w:r>
    </w:p>
    <w:p>
      <w:pPr>
        <w:spacing w:before="0" w:after="120"/>
      </w:pPr>
      <w:r>
        <w:rPr>
          <w:b/>
        </w:rPr>
        <w:t xml:space="preserve">Source: </w:t>
      </w:r>
      <w:r>
        <w:t>Wiley: Angewandte Chemie International Edition: Table of Contents</w:t>
      </w:r>
      <w:r>
        <w:t xml:space="preserve">    </w:t>
      </w:r>
      <w:r>
        <w:rPr>
          <w:b/>
        </w:rPr>
        <w:t xml:space="preserve">Pub date: </w:t>
      </w:r>
      <w:r>
        <w:t>2026-01-29 06:17:07+00:00</w:t>
      </w:r>
      <w:r>
        <w:t xml:space="preserve">    </w:t>
      </w:r>
      <w:r>
        <w:rPr>
          <w:b/>
        </w:rPr>
        <w:t xml:space="preserve">DOI: </w:t>
      </w:r>
      <w:hyperlink r:id="rId871">
        <w:r>
          <w:rPr>
            <w:color w:val="1155CC"/>
            <w:u w:val="single"/>
          </w:rPr>
          <w:t>10.1002/anie.202522057</w:t>
        </w:r>
      </w:hyperlink>
    </w:p>
    <w:p>
      <w:pPr>
        <w:spacing w:before="0" w:after="120"/>
      </w:pPr>
      <w:r>
        <w:rPr>
          <w:b/>
        </w:rPr>
        <w:t xml:space="preserve">Notes: </w:t>
      </w:r>
      <w:r>
        <w:t>abstract_source=crossref</w:t>
      </w:r>
    </w:p>
    <w:p>
      <w:pPr>
        <w:spacing w:before="0" w:after="80" w:lineRule="auto" w:line="276"/>
      </w:pPr>
      <w:r>
        <w:rPr>
          <w:b/>
        </w:rPr>
        <w:t xml:space="preserve">摘要（ZH）: </w:t>
      </w:r>
      <w:r>
        <w:t>ABSTACT反应在小分子环境中表现突出,通常需要金属含量远远超过蛋白反应点(通常为 10 倍)的数量,一旦移植到蛋白质介质条件中,这种介质条件并非真正“催化性” 。 这里,我们表明,基于浴激素脱硫酸二钠盐(BCS)的生物惰性金属-丁基和复合体(BCS)克服了这一屏障,并使得在亚二一度条件下对蛋白质加速催化(LAC),例如,NiQBCS效应完全不保护含N 丙基氧基碳基的绿色荧光蛋白蛋白(GFPProcLys),在5 mol%的催化剂中,观测到的置换号(TON) 20,超过所有前置。</w:t>
      </w:r>
    </w:p>
    <w:p>
      <w:pPr>
        <w:spacing w:before="0" w:after="200" w:lineRule="auto" w:line="276"/>
      </w:pPr>
      <w:r>
        <w:rPr>
          <w:b/>
        </w:rPr>
        <w:t xml:space="preserve">Abstract (EN): </w:t>
      </w:r>
      <w:r>
        <w:t>Reactions that excel in small‐molecule settings typically require metal loadings far exceeding the number of protein reaction sites (often ≥10‐fold) once transplanted into proteinaceous media—conditions that are not truly “catalytic.” Here, we show that biologically inert metal–ligand complexes based on bathocuproine disulfonic acid disodium salt (BCS) overcome this barrier and enable ligand‐accelerated catalysis (LAC) on proteins under substoichiometric conditions. For example, Ni‐BCS effects complete deprotection of green fluorescent protein bearing</w:t>
      </w:r>
      <w:r>
        <w:t xml:space="preserve"> </w:t>
      </w:r>
      <w:r>
        <w:t>N</w:t>
      </w:r>
      <w:r>
        <w:t xml:space="preserve"> </w:t>
      </w:r>
      <w:r>
        <w:t>ε</w:t>
      </w:r>
      <w:r>
        <w:t xml:space="preserve"> </w:t>
      </w:r>
      <w:r>
        <w:t>‐propargyloxycarbonyl‐L‐lysine (GFP‐ProcLys) at 5 mol% catalyst with an observed turnover number (TON) ≈ 20, surpassing all previously reported metal‐catalyzed depropargylation reactions. Mechanistic studies indicate that an in situ Ni–H intermediate mediates multiple transformations on proteins, including reductive deuteration of terminal alkenes/alkynes and efficient decaging across diverse amino acid side chains. Likewise, Cu‐BCS enables copper(I)‐catalyzed azide‐alkyne cycloaddition (CuAAC) on proteins at 10 mol% with low residual copper and no protein oxidation, in sharp contrast to the benchmark Cu‐BTTAA (tris((1‐tert‐butyl‐1H‐1,2,3‐triazol‐4‐yl)methyl)amine) system. These outcomes stem from a screening strategy that prioritized metal–ligand stability, eliminating metal complexes susceptible to protein sequestration and selecting strongly coordinating, physiologically inert pairs. The resulting rational ligand‐design framework for protein‐level transition‐metal catalysis expands the frontier of protein chemistry and paves the way to translate advanced small‐molecule LAC strategies onto protein substrates for posttranslational mutagenesis.</w:t>
      </w:r>
    </w:p>
    <w:p>
      <w:pPr>
        <w:spacing w:before="120" w:after="120"/>
      </w:pPr>
      <w:r>
        <w:rPr>
          <w:sz w:val="18"/>
        </w:rPr>
        <w:t>——————————————————————————————————————————————————————————————————————</w:t>
      </w:r>
    </w:p>
    <w:p>
      <w:pPr>
        <w:spacing w:before="160" w:after="40" w:line="240" w:lineRule="auto"/>
      </w:pPr>
      <w:r>
        <w:rPr>
          <w:b/>
        </w:rPr>
        <w:t xml:space="preserve">[564] </w:t>
      </w:r>
      <w:hyperlink r:id="rId872">
        <w:r>
          <w:rPr>
            <w:color w:val="1155CC"/>
            <w:u w:val="single"/>
          </w:rPr>
          <w:t>同时推动SF6通过锌(II)氯甲酸甲酯框架的同位素功能化的SF6吸收能力和动能</w:t>
        </w:r>
      </w:hyperlink>
    </w:p>
    <w:p>
      <w:pPr>
        <w:spacing w:before="0" w:after="80"/>
      </w:pPr>
      <w:r>
        <w:rPr>
          <w:i/>
          <w:sz w:val="20"/>
        </w:rPr>
        <w:t>EN: Simultaneous Boost of SF6 Adsorption Capacity and Kinetics Through Isoreticular Functionalization of Zinc(II)‐Pyrazolate Frameworks</w:t>
      </w:r>
    </w:p>
    <w:p>
      <w:pPr>
        <w:spacing w:before="0" w:after="120"/>
      </w:pPr>
      <w:r>
        <w:rPr>
          <w:b/>
        </w:rPr>
        <w:t xml:space="preserve">Source: </w:t>
      </w:r>
      <w:r>
        <w:t>Wiley: Angewandte Chemie International Edition: Table of Contents</w:t>
      </w:r>
      <w:r>
        <w:t xml:space="preserve">    </w:t>
      </w:r>
      <w:r>
        <w:rPr>
          <w:b/>
        </w:rPr>
        <w:t xml:space="preserve">Pub date: </w:t>
      </w:r>
      <w:r>
        <w:t>2026-01-29 06:18:11+00:00</w:t>
      </w:r>
      <w:r>
        <w:t xml:space="preserve">    </w:t>
      </w:r>
      <w:r>
        <w:rPr>
          <w:b/>
        </w:rPr>
        <w:t xml:space="preserve">DOI: </w:t>
      </w:r>
      <w:hyperlink r:id="rId873">
        <w:r>
          <w:rPr>
            <w:color w:val="1155CC"/>
            <w:u w:val="single"/>
          </w:rPr>
          <w:t>10.1002/anie.5036296</w:t>
        </w:r>
      </w:hyperlink>
    </w:p>
    <w:p>
      <w:pPr>
        <w:spacing w:before="0" w:after="120"/>
      </w:pPr>
      <w:r>
        <w:rPr>
          <w:b/>
        </w:rPr>
        <w:t xml:space="preserve">Notes: </w:t>
      </w:r>
      <w:r>
        <w:t>abstract_source=crossref</w:t>
      </w:r>
    </w:p>
    <w:p>
      <w:pPr>
        <w:spacing w:before="0" w:after="80" w:lineRule="auto" w:line="276"/>
      </w:pPr>
      <w:r>
        <w:rPr>
          <w:b/>
        </w:rPr>
        <w:t xml:space="preserve">摘要（ZH）: </w:t>
      </w:r>
      <w:r>
        <w:t>六氟化硫(SF 6)是最强大的温室气体,捕捉六氟化硫(SF 6)至关重要。增强动态SF 6的捕捉能力因其化学惰性以及工业废水流中的浓度低而带来重大挑战。在这里,我们证明锌-丙烯酸甲酸盐金属机体框架的同位素功能化能够同时提高SF 6的吸附能力和吸收动能。通过在离子体中将苯替换为,BIT125(BUT:北京技术大学)实现了创纪录的SF 6。</w:t>
      </w:r>
    </w:p>
    <w:p>
      <w:pPr>
        <w:spacing w:before="0" w:after="200" w:lineRule="auto" w:line="276"/>
      </w:pPr>
      <w:r>
        <w:rPr>
          <w:b/>
        </w:rPr>
        <w:t xml:space="preserve">Abstract (EN): </w:t>
      </w:r>
      <w:r>
        <w:t>The capture of sulfur hexafluoride (SF</w:t>
      </w:r>
      <w:r>
        <w:rPr>
          <w:vertAlign w:val="subscript"/>
        </w:rPr>
        <w:t>6</w:t>
      </w:r>
      <w:r>
        <w:t>), the most potent greenhouse gas, is of critical importance. Enhancement of dynamic SF</w:t>
      </w:r>
      <w:r>
        <w:rPr>
          <w:vertAlign w:val="subscript"/>
        </w:rPr>
        <w:t>6</w:t>
      </w:r>
      <w:r>
        <w:t>capture capacity presents significant challenges due to its chemical inertness and low concentration in industrial effluent streams. Herein, we demonstrate that the isoreticular functionalization of zinc‐pyrazolate metal‐organic frameworks (MOFs) enables simultaneous enhancement of both SF</w:t>
      </w:r>
      <w:r>
        <w:rPr>
          <w:vertAlign w:val="subscript"/>
        </w:rPr>
        <w:t>6</w:t>
      </w:r>
      <w:r>
        <w:t>adsorption capacity and uptake kinetics. Through replacement of benzene with pyridine in the ligand, BUT‐125 (BUT: Beijing University of Technology) achieves a record‐high SF</w:t>
      </w:r>
      <w:r>
        <w:rPr>
          <w:vertAlign w:val="subscript"/>
        </w:rPr>
        <w:t>6</w:t>
      </w:r>
      <w:r>
        <w:t>adsorption capacity of 3.57 mmol cm</w:t>
      </w:r>
      <w:r>
        <w:t xml:space="preserve"> </w:t>
      </w:r>
      <w:r>
        <w:t>−3</w:t>
      </w:r>
      <w:r>
        <w:t xml:space="preserve"> </w:t>
      </w:r>
      <w:r>
        <w:t>at 0.1 bar and 298 K, representing a 27% improvement over its structural analogue Zn‐DPB (DPB: 1,3‐di(pyrazolate‐4‐yl)benzene). Density functional theory (DFT) calculations reveal that pyridine functionalization increases the positive charge density on hydrogen atoms within molecular trap sites, strengthening C─H···F interactions with SF</w:t>
      </w:r>
      <w:r>
        <w:rPr>
          <w:vertAlign w:val="subscript"/>
        </w:rPr>
        <w:t>6</w:t>
      </w:r>
      <w:r>
        <w:t>molecules. Remarkably, BUT‐125 also exhibits outstanding adsorption kinetics, that combined with high equilibrium uptake, leads to an exceptional dynamic SF</w:t>
      </w:r>
      <w:r>
        <w:rPr>
          <w:vertAlign w:val="subscript"/>
        </w:rPr>
        <w:t>6</w:t>
      </w:r>
      <w:r>
        <w:t>capture capacity of 3.42 mmol cm</w:t>
      </w:r>
      <w:r>
        <w:t xml:space="preserve"> </w:t>
      </w:r>
      <w:r>
        <w:t>−3</w:t>
      </w:r>
      <w:r>
        <w:t xml:space="preserve"> </w:t>
      </w:r>
      <w:r>
        <w:t>from the SF</w:t>
      </w:r>
      <w:r>
        <w:rPr>
          <w:vertAlign w:val="subscript"/>
        </w:rPr>
        <w:t>6</w:t>
      </w:r>
      <w:r>
        <w:t>/N</w:t>
      </w:r>
      <w:r>
        <w:rPr>
          <w:vertAlign w:val="subscript"/>
        </w:rPr>
        <w:t>2</w:t>
      </w:r>
      <w:r>
        <w:t>(10/90) mixture, surpassing reported porous sorbents.</w:t>
      </w:r>
    </w:p>
    <w:p>
      <w:pPr>
        <w:spacing w:before="120" w:after="120"/>
      </w:pPr>
      <w:r>
        <w:rPr>
          <w:sz w:val="18"/>
        </w:rPr>
        <w:t>——————————————————————————————————————————————————————————————————————</w:t>
      </w:r>
    </w:p>
    <w:p>
      <w:pPr>
        <w:spacing w:before="160" w:after="40" w:line="240" w:lineRule="auto"/>
      </w:pPr>
      <w:r>
        <w:rPr>
          <w:b/>
        </w:rPr>
        <w:t xml:space="preserve">[565] </w:t>
      </w:r>
      <w:hyperlink r:id="rId874">
        <w:r>
          <w:rPr>
            <w:color w:val="1155CC"/>
            <w:u w:val="single"/>
          </w:rPr>
          <w:t>在水溶液中对N2进行热液溶液中高高效BiMOFs光电催化固化</w:t>
        </w:r>
      </w:hyperlink>
    </w:p>
    <w:p>
      <w:pPr>
        <w:spacing w:before="0" w:after="80"/>
      </w:pPr>
      <w:r>
        <w:rPr>
          <w:i/>
          <w:sz w:val="20"/>
        </w:rPr>
        <w:t>EN: Modulation of Local Hydrogen Bonding for Highly Efficient Bi‐MOFs Photocatalyzed Fixation of N2 in Aqueous Solution</w:t>
      </w:r>
    </w:p>
    <w:p>
      <w:pPr>
        <w:spacing w:before="0" w:after="120"/>
      </w:pPr>
      <w:r>
        <w:rPr>
          <w:b/>
        </w:rPr>
        <w:t xml:space="preserve">Source: </w:t>
      </w:r>
      <w:r>
        <w:t>Wiley: Angewandte Chemie International Edition: Table of Contents</w:t>
      </w:r>
      <w:r>
        <w:t xml:space="preserve">    </w:t>
      </w:r>
      <w:r>
        <w:rPr>
          <w:b/>
        </w:rPr>
        <w:t xml:space="preserve">Pub date: </w:t>
      </w:r>
      <w:r>
        <w:t>2026-01-29 06:19:55+00:00</w:t>
      </w:r>
      <w:r>
        <w:t xml:space="preserve">    </w:t>
      </w:r>
      <w:r>
        <w:rPr>
          <w:b/>
        </w:rPr>
        <w:t xml:space="preserve">DOI: </w:t>
      </w:r>
      <w:hyperlink r:id="rId875">
        <w:r>
          <w:rPr>
            <w:color w:val="1155CC"/>
            <w:u w:val="single"/>
          </w:rPr>
          <w:t>10.1002/anie.202525232</w:t>
        </w:r>
      </w:hyperlink>
    </w:p>
    <w:p>
      <w:pPr>
        <w:spacing w:before="0" w:after="120"/>
      </w:pPr>
      <w:r>
        <w:rPr>
          <w:b/>
        </w:rPr>
        <w:t xml:space="preserve">Notes: </w:t>
      </w:r>
      <w:r>
        <w:t>abstract_source=crossref</w:t>
      </w:r>
    </w:p>
    <w:p>
      <w:pPr>
        <w:spacing w:before="0" w:after="80" w:lineRule="auto" w:line="276"/>
      </w:pPr>
      <w:r>
        <w:rPr>
          <w:b/>
        </w:rPr>
        <w:t xml:space="preserve">摘要（ZH）: </w:t>
      </w:r>
      <w:r>
        <w:t>在水溶液中,水不仅作为通过水氧化反应供应质子的反应剂,而且作为溶剂,起着重要作用。在催化剂表面分子与当地水分子之间的界面上,调制氢离子(HBs)对于提高氨的产量至关重要。在这里,通过在BiMOF的有机离子和水之间建立一个相互平衡的HB网络,平衡了这两种作用(即反应剂和溶剂),目的是加速水氧化以产生更多的质子,便利N2的吸附和自由水分子的释放。</w:t>
      </w:r>
    </w:p>
    <w:p>
      <w:pPr>
        <w:spacing w:before="0" w:after="200" w:lineRule="auto" w:line="276"/>
      </w:pPr>
      <w:r>
        <w:rPr>
          <w:b/>
        </w:rPr>
        <w:t xml:space="preserve">Abstract (EN): </w:t>
      </w:r>
      <w:r>
        <w:t>For photocatalytic reduction of dinitrogen in aqueous solution, water plays an important role as not only a reactant to supply protons via the water oxidation reaction, but also a solvent, which cannot be neglected. At the interface between the catalyst surface and local water molecules, modulation of the hydrogen bonds (HBs) is critical for improving the production rate of ammonia. Herein, both roles (i.e., reactant and solvent) were balanced through the formation of an interfacial HB network between organic ligands of Bi‐MOFs and water with the aim of accelerating water oxidation to produce more protons and facilitating the adsorption of N</w:t>
      </w:r>
      <w:r>
        <w:rPr>
          <w:vertAlign w:val="subscript"/>
        </w:rPr>
        <w:t>2</w:t>
      </w:r>
      <w:r>
        <w:t>as well as the release of free water molecules. With this approach, the ammonia synthesis rate reached 258.86 µmol·g</w:t>
      </w:r>
      <w:r>
        <w:t xml:space="preserve"> </w:t>
      </w:r>
      <w:r>
        <w:t>−1</w:t>
      </w:r>
      <w:r>
        <w:t xml:space="preserve"> </w:t>
      </w:r>
      <w:r>
        <w:t>·h</w:t>
      </w:r>
      <w:r>
        <w:t xml:space="preserve"> </w:t>
      </w:r>
      <w:r>
        <w:t>−1</w:t>
      </w:r>
      <w:r>
        <w:t xml:space="preserve"> </w:t>
      </w:r>
      <w:r>
        <w:t>at ambient conditions. As demonstrated, the empty 6p orbitals present in Bi</w:t>
      </w:r>
      <w:r>
        <w:t xml:space="preserve"> </w:t>
      </w:r>
      <w:r>
        <w:t>3+</w:t>
      </w:r>
      <w:r>
        <w:t xml:space="preserve"> </w:t>
      </w:r>
      <w:r>
        <w:t>(6s</w:t>
      </w:r>
      <w:r>
        <w:rPr>
          <w:vertAlign w:val="subscript"/>
        </w:rPr>
        <w:t>2</w:t>
      </w:r>
      <w:r>
        <w:t>6p</w:t>
      </w:r>
      <w:r>
        <w:rPr>
          <w:vertAlign w:val="subscript"/>
        </w:rPr>
        <w:t>0</w:t>
      </w:r>
      <w:r>
        <w:t>), can accept electrons from the ligands due to the ligand‐to‐metal charge transfer (LMCT) effect. These electrons are then transferred to the π* antibonding orbitals of N</w:t>
      </w:r>
      <w:r>
        <w:rPr>
          <w:vertAlign w:val="subscript"/>
        </w:rPr>
        <w:t>2</w:t>
      </w:r>
      <w:r>
        <w:t>, thus significantly weakening the N≡N bond. The photogenerated holes on the ligands oxidize hydrogen‐bonded water molecules, producing more protons, which can further promote the critical process, namely the proton‐coupled electron transfer (PCET), for the multi‐step hydrogenation of N</w:t>
      </w:r>
      <w:r>
        <w:rPr>
          <w:vertAlign w:val="subscript"/>
        </w:rPr>
        <w:t>2</w:t>
      </w:r>
      <w:r>
        <w:t>. Therefore, the dynamic balance among N</w:t>
      </w:r>
      <w:r>
        <w:rPr>
          <w:vertAlign w:val="subscript"/>
        </w:rPr>
        <w:t>2</w:t>
      </w:r>
      <w:r>
        <w:t>adsorption and activation, proton supply capacity, and proton transfer was achieved through a local microenvironment modulation strategy on MOFs. As a further proof, a phototactically produced NH</w:t>
      </w:r>
      <w:r>
        <w:rPr>
          <w:vertAlign w:val="subscript"/>
        </w:rPr>
        <w:t>4</w:t>
      </w:r>
      <w:r>
        <w:t>+</w:t>
      </w:r>
      <w:r>
        <w:t xml:space="preserve"> </w:t>
      </w:r>
      <w:r>
        <w:t>solution with a concentration of approx. 200 mg·L</w:t>
      </w:r>
      <w:r>
        <w:t xml:space="preserve"> </w:t>
      </w:r>
      <w:r>
        <w:t>−1</w:t>
      </w:r>
      <w:r>
        <w:t xml:space="preserve"> </w:t>
      </w:r>
      <w:r>
        <w:t>was concentrated and used as a fertilizer. Overall, this work provided a new design strategy for the photocatalytic reduction of N</w:t>
      </w:r>
      <w:r>
        <w:rPr>
          <w:vertAlign w:val="subscript"/>
        </w:rPr>
        <w:t>2</w:t>
      </w:r>
      <w:r>
        <w:t>to produce ammonia on MOFs by elucidating the key role of the HB network.</w:t>
      </w:r>
    </w:p>
    <w:p>
      <w:pPr>
        <w:spacing w:before="120" w:after="120"/>
      </w:pPr>
      <w:r>
        <w:rPr>
          <w:sz w:val="18"/>
        </w:rPr>
        <w:t>——————————————————————————————————————————————————————————————————————</w:t>
      </w:r>
    </w:p>
    <w:p>
      <w:pPr>
        <w:spacing w:before="160" w:after="40" w:line="240" w:lineRule="auto"/>
      </w:pPr>
      <w:r>
        <w:rPr>
          <w:b/>
        </w:rPr>
        <w:t xml:space="preserve">[566] </w:t>
      </w:r>
      <w:hyperlink r:id="rId876">
        <w:r>
          <w:rPr>
            <w:color w:val="1155CC"/>
            <w:u w:val="single"/>
          </w:rPr>
          <w:t>用于pH 选择性癌症治疗的 质子活动人工通道</w:t>
        </w:r>
      </w:hyperlink>
    </w:p>
    <w:p>
      <w:pPr>
        <w:spacing w:before="0" w:after="80"/>
      </w:pPr>
      <w:r>
        <w:rPr>
          <w:i/>
          <w:sz w:val="20"/>
        </w:rPr>
        <w:t>EN: Proton‐Activated Artificial Channels for pH‐Selective Cancer Therapy</w:t>
      </w:r>
    </w:p>
    <w:p>
      <w:pPr>
        <w:spacing w:before="0" w:after="120"/>
      </w:pPr>
      <w:r>
        <w:rPr>
          <w:b/>
        </w:rPr>
        <w:t xml:space="preserve">Source: </w:t>
      </w:r>
      <w:r>
        <w:t>Wiley: Angewandte Chemie International Edition: Table of Contents</w:t>
      </w:r>
      <w:r>
        <w:t xml:space="preserve">    </w:t>
      </w:r>
      <w:r>
        <w:rPr>
          <w:b/>
        </w:rPr>
        <w:t xml:space="preserve">Pub date: </w:t>
      </w:r>
      <w:r>
        <w:t>2026-01-29 06:25:14+00:00</w:t>
      </w:r>
      <w:r>
        <w:t xml:space="preserve">    </w:t>
      </w:r>
      <w:r>
        <w:rPr>
          <w:b/>
        </w:rPr>
        <w:t xml:space="preserve">DOI: </w:t>
      </w:r>
      <w:hyperlink r:id="rId877">
        <w:r>
          <w:rPr>
            <w:color w:val="1155CC"/>
            <w:u w:val="single"/>
          </w:rPr>
          <w:t>10.1002/anie.202525440</w:t>
        </w:r>
      </w:hyperlink>
    </w:p>
    <w:p>
      <w:pPr>
        <w:spacing w:before="0" w:after="120"/>
      </w:pPr>
      <w:r>
        <w:rPr>
          <w:b/>
        </w:rPr>
        <w:t xml:space="preserve">Notes: </w:t>
      </w:r>
      <w:r>
        <w:t>abstract_source=crossref</w:t>
      </w:r>
    </w:p>
    <w:p>
      <w:pPr>
        <w:spacing w:before="0" w:after="80" w:lineRule="auto" w:line="276"/>
      </w:pPr>
      <w:r>
        <w:rPr>
          <w:b/>
        </w:rPr>
        <w:t xml:space="preserve">摘要（ZH）: </w:t>
      </w:r>
      <w:r>
        <w:t>ABSTACT 质子活化离子信道 应对细胞外酸化,使细胞适应酸性微环境。尽管它们具有生物重要性,但在人工离子通道中模仿质子活化功能仍然是一个重大挑战。在这里,我们展示了新型的一类质子活化人工离子通道,从自组聚的peptide链中建立起来,并融入了pH反应反应2,2bippyridine 脚架。 质子转换在通道成型单元中诱导一个相容开关,将单维自组装和随后的防水的包装推广到能够运输小分子的功能通道中。作为外细胞型pH从7.4到6.5的减少, CFF 。</w:t>
      </w:r>
    </w:p>
    <w:p>
      <w:pPr>
        <w:spacing w:before="0" w:after="200" w:lineRule="auto" w:line="276"/>
      </w:pPr>
      <w:r>
        <w:rPr>
          <w:b/>
        </w:rPr>
        <w:t xml:space="preserve">Abstract (EN): </w:t>
      </w:r>
      <w:r>
        <w:t>Proton‐activated ion channels mediate ion transport in response to extracellular acidification, enabling cellular adaptation to acidic microenvironments. Despite their biological importance, mimicking proton‐activated functionality in artificial ion channels remains a significant challenge. Here, we present a novel class of proton‐activated artificial ion channels built from self‐assembled peptide chains integrated into a pH‐responsive 2,2′‐bipyridine scaffold. Protonation induces a conformational switch in the channel‐forming units, promoting one‐dimensional self‐assembly and subsequent hydrophobic packing into functional channels capable of transporting small molecules. As extracellular pH decreases from 7.4 to 6.5,</w:t>
      </w:r>
      <w:r>
        <w:t xml:space="preserve"> </w:t>
      </w:r>
      <w:r>
        <w:t>C‐FF</w:t>
      </w:r>
      <w:r>
        <w:t xml:space="preserve"> </w:t>
      </w:r>
      <w:r>
        <w:t>exhibits a 10.3‐fold enhancement in cytotoxicity against human colorectal carcinoma cells, boosting an IC</w:t>
      </w:r>
      <w:r>
        <w:rPr>
          <w:vertAlign w:val="subscript"/>
        </w:rPr>
        <w:t>50</w:t>
      </w:r>
      <w:r>
        <w:t>of 2.8 µM, mediated through apoptosis induction and cell cycle arrest resulting from disruption of the autophagic process. Significantly,</w:t>
      </w:r>
      <w:r>
        <w:t xml:space="preserve"> </w:t>
      </w:r>
      <w:r>
        <w:t>C‐FF</w:t>
      </w:r>
      <w:r>
        <w:t xml:space="preserve"> </w:t>
      </w:r>
      <w:r>
        <w:t>demonstrates exceptional selectivity for cancer cells, achieving a selectivity index of 8.5, surpassing that of doxorubicin by one order of magnitude while maintaining comparable potency, highlighting its potential as a pH‐responsive platform for selective anticancer therapy in acidic tumor microenvironments.</w:t>
      </w:r>
    </w:p>
    <w:p>
      <w:pPr>
        <w:spacing w:before="120" w:after="120"/>
      </w:pPr>
      <w:r>
        <w:rPr>
          <w:sz w:val="18"/>
        </w:rPr>
        <w:t>——————————————————————————————————————————————————————————————————————</w:t>
      </w:r>
    </w:p>
    <w:p>
      <w:pPr>
        <w:spacing w:before="160" w:after="40" w:line="240" w:lineRule="auto"/>
      </w:pPr>
      <w:r>
        <w:rPr>
          <w:b/>
        </w:rPr>
        <w:t xml:space="preserve">[567] </w:t>
      </w:r>
      <w:hyperlink r:id="rId878">
        <w:r>
          <w:rPr>
            <w:color w:val="1155CC"/>
            <w:u w:val="single"/>
          </w:rPr>
          <w:t>化石能源最低可行规模</w:t>
        </w:r>
      </w:hyperlink>
    </w:p>
    <w:p>
      <w:pPr>
        <w:spacing w:before="0" w:after="80"/>
      </w:pPr>
      <w:r>
        <w:rPr>
          <w:i/>
          <w:sz w:val="20"/>
        </w:rPr>
        <w:t>EN: Fossil energy minimum viable scale</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79">
        <w:r>
          <w:rPr>
            <w:color w:val="1155CC"/>
            <w:u w:val="single"/>
          </w:rPr>
          <w:t>10.1126/science.aea0972</w:t>
        </w:r>
      </w:hyperlink>
    </w:p>
    <w:p>
      <w:pPr>
        <w:spacing w:before="0" w:after="120"/>
      </w:pPr>
      <w:r>
        <w:rPr>
          <w:b/>
        </w:rPr>
        <w:t xml:space="preserve">Notes: </w:t>
      </w:r>
      <w:r>
        <w:t>abstract_source=pubmed</w:t>
      </w:r>
    </w:p>
    <w:p>
      <w:pPr>
        <w:spacing w:before="0" w:after="80" w:lineRule="auto" w:line="276"/>
      </w:pPr>
      <w:r>
        <w:rPr>
          <w:b/>
        </w:rPr>
        <w:t xml:space="preserve">摘要（ZH）: </w:t>
      </w:r>
      <w:r>
        <w:t>随着化石能源系统的逐步取消,安全和去碳化可能会对基础设施造成不为人知的威胁。</w:t>
      </w:r>
    </w:p>
    <w:p>
      <w:pPr>
        <w:spacing w:before="0" w:after="200" w:lineRule="auto" w:line="276"/>
      </w:pPr>
      <w:r>
        <w:rPr>
          <w:b/>
        </w:rPr>
        <w:t xml:space="preserve">Abstract (EN): </w:t>
      </w:r>
      <w:r>
        <w:t>Unseen infrastructural threats to safety and decarbonization may arise as fossil energy systems are phased out.</w:t>
      </w:r>
    </w:p>
    <w:p>
      <w:pPr>
        <w:spacing w:before="120" w:after="120"/>
      </w:pPr>
      <w:r>
        <w:rPr>
          <w:sz w:val="18"/>
        </w:rPr>
        <w:t>——————————————————————————————————————————————————————————————————————</w:t>
      </w:r>
    </w:p>
    <w:p>
      <w:pPr>
        <w:spacing w:before="160" w:after="40" w:line="240" w:lineRule="auto"/>
      </w:pPr>
      <w:r>
        <w:rPr>
          <w:b/>
        </w:rPr>
        <w:t xml:space="preserve">[568] </w:t>
      </w:r>
      <w:hyperlink r:id="rId880">
        <w:r>
          <w:rPr>
            <w:color w:val="1155CC"/>
            <w:u w:val="single"/>
          </w:rPr>
          <w:t>从序列到函数: 连接单分子动动能和分子多样性</w:t>
        </w:r>
      </w:hyperlink>
    </w:p>
    <w:p>
      <w:pPr>
        <w:spacing w:before="0" w:after="80"/>
      </w:pPr>
      <w:r>
        <w:rPr>
          <w:i/>
          <w:sz w:val="20"/>
        </w:rPr>
        <w:t>EN: From sequence to function: Bridging single-molecule kinetics and molecular diversity</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81">
        <w:r>
          <w:rPr>
            <w:color w:val="1155CC"/>
            <w:u w:val="single"/>
          </w:rPr>
          <w:t>10.1126/science.adv4503</w:t>
        </w:r>
      </w:hyperlink>
    </w:p>
    <w:p>
      <w:pPr>
        <w:spacing w:before="0" w:after="120"/>
      </w:pPr>
      <w:r>
        <w:rPr>
          <w:b/>
        </w:rPr>
        <w:t xml:space="preserve">Notes: </w:t>
      </w:r>
      <w:r>
        <w:t>abstract_source=pubmed</w:t>
      </w:r>
    </w:p>
    <w:p>
      <w:pPr>
        <w:spacing w:before="0" w:after="80" w:lineRule="auto" w:line="276"/>
      </w:pPr>
      <w:r>
        <w:rPr>
          <w:b/>
        </w:rPr>
        <w:t xml:space="preserve">摘要（ZH）: </w:t>
      </w:r>
      <w:r>
        <w:t>核酸和蛋白质序列从根本上决定了生物功能。除了编码遗传信息外,核酸还展示了复杂的物理化学参数,这些参数形成结构、动态和相互作用。了解序列变化如何雕塑这些特性背后的能动力景观需要掌握分子多样性和动态行为的方法。单分子技术最适合这项任务,但常规格式仍然需要时间和成本。最近的一些突破使得能够采用高度多重的方法观测代表数千个序列或条形实体的数百万个分子的分子动态。虽然这些方法仍在发展之中,但已经开始连接序列,结构。</w:t>
      </w:r>
    </w:p>
    <w:p>
      <w:pPr>
        <w:spacing w:before="0" w:after="200" w:lineRule="auto" w:line="276"/>
      </w:pPr>
      <w:r>
        <w:rPr>
          <w:b/>
        </w:rPr>
        <w:t xml:space="preserve">Abstract (EN): </w:t>
      </w:r>
      <w:r>
        <w:t>Biological function is fundamentally determined by nucleic acid and protein sequence. Beyond encoding genetic information, nucleic acids also display complex physicochemical parameters that shape structure, dynamics, and interactions. Understanding how sequence variation sculpts the energetic landscapes underlying these properties requires methods that capture both molecular diversity and dynamic behavior. Single-molecule techniques are ideally suited to this task, but conventional formats remain time and cost intensive. Recent breakthroughs have enabled highly multiplexed approaches for observing molecular dynamics across millions of individual molecules representing thousands of sequences or barcoded entities. Though still in development, these methods have begun to bridge sequence, structure, dynamics, and function at scale, opening new opportunities in drug discovery, molecular diagnostics, and functional genomics.</w:t>
      </w:r>
    </w:p>
    <w:p>
      <w:pPr>
        <w:spacing w:before="120" w:after="120"/>
      </w:pPr>
      <w:r>
        <w:rPr>
          <w:sz w:val="18"/>
        </w:rPr>
        <w:t>——————————————————————————————————————————————————————————————————————</w:t>
      </w:r>
    </w:p>
    <w:p>
      <w:pPr>
        <w:spacing w:before="160" w:after="40" w:line="240" w:lineRule="auto"/>
      </w:pPr>
      <w:r>
        <w:rPr>
          <w:b/>
        </w:rPr>
        <w:t xml:space="preserve">[569] </w:t>
      </w:r>
      <w:hyperlink r:id="rId882">
        <w:r>
          <w:rPr>
            <w:color w:val="1155CC"/>
            <w:u w:val="single"/>
          </w:rPr>
          <w:t>通过在旋转轨道(交错的Bose-Einstein凝聚体)中进行振动以探探超团结</w:t>
        </w:r>
      </w:hyperlink>
    </w:p>
    <w:p>
      <w:pPr>
        <w:spacing w:before="0" w:after="80"/>
      </w:pPr>
      <w:r>
        <w:rPr>
          <w:i/>
          <w:sz w:val="20"/>
        </w:rPr>
        <w:t>EN: Probing supersolidity through excitations in a spin-orbit–coupled Bose-Einstein condensate</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83">
        <w:r>
          <w:rPr>
            <w:color w:val="1155CC"/>
            <w:u w:val="single"/>
          </w:rPr>
          <w:t>10.1126/science.adv1209</w:t>
        </w:r>
      </w:hyperlink>
    </w:p>
    <w:p>
      <w:pPr>
        <w:spacing w:before="0" w:after="120"/>
      </w:pPr>
      <w:r>
        <w:rPr>
          <w:b/>
        </w:rPr>
        <w:t xml:space="preserve">Notes: </w:t>
      </w:r>
      <w:r>
        <w:t>abstract_source=pubmed</w:t>
      </w:r>
    </w:p>
    <w:p>
      <w:pPr>
        <w:spacing w:before="0" w:after="80" w:lineRule="auto" w:line="276"/>
      </w:pPr>
      <w:r>
        <w:rPr>
          <w:b/>
        </w:rPr>
        <w:t xml:space="preserve">摘要（ZH）: </w:t>
      </w:r>
      <w:r>
        <w:t>Bose-Einstein冷凝层是一个灵活的实验平台,可以对合成量子多体系统进行工程设计,特别是它们主持所谓的条状阶段,这是一个超固体状态的例子。条状阶段的奇特振动频谱,是其超固体性的确切足迹,很难实验测量。在这项工作中,我们进行了条状的现场成像,并直接观测了超浮和晶体振荡。我们调查了超浮体流体动力学并揭示了条状压缩模式,从而表明该系统拥有一个可压缩的晶体结构。通过这种模式的频率软化,我们找到了超级固体过渡点。我们的结果建立了旋转轨道相交的超级固体。</w:t>
      </w:r>
    </w:p>
    <w:p>
      <w:pPr>
        <w:spacing w:before="0" w:after="200" w:lineRule="auto" w:line="276"/>
      </w:pPr>
      <w:r>
        <w:rPr>
          <w:b/>
        </w:rPr>
        <w:t xml:space="preserve">Abstract (EN): </w:t>
      </w:r>
      <w:r>
        <w:t>Spin-orbit-coupled Bose-Einstein condensates are a flexible experimental platform to engineer synthetic quantum many-body systems. In particular, they host the so-called stripe phase, an instance of a supersolid state of matter. The peculiar excitation spectrum of the stripe phase, a definite footprint of its supersolidity, has been difficult to measure experimentally. In this work, we performed in situ imaging of the stripes and directly observed both superfluid and crystal excitations. We investigated superfluid hydrodynamics and revealed a stripe compression mode, thus demonstrating that the system possesses a compressible crystalline structure. Through the frequency softening of this mode, we located the supersolid transition point. Our results establish spin-orbit-coupled supersolids as ideal systems to investigate supersolidity and its rich dynamics.</w:t>
      </w:r>
    </w:p>
    <w:p>
      <w:pPr>
        <w:spacing w:before="120" w:after="120"/>
      </w:pPr>
      <w:r>
        <w:rPr>
          <w:sz w:val="18"/>
        </w:rPr>
        <w:t>——————————————————————————————————————————————————————————————————————</w:t>
      </w:r>
    </w:p>
    <w:p>
      <w:pPr>
        <w:spacing w:before="160" w:after="40" w:line="240" w:lineRule="auto"/>
      </w:pPr>
      <w:r>
        <w:rPr>
          <w:b/>
        </w:rPr>
        <w:t xml:space="preserve">[570] </w:t>
      </w:r>
      <w:hyperlink r:id="rId884">
        <w:r>
          <w:rPr>
            <w:color w:val="1155CC"/>
            <w:u w:val="single"/>
          </w:rPr>
          <w:t>人类内在生命寿命期的遗传性,在解决各种混乱因素时,约为50%</w:t>
        </w:r>
      </w:hyperlink>
    </w:p>
    <w:p>
      <w:pPr>
        <w:spacing w:before="0" w:after="80"/>
      </w:pPr>
      <w:r>
        <w:rPr>
          <w:i/>
          <w:sz w:val="20"/>
        </w:rPr>
        <w:t>EN: Heritability of intrinsic human life span is about 50% when confounding factors are addressed</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85">
        <w:r>
          <w:rPr>
            <w:color w:val="1155CC"/>
            <w:u w:val="single"/>
          </w:rPr>
          <w:t>10.1126/science.adz1187</w:t>
        </w:r>
      </w:hyperlink>
    </w:p>
    <w:p>
      <w:pPr>
        <w:spacing w:before="0" w:after="120"/>
      </w:pPr>
      <w:r>
        <w:rPr>
          <w:b/>
        </w:rPr>
        <w:t xml:space="preserve">Notes: </w:t>
      </w:r>
      <w:r>
        <w:t>abstract_source=pubmed</w:t>
      </w:r>
    </w:p>
    <w:p>
      <w:pPr>
        <w:spacing w:before="0" w:after="80" w:lineRule="auto" w:line="276"/>
      </w:pPr>
      <w:r>
        <w:rPr>
          <w:b/>
        </w:rPr>
        <w:t xml:space="preserve">摘要（ZH）: </w:t>
      </w:r>
      <w:r>
        <w:t>人类的寿命是多少?如果遗传遗传性高,长寿基因可以揭示老化机制并告知医学和公共卫生。然而,目前对遗传性的估计是低双结果研究,显示其可遗传性只有20-25%,而最近的大小鼠研究表明其可遗传性低至6%。我们在这里表明,这些估计是由事故或感染等外部因素造成的外部死亡造成的。我们用数学建模和分析共同成长的双胞胎群来纠正这一因素,表明因内在死亡而导致人类寿命的可遗传性超过50 % 。 如此高的可遗传性与大多数其他复杂的人类特征相似,也与其他物种的可存活性相似。</w:t>
      </w:r>
    </w:p>
    <w:p>
      <w:pPr>
        <w:spacing w:before="0" w:after="200" w:lineRule="auto" w:line="276"/>
      </w:pPr>
      <w:r>
        <w:rPr>
          <w:b/>
        </w:rPr>
        <w:t xml:space="preserve">Abstract (EN): </w:t>
      </w:r>
      <w:r>
        <w:t>How heritable is human life span? If genetic heritability is high, longevity genes can reveal aging mechanisms and inform medicine and public health. However, current estimates of heritability are low-twin studies show heritability of only 20 to 25%, and recent large pedigree studies suggest it is as low as 6%. Here we show that these estimates are confounded by extrinsic mortality-deaths caused by extrinsic factors such as accidents or infections. We use mathematical modeling and analyses of twin cohorts raised together and apart to correct for this factor, revealing that heritability of human life span due to intrinsic mortality is above 50%. Such high heritability is similar to that of most other complex human traits and to life-span heritability in other species.</w:t>
      </w:r>
    </w:p>
    <w:p>
      <w:pPr>
        <w:spacing w:before="120" w:after="120"/>
      </w:pPr>
      <w:r>
        <w:rPr>
          <w:sz w:val="18"/>
        </w:rPr>
        <w:t>——————————————————————————————————————————————————————————————————————</w:t>
      </w:r>
    </w:p>
    <w:p>
      <w:pPr>
        <w:spacing w:before="160" w:after="40" w:line="240" w:lineRule="auto"/>
      </w:pPr>
      <w:r>
        <w:rPr>
          <w:b/>
        </w:rPr>
        <w:t xml:space="preserve">[571] </w:t>
      </w:r>
      <w:hyperlink r:id="rId886">
        <w:r>
          <w:rPr>
            <w:color w:val="1155CC"/>
            <w:u w:val="single"/>
          </w:rPr>
          <w:t>作为肌肉干细胞衰老的机械驱动力的细胞存活率偏向</w:t>
        </w:r>
      </w:hyperlink>
    </w:p>
    <w:p>
      <w:pPr>
        <w:spacing w:before="0" w:after="80"/>
      </w:pPr>
      <w:r>
        <w:rPr>
          <w:i/>
          <w:sz w:val="20"/>
        </w:rPr>
        <w:t>EN: Cellular survivorship bias as a mechanistic driver of muscle stem cell aging</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87">
        <w:r>
          <w:rPr>
            <w:color w:val="1155CC"/>
            <w:u w:val="single"/>
          </w:rPr>
          <w:t>10.1126/science.ads9175</w:t>
        </w:r>
      </w:hyperlink>
    </w:p>
    <w:p>
      <w:pPr>
        <w:spacing w:before="0" w:after="120"/>
      </w:pPr>
      <w:r>
        <w:rPr>
          <w:b/>
        </w:rPr>
        <w:t xml:space="preserve">Notes: </w:t>
      </w:r>
      <w:r>
        <w:t>abstract_source=pubmed</w:t>
      </w:r>
    </w:p>
    <w:p>
      <w:pPr>
        <w:spacing w:before="0" w:after="80" w:lineRule="auto" w:line="276"/>
      </w:pPr>
      <w:r>
        <w:rPr>
          <w:b/>
        </w:rPr>
        <w:t xml:space="preserve">摘要（ZH）: </w:t>
      </w:r>
      <w:r>
        <w:t>在骨骼肌肉中,这种下降在很大程度上是由肌肉干细胞的减弱功能驱动的,以有效促进肌肉再生。我们发现了这种与老龄化有关的机能障碍的一个原因:细胞生存偏差将细胞持久性列为重点,牺牲功能。随着年龄的老化,细胞生存偏差增加了肿瘤抑制剂N-myc下调基因1(NDRG1)的表达方式,通过抑制哺乳动物的拉帕米辛(mtory)路径目标,提高了它们的长期生存潜力,但以其迅速激活和帮助肌肉再生的能力为代价。这种迟缓的肌肉再生与年龄的关系可能由有利于性交易的结果产生。</w:t>
      </w:r>
    </w:p>
    <w:p>
      <w:pPr>
        <w:spacing w:before="0" w:after="200" w:lineRule="auto" w:line="276"/>
      </w:pPr>
      <w:r>
        <w:rPr>
          <w:b/>
        </w:rPr>
        <w:t xml:space="preserve">Abstract (EN): </w:t>
      </w:r>
      <w:r>
        <w:t>Aging is characterized by a decline in the ability of tissue repair and regeneration after injury. In skeletal muscle, this decline is largely driven by impaired function of muscle stem cells (MuSCs) to efficiently contribute to muscle regeneration. We uncovered a cause of this aging-associated dysfunction: a cellular survivorship bias that prioritizes stem cell persistence at the expense of functionality. With age, MuSCs increased expression of a tumor suppressor, N-myc down-regulated gene 1 (NDRG1), which, by suppressing the mammalian target of rapamycin (mTOR) pathway, increased their long-term survival potential but at the cost of their ability to promptly activate and contribute to muscle regeneration. This delayed muscle regeneration with age may result from a trade-off that favors long-term stem cell survival over immediate regenerative capacity.</w:t>
      </w:r>
    </w:p>
    <w:p>
      <w:pPr>
        <w:spacing w:before="120" w:after="120"/>
      </w:pPr>
      <w:r>
        <w:rPr>
          <w:sz w:val="18"/>
        </w:rPr>
        <w:t>——————————————————————————————————————————————————————————————————————</w:t>
      </w:r>
    </w:p>
    <w:p>
      <w:pPr>
        <w:spacing w:before="160" w:after="40" w:line="240" w:lineRule="auto"/>
      </w:pPr>
      <w:r>
        <w:rPr>
          <w:b/>
        </w:rPr>
        <w:t xml:space="preserve">[572] </w:t>
      </w:r>
      <w:hyperlink r:id="rId888">
        <w:r>
          <w:rPr>
            <w:color w:val="1155CC"/>
            <w:u w:val="single"/>
          </w:rPr>
          <w:t>多蛋白结构与FoldMason 比例比对</w:t>
        </w:r>
      </w:hyperlink>
    </w:p>
    <w:p>
      <w:pPr>
        <w:spacing w:before="0" w:after="80"/>
      </w:pPr>
      <w:r>
        <w:rPr>
          <w:i/>
          <w:sz w:val="20"/>
        </w:rPr>
        <w:t>EN: Multiple protein structure alignment at scale with FoldMason</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89">
        <w:r>
          <w:rPr>
            <w:color w:val="1155CC"/>
            <w:u w:val="single"/>
          </w:rPr>
          <w:t>10.1126/science.ads6733</w:t>
        </w:r>
      </w:hyperlink>
    </w:p>
    <w:p>
      <w:pPr>
        <w:spacing w:before="0" w:after="120"/>
      </w:pPr>
      <w:r>
        <w:rPr>
          <w:b/>
        </w:rPr>
        <w:t xml:space="preserve">Notes: </w:t>
      </w:r>
      <w:r>
        <w:t>abstract_source=pubmed</w:t>
      </w:r>
    </w:p>
    <w:p>
      <w:pPr>
        <w:spacing w:before="0" w:after="80" w:lineRule="auto" w:line="276"/>
      </w:pPr>
      <w:r>
        <w:rPr>
          <w:b/>
        </w:rPr>
        <w:t xml:space="preserve">摘要（ZH）: </w:t>
      </w:r>
      <w:r>
        <w:t>蛋白质结构被保存在序列之外,使得多结构匹配(MSTA)对于分析与远相关蛋白质至关重要。计算预测方法极大地扩展了我们现有的蛋白质结构的储存库,需要快速和准确的MSTA方法。我们引入了FoldMason(FoldMason),这是一个进步的MSTA方法,它利用对称结构匹配器Foldseek和TM(TM)对数十万个蛋白结构的多重匹配,匹配或超过现代MSTA方法的匹配质量,同时更快地达到两个数量级。我们用Flaviviviridae glycoproteins(Flaviviridae glycoproteins)证明,FoldMason的MSTAS(MSTAS)支持了“光亮区”之外的植物遗传学分析。 FoldMason(FoldMason) computes 信心分数提供了互动直观。</w:t>
      </w:r>
    </w:p>
    <w:p>
      <w:pPr>
        <w:spacing w:before="0" w:after="200" w:lineRule="auto" w:line="276"/>
      </w:pPr>
      <w:r>
        <w:rPr>
          <w:b/>
        </w:rPr>
        <w:t xml:space="preserve">Abstract (EN): </w:t>
      </w:r>
      <w:r>
        <w:t>Protein structure is conserved beyond sequence, making multiple structural alignment (MSTA) essential for analyzing distantly related proteins. Computational prediction methods have vastly extended our repository of available protein structures, requiring fast and accurate MSTA methods. We introduce FoldMason, a progressive MSTA method that leverages the pairwise structural aligners Foldseek and TM-align for the multiple alignment of hundreds of thousands of protein structures, matching or exceeding the alignment quality of state-of-the-art MSTA methods while being two orders of magnitude faster. Using Flaviviridae glycoproteins, we demonstrate that FoldMason's MSTAs support phylogenetic analysis beyond the "twilight zone." FoldMason computes confidence scores, offers interactive visualizations, and provides essential speed and accuracy for large-scale protein structure analysis in the era of accurate structure prediction. FoldMason is free, open-source software.</w:t>
      </w:r>
    </w:p>
    <w:p>
      <w:pPr>
        <w:spacing w:before="120" w:after="120"/>
      </w:pPr>
      <w:r>
        <w:rPr>
          <w:sz w:val="18"/>
        </w:rPr>
        <w:t>——————————————————————————————————————————————————————————————————————</w:t>
      </w:r>
    </w:p>
    <w:p>
      <w:pPr>
        <w:spacing w:before="160" w:after="40" w:line="240" w:lineRule="auto"/>
      </w:pPr>
      <w:r>
        <w:rPr>
          <w:b/>
        </w:rPr>
        <w:t xml:space="preserve">[573] </w:t>
      </w:r>
      <w:hyperlink r:id="rId890">
        <w:r>
          <w:rPr>
            <w:color w:val="1155CC"/>
            <w:u w:val="single"/>
          </w:rPr>
          <w:t>向未来支付复原力</w:t>
        </w:r>
      </w:hyperlink>
    </w:p>
    <w:p>
      <w:pPr>
        <w:spacing w:before="0" w:after="80"/>
      </w:pPr>
      <w:r>
        <w:rPr>
          <w:i/>
          <w:sz w:val="20"/>
        </w:rPr>
        <w:t>EN: Paying resilience forward</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91">
        <w:r>
          <w:rPr>
            <w:color w:val="1155CC"/>
            <w:u w:val="single"/>
          </w:rPr>
          <w:t>10.1126/science.adz3638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[574] </w:t>
      </w:r>
      <w:hyperlink r:id="rId892">
        <w:r>
          <w:rPr>
            <w:color w:val="1155CC"/>
            <w:u w:val="single"/>
          </w:rPr>
          <w:t>高分辨率大地测量速度显示弱断层在西藏高原变形中的作用</w:t>
        </w:r>
      </w:hyperlink>
    </w:p>
    <w:p>
      <w:pPr>
        <w:spacing w:before="0" w:after="80"/>
      </w:pPr>
      <w:r>
        <w:rPr>
          <w:i/>
          <w:sz w:val="20"/>
        </w:rPr>
        <w:t>EN: High-resolution geodetic velocities reveal role of weak faults in deformation of Tibetan Plateau</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93">
        <w:r>
          <w:rPr>
            <w:color w:val="1155CC"/>
            <w:u w:val="single"/>
          </w:rPr>
          <w:t>10.1126/science.adi3552</w:t>
        </w:r>
      </w:hyperlink>
    </w:p>
    <w:p>
      <w:pPr>
        <w:spacing w:before="0" w:after="120"/>
      </w:pPr>
      <w:r>
        <w:rPr>
          <w:b/>
        </w:rPr>
        <w:t xml:space="preserve">Notes: </w:t>
      </w:r>
      <w:r>
        <w:t>abstract_source=pubmed</w:t>
      </w:r>
    </w:p>
    <w:p>
      <w:pPr>
        <w:spacing w:before="0" w:after="80" w:lineRule="auto" w:line="276"/>
      </w:pPr>
      <w:r>
        <w:rPr>
          <w:b/>
        </w:rPr>
        <w:t xml:space="preserve">摘要（ZH）: </w:t>
      </w:r>
      <w:r>
        <w:t>了解控制各大陆构造变形的关键机制仍然是地球动力学中的一项根本挑战。我们展示了西藏高原高分辨率大地测量速度的高分辨率区域,表明少数主要的罢工滑坡断层系统将不同区域分开,分布更加一致。我们建议,主要断层系统的集中压力是由于地震活跃断层平面下透透透岩层的相对较低的粘结线剪切区造成的。简单模型计算表明,Kunlun断层的高滑率使东西方的延伸能够广泛分布于相对薄弱的南部和中部西藏高原。</w:t>
      </w:r>
    </w:p>
    <w:p>
      <w:pPr>
        <w:spacing w:before="0" w:after="200" w:lineRule="auto" w:line="276"/>
      </w:pPr>
      <w:r>
        <w:rPr>
          <w:b/>
        </w:rPr>
        <w:t xml:space="preserve">Abstract (EN): </w:t>
      </w:r>
      <w:r>
        <w:t>Understanding the key mechanisms that control the tectonic deformation of the continents remains a fundamental challenge in geodynamics. We present a high-resolution geodetic velocity field of the Tibetan Plateau, which shows that a few major strike-slip fault systems separate regions of more uniformly distributed deformation. We suggest that focused strain on major fault systems is enabled by relatively low-viscosity ductile shear zones extending through the lithosphere beneath the seismically active fault planes. Simple model calculations show that high slip rates on the Kunlun Fault enable east-west extension to be distributed broadly across the relatively weak southern and central Tibetan Plateau. Activation of the Kunlun fault in the Miocene at the same time as the onset of rifting in the north-south grabens suggests a causal relationship.</w:t>
      </w:r>
    </w:p>
    <w:p>
      <w:pPr>
        <w:spacing w:before="120" w:after="120"/>
      </w:pPr>
      <w:r>
        <w:rPr>
          <w:sz w:val="18"/>
        </w:rPr>
        <w:t>——————————————————————————————————————————————————————————————————————</w:t>
      </w:r>
    </w:p>
    <w:p>
      <w:pPr>
        <w:spacing w:before="160" w:after="40" w:line="240" w:lineRule="auto"/>
      </w:pPr>
      <w:r>
        <w:rPr>
          <w:b/>
        </w:rPr>
        <w:t xml:space="preserve">[575] </w:t>
      </w:r>
      <w:hyperlink r:id="rId894">
        <w:r>
          <w:rPr>
            <w:color w:val="1155CC"/>
            <w:u w:val="single"/>
          </w:rPr>
          <w:t>土壤推动土壤在调节陆地植物血管紧张状态方面趋于一致</w:t>
        </w:r>
      </w:hyperlink>
    </w:p>
    <w:p>
      <w:pPr>
        <w:spacing w:before="0" w:after="80"/>
      </w:pPr>
      <w:r>
        <w:rPr>
          <w:i/>
          <w:sz w:val="20"/>
        </w:rPr>
        <w:t>EN: Soils drive convergence in the regulation of vascular tension in land plants</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95">
        <w:r>
          <w:rPr>
            <w:color w:val="1155CC"/>
            <w:u w:val="single"/>
          </w:rPr>
          <w:t>10.1126/science.adx8114</w:t>
        </w:r>
      </w:hyperlink>
    </w:p>
    <w:p>
      <w:pPr>
        <w:spacing w:before="0" w:after="120"/>
      </w:pPr>
      <w:r>
        <w:rPr>
          <w:b/>
        </w:rPr>
        <w:t xml:space="preserve">Notes: </w:t>
      </w:r>
      <w:r>
        <w:t>abstract_source=pubmed</w:t>
      </w:r>
    </w:p>
    <w:p>
      <w:pPr>
        <w:spacing w:before="0" w:after="80" w:lineRule="auto" w:line="276"/>
      </w:pPr>
      <w:r>
        <w:rPr>
          <w:b/>
        </w:rPr>
        <w:t xml:space="preserve">摘要（ZH）: </w:t>
      </w:r>
      <w:r>
        <w:t>根据对19种不同物种的元分析,我们发现,当叶子血管紧张度达到1.3 + 0.6 兆帕卡这一狭窄目标时,就会启动对挥发的表面调节调节,其值与最佳土壤水提取模型预测的范围(1.4 + 0.6 兆帕卡)相符。</w:t>
      </w:r>
    </w:p>
    <w:p>
      <w:pPr>
        <w:spacing w:before="0" w:after="200" w:lineRule="auto" w:line="276"/>
      </w:pPr>
      <w:r>
        <w:rPr>
          <w:b/>
        </w:rPr>
        <w:t xml:space="preserve">Abstract (EN): </w:t>
      </w:r>
      <w:r>
        <w:t>Terrestrial vascular plants operate under negative water potential, which results in hydraulic tension in the vascular system. Vascular tension varies with transpiration and soil drying and is regulated by stomata, pressure-activated valves on the leaf surface. We hypothesize that soil physical constraints drive convergence in the operational range of leaf vascular tension. Based on a meta analysis of 19 diverse species, we find that stomatal regulation of transpiration is activated when leaf vascular tension reaches a narrow target of 1.3 ± 0.6 megapascals. This value matches the range (1.4 ± 0.6 megapascals) predicted from an optimal soil water extraction model. Optimality in plant vascular tension appears to have evolved by selection for a narrow range of osmotic pressure in the leaves of diverse species growing across variable environments.</w:t>
      </w:r>
    </w:p>
    <w:p>
      <w:pPr>
        <w:spacing w:before="120" w:after="120"/>
      </w:pPr>
      <w:r>
        <w:rPr>
          <w:sz w:val="18"/>
        </w:rPr>
        <w:t>——————————————————————————————————————————————————————————————————————</w:t>
      </w:r>
    </w:p>
    <w:p>
      <w:pPr>
        <w:spacing w:before="160" w:after="40" w:line="240" w:lineRule="auto"/>
      </w:pPr>
      <w:r>
        <w:rPr>
          <w:b/>
        </w:rPr>
        <w:t xml:space="preserve">[576] </w:t>
      </w:r>
      <w:hyperlink r:id="rId896">
        <w:r>
          <w:rPr>
            <w:color w:val="1155CC"/>
            <w:u w:val="single"/>
          </w:rPr>
          <w:t>控制轻光塑料行为</w:t>
        </w:r>
      </w:hyperlink>
    </w:p>
    <w:p>
      <w:pPr>
        <w:spacing w:before="0" w:after="80"/>
      </w:pPr>
      <w:r>
        <w:rPr>
          <w:i/>
          <w:sz w:val="20"/>
        </w:rPr>
        <w:t>EN: Controlling plastic behavior with light</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97">
        <w:r>
          <w:rPr>
            <w:color w:val="1155CC"/>
            <w:u w:val="single"/>
          </w:rPr>
          <w:t>10.1126/science.aee7263</w:t>
        </w:r>
      </w:hyperlink>
    </w:p>
    <w:p>
      <w:pPr>
        <w:spacing w:before="0" w:after="120"/>
      </w:pPr>
      <w:r>
        <w:rPr>
          <w:b/>
        </w:rPr>
        <w:t xml:space="preserve">Notes: </w:t>
      </w:r>
      <w:r>
        <w:t>abstract_source=pubmed</w:t>
      </w:r>
    </w:p>
    <w:p>
      <w:pPr>
        <w:spacing w:before="0" w:after="80" w:lineRule="auto" w:line="276"/>
      </w:pPr>
      <w:r>
        <w:rPr>
          <w:b/>
        </w:rPr>
        <w:t xml:space="preserve">摘要（ZH）: </w:t>
      </w:r>
      <w:r>
        <w:t>在三维(3D)打印过程中,温度塑料特性在空间上与光强度调整。</w:t>
      </w:r>
    </w:p>
    <w:p>
      <w:pPr>
        <w:spacing w:before="0" w:after="200" w:lineRule="auto" w:line="276"/>
      </w:pPr>
      <w:r>
        <w:rPr>
          <w:b/>
        </w:rPr>
        <w:t xml:space="preserve">Abstract (EN): </w:t>
      </w:r>
      <w:r>
        <w:t>Thermoplastic properties are spatially tuned with light intensity during three-dimensional (3D) printing.</w:t>
      </w:r>
    </w:p>
    <w:p>
      <w:pPr>
        <w:spacing w:before="120" w:after="120"/>
      </w:pPr>
      <w:r>
        <w:rPr>
          <w:sz w:val="18"/>
        </w:rPr>
        <w:t>——————————————————————————————————————————————————————————————————————</w:t>
      </w:r>
    </w:p>
    <w:p>
      <w:pPr>
        <w:spacing w:before="160" w:after="40" w:line="240" w:lineRule="auto"/>
      </w:pPr>
      <w:r>
        <w:rPr>
          <w:b/>
        </w:rPr>
        <w:t xml:space="preserve">[577] </w:t>
      </w:r>
      <w:hyperlink r:id="rId898">
        <w:r>
          <w:rPr>
            <w:color w:val="1155CC"/>
            <w:u w:val="single"/>
          </w:rPr>
          <w:t>通过氧-金属-有机化学蒸气沉积加速MOS2增长的动力加速</w:t>
        </w:r>
      </w:hyperlink>
    </w:p>
    <w:p>
      <w:pPr>
        <w:spacing w:before="0" w:after="80"/>
      </w:pPr>
      <w:r>
        <w:rPr>
          <w:i/>
          <w:sz w:val="20"/>
        </w:rPr>
        <w:t>EN: Kinetic acceleration of MoS2 growth by oxy-metal-organic chemical vapor deposition</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899">
        <w:r>
          <w:rPr>
            <w:color w:val="1155CC"/>
            <w:u w:val="single"/>
          </w:rPr>
          <w:t>10.1126/science.aec7259</w:t>
        </w:r>
      </w:hyperlink>
    </w:p>
    <w:p>
      <w:pPr>
        <w:spacing w:before="0" w:after="120"/>
      </w:pPr>
      <w:r>
        <w:rPr>
          <w:b/>
        </w:rPr>
        <w:t xml:space="preserve">Notes: </w:t>
      </w:r>
      <w:r>
        <w:t>abstract_source=pubmed</w:t>
      </w:r>
    </w:p>
    <w:p>
      <w:pPr>
        <w:spacing w:before="0" w:after="80" w:lineRule="auto" w:line="276"/>
      </w:pPr>
      <w:r>
        <w:rPr>
          <w:b/>
        </w:rPr>
        <w:t xml:space="preserve">摘要（ZH）: </w:t>
      </w:r>
      <w:r>
        <w:t>动力学决定了薄薄薄膜的生长行为,特别是原子稀薄的转化成金属-有机(MO)化学蒸汽沉积(CVD)的生长行为。金属-有机(CVD)化学蒸汽沉积(CVD)为可伸缩的增长带来了希望,但反应是动态有限的,导致纳米尺寸的面积大小和碳污染。在这里,我们揭开基本动能限制,并通过引进氧辅助的 MOCVD(oxy-MOCVD)技术来克服这些限制。通过调和氧反应,MO先质被转化成高纯度的过渡-金属氧化物和铬,产生与molybdenum解硫化物(MOS2)相匹配的面积和生长速度范围大于常规的MOCVD。MOS2没有碳杂质和显示平均流动性超过100平方。</w:t>
      </w:r>
    </w:p>
    <w:p>
      <w:pPr>
        <w:spacing w:before="0" w:after="200" w:lineRule="auto" w:line="276"/>
      </w:pPr>
      <w:r>
        <w:rPr>
          <w:b/>
        </w:rPr>
        <w:t xml:space="preserve">Abstract (EN): </w:t>
      </w:r>
      <w:r>
        <w:t>Kinetics determine the growth behavior of thin films, particularly for atomically thin transition-metal dichalcogenides. Metal-organic (MO) chemical vapor deposition (CVD) offers promise for scalable growth, but the reactions are kinetically limited, leading to nanometer-scale domain size and carbon contaminations. Here, we unveil the fundamental kinetic limitations and overcome them by introducing oxygen-assisted MOCVD (oxy-MOCVD) technology. By tuning reactions with oxygen, MO precursors are converted into high-purity transition-metal oxides and chalcogens, producing aligned molybdenum disulfide (MoS2) domains with a size and growth rate that are orders of magnitude larger than conventional MOCVD. The MoS2 is free of carbon impurities and exhibits average mobility exceeding 100 square centimeters per volt per second. The scalability of oxy-MOCVD is demonstrated by 150-millimeter single-crystal MoS2 wafers, proving the feasibility of industrial-scale production.</w:t>
      </w:r>
    </w:p>
    <w:p>
      <w:pPr>
        <w:spacing w:before="120" w:after="120"/>
      </w:pPr>
      <w:r>
        <w:rPr>
          <w:sz w:val="18"/>
        </w:rPr>
        <w:t>——————————————————————————————————————————————————————————————————————</w:t>
      </w:r>
    </w:p>
    <w:p>
      <w:pPr>
        <w:spacing w:before="160" w:after="40" w:line="240" w:lineRule="auto"/>
      </w:pPr>
      <w:r>
        <w:rPr>
          <w:b/>
        </w:rPr>
        <w:t xml:space="preserve">[578] </w:t>
      </w:r>
      <w:hyperlink r:id="rId900">
        <w:r>
          <w:rPr>
            <w:color w:val="1155CC"/>
            <w:u w:val="single"/>
          </w:rPr>
          <w:t>对乌克兰土壤进行补救的全球当务之急</w:t>
        </w:r>
      </w:hyperlink>
    </w:p>
    <w:p>
      <w:pPr>
        <w:spacing w:before="0" w:after="80"/>
      </w:pPr>
      <w:r>
        <w:rPr>
          <w:i/>
          <w:sz w:val="20"/>
        </w:rPr>
        <w:t>EN: A global imperative to remediate Ukraine’s soils</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01">
        <w:r>
          <w:rPr>
            <w:color w:val="1155CC"/>
            <w:u w:val="single"/>
          </w:rPr>
          <w:t>10.1126/science.aee8317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[579] </w:t>
      </w:r>
      <w:hyperlink r:id="rId902">
        <w:r>
          <w:rPr>
            <w:color w:val="1155CC"/>
            <w:u w:val="single"/>
          </w:rPr>
          <w:t>唤醒</w:t>
        </w:r>
      </w:hyperlink>
    </w:p>
    <w:p>
      <w:pPr>
        <w:spacing w:before="0" w:after="80"/>
      </w:pPr>
      <w:r>
        <w:rPr>
          <w:i/>
          <w:sz w:val="20"/>
        </w:rPr>
        <w:t>EN: A wake-up call</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03">
        <w:r>
          <w:rPr>
            <w:color w:val="1155CC"/>
            <w:u w:val="single"/>
          </w:rPr>
          <w:t>10.1126/science.aef7771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[580] </w:t>
      </w:r>
      <w:hyperlink r:id="rId904">
        <w:r>
          <w:rPr>
            <w:color w:val="1155CC"/>
            <w:u w:val="single"/>
          </w:rPr>
          <w:t>公共进入的下一个边界</w:t>
        </w:r>
      </w:hyperlink>
    </w:p>
    <w:p>
      <w:pPr>
        <w:spacing w:before="0" w:after="80"/>
      </w:pPr>
      <w:r>
        <w:rPr>
          <w:i/>
          <w:sz w:val="20"/>
        </w:rPr>
        <w:t>EN: Public access’s next frontier</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05">
        <w:r>
          <w:rPr>
            <w:color w:val="1155CC"/>
            <w:u w:val="single"/>
          </w:rPr>
          <w:t>10.1126/science.aef7772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[581] </w:t>
      </w:r>
      <w:hyperlink r:id="rId906">
        <w:r>
          <w:rPr>
            <w:color w:val="1155CC"/>
            <w:u w:val="single"/>
          </w:rPr>
          <w:t>科学杂志</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07">
        <w:r>
          <w:rPr>
            <w:color w:val="1155CC"/>
            <w:u w:val="single"/>
          </w:rPr>
          <w:t>10.1126/science.aef8478</w:t>
        </w:r>
      </w:hyperlink>
    </w:p>
    <w:p>
      <w:pPr>
        <w:spacing w:before="0" w:after="120"/>
      </w:pPr>
      <w:r>
        <w:rPr>
          <w:b/>
        </w:rPr>
        <w:t xml:space="preserve">Notes: </w:t>
      </w:r>
      <w:r>
        <w:t>abstract_source=pubmed</w:t>
      </w:r>
    </w:p>
    <w:p>
      <w:pPr>
        <w:spacing w:before="0" w:after="80" w:lineRule="auto" w:line="276"/>
      </w:pPr>
      <w:r>
        <w:rPr>
          <w:b/>
        </w:rPr>
        <w:t xml:space="preserve">摘要（ZH）: </w:t>
      </w:r>
      <w:r>
        <w:t>" 科学 " 杂志系列的要点。</w:t>
      </w:r>
    </w:p>
    <w:p>
      <w:pPr>
        <w:spacing w:before="0" w:after="200" w:lineRule="auto" w:line="276"/>
      </w:pPr>
      <w:r>
        <w:rPr>
          <w:b/>
        </w:rPr>
        <w:t xml:space="preserve">Abstract (EN): </w:t>
      </w:r>
      <w:r>
        <w:t>Highlights from the Science family of journals.</w:t>
      </w:r>
    </w:p>
    <w:p>
      <w:pPr>
        <w:spacing w:before="120" w:after="120"/>
      </w:pPr>
      <w:r>
        <w:rPr>
          <w:sz w:val="18"/>
        </w:rPr>
        <w:t>——————————————————————————————————————————————————————————————————————</w:t>
      </w:r>
    </w:p>
    <w:p>
      <w:pPr>
        <w:spacing w:before="160" w:after="40" w:line="240" w:lineRule="auto"/>
      </w:pPr>
      <w:r>
        <w:rPr>
          <w:b/>
        </w:rPr>
        <w:t xml:space="preserve">[582] </w:t>
      </w:r>
      <w:hyperlink r:id="rId908">
        <w:r>
          <w:rPr>
            <w:color w:val="1155CC"/>
            <w:u w:val="single"/>
          </w:rPr>
          <w:t>其他《日刊》</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09">
        <w:r>
          <w:rPr>
            <w:color w:val="1155CC"/>
            <w:u w:val="single"/>
          </w:rPr>
          <w:t>10.1126/science.aef8479</w:t>
        </w:r>
      </w:hyperlink>
    </w:p>
    <w:p>
      <w:pPr>
        <w:spacing w:before="0" w:after="120"/>
      </w:pPr>
      <w:r>
        <w:rPr>
          <w:b/>
        </w:rPr>
        <w:t xml:space="preserve">Notes: </w:t>
      </w:r>
      <w:r>
        <w:t>abstract_source=pubmed</w:t>
      </w:r>
    </w:p>
    <w:p>
      <w:pPr>
        <w:spacing w:before="0" w:after="80" w:lineRule="auto" w:line="276"/>
      </w:pPr>
      <w:r>
        <w:rPr>
          <w:b/>
        </w:rPr>
        <w:t xml:space="preserve">摘要（ZH）: </w:t>
      </w:r>
      <w:r>
        <w:t>编辑选自当前的科学文献。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[583] </w:t>
      </w:r>
      <w:hyperlink r:id="rId910">
        <w:r>
          <w:rPr>
            <w:color w:val="1155CC"/>
            <w:u w:val="single"/>
          </w:rPr>
          <w:t>深入深处</w:t>
        </w:r>
      </w:hyperlink>
    </w:p>
    <w:p>
      <w:pPr>
        <w:spacing w:before="0" w:after="80"/>
      </w:pPr>
      <w:r>
        <w:rPr>
          <w:i/>
          <w:sz w:val="20"/>
        </w:rPr>
        <w:t>EN: Into the deep</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11">
        <w:r>
          <w:rPr>
            <w:color w:val="1155CC"/>
            <w:u w:val="single"/>
          </w:rPr>
          <w:t>10.1126/science.aef8481</w:t>
        </w:r>
      </w:hyperlink>
    </w:p>
    <w:p>
      <w:pPr>
        <w:spacing w:before="0" w:after="120"/>
      </w:pPr>
      <w:r>
        <w:rPr>
          <w:b/>
        </w:rPr>
        <w:t xml:space="preserve">Notes: </w:t>
      </w:r>
      <w:r>
        <w:t>abstract_source=pubmed</w:t>
      </w:r>
    </w:p>
    <w:p>
      <w:pPr>
        <w:spacing w:before="0" w:after="80" w:lineRule="auto" w:line="276"/>
      </w:pPr>
      <w:r>
        <w:rPr>
          <w:b/>
        </w:rPr>
        <w:t xml:space="preserve">摘要（ZH）: </w:t>
      </w:r>
      <w:r>
        <w:t>随着人类返回月球 研究人员正在试图了解 并阻止 深海辐射的生物损失</w:t>
      </w:r>
    </w:p>
    <w:p>
      <w:pPr>
        <w:spacing w:before="0" w:after="200" w:lineRule="auto" w:line="276"/>
      </w:pPr>
      <w:r>
        <w:rPr>
          <w:b/>
        </w:rPr>
        <w:t xml:space="preserve">Abstract (EN): </w:t>
      </w:r>
      <w:r>
        <w:t>As humans return to the Moon, researchers are trying to understand-and thwart-the biological toll of deep-space radiation.</w:t>
      </w:r>
    </w:p>
    <w:p>
      <w:pPr>
        <w:spacing w:before="120" w:after="120"/>
      </w:pPr>
      <w:r>
        <w:rPr>
          <w:sz w:val="18"/>
        </w:rPr>
        <w:t>——————————————————————————————————————————————————————————————————————</w:t>
      </w:r>
    </w:p>
    <w:p>
      <w:pPr>
        <w:spacing w:before="160" w:after="40" w:line="240" w:lineRule="auto"/>
      </w:pPr>
      <w:r>
        <w:rPr>
          <w:b/>
        </w:rPr>
        <w:t xml:space="preserve">[584] </w:t>
      </w:r>
      <w:hyperlink r:id="rId912">
        <w:r>
          <w:rPr>
            <w:color w:val="1155CC"/>
            <w:u w:val="single"/>
          </w:rPr>
          <w:t>巨大的政府人才外流</w:t>
        </w:r>
      </w:hyperlink>
    </w:p>
    <w:p>
      <w:pPr>
        <w:spacing w:before="0" w:after="80"/>
      </w:pPr>
      <w:r>
        <w:rPr>
          <w:i/>
          <w:sz w:val="20"/>
        </w:rPr>
        <w:t>EN: The great government brain drain</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13">
        <w:r>
          <w:rPr>
            <w:color w:val="1155CC"/>
            <w:u w:val="single"/>
          </w:rPr>
          <w:t>10.1126/science.aef8893</w:t>
        </w:r>
      </w:hyperlink>
    </w:p>
    <w:p>
      <w:pPr>
        <w:spacing w:before="0" w:after="120"/>
      </w:pPr>
      <w:r>
        <w:rPr>
          <w:b/>
        </w:rPr>
        <w:t xml:space="preserve">Notes: </w:t>
      </w:r>
      <w:r>
        <w:t>abstract_source=pubmed</w:t>
      </w:r>
    </w:p>
    <w:p>
      <w:pPr>
        <w:spacing w:before="0" w:after="80" w:lineRule="auto" w:line="276"/>
      </w:pPr>
      <w:r>
        <w:rPr>
          <w:b/>
        </w:rPr>
        <w:t xml:space="preserve">摘要（ZH）: </w:t>
      </w:r>
      <w:r>
        <w:t>一项科学分析显示,在总统唐纳德·特朗普上任后,联邦政府中超过10,000名STEM博士离开或失去工作。</w:t>
      </w:r>
    </w:p>
    <w:p>
      <w:pPr>
        <w:spacing w:before="0" w:after="200" w:lineRule="auto" w:line="276"/>
      </w:pPr>
      <w:r>
        <w:rPr>
          <w:b/>
        </w:rPr>
        <w:t xml:space="preserve">Abstract (EN): </w:t>
      </w:r>
      <w:r>
        <w:t>A Science analysis shows more than 10,000 STEM Ph.D.s in the federal government left or lost their jobs after President Donald Trump took office.</w:t>
      </w:r>
    </w:p>
    <w:p>
      <w:pPr>
        <w:spacing w:before="120" w:after="120"/>
      </w:pPr>
      <w:r>
        <w:rPr>
          <w:sz w:val="18"/>
        </w:rPr>
        <w:t>——————————————————————————————————————————————————————————————————————</w:t>
      </w:r>
    </w:p>
    <w:p>
      <w:pPr>
        <w:spacing w:before="160" w:after="40" w:line="240" w:lineRule="auto"/>
      </w:pPr>
      <w:r>
        <w:rPr>
          <w:b/>
        </w:rPr>
        <w:t xml:space="preserve">[585] </w:t>
      </w:r>
      <w:hyperlink r:id="rId914">
        <w:r>
          <w:rPr>
            <w:color w:val="1155CC"/>
            <w:u w:val="single"/>
          </w:rPr>
          <w:t>地震感应器埋在地球上最安静的地方</w:t>
        </w:r>
      </w:hyperlink>
    </w:p>
    <w:p>
      <w:pPr>
        <w:spacing w:before="0" w:after="80"/>
      </w:pPr>
      <w:r>
        <w:rPr>
          <w:i/>
          <w:sz w:val="20"/>
        </w:rPr>
        <w:t>EN: Earthquake sensors buried in the quietest spot on Earth</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15">
        <w:r>
          <w:rPr>
            <w:color w:val="1155CC"/>
            <w:u w:val="single"/>
          </w:rPr>
          <w:t>10.1126/science.aef8894</w:t>
        </w:r>
      </w:hyperlink>
    </w:p>
    <w:p>
      <w:pPr>
        <w:spacing w:before="0" w:after="120"/>
      </w:pPr>
      <w:r>
        <w:rPr>
          <w:b/>
        </w:rPr>
        <w:t xml:space="preserve">Notes: </w:t>
      </w:r>
      <w:r>
        <w:t>abstract_source=pubmed</w:t>
      </w:r>
    </w:p>
    <w:p>
      <w:pPr>
        <w:spacing w:before="0" w:after="80" w:lineRule="auto" w:line="276"/>
      </w:pPr>
      <w:r>
        <w:rPr>
          <w:b/>
        </w:rPr>
        <w:t xml:space="preserve">摘要（ZH）: </w:t>
      </w:r>
      <w:r>
        <w:t>在南极下方,两个地震计 将探测地球的内部 并监测南极冰的移动</w:t>
      </w:r>
    </w:p>
    <w:p>
      <w:pPr>
        <w:spacing w:before="0" w:after="200" w:lineRule="auto" w:line="276"/>
      </w:pPr>
      <w:r>
        <w:rPr>
          <w:b/>
        </w:rPr>
        <w:t xml:space="preserve">Abstract (EN): </w:t>
      </w:r>
      <w:r>
        <w:t>Beneath the South Pole, two seismometers will probe the planet's interior and monitor movement of Antarctic ice.</w:t>
      </w:r>
    </w:p>
    <w:p>
      <w:pPr>
        <w:spacing w:before="120" w:after="120"/>
      </w:pPr>
      <w:r>
        <w:rPr>
          <w:sz w:val="18"/>
        </w:rPr>
        <w:t>——————————————————————————————————————————————————————————————————————</w:t>
      </w:r>
    </w:p>
    <w:p>
      <w:pPr>
        <w:spacing w:before="160" w:after="40" w:line="240" w:lineRule="auto"/>
      </w:pPr>
      <w:r>
        <w:rPr>
          <w:b/>
        </w:rPr>
        <w:t xml:space="preserve">[586] </w:t>
      </w:r>
      <w:hyperlink r:id="rId916">
        <w:r>
          <w:rPr>
            <w:color w:val="1155CC"/>
            <w:u w:val="single"/>
          </w:rPr>
          <w:t>石油帮助委内瑞拉建立了科学。 石油现在能恢复它吗?</w:t>
        </w:r>
      </w:hyperlink>
    </w:p>
    <w:p>
      <w:pPr>
        <w:spacing w:before="0" w:after="80"/>
      </w:pPr>
      <w:r>
        <w:rPr>
          <w:i/>
          <w:sz w:val="20"/>
        </w:rPr>
        <w:t>EN: Oil helped build Venezuela’s science. Can oil now revive it?</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17">
        <w:r>
          <w:rPr>
            <w:color w:val="1155CC"/>
            <w:u w:val="single"/>
          </w:rPr>
          <w:t>10.1126/science.aef8895</w:t>
        </w:r>
      </w:hyperlink>
    </w:p>
    <w:p>
      <w:pPr>
        <w:spacing w:before="0" w:after="120"/>
      </w:pPr>
      <w:r>
        <w:rPr>
          <w:b/>
        </w:rPr>
        <w:t xml:space="preserve">Notes: </w:t>
      </w:r>
      <w:r>
        <w:t>abstract_source=pubmed</w:t>
      </w:r>
    </w:p>
    <w:p>
      <w:pPr>
        <w:spacing w:before="0" w:after="80" w:lineRule="auto" w:line="276"/>
      </w:pPr>
      <w:r>
        <w:rPr>
          <w:b/>
        </w:rPr>
        <w:t xml:space="preserve">摘要（ZH）: </w:t>
      </w:r>
      <w:r>
        <w:t>马杜罗之后, 委内瑞拉研究人员希望重建支持国家科学队伍的产业。</w:t>
      </w:r>
    </w:p>
    <w:p>
      <w:pPr>
        <w:spacing w:before="0" w:after="200" w:lineRule="auto" w:line="276"/>
      </w:pPr>
      <w:r>
        <w:rPr>
          <w:b/>
        </w:rPr>
        <w:t xml:space="preserve">Abstract (EN): </w:t>
      </w:r>
      <w:r>
        <w:t>After Maduro, Venezuelan researchers hope to rebuild the industry that supported the country's scientific workforce.</w:t>
      </w:r>
    </w:p>
    <w:p>
      <w:pPr>
        <w:spacing w:before="120" w:after="120"/>
      </w:pPr>
      <w:r>
        <w:rPr>
          <w:sz w:val="18"/>
        </w:rPr>
        <w:t>——————————————————————————————————————————————————————————————————————</w:t>
      </w:r>
    </w:p>
    <w:p>
      <w:pPr>
        <w:spacing w:before="160" w:after="40" w:line="240" w:lineRule="auto"/>
      </w:pPr>
      <w:r>
        <w:rPr>
          <w:b/>
        </w:rPr>
        <w:t xml:space="preserve">[587] </w:t>
      </w:r>
      <w:hyperlink r:id="rId918">
        <w:r>
          <w:rPr>
            <w:color w:val="1155CC"/>
            <w:u w:val="single"/>
          </w:rPr>
          <w:t>在“AI slop” 上下划断主前打印服务器夹</w:t>
        </w:r>
      </w:hyperlink>
    </w:p>
    <w:p>
      <w:pPr>
        <w:spacing w:before="0" w:after="80"/>
      </w:pPr>
      <w:r>
        <w:rPr>
          <w:i/>
          <w:sz w:val="20"/>
        </w:rPr>
        <w:t>EN: Leading preprint server clamps down on ‘AI slop’</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19">
        <w:r>
          <w:rPr>
            <w:color w:val="1155CC"/>
            <w:u w:val="single"/>
          </w:rPr>
          <w:t>10.1126/science.aef8896</w:t>
        </w:r>
      </w:hyperlink>
    </w:p>
    <w:p>
      <w:pPr>
        <w:spacing w:before="0" w:after="120"/>
      </w:pPr>
      <w:r>
        <w:rPr>
          <w:b/>
        </w:rPr>
        <w:t xml:space="preserve">Notes: </w:t>
      </w:r>
      <w:r>
        <w:t>abstract_source=pubmed</w:t>
      </w:r>
    </w:p>
    <w:p>
      <w:pPr>
        <w:spacing w:before="0" w:after="80" w:lineRule="auto" w:line="276"/>
      </w:pPr>
      <w:r>
        <w:rPr>
          <w:b/>
        </w:rPr>
        <w:t xml:space="preserve">摘要（ZH）: </w:t>
      </w:r>
      <w:r>
        <w:t>首次张贴给ArXiv的海报现在需要得到一位已确认的作者的认可。</w:t>
      </w:r>
    </w:p>
    <w:p>
      <w:pPr>
        <w:spacing w:before="0" w:after="200" w:lineRule="auto" w:line="276"/>
      </w:pPr>
      <w:r>
        <w:rPr>
          <w:b/>
        </w:rPr>
        <w:t xml:space="preserve">Abstract (EN): </w:t>
      </w:r>
      <w:r>
        <w:t>First-time posters to arXiv now need an endorsement from an established author.</w:t>
      </w:r>
    </w:p>
    <w:p>
      <w:pPr>
        <w:spacing w:before="120" w:after="120"/>
      </w:pPr>
      <w:r>
        <w:rPr>
          <w:sz w:val="18"/>
        </w:rPr>
        <w:t>——————————————————————————————————————————————————————————————————————</w:t>
      </w:r>
    </w:p>
    <w:p>
      <w:pPr>
        <w:spacing w:before="160" w:after="40" w:line="240" w:lineRule="auto"/>
      </w:pPr>
      <w:r>
        <w:rPr>
          <w:b/>
        </w:rPr>
        <w:t xml:space="preserve">[588] </w:t>
      </w:r>
      <w:hyperlink r:id="rId920">
        <w:r>
          <w:rPr>
            <w:color w:val="1155CC"/>
            <w:u w:val="single"/>
          </w:rPr>
          <w:t>磁场导致荧光蛋白变暗</w:t>
        </w:r>
      </w:hyperlink>
    </w:p>
    <w:p>
      <w:pPr>
        <w:spacing w:before="0" w:after="80"/>
      </w:pPr>
      <w:r>
        <w:rPr>
          <w:i/>
          <w:sz w:val="20"/>
        </w:rPr>
        <w:t>EN: Magnetic fields cause fluorescent proteins to dim</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21">
        <w:r>
          <w:rPr>
            <w:color w:val="1155CC"/>
            <w:u w:val="single"/>
          </w:rPr>
          <w:t>10.1126/science.aef8898</w:t>
        </w:r>
      </w:hyperlink>
    </w:p>
    <w:p>
      <w:pPr>
        <w:spacing w:before="0" w:after="120"/>
      </w:pPr>
      <w:r>
        <w:rPr>
          <w:b/>
        </w:rPr>
        <w:t xml:space="preserve">Notes: </w:t>
      </w:r>
      <w:r>
        <w:t>abstract_source=pubmed</w:t>
      </w:r>
    </w:p>
    <w:p>
      <w:pPr>
        <w:spacing w:before="0" w:after="80" w:lineRule="auto" w:line="276"/>
      </w:pPr>
      <w:r>
        <w:rPr>
          <w:b/>
        </w:rPr>
        <w:t xml:space="preserve">摘要（ZH）: </w:t>
      </w:r>
      <w:r>
        <w:t>其影响可能导致类似磁共振的诊断和可转换的、遥控的药物。</w:t>
      </w:r>
    </w:p>
    <w:p>
      <w:pPr>
        <w:spacing w:before="0" w:after="200" w:lineRule="auto" w:line="276"/>
      </w:pPr>
      <w:r>
        <w:rPr>
          <w:b/>
        </w:rPr>
        <w:t xml:space="preserve">Abstract (EN): </w:t>
      </w:r>
      <w:r>
        <w:t>Effect could lead to MRI-like diagnostics and switchable, remote-controlled drugs.</w:t>
      </w:r>
    </w:p>
    <w:p>
      <w:pPr>
        <w:spacing w:before="120" w:after="120"/>
      </w:pPr>
      <w:r>
        <w:rPr>
          <w:sz w:val="18"/>
        </w:rPr>
        <w:t>——————————————————————————————————————————————————————————————————————</w:t>
      </w:r>
    </w:p>
    <w:p>
      <w:pPr>
        <w:spacing w:before="160" w:after="40" w:line="240" w:lineRule="auto"/>
      </w:pPr>
      <w:r>
        <w:rPr>
          <w:b/>
        </w:rPr>
        <w:t xml:space="preserve">[589] </w:t>
      </w:r>
      <w:hyperlink r:id="rId922">
        <w:r>
          <w:rPr>
            <w:color w:val="1155CC"/>
            <w:u w:val="single"/>
          </w:rPr>
          <w:t>解决铁电缩压三角</w:t>
        </w:r>
      </w:hyperlink>
    </w:p>
    <w:p>
      <w:pPr>
        <w:spacing w:before="0" w:after="80"/>
      </w:pPr>
      <w:r>
        <w:rPr>
          <w:i/>
          <w:sz w:val="20"/>
        </w:rPr>
        <w:t>EN: Solving the ferroelectric scaling trilemma</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23">
        <w:r>
          <w:rPr>
            <w:color w:val="1155CC"/>
            <w:u w:val="single"/>
          </w:rPr>
          <w:t>10.1126/science.aee4597</w:t>
        </w:r>
      </w:hyperlink>
    </w:p>
    <w:p>
      <w:pPr>
        <w:spacing w:before="0" w:after="120"/>
      </w:pPr>
      <w:r>
        <w:rPr>
          <w:b/>
        </w:rPr>
        <w:t xml:space="preserve">Notes: </w:t>
      </w:r>
      <w:r>
        <w:t>abstract_source=pubmed</w:t>
      </w:r>
    </w:p>
    <w:p>
      <w:pPr>
        <w:spacing w:before="0" w:after="80" w:lineRule="auto" w:line="276"/>
      </w:pPr>
      <w:r>
        <w:rPr>
          <w:b/>
        </w:rPr>
        <w:t xml:space="preserve">摘要（ZH）: </w:t>
      </w:r>
      <w:r>
        <w:t>一个强大的氧化铁电流-半导体接口可以实现计算时的节能内存。</w:t>
      </w:r>
    </w:p>
    <w:p>
      <w:pPr>
        <w:spacing w:before="0" w:after="200" w:lineRule="auto" w:line="276"/>
      </w:pPr>
      <w:r>
        <w:rPr>
          <w:b/>
        </w:rPr>
        <w:t xml:space="preserve">Abstract (EN): </w:t>
      </w:r>
      <w:r>
        <w:t>A robust oxide ferroelectric-semiconductor interface realizes an energy-efficient memory for computing.</w:t>
      </w:r>
    </w:p>
    <w:p>
      <w:pPr>
        <w:spacing w:before="120" w:after="120"/>
      </w:pPr>
      <w:r>
        <w:rPr>
          <w:sz w:val="18"/>
        </w:rPr>
        <w:t>——————————————————————————————————————————————————————————————————————</w:t>
      </w:r>
    </w:p>
    <w:p>
      <w:pPr>
        <w:spacing w:before="160" w:after="40" w:line="240" w:lineRule="auto"/>
      </w:pPr>
      <w:r>
        <w:rPr>
          <w:b/>
        </w:rPr>
        <w:t xml:space="preserve">[590] </w:t>
      </w:r>
      <w:hyperlink r:id="rId924">
        <w:r>
          <w:rPr>
            <w:color w:val="1155CC"/>
            <w:u w:val="single"/>
          </w:rPr>
          <w:t>重新思考老龄化的遗传性</w:t>
        </w:r>
      </w:hyperlink>
    </w:p>
    <w:p>
      <w:pPr>
        <w:spacing w:before="0" w:after="80"/>
      </w:pPr>
      <w:r>
        <w:rPr>
          <w:i/>
          <w:sz w:val="20"/>
        </w:rPr>
        <w:t>EN: Rethinking the heritability of aging</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25">
        <w:r>
          <w:rPr>
            <w:color w:val="1155CC"/>
            <w:u w:val="single"/>
          </w:rPr>
          <w:t>10.1126/science.aee3844</w:t>
        </w:r>
      </w:hyperlink>
    </w:p>
    <w:p>
      <w:pPr>
        <w:spacing w:before="0" w:after="120"/>
      </w:pPr>
      <w:r>
        <w:rPr>
          <w:b/>
        </w:rPr>
        <w:t xml:space="preserve">Notes: </w:t>
      </w:r>
      <w:r>
        <w:t>abstract_source=pubmed</w:t>
      </w:r>
    </w:p>
    <w:p>
      <w:pPr>
        <w:spacing w:before="0" w:after="80" w:lineRule="auto" w:line="276"/>
      </w:pPr>
      <w:r>
        <w:rPr>
          <w:b/>
        </w:rPr>
        <w:t xml:space="preserve">摘要（ZH）: </w:t>
      </w:r>
      <w:r>
        <w:t>人类长寿的遗传贡献比以前想象的要大。</w:t>
      </w:r>
    </w:p>
    <w:p>
      <w:pPr>
        <w:spacing w:before="0" w:after="200" w:lineRule="auto" w:line="276"/>
      </w:pPr>
      <w:r>
        <w:rPr>
          <w:b/>
        </w:rPr>
        <w:t xml:space="preserve">Abstract (EN): </w:t>
      </w:r>
      <w:r>
        <w:t>The genetic contribution to human longevity is greater than previously thought.</w:t>
      </w:r>
    </w:p>
    <w:p>
      <w:pPr>
        <w:spacing w:before="120" w:after="120"/>
      </w:pPr>
      <w:r>
        <w:rPr>
          <w:sz w:val="18"/>
        </w:rPr>
        <w:t>——————————————————————————————————————————————————————————————————————</w:t>
      </w:r>
    </w:p>
    <w:p>
      <w:pPr>
        <w:spacing w:before="160" w:after="40" w:line="240" w:lineRule="auto"/>
      </w:pPr>
      <w:r>
        <w:rPr>
          <w:b/>
        </w:rPr>
        <w:t xml:space="preserve">[591] </w:t>
      </w:r>
      <w:hyperlink r:id="rId926">
        <w:r>
          <w:rPr>
            <w:color w:val="1155CC"/>
            <w:u w:val="single"/>
          </w:rPr>
          <w:t>我应该留下来还是跟他们一起去?</w:t>
        </w:r>
      </w:hyperlink>
    </w:p>
    <w:p>
      <w:pPr>
        <w:spacing w:before="0" w:after="80"/>
      </w:pPr>
      <w:r>
        <w:rPr>
          <w:i/>
          <w:sz w:val="20"/>
        </w:rPr>
        <w:t>EN: Should I stay or should I go with them?</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27">
        <w:r>
          <w:rPr>
            <w:color w:val="1155CC"/>
            <w:u w:val="single"/>
          </w:rPr>
          <w:t>10.1126/science.aee3786</w:t>
        </w:r>
      </w:hyperlink>
    </w:p>
    <w:p>
      <w:pPr>
        <w:spacing w:before="0" w:after="120"/>
      </w:pPr>
      <w:r>
        <w:rPr>
          <w:b/>
        </w:rPr>
        <w:t xml:space="preserve">Notes: </w:t>
      </w:r>
      <w:r>
        <w:t>abstract_source=pubmed</w:t>
      </w:r>
    </w:p>
    <w:p>
      <w:pPr>
        <w:spacing w:before="0" w:after="80" w:lineRule="auto" w:line="276"/>
      </w:pPr>
      <w:r>
        <w:rPr>
          <w:b/>
        </w:rPr>
        <w:t xml:space="preserve">摘要（ZH）: </w:t>
      </w:r>
      <w:r>
        <w:t>社会力量是人类饲料的基础。</w:t>
      </w:r>
    </w:p>
    <w:p>
      <w:pPr>
        <w:spacing w:before="0" w:after="200" w:lineRule="auto" w:line="276"/>
      </w:pPr>
      <w:r>
        <w:rPr>
          <w:b/>
        </w:rPr>
        <w:t xml:space="preserve">Abstract (EN): </w:t>
      </w:r>
      <w:r>
        <w:t>Social forces underpin human foraging.</w:t>
      </w:r>
    </w:p>
    <w:p>
      <w:pPr>
        <w:spacing w:before="120" w:after="120"/>
      </w:pPr>
      <w:r>
        <w:rPr>
          <w:sz w:val="18"/>
        </w:rPr>
        <w:t>——————————————————————————————————————————————————————————————————————</w:t>
      </w:r>
    </w:p>
    <w:p>
      <w:pPr>
        <w:spacing w:before="160" w:after="40" w:line="240" w:lineRule="auto"/>
      </w:pPr>
      <w:r>
        <w:rPr>
          <w:b/>
        </w:rPr>
        <w:t xml:space="preserve">[592] </w:t>
      </w:r>
      <w:hyperlink r:id="rId928">
        <w:r>
          <w:rPr>
            <w:color w:val="1155CC"/>
            <w:u w:val="single"/>
          </w:rPr>
          <w:t>规划政策破坏了联合王国的自然目标</w:t>
        </w:r>
      </w:hyperlink>
    </w:p>
    <w:p>
      <w:pPr>
        <w:spacing w:before="0" w:after="80"/>
      </w:pPr>
      <w:r>
        <w:rPr>
          <w:i/>
          <w:sz w:val="20"/>
        </w:rPr>
        <w:t>EN: Planning policy undermines UK’s nature goals</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29">
        <w:r>
          <w:rPr>
            <w:color w:val="1155CC"/>
            <w:u w:val="single"/>
          </w:rPr>
          <w:t>10.1126/science.aee3245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[593] </w:t>
      </w:r>
      <w:hyperlink r:id="rId930">
        <w:r>
          <w:rPr>
            <w:color w:val="1155CC"/>
            <w:u w:val="single"/>
          </w:rPr>
          <w:t>创造性努力的基本性质</w:t>
        </w:r>
      </w:hyperlink>
    </w:p>
    <w:p>
      <w:pPr>
        <w:spacing w:before="0" w:after="80"/>
      </w:pPr>
      <w:r>
        <w:rPr>
          <w:i/>
          <w:sz w:val="20"/>
        </w:rPr>
        <w:t>EN: The essential nature of creative endeavors</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31">
        <w:r>
          <w:rPr>
            <w:color w:val="1155CC"/>
            <w:u w:val="single"/>
          </w:rPr>
          <w:t>10.1126/science.aed8689</w:t>
        </w:r>
      </w:hyperlink>
    </w:p>
    <w:p>
      <w:pPr>
        <w:spacing w:before="0" w:after="120"/>
      </w:pPr>
      <w:r>
        <w:rPr>
          <w:b/>
        </w:rPr>
        <w:t xml:space="preserve">Notes: </w:t>
      </w:r>
      <w:r>
        <w:t>abstract_source=pubmed</w:t>
      </w:r>
    </w:p>
    <w:p>
      <w:pPr>
        <w:spacing w:before="0" w:after="80" w:lineRule="auto" w:line="276"/>
      </w:pPr>
      <w:r>
        <w:rPr>
          <w:b/>
        </w:rPr>
        <w:t xml:space="preserve">摘要（ZH）: </w:t>
      </w:r>
      <w:r>
        <w:t>与艺术接触明显有利于人类健康和福祉。</w:t>
      </w:r>
    </w:p>
    <w:p>
      <w:pPr>
        <w:spacing w:before="0" w:after="200" w:lineRule="auto" w:line="276"/>
      </w:pPr>
      <w:r>
        <w:rPr>
          <w:b/>
        </w:rPr>
        <w:t xml:space="preserve">Abstract (EN): </w:t>
      </w:r>
      <w:r>
        <w:t>Engagement with the arts offers clear benefits to human health and well-being.</w:t>
      </w:r>
    </w:p>
    <w:p>
      <w:pPr>
        <w:spacing w:before="120" w:after="120"/>
      </w:pPr>
      <w:r>
        <w:rPr>
          <w:sz w:val="18"/>
        </w:rPr>
        <w:t>——————————————————————————————————————————————————————————————————————</w:t>
      </w:r>
    </w:p>
    <w:p>
      <w:pPr>
        <w:spacing w:before="160" w:after="40" w:line="240" w:lineRule="auto"/>
      </w:pPr>
      <w:r>
        <w:rPr>
          <w:b/>
        </w:rPr>
        <w:t xml:space="preserve">[594] </w:t>
      </w:r>
      <w:hyperlink r:id="rId932">
        <w:r>
          <w:rPr>
            <w:color w:val="1155CC"/>
            <w:u w:val="single"/>
          </w:rPr>
          <w:t>产生疾病感</w:t>
        </w:r>
      </w:hyperlink>
    </w:p>
    <w:p>
      <w:pPr>
        <w:spacing w:before="0" w:after="80"/>
      </w:pPr>
      <w:r>
        <w:rPr>
          <w:i/>
          <w:sz w:val="20"/>
        </w:rPr>
        <w:t>EN: Making sense of disease</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33">
        <w:r>
          <w:rPr>
            <w:color w:val="1155CC"/>
            <w:u w:val="single"/>
          </w:rPr>
          <w:t>10.1126/science.aed6470</w:t>
        </w:r>
      </w:hyperlink>
    </w:p>
    <w:p>
      <w:pPr>
        <w:spacing w:before="0" w:after="120"/>
      </w:pPr>
      <w:r>
        <w:rPr>
          <w:b/>
        </w:rPr>
        <w:t xml:space="preserve">Notes: </w:t>
      </w:r>
      <w:r>
        <w:t>abstract_source=pubmed</w:t>
      </w:r>
    </w:p>
    <w:p>
      <w:pPr>
        <w:spacing w:before="0" w:after="80" w:lineRule="auto" w:line="276"/>
      </w:pPr>
      <w:r>
        <w:rPr>
          <w:b/>
        </w:rPr>
        <w:t xml:space="preserve">摘要（ZH）: </w:t>
      </w:r>
      <w:r>
        <w:t>宗教、古代医学和其他框架继续告诉我们如何看待疾病。</w:t>
      </w:r>
    </w:p>
    <w:p>
      <w:pPr>
        <w:spacing w:before="0" w:after="200" w:lineRule="auto" w:line="276"/>
      </w:pPr>
      <w:r>
        <w:rPr>
          <w:b/>
        </w:rPr>
        <w:t xml:space="preserve">Abstract (EN): </w:t>
      </w:r>
      <w:r>
        <w:t>Religion, ancient medicine, and other frameworks continue to inform how we think about illness.</w:t>
      </w:r>
    </w:p>
    <w:p>
      <w:pPr>
        <w:spacing w:before="120" w:after="120"/>
      </w:pPr>
      <w:r>
        <w:rPr>
          <w:sz w:val="18"/>
        </w:rPr>
        <w:t>——————————————————————————————————————————————————————————————————————</w:t>
      </w:r>
    </w:p>
    <w:p>
      <w:pPr>
        <w:spacing w:before="160" w:after="40" w:line="240" w:lineRule="auto"/>
      </w:pPr>
      <w:r>
        <w:rPr>
          <w:b/>
        </w:rPr>
        <w:t xml:space="preserve">[595] </w:t>
      </w:r>
      <w:hyperlink r:id="rId934">
        <w:r>
          <w:rPr>
            <w:color w:val="1155CC"/>
            <w:u w:val="single"/>
          </w:rPr>
          <w:t>用于生存的肌肉干细胞贸易功能</w:t>
        </w:r>
      </w:hyperlink>
    </w:p>
    <w:p>
      <w:pPr>
        <w:spacing w:before="0" w:after="80"/>
      </w:pPr>
      <w:r>
        <w:rPr>
          <w:i/>
          <w:sz w:val="20"/>
        </w:rPr>
        <w:t>EN: Muscle stem cells trade functionality for survival</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35">
        <w:r>
          <w:rPr>
            <w:color w:val="1155CC"/>
            <w:u w:val="single"/>
          </w:rPr>
          <w:t>10.1126/science.aed3298</w:t>
        </w:r>
      </w:hyperlink>
    </w:p>
    <w:p>
      <w:pPr>
        <w:spacing w:before="0" w:after="120"/>
      </w:pPr>
      <w:r>
        <w:rPr>
          <w:b/>
        </w:rPr>
        <w:t xml:space="preserve">Notes: </w:t>
      </w:r>
      <w:r>
        <w:t>abstract_source=pubmed</w:t>
      </w:r>
    </w:p>
    <w:p>
      <w:pPr>
        <w:spacing w:before="0" w:after="80" w:lineRule="auto" w:line="276"/>
      </w:pPr>
      <w:r>
        <w:rPr>
          <w:b/>
        </w:rPr>
        <w:t xml:space="preserve">摘要（ZH）: </w:t>
      </w:r>
      <w:r>
        <w:t>在老化期间,干细胞持久性优于功能,导致对伤害的延迟反应。</w:t>
      </w:r>
    </w:p>
    <w:p>
      <w:pPr>
        <w:spacing w:before="0" w:after="200" w:lineRule="auto" w:line="276"/>
      </w:pPr>
      <w:r>
        <w:rPr>
          <w:b/>
        </w:rPr>
        <w:t xml:space="preserve">Abstract (EN): </w:t>
      </w:r>
      <w:r>
        <w:t>During aging, stem cell persistence is favored over functionality, resulting in delayed responses to injury.</w:t>
      </w:r>
    </w:p>
    <w:p>
      <w:pPr>
        <w:spacing w:before="120" w:after="120"/>
      </w:pPr>
      <w:r>
        <w:rPr>
          <w:sz w:val="18"/>
        </w:rPr>
        <w:t>——————————————————————————————————————————————————————————————————————</w:t>
      </w:r>
    </w:p>
    <w:p>
      <w:pPr>
        <w:spacing w:before="160" w:after="40" w:line="240" w:lineRule="auto"/>
      </w:pPr>
      <w:r>
        <w:rPr>
          <w:b/>
        </w:rPr>
        <w:t xml:space="preserve">[596] </w:t>
      </w:r>
      <w:hyperlink r:id="rId936">
        <w:r>
          <w:rPr>
            <w:color w:val="1155CC"/>
            <w:u w:val="single"/>
          </w:rPr>
          <w:t>热塑性剂添加剂制造的液晶晶体调节</w:t>
        </w:r>
      </w:hyperlink>
    </w:p>
    <w:p>
      <w:pPr>
        <w:spacing w:before="0" w:after="80"/>
      </w:pPr>
      <w:r>
        <w:rPr>
          <w:i/>
          <w:sz w:val="20"/>
        </w:rPr>
        <w:t>EN: Lithographic crystallinity regulation in additive fabrication of thermoplastics (CRAFT)</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37">
        <w:r>
          <w:rPr>
            <w:color w:val="1155CC"/>
            <w:u w:val="single"/>
          </w:rPr>
          <w:t>10.1126/science.aeb3637</w:t>
        </w:r>
      </w:hyperlink>
    </w:p>
    <w:p>
      <w:pPr>
        <w:spacing w:before="0" w:after="120"/>
      </w:pPr>
      <w:r>
        <w:rPr>
          <w:b/>
        </w:rPr>
        <w:t xml:space="preserve">Notes: </w:t>
      </w:r>
      <w:r>
        <w:t>abstract_source=pubmed</w:t>
      </w:r>
    </w:p>
    <w:p>
      <w:pPr>
        <w:spacing w:before="0" w:after="80" w:lineRule="auto" w:line="276"/>
      </w:pPr>
      <w:r>
        <w:rPr>
          <w:b/>
        </w:rPr>
        <w:t xml:space="preserve">摘要（ZH）: </w:t>
      </w:r>
      <w:r>
        <w:t>对于半晶状聚苯乙烯热塑料而言,相互连接的晶体系和无序无序区域之间的平衡对于它们的性能和可处理性至关重要,然而,现代制造战略,从注入模版印刷到三维(3D)打印,造成单体体体,无法在空间中编码晶体。我们开发了一种光基方法,用以在3D空间对晶体特性进行微子控制的情况下制造机能强大的多元体热塑料。光剂量管理聚合体立体化学学,从强硬塑料(如高密度聚乙烯)到更可扩展的、与低密度聚乙烯相近的材料,都可以在开关点上找到。</w:t>
      </w:r>
    </w:p>
    <w:p>
      <w:pPr>
        <w:spacing w:before="0" w:after="200" w:lineRule="auto" w:line="276"/>
      </w:pPr>
      <w:r>
        <w:rPr>
          <w:b/>
        </w:rPr>
        <w:t xml:space="preserve">Abstract (EN): </w:t>
      </w:r>
      <w:r>
        <w:t>For semicrystalline polyolefin thermoplastics, the balance between interconnected ordered crystalline and disordered amorphous regions is paramount to their performance and processability. However, contemporary manufacturing strategies, from injection molding to three-dimensional (3D) printing, result in monolithic objects, unable to spatially encode crystallinity. We develop a light-based approach for fabricating mechanically robust polyolefin thermoplastics with microscopic control over crystallinity in 3D space. Light dosage governs polymer stereochemistry giving access to a continuum of materials, from strong rigid plastics, such as high-density polyethylene, to more extensible materials akin to low-density polyethylene, all at the flick of a switch. Leveraging this finding in lithographic grayscale 3D printing enables rapid multimaterial fabrication with voxel-level control over optical and mechanical properties, opening avenues in information storage, soft robotics, and energy damping.</w:t>
      </w:r>
    </w:p>
    <w:p>
      <w:pPr>
        <w:spacing w:before="120" w:after="120"/>
      </w:pPr>
      <w:r>
        <w:rPr>
          <w:sz w:val="18"/>
        </w:rPr>
        <w:t>——————————————————————————————————————————————————————————————————————</w:t>
      </w:r>
    </w:p>
    <w:p>
      <w:pPr>
        <w:spacing w:before="160" w:after="40" w:line="240" w:lineRule="auto"/>
      </w:pPr>
      <w:r>
        <w:rPr>
          <w:b/>
        </w:rPr>
        <w:t xml:space="preserve">[597] </w:t>
      </w:r>
      <w:hyperlink r:id="rId938">
        <w:r>
          <w:rPr>
            <w:color w:val="1155CC"/>
            <w:u w:val="single"/>
          </w:rPr>
          <w:t>中国在生物技术方面转身</w:t>
        </w:r>
      </w:hyperlink>
    </w:p>
    <w:p>
      <w:pPr>
        <w:spacing w:before="0" w:after="80"/>
      </w:pPr>
      <w:r>
        <w:rPr>
          <w:i/>
          <w:sz w:val="20"/>
        </w:rPr>
        <w:t>EN: China turns the tables in biotech</w:t>
      </w:r>
    </w:p>
    <w:p>
      <w:pPr>
        <w:spacing w:before="0" w:after="120"/>
      </w:pPr>
      <w:r>
        <w:rPr>
          <w:b/>
        </w:rPr>
        <w:t xml:space="preserve">Source: </w:t>
      </w:r>
      <w:r>
        <w:t>AAAS: Science: Table of Contents</w:t>
      </w:r>
      <w:r>
        <w:t xml:space="preserve">    </w:t>
      </w:r>
      <w:r>
        <w:rPr>
          <w:b/>
        </w:rPr>
        <w:t xml:space="preserve">Pub date: </w:t>
      </w:r>
      <w:r>
        <w:t>2026-01-29 07:00:02+00:00</w:t>
      </w:r>
      <w:r>
        <w:t xml:space="preserve">    </w:t>
      </w:r>
      <w:r>
        <w:rPr>
          <w:b/>
        </w:rPr>
        <w:t xml:space="preserve">DOI: </w:t>
      </w:r>
      <w:hyperlink r:id="rId939">
        <w:r>
          <w:rPr>
            <w:color w:val="1155CC"/>
            <w:u w:val="single"/>
          </w:rPr>
          <w:t>10.1126/science.aef7757</w:t>
        </w:r>
      </w:hyperlink>
    </w:p>
    <w:p>
      <w:pPr>
        <w:spacing w:before="0" w:after="120"/>
      </w:pPr>
      <w:r>
        <w:rPr>
          <w:b/>
        </w:rPr>
        <w:t xml:space="preserve">Notes: </w:t>
      </w:r>
      <w:r>
        <w:t>abstract_source=pubmed</w:t>
      </w:r>
    </w:p>
    <w:p>
      <w:pPr>
        <w:spacing w:before="0" w:after="80" w:lineRule="auto" w:line="276"/>
      </w:pPr>
      <w:r>
        <w:rPr>
          <w:b/>
        </w:rPr>
        <w:t xml:space="preserve">摘要（ZH）: </w:t>
      </w:r>
      <w:r>
        <w:t>至少一个世纪以来,美国已经可靠地采取了重大科学研究举措,通常是为了应对地缘政治竞争。 这有助于确立美国作为全球科学大国的地位,使美国能够制定新技术标准并铺平前进的道路。 大约20年前,随着中国工程和材料科学大学的成功,这一优势开始消退。 最近,中国医学和生物制药成功率的上升如此之快,以至于美国有可能丧失其在生命科学领域的领导地位。 人们通常期望美国做出有力反应。 但这远非正常时期。 美国政府显然漠不关心,但美国的反应却不是一时兴起。</w:t>
      </w:r>
    </w:p>
    <w:p>
      <w:pPr>
        <w:spacing w:before="0" w:after="200" w:lineRule="auto" w:line="276"/>
      </w:pPr>
      <w:r>
        <w:rPr>
          <w:b/>
        </w:rPr>
        <w:t xml:space="preserve">Abstract (EN): </w:t>
      </w:r>
      <w:r>
        <w:t>For at least a century, major scientific research initiatives have reliably occurred in the United States, usually in response to geopolitical competition. This helped establish the country's status as a global scientific power, enabling the US to set the standards for new technologies and pave the way forward. That edge began to erode around 20 years ago with the success of Chinese universities in engineering and materials science. Most recently, the rise of China's success in medicine and biopharmaceuticals has happened so quickly that the US risks losing its position of leadership in the life sciences. One would normally expect the US to react vigorously. But these are far from normal times. Saddled with an administration's apparent indifference, the US has responded not with a bang, but a whimper.</w:t>
      </w:r>
    </w:p>
    <w:p>
      <w:pPr>
        <w:spacing w:before="120" w:after="120"/>
      </w:pPr>
      <w:r>
        <w:rPr>
          <w:sz w:val="18"/>
        </w:rPr>
        <w:t>——————————————————————————————————————————————————————————————————————</w:t>
      </w:r>
    </w:p>
    <w:p>
      <w:pPr>
        <w:spacing w:before="160" w:after="40" w:line="240" w:lineRule="auto"/>
      </w:pPr>
      <w:r>
        <w:rPr>
          <w:b/>
        </w:rPr>
        <w:t xml:space="preserve">[598] </w:t>
      </w:r>
      <w:hyperlink r:id="rId940">
        <w:r>
          <w:rPr>
            <w:color w:val="1155CC"/>
            <w:u w:val="single"/>
          </w:rPr>
          <w:t>基因组学和遗传拯救</w:t>
        </w:r>
      </w:hyperlink>
    </w:p>
    <w:p>
      <w:pPr>
        <w:spacing w:before="0" w:after="80"/>
      </w:pPr>
      <w:r>
        <w:rPr>
          <w:i/>
          <w:sz w:val="20"/>
        </w:rPr>
        <w:t>EN: Genomics and genetic rescue</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41">
        <w:r>
          <w:rPr>
            <w:color w:val="1155CC"/>
            <w:u w:val="single"/>
          </w:rPr>
          <w:t>10.1073/pnas.2537193123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[599] </w:t>
      </w:r>
      <w:hyperlink r:id="rId942">
        <w:r>
          <w:rPr>
            <w:color w:val="1155CC"/>
            <w:u w:val="single"/>
          </w:rPr>
          <w:t>老龄化促使植物器官的DNA甲基化衰变程序</w:t>
        </w:r>
      </w:hyperlink>
    </w:p>
    <w:p>
      <w:pPr>
        <w:spacing w:before="0" w:after="80"/>
      </w:pPr>
      <w:r>
        <w:rPr>
          <w:i/>
          <w:sz w:val="20"/>
        </w:rPr>
        <w:t>EN: Aging drives a program of DNA methylation decay in plant organs</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43">
        <w:r>
          <w:rPr>
            <w:color w:val="1155CC"/>
            <w:u w:val="single"/>
          </w:rPr>
          <w:t>10.1126/science.adu2392</w:t>
        </w:r>
      </w:hyperlink>
    </w:p>
    <w:p>
      <w:pPr>
        <w:spacing w:before="0" w:after="120"/>
      </w:pPr>
      <w:r>
        <w:rPr>
          <w:b/>
        </w:rPr>
        <w:t xml:space="preserve">Notes: </w:t>
      </w:r>
      <w:r>
        <w:t>abstract_source=pubmed</w:t>
      </w:r>
    </w:p>
    <w:p>
      <w:pPr>
        <w:spacing w:before="0" w:after="80" w:lineRule="auto" w:line="276"/>
      </w:pPr>
      <w:r>
        <w:rPr>
          <w:b/>
        </w:rPr>
        <w:t xml:space="preserve">摘要（ZH）: </w:t>
      </w:r>
      <w:r>
        <w:t>虽然DNA甲基化的动态变化是哺乳动物老化的一个标志,但还不清楚类似的分子特征是否反映了植物的老化速度和生物寿命。在这项工作中,我们表明,短寿命模型植物Arabidopsis Thaliana在老化期间表现出了遗传完整性的丧失,这导致了DNA甲基化衰变和可移植元素的表达。我们表明,通过延长或缩短寿命,可以操纵遗传性老龄化的速度,而拍摄有粉的分子特征则受到保护,不受这些遗传变化的影响。我们证明,一个截留转录式的方案在老化期间抑制了DNA甲基化的路径,而且这个方案的变种者展示了一个折叠式。</w:t>
      </w:r>
    </w:p>
    <w:p>
      <w:pPr>
        <w:spacing w:before="0" w:after="200" w:lineRule="auto" w:line="276"/>
      </w:pPr>
      <w:r>
        <w:rPr>
          <w:b/>
        </w:rPr>
        <w:t xml:space="preserve">Abstract (EN): </w:t>
      </w:r>
      <w:r>
        <w:t>Plants display a wide range of life spans and aging rates. Although dynamic changes to DNA methylation are a hallmark of aging in mammals, it is unclear whether similar molecular signatures reflect rates of aging and organism life span in plants. In this work, we show that the short-lived model plant Arabidopsis thaliana exhibits a loss of epigenetic integrity during aging, which causes DNA methylation decay and the expression of transposable elements. We show that the rate of epigenetic aging can be manipulated by extending or curtailing life span and that shoot apical meristems are protected from these epigenetic changes. We demonstrate that a program of transcriptional repression suppresses DNA methylation maintenance pathways during aging and that mutants of this program display a complete absence of epigenetic decay while physical aging remains unaffected.</w:t>
      </w:r>
    </w:p>
    <w:p>
      <w:pPr>
        <w:spacing w:before="120" w:after="120"/>
      </w:pPr>
      <w:r>
        <w:rPr>
          <w:sz w:val="18"/>
        </w:rPr>
        <w:t>——————————————————————————————————————————————————————————————————————</w:t>
      </w:r>
    </w:p>
    <w:p>
      <w:pPr>
        <w:spacing w:before="160" w:after="40" w:line="240" w:lineRule="auto"/>
      </w:pPr>
      <w:r>
        <w:rPr>
          <w:b/>
        </w:rPr>
        <w:t xml:space="preserve">[600] </w:t>
      </w:r>
      <w:hyperlink r:id="rId944">
        <w:r>
          <w:rPr>
            <w:color w:val="1155CC"/>
            <w:u w:val="single"/>
          </w:rPr>
          <w:t>10年15N标签显示,在温带森林中最大限度地固碳的氮保留阈值</w:t>
        </w:r>
      </w:hyperlink>
    </w:p>
    <w:p>
      <w:pPr>
        <w:spacing w:before="0" w:after="80"/>
      </w:pPr>
      <w:r>
        <w:rPr>
          <w:i/>
          <w:sz w:val="20"/>
        </w:rPr>
        <w:t>EN: Ten-year 15N labeling reveals the nitrogen retention threshold for maximizing carbon sequestration in a temperate forest</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45">
        <w:r>
          <w:rPr>
            <w:color w:val="1155CC"/>
            <w:u w:val="single"/>
          </w:rPr>
          <w:t>10.1073/pnas.2533999123</w:t>
        </w:r>
      </w:hyperlink>
    </w:p>
    <w:p>
      <w:pPr>
        <w:spacing w:before="0" w:after="120"/>
      </w:pPr>
      <w:r>
        <w:rPr>
          <w:b/>
        </w:rPr>
        <w:t xml:space="preserve">Notes: </w:t>
      </w:r>
      <w:r>
        <w:t>abstract_source=pubmed</w:t>
      </w:r>
    </w:p>
    <w:p>
      <w:pPr>
        <w:spacing w:before="0" w:after="80" w:lineRule="auto" w:line="276"/>
      </w:pPr>
      <w:r>
        <w:rPr>
          <w:b/>
        </w:rPr>
        <w:t xml:space="preserve">摘要（ZH）: </w:t>
      </w:r>
      <w:r>
        <w:t>人类氮(N)沉积由减少(NHx)和氧化(NOy)形式组成,对生态系统过程有不同影响,但它们的长期命运和对生态系统氮使用效率(NUE)和碳固存(C)的集体影响仍未解决。在这里,利用在温带森林进行长达十年的配对标签(15NH4+和15NO3-)试验,我们证明,由于有机集成前最初损失率较低,不同N形式最初的不同命运在2岁和2岁之间会汇合。在10岁和10岁之后,两种N形式的总体生态系统保留率都非常相似(55.3至65.6%)。我们的15N回收数据和预测的NUE下降的NUE模型预测N沉积水平上升,构建了一个以过程为基础的N循环模型和参数。</w:t>
      </w:r>
    </w:p>
    <w:p>
      <w:pPr>
        <w:spacing w:before="0" w:after="200" w:lineRule="auto" w:line="276"/>
      </w:pPr>
      <w:r>
        <w:rPr>
          <w:b/>
        </w:rPr>
        <w:t xml:space="preserve">Abstract (EN): </w:t>
      </w:r>
      <w:r>
        <w:t>Anthropogenic nitrogen (N) deposition comprising reduced (NHx) and oxidized (NOy) forms, differentially influences ecosystem processes. However, their long-term fates and collective impacts on ecosystem nitrogen use efficiency (NUE) and carbon (C) sequestration remain unresolved. Here, using a decade-long paired labeling (15NH4+ and 15NO3-) experiment in a temperate forest, we demonstrate that initially distinct fates of different N forms converged within 2 y due to low initial loss rates prior to organic incorporation. After 10 y, overall ecosystem retention was remarkably similar (55.3 to 65.6%) for both N forms. A process -based N-cycling model was built and parameterized by our 15N recovery data and the model predicted declining ecosystem NUE with increasing N deposition level. We further identified a deposition-induced C sequestration potential of 41.41 kg C kg-1 N under an incremental deposition of 10 kg N ha-1 y-1, exceeding prior estimates at comparable loads. This study provides mechanistic, high-resolution temporal data critical for refining N-cycle models and reveals an optimal N deposition range (20 to 30 kg N ha-1 y-1) that maximizes C sequestration while minimizing environmental risks (e.g., nutrient imbalance, eutrophication) in temperate forests.</w:t>
      </w:r>
    </w:p>
    <w:p>
      <w:pPr>
        <w:spacing w:before="120" w:after="120"/>
      </w:pPr>
      <w:r>
        <w:rPr>
          <w:sz w:val="18"/>
        </w:rPr>
        <w:t>——————————————————————————————————————————————————————————————————————</w:t>
      </w:r>
    </w:p>
    <w:p>
      <w:pPr>
        <w:spacing w:before="160" w:after="40" w:line="240" w:lineRule="auto"/>
      </w:pPr>
      <w:r>
        <w:rPr>
          <w:b/>
        </w:rPr>
        <w:t xml:space="preserve">[601] </w:t>
      </w:r>
      <w:hyperlink r:id="rId946">
        <w:r>
          <w:rPr>
            <w:color w:val="1155CC"/>
            <w:u w:val="single"/>
          </w:rPr>
          <w:t>bcc 固体溶液合金的活性学习设计,该合金具有千兆帕斯卡强度和元素金属-级输电性</w:t>
        </w:r>
      </w:hyperlink>
    </w:p>
    <w:p>
      <w:pPr>
        <w:spacing w:before="0" w:after="80"/>
      </w:pPr>
      <w:r>
        <w:rPr>
          <w:i/>
          <w:sz w:val="20"/>
        </w:rPr>
        <w:t>EN: Active learning design of bcc solid solution alloys with gigapascal strength and elemental metal–level ductility</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47">
        <w:r>
          <w:rPr>
            <w:color w:val="1155CC"/>
            <w:u w:val="single"/>
          </w:rPr>
          <w:t>10.1073/pnas.2530922123</w:t>
        </w:r>
      </w:hyperlink>
    </w:p>
    <w:p>
      <w:pPr>
        <w:spacing w:before="0" w:after="120"/>
      </w:pPr>
      <w:r>
        <w:rPr>
          <w:b/>
        </w:rPr>
        <w:t xml:space="preserve">Notes: </w:t>
      </w:r>
      <w:r>
        <w:t>abstract_source=pubmed</w:t>
      </w:r>
    </w:p>
    <w:p>
      <w:pPr>
        <w:spacing w:before="0" w:after="80" w:lineRule="auto" w:line="276"/>
      </w:pPr>
      <w:r>
        <w:rPr>
          <w:b/>
        </w:rPr>
        <w:t xml:space="preserve">摘要（ZH）: </w:t>
      </w:r>
      <w:r>
        <w:t>以身体为中心的立方体(bcc)合金可以达到千兆帕水平的增产能力,但通常在抗拉管(&lt;20%)方面有限,与元素金属(最大延展率~50%)形成鲜明对比。多金正皮元素合金提供了巨大的构成空间,以达到协同强度-导管组合。然而,组合式试验和气压勘探成本极高,而机器学习(ML)方法受到数据稀缺的阻碍。在这里,我们开发了ML-指导框架,将积极学习与了解物理学的贝叶斯优化相结合,以快速结合最佳成分。由此产生的Ti36V14Nb22Hf22Zr1Al5合金的产量为953 MPa 和 42%的大型气流。高强度来自大量的拉提斯(lattice d) 。</w:t>
      </w:r>
    </w:p>
    <w:p>
      <w:pPr>
        <w:spacing w:before="0" w:after="200" w:lineRule="auto" w:line="276"/>
      </w:pPr>
      <w:r>
        <w:rPr>
          <w:b/>
        </w:rPr>
        <w:t xml:space="preserve">Abstract (EN): </w:t>
      </w:r>
      <w:r>
        <w:t>Body-centered cubic (bcc) alloys can achieve gigapascal-level yield strengths but typically are limited in tensile ductility (&lt;20%), contrasting sharply with elemental metals (the largest elongation of ~50%). Multi-principal-element alloys offer vast compositional space to reach synergistic strength-ductility combinations. However, combinatorial trial-and-error exploration is prohibitively costly, while machine learning (ML) approaches are hindered by data scarcity. Here, we develop an ML-guided framework integrating active learning with physics-informed Bayesian optimization to rapidly converge on optimal compositions. The resulting Ti36V14Nb22Hf22Zr1Al5 alloy achieves a yield strength of 953 MPa and a large tensile ductility of 42%. The high strength arises from the substantial lattice distortion, as well as the ~1-nm-sized local chemical fluctuations (LCFs) inherent to the highly concentrated bcc solid solution. The ubiquitous LCFs also substantially promote dislocation multiplication and strain hardening, enabling a large tensile ductility. Our approach demonstrates ML's efficacy in accelerating the finding of high-performance alloys.</w:t>
      </w:r>
    </w:p>
    <w:p>
      <w:pPr>
        <w:spacing w:before="120" w:after="120"/>
      </w:pPr>
      <w:r>
        <w:rPr>
          <w:sz w:val="18"/>
        </w:rPr>
        <w:t>——————————————————————————————————————————————————————————————————————</w:t>
      </w:r>
    </w:p>
    <w:p>
      <w:pPr>
        <w:spacing w:before="160" w:after="40" w:line="240" w:lineRule="auto"/>
      </w:pPr>
      <w:r>
        <w:rPr>
          <w:b/>
        </w:rPr>
        <w:t xml:space="preserve">[602] </w:t>
      </w:r>
      <w:hyperlink r:id="rId948">
        <w:r>
          <w:rPr>
            <w:color w:val="1155CC"/>
            <w:u w:val="single"/>
          </w:rPr>
          <w:t>健康个人记忆B细胞和等离子体的动态动态</w:t>
        </w:r>
      </w:hyperlink>
    </w:p>
    <w:p>
      <w:pPr>
        <w:spacing w:before="0" w:after="80"/>
      </w:pPr>
      <w:r>
        <w:rPr>
          <w:i/>
          <w:sz w:val="20"/>
        </w:rPr>
        <w:t>EN: Dynamics of memory B cells and plasmablasts in healthy individuals</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49">
        <w:r>
          <w:rPr>
            <w:color w:val="1155CC"/>
            <w:u w:val="single"/>
          </w:rPr>
          <w:t>10.1073/pnas.2528141123</w:t>
        </w:r>
      </w:hyperlink>
    </w:p>
    <w:p>
      <w:pPr>
        <w:spacing w:before="0" w:after="120"/>
      </w:pPr>
      <w:r>
        <w:rPr>
          <w:b/>
        </w:rPr>
        <w:t xml:space="preserve">Notes: </w:t>
      </w:r>
      <w:r>
        <w:t>abstract_source=pubmed</w:t>
      </w:r>
    </w:p>
    <w:p>
      <w:pPr>
        <w:spacing w:before="0" w:after="80" w:lineRule="auto" w:line="276"/>
      </w:pPr>
      <w:r>
        <w:rPr>
          <w:b/>
        </w:rPr>
        <w:t xml:space="preserve">摘要（ZH）: </w:t>
      </w:r>
      <w:r>
        <w:t>我们的适应性免疫系统长期依赖多种抗原经验丰富的B型细胞的持久性,以记录我们对过去感染的记忆,并保护我们免受未来感染的伤害。虽然纵向序列测序将同时跟踪许多B型细胞克隆人的长期动态,但抽样和实验噪音使得很难得出可靠的定量结论。我们利用统计推论,推断记忆B型细胞的血球动态和转换为等离子体的动态,其中包括克隆的生成、退化、丰度波动和差异。我们发现记忆B型细胞克隆人缓慢降解,半衰期为10年,根据推断参数,我们预测大约需要50年,再生50%,再生50%。</w:t>
      </w:r>
    </w:p>
    <w:p>
      <w:pPr>
        <w:spacing w:before="0" w:after="200" w:lineRule="auto" w:line="276"/>
      </w:pPr>
      <w:r>
        <w:rPr>
          <w:b/>
        </w:rPr>
        <w:t xml:space="preserve">Abstract (EN): </w:t>
      </w:r>
      <w:r>
        <w:t>Our adaptive immune system relies on the persistence over long times of a diverse set of antigen-experienced B cells to encode our memories of past infections and to protect us against future ones. While longitudinal repertoire sequencing promises to track the long-term dynamics of many B cell clones simultaneously, sampling and experimental noise make it hard to draw reliable quantitative conclusions. Leveraging statistical inference, we infer the dynamics of memory B cell clonal dynamics and conversion to plasmablasts, which includes clone creation, degradation, abundance fluctuations, and differentiation. We find that memory B cell clones degrade slowly, with a half-life of 10 y. Based on the inferred parameters, we predict that it takes about 50 y to renew 50% of the repertoire, with most observed clones surviving for a lifetime. We infer that, on average, 1 out of 100 memory B cells differentiates into a plasmablast each year, more than expected from purely antigen-stimulated differentiation, and that plasmablast clones degrade with a half-life of about one year in the absence of memory imports. Our method is general and could be applied to other longitudinal repertoire sequencing B cell subsets.</w:t>
      </w:r>
    </w:p>
    <w:p>
      <w:pPr>
        <w:spacing w:before="120" w:after="120"/>
      </w:pPr>
      <w:r>
        <w:rPr>
          <w:sz w:val="18"/>
        </w:rPr>
        <w:t>——————————————————————————————————————————————————————————————————————</w:t>
      </w:r>
    </w:p>
    <w:p>
      <w:pPr>
        <w:spacing w:before="160" w:after="40" w:line="240" w:lineRule="auto"/>
      </w:pPr>
      <w:r>
        <w:rPr>
          <w:b/>
        </w:rPr>
        <w:t xml:space="preserve">[603] </w:t>
      </w:r>
      <w:hyperlink r:id="rId950">
        <w:r>
          <w:rPr>
            <w:color w:val="1155CC"/>
            <w:u w:val="single"/>
          </w:rPr>
          <w:t>活性滴滴化学回声定位自动决策</w:t>
        </w:r>
      </w:hyperlink>
    </w:p>
    <w:p>
      <w:pPr>
        <w:spacing w:before="0" w:after="80"/>
      </w:pPr>
      <w:r>
        <w:rPr>
          <w:i/>
          <w:sz w:val="20"/>
        </w:rPr>
        <w:t>EN: Automated decision-making by chemical echolocation in active droplets</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51">
        <w:r>
          <w:rPr>
            <w:color w:val="1155CC"/>
            <w:u w:val="single"/>
          </w:rPr>
          <w:t>10.1073/pnas.2526773123</w:t>
        </w:r>
      </w:hyperlink>
    </w:p>
    <w:p>
      <w:pPr>
        <w:spacing w:before="0" w:after="120"/>
      </w:pPr>
      <w:r>
        <w:rPr>
          <w:b/>
        </w:rPr>
        <w:t xml:space="preserve">Notes: </w:t>
      </w:r>
      <w:r>
        <w:t>abstract_source=pubmed</w:t>
      </w:r>
    </w:p>
    <w:p>
      <w:pPr>
        <w:spacing w:before="0" w:after="80" w:lineRule="auto" w:line="276"/>
      </w:pPr>
      <w:r>
        <w:rPr>
          <w:b/>
        </w:rPr>
        <w:t xml:space="preserve">摘要（ZH）: </w:t>
      </w:r>
      <w:r>
        <w:t>移动微生物,如细菌和藻类,将自我推进、自主导航和微小规模的决策等能力统一起来。虽然最近的突破导致合成微显微显微剂和纳米试剂的产生,这些微显微和纳米试剂也可以自我促进,但它们仍然缺乏其生物对应体的功能和精密性。本研究开创了一种机制,使合成物剂能够自主导航和作出决定,使其能够在不需要外部提示或指导的情况下解决迷宫和通过复杂环境运输货物。该机制利用活跃的滴子或胶囊等制剂产生的化学-水动力信号进行遥感,并应对其环境与回声定位相似的情况。我们的研究为最终用途铺平了道路。</w:t>
      </w:r>
    </w:p>
    <w:p>
      <w:pPr>
        <w:spacing w:before="0" w:after="200" w:lineRule="auto" w:line="276"/>
      </w:pPr>
      <w:r>
        <w:rPr>
          <w:b/>
        </w:rPr>
        <w:t xml:space="preserve">Abstract (EN): </w:t>
      </w:r>
      <w:r>
        <w:t>Motile microorganisms, like bacteria and algae, unify abilities like self-propulsion, autonomous navigation, and decision-making on the micron scale. While recent breakthroughs have led to the creation of synthetic microswimmers and nanoagents that can also self-propel, they still lack the functionality and sophistication of their biological counterparts. This study pioneers a mechanism enabling synthetic agents to autonomously navigate and make decisions, allowing them to solve mazes and transport cargo through complex environments without requiring external cues or guidance. The mechanism exploits chemo-hydrodynamic signals, produced by agents like active droplets or colloids, to remotely sense and respond to their environment-similar to echolocation. Our research paves the way for endowing autonomous, motile synthetic agents with functionalities that have been so far exclusive to biological organisms.</w:t>
      </w:r>
    </w:p>
    <w:p>
      <w:pPr>
        <w:spacing w:before="120" w:after="120"/>
      </w:pPr>
      <w:r>
        <w:rPr>
          <w:sz w:val="18"/>
        </w:rPr>
        <w:t>——————————————————————————————————————————————————————————————————————</w:t>
      </w:r>
    </w:p>
    <w:p>
      <w:pPr>
        <w:spacing w:before="160" w:after="40" w:line="240" w:lineRule="auto"/>
      </w:pPr>
      <w:r>
        <w:rPr>
          <w:b/>
        </w:rPr>
        <w:t xml:space="preserve">[604] </w:t>
      </w:r>
      <w:hyperlink r:id="rId952">
        <w:r>
          <w:rPr>
            <w:color w:val="1155CC"/>
            <w:u w:val="single"/>
          </w:rPr>
          <w:t>在非对称公益物游戏中开展合作的动态动态</w:t>
        </w:r>
      </w:hyperlink>
    </w:p>
    <w:p>
      <w:pPr>
        <w:spacing w:before="0" w:after="80"/>
      </w:pPr>
      <w:r>
        <w:rPr>
          <w:i/>
          <w:sz w:val="20"/>
        </w:rPr>
        <w:t>EN: The dynamics of cooperation in asymmetric public goods games</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53">
        <w:r>
          <w:rPr>
            <w:color w:val="1155CC"/>
            <w:u w:val="single"/>
          </w:rPr>
          <w:t>10.1073/pnas.2525760123</w:t>
        </w:r>
      </w:hyperlink>
    </w:p>
    <w:p>
      <w:pPr>
        <w:spacing w:before="0" w:after="120"/>
      </w:pPr>
      <w:r>
        <w:rPr>
          <w:b/>
        </w:rPr>
        <w:t xml:space="preserve">Notes: </w:t>
      </w:r>
      <w:r>
        <w:t>abstract_source=pubmed</w:t>
      </w:r>
    </w:p>
    <w:p>
      <w:pPr>
        <w:spacing w:before="0" w:after="80" w:lineRule="auto" w:line="276"/>
      </w:pPr>
      <w:r>
        <w:rPr>
          <w:b/>
        </w:rPr>
        <w:t xml:space="preserve">摘要（ZH）: </w:t>
      </w:r>
      <w:r>
        <w:t>当人们集体合作时,他们通常面临集体行动问题:为使集体努力取得成功,个人需要合作,尽管有叛逃的动机。这些问题可以效仿公益游戏。为了便利这种分析,许多研究认为游戏是对称的。小组成员拥有同样的合作手段(平等捐赠),不同群体成员的贡献同样有效(平等生产)。允许某种不平等的研究往往只侧重于一种不平等。但在实践中,人们可能在许多方面是不平等的。这些不平等的影响可能反过来取决于所考虑的具体公益游戏。为了探讨这些问题,我们将大量抽样试验与广泛的理论实验结合起来。</w:t>
      </w:r>
    </w:p>
    <w:p>
      <w:pPr>
        <w:spacing w:before="0" w:after="200" w:lineRule="auto" w:line="276"/>
      </w:pPr>
      <w:r>
        <w:rPr>
          <w:b/>
        </w:rPr>
        <w:t xml:space="preserve">Abstract (EN): </w:t>
      </w:r>
      <w:r>
        <w:t>When people collaborate in groups, they routinely face collective action problems: for the group effort to succeed, individuals need to cooperate despite any incentives to defect. These problems can be modeled with public goods games. To facilitate such an analysis, many studies assume the game is symmetric. Group members have the same means to cooperate (equal endowments), and contributions of different group members are equally effective (equal productivities). Studies that allow for some inequality tend to focus on one kind of inequality only. In practice, however, people can be unequal in many ways. The effect of these inequalities may in turn depend on the specific public goods game considered. To explore these issues, we combine a large-sample experiment with extensive theoretical work. We systematically vary four aspects: the group members' endowments, their productivities, group size, and whether the public goods game exhibits linear returns or returns given by a threshold function. By exploring all four aspects, we obtain a unique dataset to explore the effect of asymmetry on cooperation. Based on this dataset, we study whether there is an advantage of "aligned inequality": whether groups achieve a better surplus if more productive individuals have a larger endowment. For public goods games with linear returns, we find such an advantage, thereby corroborating previous research. If returns follow a threshold function, however, aligned inequality results in inferior payoffs. These results show that the effect of inequality on cooperation depends on the kind of public goods game considered.</w:t>
      </w:r>
    </w:p>
    <w:p>
      <w:pPr>
        <w:spacing w:before="120" w:after="120"/>
      </w:pPr>
      <w:r>
        <w:rPr>
          <w:sz w:val="18"/>
        </w:rPr>
        <w:t>——————————————————————————————————————————————————————————————————————</w:t>
      </w:r>
    </w:p>
    <w:p>
      <w:pPr>
        <w:spacing w:before="160" w:after="40" w:line="240" w:lineRule="auto"/>
      </w:pPr>
      <w:r>
        <w:rPr>
          <w:b/>
        </w:rPr>
        <w:t xml:space="preserve">[605] </w:t>
      </w:r>
      <w:hyperlink r:id="rId954">
        <w:r>
          <w:rPr>
            <w:color w:val="1155CC"/>
            <w:u w:val="single"/>
          </w:rPr>
          <w:t>食物网和网络的功能性基本体</w:t>
        </w:r>
      </w:hyperlink>
    </w:p>
    <w:p>
      <w:pPr>
        <w:spacing w:before="0" w:after="80"/>
      </w:pPr>
      <w:r>
        <w:rPr>
          <w:i/>
          <w:sz w:val="20"/>
        </w:rPr>
        <w:t>EN: Functional motifs in food webs and networks</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55">
        <w:r>
          <w:rPr>
            <w:color w:val="1155CC"/>
            <w:u w:val="single"/>
          </w:rPr>
          <w:t>10.1073/pnas.2521927123</w:t>
        </w:r>
      </w:hyperlink>
    </w:p>
    <w:p>
      <w:pPr>
        <w:spacing w:before="0" w:after="120"/>
      </w:pPr>
      <w:r>
        <w:rPr>
          <w:b/>
        </w:rPr>
        <w:t xml:space="preserve">Notes: </w:t>
      </w:r>
      <w:r>
        <w:t>abstract_source=pubmed</w:t>
      </w:r>
    </w:p>
    <w:p>
      <w:pPr>
        <w:spacing w:before="0" w:after="80" w:lineRule="auto" w:line="276"/>
      </w:pPr>
      <w:r>
        <w:rPr>
          <w:b/>
        </w:rPr>
        <w:t xml:space="preserve">摘要（ZH）: </w:t>
      </w:r>
      <w:r>
        <w:t>在研究复杂的系统时,将系统视为一个互动单位的网络往往有用。然后,人们可以问整个网络的某些特性是否已经由网络的一小部分,即网络主机来解释。一个著名的生态主机的例子就是食物网中的剥削性竞争,其中有两个物种竞相争夺共享资源,从而排除了整个系统存在稳定的平衡。然而,其他对稳定性有如此直接影响的模型的例子并不清楚。在这里,我们说明为什么小的模型很少能得出关于系统稳定性的结论。更重要的是,我们表明另一种动态的、回动性通常植根于运动。计算模型的回动性可以揭示网络的哪些部分。</w:t>
      </w:r>
    </w:p>
    <w:p>
      <w:pPr>
        <w:spacing w:before="0" w:after="200" w:lineRule="auto" w:line="276"/>
      </w:pPr>
      <w:r>
        <w:rPr>
          <w:b/>
        </w:rPr>
        <w:t xml:space="preserve">Abstract (EN): </w:t>
      </w:r>
      <w:r>
        <w:t>When studying a complex system, it is often useful to think of the system as a network of interacting units. One can then ask if some properties of the entire network are already explained by a small part of the network, a network motif. A famous example of an ecological motif is exploitative competition in food webs, where the presence of two species competing for a shared resource precludes the existence of a stable equilibrium for the whole system. However, other examples of motifs with such direct impacts on stability are not known. Here, we show why small motifs that allow conclusions on systemic stability are rare. More importantly, we show that another dynamical property, reactivity, is typically rooted in motifs. Computing the reactivity of motifs can reveal which parts of a network are prone to respond violently to perturbations. This highlights motif reactivity as a useful property to measure in real-world systems to understand likely modes of systemic failure in food webs or other networks in epidemics, supply chains, or power grids.</w:t>
      </w:r>
    </w:p>
    <w:p>
      <w:pPr>
        <w:spacing w:before="120" w:after="120"/>
      </w:pPr>
      <w:r>
        <w:rPr>
          <w:sz w:val="18"/>
        </w:rPr>
        <w:t>——————————————————————————————————————————————————————————————————————</w:t>
      </w:r>
    </w:p>
    <w:p>
      <w:pPr>
        <w:spacing w:before="160" w:after="40" w:line="240" w:lineRule="auto"/>
      </w:pPr>
      <w:r>
        <w:rPr>
          <w:b/>
        </w:rPr>
        <w:t xml:space="preserve">[606] </w:t>
      </w:r>
      <w:hyperlink r:id="rId956">
        <w:r>
          <w:rPr>
            <w:color w:val="1155CC"/>
            <w:u w:val="single"/>
          </w:rPr>
          <w:t>量量信息系统的坦坦甲合金-基于量量量信息系统的共振器</w:t>
        </w:r>
      </w:hyperlink>
    </w:p>
    <w:p>
      <w:pPr>
        <w:spacing w:before="0" w:after="80"/>
      </w:pPr>
      <w:r>
        <w:rPr>
          <w:i/>
          <w:sz w:val="20"/>
        </w:rPr>
        <w:t>EN: Tantalum alloy–based resonators for quantum information systems</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57">
        <w:r>
          <w:rPr>
            <w:color w:val="1155CC"/>
            <w:u w:val="single"/>
          </w:rPr>
          <w:t>10.1073/pnas.2519940123</w:t>
        </w:r>
      </w:hyperlink>
    </w:p>
    <w:p>
      <w:pPr>
        <w:spacing w:before="0" w:after="120"/>
      </w:pPr>
      <w:r>
        <w:rPr>
          <w:b/>
        </w:rPr>
        <w:t xml:space="preserve">Notes: </w:t>
      </w:r>
      <w:r>
        <w:t>abstract_source=pubmed</w:t>
      </w:r>
    </w:p>
    <w:p>
      <w:pPr>
        <w:spacing w:before="0" w:after="80" w:lineRule="auto" w:line="276"/>
      </w:pPr>
      <w:r>
        <w:rPr>
          <w:b/>
        </w:rPr>
        <w:t xml:space="preserve">摘要（ZH）: </w:t>
      </w:r>
      <w:r>
        <w:t>在超导电路中利用钽(Ta)已导致重大改进,例如高寿命(T1)和和共振质量因素,表明物质优化在发展超导电路方面发挥着重要作用。因此,我们在这里探索塔基装置的超导差距工程,以此作为扩大合适宿主材料范围的有力战略。我们将20个原子百分比(至%)合入Ta薄膜,我们实现了6.09K的超导过渡温度(Tc),这是当前(DC)直接运输测量中观察到的,反映了超导电路差距的扩大。我们系统地改变沉积条件,以控制Ta-Hf合金薄膜的电影定向和运输特性。</w:t>
      </w:r>
    </w:p>
    <w:p>
      <w:pPr>
        <w:spacing w:before="0" w:after="200" w:lineRule="auto" w:line="276"/>
      </w:pPr>
      <w:r>
        <w:rPr>
          <w:b/>
        </w:rPr>
        <w:t xml:space="preserve">Abstract (EN): </w:t>
      </w:r>
      <w:r>
        <w:t>Utilizing tantalum (Ta) in superconducting circuits has led to significant improvements, such as high qubit lifetime (T1) and quality factors in both qubits and resonators, suggesting that material optimization plays an important role in the development of superconducting circuits. Thus we here explore superconducting gap engineering in Ta-based devices as a powerful strategy for expanding the range of suitable host materials. By alloying 20 atomic percent (at.%) hafnium into Ta thin films, we achieve a superconducting transition temperature (Tc) of 6.09 K as observed in direct current (DC) transport measurements, reflecting an increase in the superconducting gap. We systematically vary deposition conditions to control film orientation and transport properties of Ta-Hf alloy thin films. We then confirm the enhancement in Tc via microwave measurements at millikelvin temperatures. We verify the [Formula: see text]40[Formula: see text] increase in Tc relative to bare Ta devices, while the loss contributions from two-level systems and quasi-particles remain unchanged in the low temperature regime. These findings emphasize the promise of material engineering in superconducting circuits and point to many potential material candidates for further exploration.</w:t>
      </w:r>
    </w:p>
    <w:p>
      <w:pPr>
        <w:spacing w:before="120" w:after="120"/>
      </w:pPr>
      <w:r>
        <w:rPr>
          <w:sz w:val="18"/>
        </w:rPr>
        <w:t>——————————————————————————————————————————————————————————————————————</w:t>
      </w:r>
    </w:p>
    <w:p>
      <w:pPr>
        <w:spacing w:before="160" w:after="40" w:line="240" w:lineRule="auto"/>
      </w:pPr>
      <w:r>
        <w:rPr>
          <w:b/>
        </w:rPr>
        <w:t xml:space="preserve">[607] </w:t>
      </w:r>
      <w:hyperlink r:id="rId958">
        <w:r>
          <w:rPr>
            <w:color w:val="1155CC"/>
            <w:u w:val="single"/>
          </w:rPr>
          <w:t>Phage Mu 加入β吸尘夹 用于迟发基因转录</w:t>
        </w:r>
      </w:hyperlink>
    </w:p>
    <w:p>
      <w:pPr>
        <w:spacing w:before="0" w:after="80"/>
      </w:pPr>
      <w:r>
        <w:rPr>
          <w:i/>
          <w:sz w:val="20"/>
        </w:rPr>
        <w:t>EN: Phage Mu enlists the β-sliding clamp for late gene transcription</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59">
        <w:r>
          <w:rPr>
            <w:color w:val="1155CC"/>
            <w:u w:val="single"/>
          </w:rPr>
          <w:t>10.1073/pnas.2519494123</w:t>
        </w:r>
      </w:hyperlink>
    </w:p>
    <w:p>
      <w:pPr>
        <w:spacing w:before="0" w:after="120"/>
      </w:pPr>
      <w:r>
        <w:rPr>
          <w:b/>
        </w:rPr>
        <w:t xml:space="preserve">Notes: </w:t>
      </w:r>
      <w:r>
        <w:t>abstract_source=pubmed</w:t>
      </w:r>
    </w:p>
    <w:p>
      <w:pPr>
        <w:spacing w:before="0" w:after="80" w:lineRule="auto" w:line="276"/>
      </w:pPr>
      <w:r>
        <w:rPr>
          <w:b/>
        </w:rPr>
        <w:t xml:space="preserve">摘要（ZH）: </w:t>
      </w:r>
      <w:r>
        <w:t>我们发现,在Escherichia coli 中,超强的显性显性在这种条件下是致命的,并且观察到在这种条件下,主机的复制已经过度。 绘制成dnaA、diaA和dnaX的MuC致命性抑制剂在DiaA的协助下,DnaA在oiC开始复制。 Hda和DnaNN对ADP-DnaA进行了水解,防止了恢复。Hda和DnaN(β-滑动夹或Clamp)将ATP-DnaA水解到ADP-DnaA。DnaA是Pol III的Tau/gamma子单元DnaX,是Clamp装载器综合体的一部分。Hda和DnaN被救的MuC致命性凝固体的凝固体。这说明MuC正在干扰Hda或DnaN。我们注意到,MuC含有两个接近一致的Camp约束性软体(CBM),一个在Niteinus和OO。</w:t>
      </w:r>
    </w:p>
    <w:p>
      <w:pPr>
        <w:spacing w:before="0" w:after="200" w:lineRule="auto" w:line="276"/>
      </w:pPr>
      <w:r>
        <w:rPr>
          <w:b/>
        </w:rPr>
        <w:t xml:space="preserve">Abstract (EN): </w:t>
      </w:r>
      <w:r>
        <w:t>The phage Mu C protein (MuC), along with core RNA polymerase (RNAP) and σ70, is required for transcription of phage late genes. We found that overexpression of MuC was lethal in Escherichia coli and observed that host replication was overinitiating under these conditions. Suppressors of MuC lethality mapped to dnaA, diaA, and dnaX. DnaA initiates replication at oriC, assisted by DiaA. Reinitiation is prevented by hydrolysis of ATP-DnaA to ADP-DnaA by Hda and DnaN (β-sliding clamp or Clamp). DnaX, the tau/gamma subunit of Pol III, is part of the Clamp loader complex. Coexpression of hda and dnaN rescued MuC lethality. This result suggested that MuC was interfering with either Hda or DnaN. We noticed that MuC contains two near-consensus Clamp-binding motifs (CBM), one at the N terminus and one at the C-terminus. Changing the consensus residues of either CBM abolished MuC lethality, abrogated MuC-dependent transcription, and reduced plaque-forming units. Inactivation of a ts Clamp through temperature shift specifically inhibited MuC-dependent transcription but not σ70-dependent transcription. We show that MuC interacts with the Clamp to activate late gene transcription both in vivo and in vitro. This study demonstrates the involvement of the E. coli Clamp, a processivity factor essential for DNA replication, for transcription by E. coli RNAP. We observed that members of the Mor/MuC family of transcription factors all possess at least one CBM, suggesting that engaging the Clamp for transcription is likely to be more prevalent than hitherto recognized.</w:t>
      </w:r>
    </w:p>
    <w:p>
      <w:pPr>
        <w:spacing w:before="120" w:after="120"/>
      </w:pPr>
      <w:r>
        <w:rPr>
          <w:sz w:val="18"/>
        </w:rPr>
        <w:t>——————————————————————————————————————————————————————————————————————</w:t>
      </w:r>
    </w:p>
    <w:p>
      <w:pPr>
        <w:spacing w:before="160" w:after="40" w:line="240" w:lineRule="auto"/>
      </w:pPr>
      <w:r>
        <w:rPr>
          <w:b/>
        </w:rPr>
        <w:t xml:space="preserve">[608] </w:t>
      </w:r>
      <w:hyperlink r:id="rId960">
        <w:r>
          <w:rPr>
            <w:color w:val="1155CC"/>
            <w:u w:val="single"/>
          </w:rPr>
          <w:t>互惠和完整的直接互惠战略空间</w:t>
        </w:r>
      </w:hyperlink>
    </w:p>
    <w:p>
      <w:pPr>
        <w:spacing w:before="0" w:after="80"/>
      </w:pPr>
      <w:r>
        <w:rPr>
          <w:i/>
          <w:sz w:val="20"/>
        </w:rPr>
        <w:t>EN: Payoff equivalence and complete strategy spaces of direct reciprocity</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61">
        <w:r>
          <w:rPr>
            <w:color w:val="1155CC"/>
            <w:u w:val="single"/>
          </w:rPr>
          <w:t>10.1073/pnas.2518486123</w:t>
        </w:r>
      </w:hyperlink>
    </w:p>
    <w:p>
      <w:pPr>
        <w:spacing w:before="0" w:after="120"/>
      </w:pPr>
      <w:r>
        <w:rPr>
          <w:b/>
        </w:rPr>
        <w:t xml:space="preserve">Notes: </w:t>
      </w:r>
      <w:r>
        <w:t>abstract_source=pubmed</w:t>
      </w:r>
    </w:p>
    <w:p>
      <w:pPr>
        <w:spacing w:before="0" w:after="80" w:lineRule="auto" w:line="276"/>
      </w:pPr>
      <w:r>
        <w:rPr>
          <w:b/>
        </w:rPr>
        <w:t xml:space="preserve">摘要（ZH）: </w:t>
      </w:r>
      <w:r>
        <w:t>重复游戏和随机游戏是研究直接对等的重要框架。 个人对他们过去的行为做出战略反应。 虽然这种游戏中的策略可以任意地复杂,但进化动态的探索往往在特定的战略空间进行。 个人可以考虑过去几轮固定次数, 或只考虑伙伴以前的一些行动。 这种限制可能使对结果的解释变得困难。 被发现在限制性游戏中处于优势的战略如果允许更复杂的战略,可能会失去稳定性。 我们讨论两个完整性概念,排除了这种可能性。 如果战略空间(S)是最好的, 那么任何战略在S中都会得到最好的回答。 如果空间(S)是Pa,那么S,那么任何战略都会在S中得到最好的回答。 如果空间(S)是Pa。</w:t>
      </w:r>
    </w:p>
    <w:p>
      <w:pPr>
        <w:spacing w:before="0" w:after="200" w:lineRule="auto" w:line="276"/>
      </w:pPr>
      <w:r>
        <w:rPr>
          <w:b/>
        </w:rPr>
        <w:t xml:space="preserve">Abstract (EN): </w:t>
      </w:r>
      <w:r>
        <w:t>Repeated games and stochastic games are important frameworks to study direct reciprocity. Individuals react strategically to their coplayers' previous behavior. While strategies in such games can be arbitrarily complex, explorations of evolutionary dynamics are often done in specific strategy spaces. Individuals may consider a fixed number of past rounds, or only some of the partner's previous actions. Such restrictions can make the interpretation of the results difficult. Strategies found to be superior within a restricted set may lose stability when more complex strategies are permitted. We discuss two notions of completeness that rule out this possibility. If a strategy space, S, is best-reply-complete, then any strategy in S is guaranteed to have a best reply in S. If a space, S, is payoff-complete, then any strategy playing against an opponent in S can be replaced by an equivalent strategy within S without affecting either player's payoff. Sufficient conditions for best-reply-completeness have been given in a seminal paper by Levínský et al. Here, we show that for strategies of bounded memory, the same conditions are sufficient for payoff-completeness. Furthermore, using those conditions, we illustrate how to construct many complete spaces for simple games. Taken together, our findings highlight the importance of complete strategy spaces, which are particularly useful when interpreting evolutionary simulations and determining best responses.</w:t>
      </w:r>
    </w:p>
    <w:p>
      <w:pPr>
        <w:spacing w:before="120" w:after="120"/>
      </w:pPr>
      <w:r>
        <w:rPr>
          <w:sz w:val="18"/>
        </w:rPr>
        <w:t>——————————————————————————————————————————————————————————————————————</w:t>
      </w:r>
    </w:p>
    <w:p>
      <w:pPr>
        <w:spacing w:before="160" w:after="40" w:line="240" w:lineRule="auto"/>
      </w:pPr>
      <w:r>
        <w:rPr>
          <w:b/>
        </w:rPr>
        <w:t xml:space="preserve">[609] </w:t>
      </w:r>
      <w:hyperlink r:id="rId962">
        <w:r>
          <w:rPr>
            <w:color w:val="1155CC"/>
            <w:u w:val="single"/>
          </w:rPr>
          <w:t>Hou等人的校正,对骨髓炎的治疗性恢复 -- -- 骨髓炎的内分泌细胞性内分泌性内分泌性内分泌性结膜交叉口的治疗性谈话。</w:t>
        </w:r>
      </w:hyperlink>
    </w:p>
    <w:p>
      <w:pPr>
        <w:spacing w:before="0" w:after="80"/>
      </w:pPr>
      <w:r>
        <w:rPr>
          <w:i/>
          <w:sz w:val="20"/>
        </w:rPr>
        <w:t>EN: Correction for Hou et al., Therapeutic restoration of mitochondria–endoplasmic reticulum cross talk for osteoarthritis</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63">
        <w:r>
          <w:rPr>
            <w:color w:val="1155CC"/>
            <w:u w:val="single"/>
          </w:rPr>
          <w:t>10.1073/pnas.2600337123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[610] </w:t>
      </w:r>
      <w:hyperlink r:id="rId964">
        <w:r>
          <w:rPr>
            <w:color w:val="1155CC"/>
            <w:u w:val="single"/>
          </w:rPr>
          <w:t>肝细胞癌的起源取决于代谢区划</w:t>
        </w:r>
      </w:hyperlink>
    </w:p>
    <w:p>
      <w:pPr>
        <w:spacing w:before="0" w:after="80"/>
      </w:pPr>
      <w:r>
        <w:rPr>
          <w:i/>
          <w:sz w:val="20"/>
        </w:rPr>
        <w:t>EN: The origin of hepatocellular carcinoma depends on metabolic zonation</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65">
        <w:r>
          <w:rPr>
            <w:color w:val="1155CC"/>
            <w:u w:val="single"/>
          </w:rPr>
          <w:t>10.1126/science.adv7129</w:t>
        </w:r>
      </w:hyperlink>
    </w:p>
    <w:p>
      <w:pPr>
        <w:spacing w:before="0" w:after="120"/>
      </w:pPr>
      <w:r>
        <w:rPr>
          <w:b/>
        </w:rPr>
        <w:t xml:space="preserve">Notes: </w:t>
      </w:r>
      <w:r>
        <w:t>abstract_source=crossref</w:t>
      </w:r>
    </w:p>
    <w:p>
      <w:pPr>
        <w:spacing w:before="0" w:after="80" w:lineRule="auto" w:line="276"/>
      </w:pPr>
      <w:r>
        <w:rPr>
          <w:b/>
        </w:rPr>
        <w:t xml:space="preserve">摘要（ZH）: </w:t>
      </w:r>
      <w:r>
        <w:t>虽然代谢功能的空间分层化对于适当的肝功能至关重要,但尚不清楚的是,如果癌症来自某些区域,而不是其他地区,如果有癌症风险的代谢性决定因素,也不清楚癌症的起源。 特定区引入Ctnnb1和Arid2突变,即肝细胞癌(HCC)中常见的混合基因,表明位置和代谢环境决定了克隆人的命运。 Ctnnb1/Arid2 -- -- 由癌症驱动的癌症更有可能发生在第3区。</w:t>
      </w:r>
    </w:p>
    <w:p>
      <w:pPr>
        <w:spacing w:before="0" w:after="200" w:lineRule="auto" w:line="276"/>
      </w:pPr>
      <w:r>
        <w:rPr>
          <w:b/>
        </w:rPr>
        <w:t xml:space="preserve">Abstract (EN): </w:t>
      </w:r>
      <w:r>
        <w:t>The origin of cancer is poorly understood because premalignant cells are rarely followed in their native environments. While the spatial compartmentalization of metabolic functions is critical for proper liver function, it is unknown if cancers arise from some zones but not others, and if there are metabolic determinants of cancer risk. Zone-specific, mosaic introduction of</w:t>
      </w:r>
      <w:r>
        <w:t xml:space="preserve"> </w:t>
      </w:r>
      <w:r>
        <w:t>Ctnnb1</w:t>
      </w:r>
      <w:r>
        <w:t xml:space="preserve"> </w:t>
      </w:r>
      <w:r>
        <w:t>and</w:t>
      </w:r>
      <w:r>
        <w:t xml:space="preserve"> </w:t>
      </w:r>
      <w:r>
        <w:t>Arid2</w:t>
      </w:r>
      <w:r>
        <w:t xml:space="preserve"> </w:t>
      </w:r>
      <w:r>
        <w:t>mutations, commonly co-mutated genes in hepatocellular carcinoma (HCC), showed that position and metabolic context determine clone fates.</w:t>
      </w:r>
      <w:r>
        <w:t xml:space="preserve"> </w:t>
      </w:r>
      <w:r>
        <w:t>Ctnnb1/Arid2</w:t>
      </w:r>
      <w:r>
        <w:t xml:space="preserve"> </w:t>
      </w:r>
      <w:r>
        <w:t>-driven cancers were much more likely to arise in zone 3. The zone 3 genes</w:t>
      </w:r>
      <w:r>
        <w:t xml:space="preserve"> </w:t>
      </w:r>
      <w:r>
        <w:t>Gstm2</w:t>
      </w:r>
      <w:r>
        <w:t xml:space="preserve"> </w:t>
      </w:r>
      <w:r>
        <w:t>and</w:t>
      </w:r>
      <w:r>
        <w:t xml:space="preserve"> </w:t>
      </w:r>
      <w:r>
        <w:t>Gstm3</w:t>
      </w:r>
      <w:r>
        <w:t xml:space="preserve"> </w:t>
      </w:r>
      <w:r>
        <w:t>were required for efficient HCC initiation, in part through inhibition of ferroptosis. In the liver, the zonal determinants of HCC development can reveal metabolic vulnerabilities of cancer.</w:t>
      </w:r>
    </w:p>
    <w:p>
      <w:pPr>
        <w:spacing w:before="120" w:after="120"/>
      </w:pPr>
      <w:r>
        <w:rPr>
          <w:sz w:val="18"/>
        </w:rPr>
        <w:t>——————————————————————————————————————————————————————————————————————</w:t>
      </w:r>
    </w:p>
    <w:p>
      <w:pPr>
        <w:spacing w:before="160" w:after="40" w:line="240" w:lineRule="auto"/>
      </w:pPr>
      <w:r>
        <w:rPr>
          <w:b/>
        </w:rPr>
        <w:t xml:space="preserve">[611] </w:t>
      </w:r>
      <w:hyperlink r:id="rId966">
        <w:r>
          <w:rPr>
            <w:color w:val="1155CC"/>
            <w:u w:val="single"/>
          </w:rPr>
          <w:t>Hebbian 学习过程中的随机变化的平衡</w:t>
        </w:r>
      </w:hyperlink>
    </w:p>
    <w:p>
      <w:pPr>
        <w:spacing w:before="0" w:after="80"/>
      </w:pPr>
      <w:r>
        <w:rPr>
          <w:i/>
          <w:sz w:val="20"/>
        </w:rPr>
        <w:t>EN: Representational drift reflects ongoing balancing of stochastic changes by Hebbian learning</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67">
        <w:r>
          <w:rPr>
            <w:color w:val="1155CC"/>
            <w:u w:val="single"/>
          </w:rPr>
          <w:t>10.1073/pnas.2503046123</w:t>
        </w:r>
      </w:hyperlink>
    </w:p>
    <w:p>
      <w:pPr>
        <w:spacing w:before="0" w:after="120"/>
      </w:pPr>
      <w:r>
        <w:rPr>
          <w:b/>
        </w:rPr>
        <w:t xml:space="preserve">Notes: </w:t>
      </w:r>
      <w:r>
        <w:t>abstract_source=pubmed</w:t>
      </w:r>
    </w:p>
    <w:p>
      <w:pPr>
        <w:spacing w:before="0" w:after="80" w:lineRule="auto" w:line="276"/>
      </w:pPr>
      <w:r>
        <w:rPr>
          <w:b/>
        </w:rPr>
        <w:t xml:space="preserve">摘要（ZH）: </w:t>
      </w:r>
      <w:r>
        <w:t>最近有证据表明,即使在稳定的环境和行为条件下,对感官刺激的反应在几天内不断调整,称为代表漂移,但这一现象背后的过程仍然不甚为人理解。研究在老鼠听觉皮层的慢性钙成像实验中神经配对的信号和噪音相关性的动态,我们调查活动依赖性、赫比亚相似的塑料性和活动依赖性、随机合成过程如何促成代表漂移。我们发现信号相关性预测未来噪音的关联性,表明刺激性诱发的活化会增加神经配对之间有效的连通性。此外,简单的里程,我们发现信号关联性可以预测未来噪音的关联性,表明刺激性诱发的活化会增加神经配对之间的有效连通性。</w:t>
      </w:r>
    </w:p>
    <w:p>
      <w:pPr>
        <w:spacing w:before="0" w:after="200" w:lineRule="auto" w:line="276"/>
      </w:pPr>
      <w:r>
        <w:rPr>
          <w:b/>
        </w:rPr>
        <w:t xml:space="preserve">Abstract (EN): </w:t>
      </w:r>
      <w:r>
        <w:t>Recent evidence indicates that even under stable environmental and behavioral conditions, responses to sensory stimuli undergo continuous reformatting over the course of days, a condition described as representational drift. However, the processes underlying this phenomenon remain poorly understood. Examining the dynamics of signal and noise correlations among neuron pairs in chronic calcium imaging experiments in the mouse auditory cortex, we investigate how activity-dependent, Hebbian-like plasticity and activity-independent, stochastic synaptic processes contribute to representational drift. We found that signal correlations predict future noise correlations, suggesting that stimulus-induced coactivation leads to increased effective connectivity between neuron pairs. Moreover, simple linear network models were able to account for the observed temporal dependencies between signal and noise correlations, but only if both Hebbian-like plasticity and stochastic changes of either inputs or recurrent synapses contribute to representational drift. In conclusion, our findings suggest that continuous sensory input-driven Hebbian-like plasticity can balance ongoing stochastic synaptic changes, thereby preventing the network's functional degradation.</w:t>
      </w:r>
    </w:p>
    <w:p>
      <w:pPr>
        <w:spacing w:before="120" w:after="120"/>
      </w:pPr>
      <w:r>
        <w:rPr>
          <w:sz w:val="18"/>
        </w:rPr>
        <w:t>——————————————————————————————————————————————————————————————————————</w:t>
      </w:r>
    </w:p>
    <w:p>
      <w:pPr>
        <w:spacing w:before="160" w:after="40" w:line="240" w:lineRule="auto"/>
      </w:pPr>
      <w:r>
        <w:rPr>
          <w:b/>
        </w:rPr>
        <w:t xml:space="preserve">[612] </w:t>
      </w:r>
      <w:hyperlink r:id="rId968">
        <w:r>
          <w:rPr>
            <w:color w:val="1155CC"/>
            <w:u w:val="single"/>
          </w:rPr>
          <w:t>哺乳动物小脑发育中基因调节的演变</w:t>
        </w:r>
      </w:hyperlink>
    </w:p>
    <w:p>
      <w:pPr>
        <w:spacing w:before="0" w:after="80"/>
      </w:pPr>
      <w:r>
        <w:rPr>
          <w:i/>
          <w:sz w:val="20"/>
        </w:rPr>
        <w:t>EN: The evolution of gene regulation in mammalian cerebellum development</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69">
        <w:r>
          <w:rPr>
            <w:color w:val="1155CC"/>
            <w:u w:val="single"/>
          </w:rPr>
          <w:t>10.1126/science.adw9154</w:t>
        </w:r>
      </w:hyperlink>
    </w:p>
    <w:p>
      <w:pPr>
        <w:spacing w:before="0" w:after="120"/>
      </w:pPr>
      <w:r>
        <w:rPr>
          <w:b/>
        </w:rPr>
        <w:t xml:space="preserve">Notes: </w:t>
      </w:r>
      <w:r>
        <w:t>abstract_source=pubmed</w:t>
      </w:r>
    </w:p>
    <w:p>
      <w:pPr>
        <w:spacing w:before="0" w:after="80" w:lineRule="auto" w:line="276"/>
      </w:pPr>
      <w:r>
        <w:rPr>
          <w:b/>
        </w:rPr>
        <w:t xml:space="preserve">摘要（ZH）: </w:t>
      </w:r>
      <w:r>
        <w:t>基因监管变化被认为是进化创新的主要驱动因素,包括小脑在人类进化过程中的扩张,但是这些变化在很大程度上仍未探索。 在这项研究中,我们将六种哺乳动物(人类、公益生物、macaque、marmoset、鼠鼠、和oposum)的基因表达和铬接触的单核测量和染色体测量结合起来,以发现小脑发展中受保护和差异的监管网络。我们确定了细胞身份的核心监管者和开发出披露受保护监管规范的基于序列的模型。我们通过预测240个哺乳动物物种的染色体可获取性,重建了人类切片监管元素的进化史,确定了与积极选择和基因表达变化有关的数据集,包括基因表达变化。</w:t>
      </w:r>
    </w:p>
    <w:p>
      <w:pPr>
        <w:spacing w:before="0" w:after="200" w:lineRule="auto" w:line="276"/>
      </w:pPr>
      <w:r>
        <w:rPr>
          <w:b/>
        </w:rPr>
        <w:t xml:space="preserve">Abstract (EN): </w:t>
      </w:r>
      <w:r>
        <w:t>Gene regulatory changes are considered major drivers of evolutionary innovations, including the cerebellum's expansion during human evolution, yet they remain largely unexplored. In this study, we combined single-nucleus measurements of gene expression and chromatin accessibility from six mammals (human, bonobo, macaque, marmoset, mouse, and opossum) to uncover conserved and diverged regulatory networks in cerebellum development. We identified core regulators of cell identity and developed sequence-based models that revealed conserved regulatory codes. By predicting chromatin accessibility across 240 mammalian species, we reconstructed the evolutionary histories of human cis-regulatory elements, identifying sets associated with positive selection and gene expression changes, including the recent gain of THRB expression in cerebellar progenitor cells. Collectively, our work reveals the shared and mammalian lineage-specific regulatory programs governing cerebellum development.</w:t>
      </w:r>
    </w:p>
    <w:p>
      <w:pPr>
        <w:spacing w:before="120" w:after="120"/>
      </w:pPr>
      <w:r>
        <w:rPr>
          <w:sz w:val="18"/>
        </w:rPr>
        <w:t>——————————————————————————————————————————————————————————————————————</w:t>
      </w:r>
    </w:p>
    <w:p>
      <w:pPr>
        <w:spacing w:before="160" w:after="40" w:line="240" w:lineRule="auto"/>
      </w:pPr>
      <w:r>
        <w:rPr>
          <w:b/>
        </w:rPr>
        <w:t xml:space="preserve">[613] </w:t>
      </w:r>
      <w:hyperlink r:id="rId970">
        <w:r>
          <w:rPr>
            <w:color w:val="1155CC"/>
            <w:u w:val="single"/>
          </w:rPr>
          <w:t>DNA-蛋白质交叉链接促进CGAS-Sting-Sting-由过早老化和胚胎致死驱动的CGAS-Sting-</w:t>
        </w:r>
      </w:hyperlink>
    </w:p>
    <w:p>
      <w:pPr>
        <w:spacing w:before="0" w:after="80"/>
      </w:pPr>
      <w:r>
        <w:rPr>
          <w:i/>
          <w:sz w:val="20"/>
        </w:rPr>
        <w:t>EN: DNA-protein cross-links promote cGAS-STING–driven premature aging and embryonic lethality</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71">
        <w:r>
          <w:rPr>
            <w:color w:val="1155CC"/>
            <w:u w:val="single"/>
          </w:rPr>
          <w:t>10.1126/science.adx9445</w:t>
        </w:r>
      </w:hyperlink>
    </w:p>
    <w:p>
      <w:pPr>
        <w:spacing w:before="0" w:after="120"/>
      </w:pPr>
      <w:r>
        <w:rPr>
          <w:b/>
        </w:rPr>
        <w:t xml:space="preserve">Notes: </w:t>
      </w:r>
      <w:r>
        <w:t>abstract_source=pubmed</w:t>
      </w:r>
    </w:p>
    <w:p>
      <w:pPr>
        <w:spacing w:before="0" w:after="80" w:lineRule="auto" w:line="276"/>
      </w:pPr>
      <w:r>
        <w:rPr>
          <w:b/>
        </w:rPr>
        <w:t xml:space="preserve">摘要（ZH）: </w:t>
      </w:r>
      <w:r>
        <w:t>DNA-蛋白质交叉链接(DPCs)是高度有毒的DNA损伤,阻断复制和转录,但对生物生理学的影响不明。我们确定金属蛋白SPRTN在防止由DPC驱动的免疫及其病理后果方面的作用。在复制和分裂过程中SPRTN活动的丧失导致DNA损害未解决、染色体隔离错误、微核核形成和细胞脱氧脱氧脱氧脱氧脱氧脱氧脱氧脱氧脱氧脱氧释放,从而激活循环的GMP-AMP合成酶(cGAS) -- -- 环形基因途径模拟器。在Ruijs-Aalfs progeria综合症的Sprtn Knock-in鼠模型中,慢性CGas-Sting信号通过炎和内生免疫反应导致胚胎致命性。幸存的老鼠展示了从胚胎发开始的老的苯型。</w:t>
      </w:r>
    </w:p>
    <w:p>
      <w:pPr>
        <w:spacing w:before="0" w:after="200" w:lineRule="auto" w:line="276"/>
      </w:pPr>
      <w:r>
        <w:rPr>
          <w:b/>
        </w:rPr>
        <w:t xml:space="preserve">Abstract (EN): </w:t>
      </w:r>
      <w:r>
        <w:t>DNA-protein cross-links (DPCs) are highly toxic DNA lesions that block replication and transcription, but their impact on organismal physiology is unclear. We identified a role for the metalloprotease SPRTN in preventing DPC-driven immunity and its pathological consequences. Loss of SPRTN activity during replication and mitosis lead to unresolved DNA damage, chromosome segregation errors, micronuclei formation, and cytosolic DNA release that activates the cyclic GMP-AMP synthase (cGAS)-stimulator of interferon genes (STING) pathway. In a Sprtn knock-in mouse model of Ruijs-Aalfs progeria syndrome, chronic cGas-Sting signaling caused embryonic lethality through inflammation and innate immune responses. Surviving mice displayed aging phenotypes beginning in embryogenesis, which persisted into adulthood. Genetic or pharmacological inhibition of cGas-Sting rescued embryonic lethality and alleviated progeroid phenotypes.</w:t>
      </w:r>
    </w:p>
    <w:p>
      <w:pPr>
        <w:spacing w:before="120" w:after="120"/>
      </w:pPr>
      <w:r>
        <w:rPr>
          <w:sz w:val="18"/>
        </w:rPr>
        <w:t>——————————————————————————————————————————————————————————————————————</w:t>
      </w:r>
    </w:p>
    <w:p>
      <w:pPr>
        <w:spacing w:before="160" w:after="40" w:line="240" w:lineRule="auto"/>
      </w:pPr>
      <w:r>
        <w:rPr>
          <w:b/>
        </w:rPr>
        <w:t xml:space="preserve">[614] </w:t>
      </w:r>
      <w:hyperlink r:id="rId972">
        <w:r>
          <w:rPr>
            <w:color w:val="1155CC"/>
            <w:u w:val="single"/>
          </w:rPr>
          <w:t>高精度跟踪人类觅食者发现野外适应性的社会信息使用</w:t>
        </w:r>
      </w:hyperlink>
    </w:p>
    <w:p>
      <w:pPr>
        <w:spacing w:before="0" w:after="80"/>
      </w:pPr>
      <w:r>
        <w:rPr>
          <w:i/>
          <w:sz w:val="20"/>
        </w:rPr>
        <w:t>EN: High-precision tracking of human foragers reveals adaptive social information use in the wild</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73">
        <w:r>
          <w:rPr>
            <w:color w:val="1155CC"/>
            <w:u w:val="single"/>
          </w:rPr>
          <w:t>10.1126/science.ady1055</w:t>
        </w:r>
      </w:hyperlink>
    </w:p>
    <w:p>
      <w:pPr>
        <w:spacing w:before="0" w:after="120"/>
      </w:pPr>
      <w:r>
        <w:rPr>
          <w:b/>
        </w:rPr>
        <w:t xml:space="preserve">Notes: </w:t>
      </w:r>
      <w:r>
        <w:t>abstract_source=pubmed</w:t>
      </w:r>
    </w:p>
    <w:p>
      <w:pPr>
        <w:spacing w:before="0" w:after="80" w:lineRule="auto" w:line="276"/>
      </w:pPr>
      <w:r>
        <w:rPr>
          <w:b/>
        </w:rPr>
        <w:t xml:space="preserve">摘要（ZH）: </w:t>
      </w:r>
      <w:r>
        <w:t>将高精度全球定位系统(GPS)的跟踪和视频视频视频带与大规模开发竞赛的大规模开发竞赛与认知-计算模型模型和代理模拟相结合,我们展示了先驱者如何将个人、社会和生态信息结合起来,以指导空间搜索和分离决定。我们展示了社会环境如何作为开发动态的关键驱动力出现。</w:t>
      </w:r>
    </w:p>
    <w:p>
      <w:pPr>
        <w:spacing w:before="0" w:after="200" w:lineRule="auto" w:line="276"/>
      </w:pPr>
      <w:r>
        <w:rPr>
          <w:b/>
        </w:rPr>
        <w:t xml:space="preserve">Abstract (EN): </w:t>
      </w:r>
      <w:r>
        <w:t>Foraging complexity and competitive social challenges are considered key drivers of human cognition. Yet, the decision-making mechanisms that underlie social foraging in the real world remain unknown. Integrating high-precision Global Positioning System (GPS) tracking and video footage from large-scale foraging competitions with cognitive-computational modeling and agent-based simulations, we show how foragers integrate personal, social, and ecological information to guide spatial search and patch-leaving decisions. We show how the social context emerges as a key driver of foraging dynamics. Foragers adaptively rely on social information to locate resources when unsuccessful and extend giving-up times in the presence of others, which results in increased area-restricted search at high social densities. These findings demonstrate the importance of sociality for human foraging decisions and provide a template for harnessing high-resolution tracking data to study real-world cognition.</w:t>
      </w:r>
    </w:p>
    <w:p>
      <w:pPr>
        <w:spacing w:before="120" w:after="120"/>
      </w:pPr>
      <w:r>
        <w:rPr>
          <w:sz w:val="18"/>
        </w:rPr>
        <w:t>——————————————————————————————————————————————————————————————————————</w:t>
      </w:r>
    </w:p>
    <w:p>
      <w:pPr>
        <w:spacing w:before="160" w:after="40" w:line="240" w:lineRule="auto"/>
      </w:pPr>
      <w:r>
        <w:rPr>
          <w:b/>
        </w:rPr>
        <w:t xml:space="preserve">[615] </w:t>
      </w:r>
      <w:hyperlink r:id="rId974">
        <w:r>
          <w:rPr>
            <w:color w:val="1155CC"/>
            <w:u w:val="single"/>
          </w:rPr>
          <w:t>Wafer-规模超强丁和制服范德华</w:t>
        </w:r>
      </w:hyperlink>
    </w:p>
    <w:p>
      <w:pPr>
        <w:spacing w:before="0" w:after="80"/>
      </w:pPr>
      <w:r>
        <w:rPr>
          <w:i/>
          <w:sz w:val="20"/>
        </w:rPr>
        <w:t>EN: Wafer-scale ultrathin and uniform van der Waals ferroelectric oxide</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75">
        <w:r>
          <w:rPr>
            <w:color w:val="1155CC"/>
            <w:u w:val="single"/>
          </w:rPr>
          <w:t>10.1126/science.adz1655</w:t>
        </w:r>
      </w:hyperlink>
    </w:p>
    <w:p>
      <w:pPr>
        <w:spacing w:before="0" w:after="120"/>
      </w:pPr>
      <w:r>
        <w:rPr>
          <w:b/>
        </w:rPr>
        <w:t xml:space="preserve">Notes: </w:t>
      </w:r>
      <w:r>
        <w:t>abstract_source=pubmed</w:t>
      </w:r>
    </w:p>
    <w:p>
      <w:pPr>
        <w:spacing w:before="0" w:after="80" w:lineRule="auto" w:line="276"/>
      </w:pPr>
      <w:r>
        <w:rPr>
          <w:b/>
        </w:rPr>
        <w:t xml:space="preserve">摘要（ZH）: </w:t>
      </w:r>
      <w:r>
        <w:t>在非挥发性内存和下一代电子设备方面,电电极具有巨大的潜力,但常规的氧化铁薄膜通常在结构上不统一、相互分解和性能退化,特别是在降级到先进技术节点时。我们展示了超光速范德华(VdW)高电常电常量铁氧化物(Bi2SeO5)与高电常电常电氧化物(VdW)的集成、瓦氏体(VdW)的高电常电常电常电连续集成和后端相兼容的集成,在单层厚处保持最佳的强制场和强力铁电。Ultrathin vdW 铁氧化物与二维半导体和产生的铁电场效应晶体(FET)阵列形成原子统一的接口,与二维半导体和产生的铁电场效应晶体(FEFET)阵列和低操作伏(0.8伏)、例外的循环内极形成原子统一接口。</w:t>
      </w:r>
    </w:p>
    <w:p>
      <w:pPr>
        <w:spacing w:before="0" w:after="200" w:lineRule="auto" w:line="276"/>
      </w:pPr>
      <w:r>
        <w:rPr>
          <w:b/>
        </w:rPr>
        <w:t xml:space="preserve">Abstract (EN): </w:t>
      </w:r>
      <w:r>
        <w:t>Ferroelectrics have great potential for nonvolatile memory and next-generation electronics, but conventional ferroelectric oxide films generally suffer structural nonuniformity, interfacial depolarization, and performance degradation, particularly when downscaled to advanced technology nodes. We demonstrate uniform, wafer-scale synthesis and back-end-of-line-compatible integration of ultrathin van der Waals (vdW) high-dielectric constant ferroelectric oxide Bi2SeO5, retaining an optimal coercive field and robust ferroelectricity at monolayer thickness. Ultrathin vdW ferroelectric oxides formed atomically uniform interfaces with two-dimensional semiconductors and yielded ferroelectric field-effect transistor (FeFET) arrays with a low operating voltage (0.8 volts), exceptional cycling endurance (&gt;1.5 × 1012 cycles), fast write speed (20 nanoseconds), high on/off ratio (106), 10-year retention, ultralow energy consumption (2.8 femtojoules per bit per square micrometer), and &lt;5% device-to-device variation. Reconfigurable logic-in-memory circuits with these FeFETs function at supply voltages of &lt;1 volt.</w:t>
      </w:r>
    </w:p>
    <w:p>
      <w:pPr>
        <w:spacing w:before="120" w:after="120"/>
      </w:pPr>
      <w:r>
        <w:rPr>
          <w:sz w:val="18"/>
        </w:rPr>
        <w:t>——————————————————————————————————————————————————————————————————————</w:t>
      </w:r>
    </w:p>
    <w:p>
      <w:pPr>
        <w:spacing w:before="160" w:after="40" w:line="240" w:lineRule="auto"/>
      </w:pPr>
      <w:r>
        <w:rPr>
          <w:b/>
        </w:rPr>
        <w:t xml:space="preserve">[616] </w:t>
      </w:r>
      <w:hyperlink r:id="rId976">
        <w:r>
          <w:rPr>
            <w:color w:val="1155CC"/>
            <w:u w:val="single"/>
          </w:rPr>
          <w:t>类阿片过量死亡的`无科学 '</w:t>
        </w:r>
      </w:hyperlink>
    </w:p>
    <w:p>
      <w:pPr>
        <w:spacing w:before="0" w:after="80"/>
      </w:pPr>
      <w:r>
        <w:rPr>
          <w:i/>
          <w:sz w:val="20"/>
        </w:rPr>
        <w:t>EN: The ‘undone science’ of opioid overdose deaths</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77">
        <w:r>
          <w:rPr>
            <w:color w:val="1155CC"/>
            <w:u w:val="single"/>
          </w:rPr>
          <w:t>10.1126/science.aee8306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[617] </w:t>
      </w:r>
      <w:hyperlink r:id="rId978">
        <w:r>
          <w:rPr>
            <w:color w:val="1155CC"/>
            <w:u w:val="single"/>
          </w:rPr>
          <w:t>摇动和推动天空:形成无临界电流的无平衡级</w:t>
        </w:r>
      </w:hyperlink>
    </w:p>
    <w:p>
      <w:pPr>
        <w:spacing w:before="0" w:after="80"/>
      </w:pPr>
      <w:r>
        <w:rPr>
          <w:i/>
          <w:sz w:val="20"/>
        </w:rPr>
        <w:t>EN: Shaking and pushing skyrmions: Formation of a nonequilibrium phase with zero critical current</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79">
        <w:r>
          <w:rPr>
            <w:color w:val="1155CC"/>
            <w:u w:val="single"/>
          </w:rPr>
          <w:t>10.1073/pnas.2507428123</w:t>
        </w:r>
      </w:hyperlink>
    </w:p>
    <w:p>
      <w:pPr>
        <w:spacing w:before="0" w:after="120"/>
      </w:pPr>
      <w:r>
        <w:rPr>
          <w:b/>
        </w:rPr>
        <w:t xml:space="preserve">Notes: </w:t>
      </w:r>
      <w:r>
        <w:t>abstract_source=pubmed</w:t>
      </w:r>
    </w:p>
    <w:p>
      <w:pPr>
        <w:spacing w:before="0" w:after="80" w:lineRule="auto" w:line="276"/>
      </w:pPr>
      <w:r>
        <w:rPr>
          <w:b/>
        </w:rPr>
        <w:t xml:space="preserve">摘要（ZH）: </w:t>
      </w:r>
      <w:r>
        <w:t>在三维手动磁铁中, 天空是与应用磁场平行的直线相似的物体。 磁性云层和磁场的高效结合使得它们能够进行动态操纵。 在这里, 当以毫秒的时标缓慢地以几度左右振动场向时, 当用电流同时推动天体阵列时, 我们探索天体阵列的动态。 实地振荡引发了天体阵线方向的抖动, 导致翻译运动的关键顶流消失的阶段。 我们测量 MnSi 的反向易感性, 以跟踪由海流、 振动场或电流的组合引发的各种振动阶段转变。 ef</w:t>
      </w:r>
    </w:p>
    <w:p>
      <w:pPr>
        <w:spacing w:before="0" w:after="200" w:lineRule="auto" w:line="276"/>
      </w:pPr>
      <w:r>
        <w:rPr>
          <w:b/>
        </w:rPr>
        <w:t xml:space="preserve">Abstract (EN): </w:t>
      </w:r>
      <w:r>
        <w:t>In three-dimensional chiral magnets, skyrmions are line-like objects oriented parallel to the applied magnetic field. The efficient coupling of magnetic skyrmion lattices to spin currents and magnetic fields permits their dynamical manipulation. Here, we explore the dynamics of skyrmion lattices when slowly oscillating the field direction by up to a few degrees on millisecond timescales while simultaneously pushing the skyrmion lattice by electric currents. The field oscillations induce a shaking of the orientation of the skyrmion lines, leading to a phase where the critical depinning current for translational motion vanishes. We measure the transverse susceptibility of MnSi to track various depinning phase transitions induced by currents, oscillating fields, or combinations thereof. An effective slip-stick model for the bending and motion of the skyrmion lines in the presence of disorder explains main features of the experiment and predicts the existence of several dynamical skyrmion lattice phases under shaking and pushing representing phases of matter far from thermal equilibrium.</w:t>
      </w:r>
    </w:p>
    <w:p>
      <w:pPr>
        <w:spacing w:before="120" w:after="120"/>
      </w:pPr>
      <w:r>
        <w:rPr>
          <w:sz w:val="18"/>
        </w:rPr>
        <w:t>——————————————————————————————————————————————————————————————————————</w:t>
      </w:r>
    </w:p>
    <w:p>
      <w:pPr>
        <w:spacing w:before="160" w:after="40" w:line="240" w:lineRule="auto"/>
      </w:pPr>
      <w:r>
        <w:rPr>
          <w:b/>
        </w:rPr>
        <w:t xml:space="preserve">[618] </w:t>
      </w:r>
      <w:hyperlink r:id="rId980">
        <w:r>
          <w:rPr>
            <w:color w:val="1155CC"/>
            <w:u w:val="single"/>
          </w:rPr>
          <w:t>Rhombohedral多层石墨中轨道长垂直磁电联结</w:t>
        </w:r>
      </w:hyperlink>
    </w:p>
    <w:p>
      <w:pPr>
        <w:spacing w:before="0" w:after="80"/>
      </w:pPr>
      <w:r>
        <w:rPr>
          <w:i/>
          <w:sz w:val="20"/>
        </w:rPr>
        <w:t>EN: Orbital longitudinal magnetoelectric coupling in rhombohedral multilayer graphene</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81">
        <w:r>
          <w:rPr>
            <w:color w:val="1155CC"/>
            <w:u w:val="single"/>
          </w:rPr>
          <w:t>10.1073/pnas.2506751123</w:t>
        </w:r>
      </w:hyperlink>
    </w:p>
    <w:p>
      <w:pPr>
        <w:spacing w:before="0" w:after="120"/>
      </w:pPr>
      <w:r>
        <w:rPr>
          <w:b/>
        </w:rPr>
        <w:t xml:space="preserve">Notes: </w:t>
      </w:r>
      <w:r>
        <w:t>abstract_source=pubmed</w:t>
      </w:r>
    </w:p>
    <w:p>
      <w:pPr>
        <w:spacing w:before="0" w:after="80" w:lineRule="auto" w:line="276"/>
      </w:pPr>
      <w:r>
        <w:rPr>
          <w:b/>
        </w:rPr>
        <w:t xml:space="preserve">摘要（ZH）: </w:t>
      </w:r>
      <w:r>
        <w:t>磁电联结能够操纵电场的磁化和磁场的两极分化。 通常在具有大型旋转轨道联结的重元素材料中发现,但最近关于伦本贝赫式堆叠式五层石墨的实验显示,在没有旋转轨道联结的情况下,进行了纵向磁电联结(LMC)的实验。 在这里,我们开发了一个在分层量子材料中LMC的微显微理论,并确定它如何受“ 层空间” 量子几何测量法的控制。 聚焦于伦博赫式多层石墨系统,我们发现,LMC 和山谷- 极化电场之间的相互作用产生了一种由平板外电场控制的蝴蝶形磁性歇斯氏体:LMC 的标志和多发性峡谷秩序。 此外,我们发现了一种非硅。 此外,我们确定了一种非硅。</w:t>
      </w:r>
    </w:p>
    <w:p>
      <w:pPr>
        <w:spacing w:before="0" w:after="200" w:lineRule="auto" w:line="276"/>
      </w:pPr>
      <w:r>
        <w:rPr>
          <w:b/>
        </w:rPr>
        <w:t xml:space="preserve">Abstract (EN): </w:t>
      </w:r>
      <w:r>
        <w:t>Magnetoelectric coupling enables the manipulation of magnetization by electric fields and polarization by magnetic fields. While typically found in heavy element materials with large spin-orbit coupling, recent experiments on rhombohedral-stacked pentalayer graphene have demonstrated a longitudinal magnetoelectric coupling (LMC) without spin-orbit coupling. Here, we develop a microscopic theory of LMC in layered quantum materials and identify how it is controlled by a "layer-space" quantum geometry. Focusing on rhombohedral multilayer graphene systems, we find that the interplay between LMC and valley-polarized order produces a butterfly shaped magnetic hysteresis controlled by out-of-plane electric field: a signature of LMC and a multiferroic valley order. Furthermore, we identify a nonlinear LMC in rhombohedral multilayer graphene under time-reversal symmetry, while the absence of centrosymmetry enables the generation of a second-order nonlinear electric dipole moment in response to an out-of-plane magnetic field. Our theoretical framework provides a quantitative understanding of LMC, as well as the emergent magnetoelectric properties of rhombohedral multilayer graphene.</w:t>
      </w:r>
    </w:p>
    <w:p>
      <w:pPr>
        <w:spacing w:before="120" w:after="120"/>
      </w:pPr>
      <w:r>
        <w:rPr>
          <w:sz w:val="18"/>
        </w:rPr>
        <w:t>——————————————————————————————————————————————————————————————————————</w:t>
      </w:r>
    </w:p>
    <w:p>
      <w:pPr>
        <w:spacing w:before="160" w:after="40" w:line="240" w:lineRule="auto"/>
      </w:pPr>
      <w:r>
        <w:rPr>
          <w:b/>
        </w:rPr>
        <w:t xml:space="preserve">[619] </w:t>
      </w:r>
      <w:hyperlink r:id="rId982">
        <w:r>
          <w:rPr>
            <w:color w:val="1155CC"/>
            <w:u w:val="single"/>
          </w:rPr>
          <w:t>该组群规则指导异己-寡叶细菌组织及其进化签字</w:t>
        </w:r>
      </w:hyperlink>
    </w:p>
    <w:p>
      <w:pPr>
        <w:spacing w:before="0" w:after="80"/>
      </w:pPr>
      <w:r>
        <w:rPr>
          <w:i/>
          <w:sz w:val="20"/>
        </w:rPr>
        <w:t>EN: The assembly rules guiding hetero-oligomeric bacterioferritin organization and their evolutionary signature</w:t>
      </w:r>
    </w:p>
    <w:p>
      <w:pPr>
        <w:spacing w:before="0" w:after="120"/>
      </w:pPr>
      <w:r>
        <w:rPr>
          <w:b/>
        </w:rPr>
        <w:t xml:space="preserve">Source: </w:t>
      </w:r>
      <w:r>
        <w:t>Proceedings of the National Academy of Sciences: Keyword search for query</w:t>
      </w:r>
      <w:r>
        <w:t xml:space="preserve">    </w:t>
      </w:r>
      <w:r>
        <w:rPr>
          <w:b/>
        </w:rPr>
        <w:t xml:space="preserve">Pub date: </w:t>
      </w:r>
      <w:r>
        <w:t>2026-01-29 08:00:00+00:00</w:t>
      </w:r>
      <w:r>
        <w:t xml:space="preserve">    </w:t>
      </w:r>
      <w:r>
        <w:rPr>
          <w:b/>
        </w:rPr>
        <w:t xml:space="preserve">DOI: </w:t>
      </w:r>
      <w:hyperlink r:id="rId983">
        <w:r>
          <w:rPr>
            <w:color w:val="1155CC"/>
            <w:u w:val="single"/>
          </w:rPr>
          <w:t>10.1073/pnas.2504561123</w:t>
        </w:r>
      </w:hyperlink>
    </w:p>
    <w:p>
      <w:pPr>
        <w:spacing w:before="0" w:after="120"/>
      </w:pPr>
      <w:r>
        <w:rPr>
          <w:b/>
        </w:rPr>
        <w:t xml:space="preserve">Notes: </w:t>
      </w:r>
      <w:r>
        <w:t>abstract_source=pubmed</w:t>
      </w:r>
    </w:p>
    <w:p>
      <w:pPr>
        <w:spacing w:before="0" w:after="80" w:lineRule="auto" w:line="276"/>
      </w:pPr>
      <w:r>
        <w:rPr>
          <w:b/>
        </w:rPr>
        <w:t xml:space="preserve">摘要（ZH）: </w:t>
      </w:r>
      <w:r>
        <w:t>基因重复和链条专业化导致的从同族向异性寡头动物的进化转变十分普遍,但对于维持寡头化和功能化提出了具有挑战性的要求。 在细菌、脊椎动物和植物中出现的氟化物链的专业化就是这一现象的一个突出例子。在异硫磷中,铁氧化物活动和电子转移这两个基本功能分为两种专门链类。许多异狄氏剂组成复杂体,其次单位比率可变,这意味着存在组装规则,平衡组成灵活性和结构限制。在这里,我们确定了关于结构限制的组装规则。</w:t>
      </w:r>
    </w:p>
    <w:p>
      <w:pPr>
        <w:spacing w:before="0" w:after="200" w:lineRule="auto" w:line="276"/>
      </w:pPr>
      <w:r>
        <w:rPr>
          <w:b/>
        </w:rPr>
        <w:t xml:space="preserve">Abstract (EN): </w:t>
      </w:r>
      <w:r>
        <w:t>Homomeric and heteromeric protein complexes are ubiquitous across all domains of life. The evolutionary transition from homo- to hetero-oligomers by gene duplication and chain specialization is widespread, yet it entails challenging requirements for maintaining oligomerization and functionality. Chain specialization in ferritins, which occurs in bacteria, vertebrates, and plants, is a salient example of this phenomenon. In heteroferritins, the two essential functions, ferroxidase activity and electron transfer, are split between two specialized chain types. Many heteroferritins assemble into complexes with variable subunit ratios, implying the existence of assembly rules that balance compositional flexibility with structural constraints. Here, we identify the assembly rules governing the organization of the heterobacterioferritin from Magnetospirillum gryphiswaldense (MSR-1 Bfr) by analyzing its cryo-EM reconstructions. These rules consist of structural constraints that limit the number of possible arrangements and promote juxtaposition of the two, now separated functions. These constraints support compositional flexibility while preserving function, thereby providing resilience to stochastic variation in oligomer stoichiometry. Bioinformatic analysis revealed that the assembly rules identified in MSR-1 Bfr are widespread across the Bfr family and coevolved with chain specialization. Together, these findings support leading models of hetero-oligomer evolution and reveal the emergence of order-exerting mutations that shape the organization of multimeric protein complexes while conserving function.</w:t>
      </w:r>
    </w:p>
    <w:p>
      <w:pPr>
        <w:spacing w:before="120" w:after="120"/>
      </w:pPr>
      <w:r>
        <w:rPr>
          <w:sz w:val="18"/>
        </w:rPr>
        <w:t>——————————————————————————————————————————————————————————————————————</w:t>
      </w:r>
    </w:p>
    <w:p>
      <w:pPr>
        <w:spacing w:before="160" w:after="40" w:line="240" w:lineRule="auto"/>
      </w:pPr>
      <w:r>
        <w:rPr>
          <w:b/>
        </w:rPr>
        <w:t xml:space="preserve">[620] </w:t>
      </w:r>
      <w:hyperlink r:id="rId984">
        <w:r>
          <w:rPr>
            <w:color w:val="1155CC"/>
            <w:u w:val="single"/>
          </w:rPr>
          <w:t>用于形成氨化氨化物债券的经过工程改造的aldhidyde de hydhydgenases</w:t>
        </w:r>
      </w:hyperlink>
    </w:p>
    <w:p>
      <w:pPr>
        <w:spacing w:before="0" w:after="80"/>
      </w:pPr>
      <w:r>
        <w:rPr>
          <w:i/>
          <w:sz w:val="20"/>
        </w:rPr>
        <w:t>EN: Engineered aldehyde dehydrogenases for amide bond formation</w:t>
      </w:r>
    </w:p>
    <w:p>
      <w:pPr>
        <w:spacing w:before="0" w:after="120"/>
      </w:pPr>
      <w:r>
        <w:rPr>
          <w:b/>
        </w:rPr>
        <w:t xml:space="preserve">Source: </w:t>
      </w:r>
      <w:r>
        <w:t>AAAS: Science: Table of Contents</w:t>
      </w:r>
      <w:r>
        <w:t xml:space="preserve">    </w:t>
      </w:r>
      <w:r>
        <w:rPr>
          <w:b/>
        </w:rPr>
        <w:t xml:space="preserve">Pub date: </w:t>
      </w:r>
      <w:r>
        <w:t>2026-01-29 08:00:00+00:00</w:t>
      </w:r>
      <w:r>
        <w:t xml:space="preserve">    </w:t>
      </w:r>
      <w:r>
        <w:rPr>
          <w:b/>
        </w:rPr>
        <w:t xml:space="preserve">DOI: </w:t>
      </w:r>
      <w:hyperlink r:id="rId985">
        <w:r>
          <w:rPr>
            <w:color w:val="1155CC"/>
            <w:u w:val="single"/>
          </w:rPr>
          <w:t>10.1126/science.adw3365</w:t>
        </w:r>
      </w:hyperlink>
    </w:p>
    <w:p>
      <w:pPr>
        <w:spacing w:before="0" w:after="120"/>
      </w:pPr>
      <w:r>
        <w:rPr>
          <w:b/>
        </w:rPr>
        <w:t xml:space="preserve">Notes: </w:t>
      </w:r>
      <w:r>
        <w:t>abstract_source=pubmed</w:t>
      </w:r>
    </w:p>
    <w:p>
      <w:pPr>
        <w:spacing w:before="0" w:after="80" w:lineRule="auto" w:line="276"/>
      </w:pPr>
      <w:r>
        <w:rPr>
          <w:b/>
        </w:rPr>
        <w:t xml:space="preserve">摘要（ZH）: </w:t>
      </w:r>
      <w:r>
        <w:t>氨化物联结形成在制药合成中被广泛使用,通常涉及使用合成合成合成物的合成物分辨分解试剂,以激活碳oxylic酸基质,进行凝结反应。作为一种替代方法,我们通过为氨胺制造一个更加疏水和宽度的催化口袋,将甲状腺脱氢酶重新定位为氧化性胺酶,以捕捉硫酯中间体。这种生物催化高效地促进了不同藻类和胺类之间形成氨化物联结。我们还开发了两步制酶联,以合成广泛可得的液态酒精中的氨化物。这种生物催化战略使五种药物分子的合成途径得以重新设计。我们的研究结果突出了氧化性粘合物在推进结构合成方面的潜力。</w:t>
      </w:r>
    </w:p>
    <w:p>
      <w:pPr>
        <w:spacing w:before="0" w:after="200" w:lineRule="auto" w:line="276"/>
      </w:pPr>
      <w:r>
        <w:rPr>
          <w:b/>
        </w:rPr>
        <w:t xml:space="preserve">Abstract (EN): </w:t>
      </w:r>
      <w:r>
        <w:t>Amide bond formation is widely used in pharmaceutical synthesis, typically involving stoichiometric coupling reagents to activate carboxylic acid substrates for a condensation reaction. As an alternative approach, we repurposed aldehyde dehydrogenases into oxidative amidases by creating a more hydrophobic and spacious catalytic pocket for amines to capture the thioester intermediate. This biocatalyst efficiently facilitates the formation of amide bonds between diverse aldehydes and amines. We also developed a two-step enzymatic cascade to synthesize amides from broadly available aliphatic alcohols. This biocatalytic strategy enabled the redesign of synthetic routes for five drug molecules. Our findings highlight the potential of oxidative amidases in advancing the synthesis of structurally diverse drug molecules through efficient amide bond formation.</w:t>
      </w:r>
    </w:p>
    <w:p>
      <w:pPr>
        <w:spacing w:before="120" w:after="120"/>
      </w:pPr>
      <w:r>
        <w:rPr>
          <w:sz w:val="18"/>
        </w:rPr>
        <w:t>——————————————————————————————————————————————————————————————————————</w:t>
      </w:r>
    </w:p>
    <w:p>
      <w:pPr>
        <w:spacing w:before="160" w:after="40" w:line="240" w:lineRule="auto"/>
      </w:pPr>
      <w:r>
        <w:rPr>
          <w:b/>
        </w:rPr>
        <w:t xml:space="preserve">[621] </w:t>
      </w:r>
      <w:hyperlink r:id="rId986">
        <w:r>
          <w:rPr>
            <w:color w:val="1155CC"/>
            <w:u w:val="single"/>
          </w:rPr>
          <w:t>[ASAP]观察从比率法向Hemmatite光电图上的活体控制水氧化动力学从比例法向巴特勒的过渡</w:t>
        </w:r>
      </w:hyperlink>
    </w:p>
    <w:p>
      <w:pPr>
        <w:spacing w:before="0" w:after="80"/>
      </w:pPr>
      <w:r>
        <w:rPr>
          <w:i/>
          <w:sz w:val="20"/>
        </w:rPr>
        <w:t>EN: [ASAP] Observation of Transition from Rate Law to Butler–Volmer Controlled Water Oxidation Kinetics on Hematite Photoanodes</w:t>
      </w:r>
    </w:p>
    <w:p>
      <w:pPr>
        <w:spacing w:before="0" w:after="120"/>
      </w:pPr>
      <w:r>
        <w:rPr>
          <w:b/>
        </w:rPr>
        <w:t xml:space="preserve">Source: </w:t>
      </w:r>
      <w:r>
        <w:t>Journal of the American Chemical Society: Latest Articles (ACS Publications)</w:t>
      </w:r>
      <w:r>
        <w:t xml:space="preserve">    </w:t>
      </w:r>
      <w:r>
        <w:rPr>
          <w:b/>
        </w:rPr>
        <w:t xml:space="preserve">Pub date: </w:t>
      </w:r>
      <w:r>
        <w:t>2026-01-29 09:03:04+00:00</w:t>
      </w:r>
      <w:r>
        <w:t xml:space="preserve">    </w:t>
      </w:r>
      <w:r>
        <w:rPr>
          <w:b/>
        </w:rPr>
        <w:t xml:space="preserve">DOI: </w:t>
      </w:r>
      <w:hyperlink r:id="rId987">
        <w:r>
          <w:rPr>
            <w:color w:val="1155CC"/>
            <w:u w:val="single"/>
          </w:rPr>
          <w:t>10.1021/jacs.5c18734</w:t>
        </w:r>
      </w:hyperlink>
    </w:p>
    <w:p>
      <w:pPr>
        <w:spacing w:before="0" w:after="120"/>
      </w:pPr>
      <w:r>
        <w:rPr>
          <w:b/>
        </w:rPr>
        <w:t xml:space="preserve">Notes: </w:t>
      </w:r>
      <w:r>
        <w:t>abstract_source=pubmed</w:t>
      </w:r>
    </w:p>
    <w:p>
      <w:pPr>
        <w:spacing w:before="0" w:after="80" w:lineRule="auto" w:line="276"/>
      </w:pPr>
      <w:r>
        <w:rPr>
          <w:b/>
        </w:rPr>
        <w:t xml:space="preserve">摘要（ZH）: </w:t>
      </w:r>
      <w:r>
        <w:t>尽管在光电化学(PEC)水分分割方面起着中心作用,但金属氧化物水的机械氧化途径仍未解决,因为基于人口的和巴特勒-Volmer(BV)模型对地表值带孔洞如何推动反应提供了不同的看法。 这里,我们结合了这两个观点,将Afforendo光诱发的吸收光谱与对α-Fe2O3(Hematte)光电层的光电流分析结合起来,作为光强度的函数。 我们发现,在低洞密度下,由人口控制、速度法式的水氧化到高度密度下的BV(BV)型、潜在驱动的高度系统,这是在地表M-OH物种完全氧化后因带边缘松动而触发的,而且无补偿地积累了过多的孔。</w:t>
      </w:r>
    </w:p>
    <w:p>
      <w:pPr>
        <w:spacing w:before="0" w:after="200" w:lineRule="auto" w:line="276"/>
      </w:pPr>
      <w:r>
        <w:rPr>
          <w:b/>
        </w:rPr>
        <w:t xml:space="preserve">Abstract (EN): </w:t>
      </w:r>
      <w:r>
        <w:t>Despite its central role in photoelectrochemical (PEC) water splitting, the mechanistic pathway of water oxidation on metal oxides remains unresolved, with population-based and Butler-Volmer (BV) models offering distinct views on how surface valence band holes drive the reaction. Here, we bring together these two perspectives by combining operando photoinduced absorption (PIA) spectroscopy with photocurrent analyses on α-Fe2O3 (hematite) photoanodes as a function of light intensity. We find a crossover from population-controlled, rate law water oxidation at low hole densities to a BV-like, potential driven regime at high densities, triggered by band edge unpinning once surface M-OH species are fully oxidized, and excess holes accumulate without compensation. This mechanistic transition unifies competing models of interfacial charge transfer and reveals design principles for optimizing water oxidation in metal oxide photoelectrodes.</w:t>
      </w:r>
    </w:p>
    <w:p>
      <w:pPr>
        <w:spacing w:before="120" w:after="120"/>
      </w:pPr>
      <w:r>
        <w:rPr>
          <w:sz w:val="18"/>
        </w:rPr>
        <w:t>——————————————————————————————————————————————————————————————————————</w:t>
      </w:r>
    </w:p>
    <w:p>
      <w:pPr>
        <w:spacing w:before="160" w:after="40" w:line="240" w:lineRule="auto"/>
      </w:pPr>
      <w:r>
        <w:rPr>
          <w:b/>
        </w:rPr>
        <w:t xml:space="preserve">[622] </w:t>
      </w:r>
      <w:hyperlink r:id="rId988">
        <w:r>
          <w:rPr>
            <w:color w:val="1155CC"/>
            <w:u w:val="single"/>
          </w:rPr>
          <w:t>[ASAP]利用Peptide 自我大会,通过序列控制下集成化来编程水文凝胶机械</w:t>
        </w:r>
      </w:hyperlink>
    </w:p>
    <w:p>
      <w:pPr>
        <w:spacing w:before="0" w:after="80"/>
      </w:pPr>
      <w:r>
        <w:rPr>
          <w:i/>
          <w:sz w:val="20"/>
        </w:rPr>
        <w:t>EN: [ASAP] Programming Hydrogel Mechanics via Sequence-Controlled Polymerization Using Peptide Self-Assembly</w:t>
      </w:r>
    </w:p>
    <w:p>
      <w:pPr>
        <w:spacing w:before="0" w:after="120"/>
      </w:pPr>
      <w:r>
        <w:rPr>
          <w:b/>
        </w:rPr>
        <w:t xml:space="preserve">Source: </w:t>
      </w:r>
      <w:r>
        <w:t>Journal of the American Chemical Society: Latest Articles (ACS Publications)</w:t>
      </w:r>
      <w:r>
        <w:t xml:space="preserve">    </w:t>
      </w:r>
      <w:r>
        <w:rPr>
          <w:b/>
        </w:rPr>
        <w:t xml:space="preserve">Pub date: </w:t>
      </w:r>
      <w:r>
        <w:t>2026-01-29 10:13:44+00:00</w:t>
      </w:r>
      <w:r>
        <w:t xml:space="preserve">    </w:t>
      </w:r>
      <w:r>
        <w:rPr>
          <w:b/>
        </w:rPr>
        <w:t xml:space="preserve">DOI: </w:t>
      </w:r>
      <w:hyperlink r:id="rId989">
        <w:r>
          <w:rPr>
            <w:color w:val="1155CC"/>
            <w:u w:val="single"/>
          </w:rPr>
          <w:t>10.1021/jacs.5c12182</w:t>
        </w:r>
      </w:hyperlink>
    </w:p>
    <w:p>
      <w:pPr>
        <w:spacing w:before="0" w:after="120"/>
      </w:pPr>
      <w:r>
        <w:rPr>
          <w:b/>
        </w:rPr>
        <w:t xml:space="preserve">Notes: </w:t>
      </w:r>
      <w:r>
        <w:t>abstract_source=pubmed</w:t>
      </w:r>
    </w:p>
    <w:p>
      <w:pPr>
        <w:spacing w:before="0" w:after="80" w:lineRule="auto" w:line="276"/>
      </w:pPr>
      <w:r>
        <w:rPr>
          <w:b/>
        </w:rPr>
        <w:t xml:space="preserve">摘要（ZH）: </w:t>
      </w:r>
      <w:r>
        <w:t>由于水含量高和聚合物浓度低,水文凝胶的机械特性往往较差,这限制了其在需要它们承受应用力的应用中的效用。在形成高度扩展的纤维纤维网络以僵化生物组织而形成的科林和活性等自然生物聚合物的启发下,我们开发了一个模块化战略,利用自组聚的peptides来引导在水文凝胶中形成共价聚合的二乙二烯网络。通过系统调控peptide序列,我们精确地控制了自组聚纳米纤维中的超分子组织和分子方向。这种优化使得自组装的聚纳米纤维中二乙烯细胞细胞能够高效地将二乙基苯聚合起来。</w:t>
      </w:r>
    </w:p>
    <w:p>
      <w:pPr>
        <w:spacing w:before="0" w:after="200" w:lineRule="auto" w:line="276"/>
      </w:pPr>
      <w:r>
        <w:rPr>
          <w:b/>
        </w:rPr>
        <w:t xml:space="preserve">Abstract (EN): </w:t>
      </w:r>
      <w:r>
        <w:t>Hydrogels often have poor mechanical properties due to their high water content and low polymer concentration, which limits their utility in applications that require them to withstand applied forces. Inspired by natural biopolymers such as collagen and actin, which form highly extended fibrillar networks that stiffen biological tissues, we developed a modular strategy that utilizes self-assembling peptides to direct the formation of covalently polymerized diacetylene networks in hydrogels. By systematically tuning peptide sequences, we precisely controlled the supramolecular organization and molecular orientation within the self-assembled nanofibers. This optimization enabled efficient topotactic polymerization of diacetylene moieties within the self-assembling peptides. Peptide sequences that readily promoted polymerization formed hydrogels with superior viscoelastic properties. Incorporation of these diacetylene peptide amphiphiles (DA-PAs) into covalently cross-linked poly(ethylene glycol) (PEG) hydrogels increased their mechanical stiffness 200-fold, while increasing viscous dissipation over 1,000 times. Modifying the chemical structure of the PEG cross-linker tuned the interfacial interactions between the covalent PEG and DA-PA networks, modulating stiffness by almost an order of magnitude. Since the DA-PAs readily dissolve in water prior to polymerization, they can be incorporated into most hydrogel systems. Adding them to alginate hydrogels led to an almost 20-fold increase in the hydrogel stiffness. This approach, merging peptide-driven supramolecular chemistry with precise covalent polymerization, provides powerful and versatile pathways for fabricating mechanically robust materials that offer new insights into how hierarchical structures can be used to improve hydrogel mechanics.</w:t>
      </w:r>
    </w:p>
    <w:p>
      <w:pPr>
        <w:spacing w:before="120" w:after="120"/>
      </w:pPr>
      <w:r>
        <w:rPr>
          <w:sz w:val="18"/>
        </w:rPr>
        <w:t>——————————————————————————————————————————————————————————————————————</w:t>
      </w:r>
    </w:p>
    <w:p>
      <w:pPr>
        <w:spacing w:before="160" w:after="40" w:line="240" w:lineRule="auto"/>
      </w:pPr>
      <w:r>
        <w:rPr>
          <w:b/>
        </w:rPr>
        <w:t xml:space="preserve">[623] </w:t>
      </w:r>
      <w:hyperlink r:id="rId990">
        <w:r>
          <w:rPr>
            <w:color w:val="1155CC"/>
            <w:u w:val="single"/>
          </w:rPr>
          <w:t>[ASAP]李-二氧化碳电池的表面超级拉特冰诱导的空间封闭使高压和长周期寿命</w:t>
        </w:r>
      </w:hyperlink>
    </w:p>
    <w:p>
      <w:pPr>
        <w:spacing w:before="0" w:after="80"/>
      </w:pPr>
      <w:r>
        <w:rPr>
          <w:i/>
          <w:sz w:val="20"/>
        </w:rPr>
        <w:t>EN: [ASAP] Surface Superlattice-Induced Spatial Confinement Enables High Voltage and Long Cycle Life in Li–CO2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2026-01-29 12:15:40+00:00</w:t>
      </w:r>
      <w:r>
        <w:t xml:space="preserve">    </w:t>
      </w:r>
      <w:r>
        <w:rPr>
          <w:b/>
        </w:rPr>
        <w:t xml:space="preserve">DOI: </w:t>
      </w:r>
      <w:hyperlink r:id="rId991">
        <w:r>
          <w:rPr>
            <w:color w:val="1155CC"/>
            <w:u w:val="single"/>
          </w:rPr>
          <w:t>10.1021/jacs.5c17407</w:t>
        </w:r>
      </w:hyperlink>
    </w:p>
    <w:p>
      <w:pPr>
        <w:spacing w:before="0" w:after="120"/>
      </w:pPr>
      <w:r>
        <w:rPr>
          <w:b/>
        </w:rPr>
        <w:t xml:space="preserve">Notes: </w:t>
      </w:r>
      <w:r>
        <w:t>abstract_source=pubmed</w:t>
      </w:r>
    </w:p>
    <w:p>
      <w:pPr>
        <w:spacing w:before="0" w:after="80" w:lineRule="auto" w:line="276"/>
      </w:pPr>
      <w:r>
        <w:rPr>
          <w:b/>
        </w:rPr>
        <w:t xml:space="preserve">摘要（ZH）: </w:t>
      </w:r>
      <w:r>
        <w:t>高性能锂-二氧化碳(Li-CO2)电池的发展对于推进碳中性能源储存系统至关重要,然而,这一系统仍面临着平衡高排放电压与长期稳定性的挑战,为解决这一问题,我们成功设计和合成了新型纳米晶体晶体PtiIFFeCoCuZn(PIFCCZ)高分子分子半导体间阴极催化剂,并配有L12型原子订购结构。PIFCCZ的表面超拉化物产生了分子级空间封闭效应,从而有效地破坏了排放产品的常规晶化途径,使精细晶体L2CO3和无定型L2CO4的核分离和增长。</w:t>
      </w:r>
    </w:p>
    <w:p>
      <w:pPr>
        <w:spacing w:before="0" w:after="200" w:lineRule="auto" w:line="276"/>
      </w:pPr>
      <w:r>
        <w:rPr>
          <w:b/>
        </w:rPr>
        <w:t xml:space="preserve">Abstract (EN): </w:t>
      </w:r>
      <w:r>
        <w:t>The development of high-performance lithium-carbon dioxide (Li-CO2) batteries is crucial for advancing carbon-neutral energy storage systems. However, this system still faces the challenge of balancing high discharge voltage with long-term stability. To address this issue, we have successfully designed and synthesized a novel nanocrystalline PtIrFeCoCuZn (PIFCCZ) high-entropy intermetallic cathode catalyst with an L12-type atomic ordered structure. The surface superlattice of PIFCCZ induces a molecular-level spatial confinement effect, which effectively disrupts the conventional crystallization pathway of discharge products, enabling the separated nucleation and growth of finely crystalline Li2CO3 and amorphous Li2C2O4. The precisely controlled interfacial coupling between discharge products and catalyst surface significantly enhances the reversible decomposition of discharge products and reduces the CO2 evolution overpotential to 0.24 V. The Li-CO2 battery incorporating this catalyst achieved a high discharge voltage of 3.08 V, an energy efficiency of 93.7%, and stable operation for over 1000 h at a current density of 20 μA·cm-2. This study provides a breakthrough strategy for resolving the inherent trade-offs among output voltage, energy efficiency, and cycling stability in Li-CO2 batteries.</w:t>
      </w:r>
    </w:p>
    <w:p>
      <w:pPr>
        <w:spacing w:before="120" w:after="120"/>
      </w:pPr>
      <w:r>
        <w:rPr>
          <w:sz w:val="18"/>
        </w:rPr>
        <w:t>——————————————————————————————————————————————————————————————————————</w:t>
      </w:r>
    </w:p>
    <w:p>
      <w:pPr>
        <w:spacing w:before="160" w:after="40" w:line="240" w:lineRule="auto"/>
      </w:pPr>
      <w:r>
        <w:rPr>
          <w:b/>
        </w:rPr>
        <w:t xml:space="preserve">[624] </w:t>
      </w:r>
      <w:hyperlink r:id="rId992">
        <w:r>
          <w:rPr>
            <w:color w:val="1155CC"/>
            <w:u w:val="single"/>
          </w:rPr>
          <w:t>[ASAP] 功能级表层和材料:从制造到生物医学应用</w:t>
        </w:r>
      </w:hyperlink>
    </w:p>
    <w:p>
      <w:pPr>
        <w:spacing w:before="0" w:after="80"/>
      </w:pPr>
      <w:r>
        <w:rPr>
          <w:i/>
          <w:sz w:val="20"/>
        </w:rPr>
        <w:t>EN: [ASAP] Functionally Graded Surfaces and Materials: From Fabrication to Biomedical Applications</w:t>
      </w:r>
    </w:p>
    <w:p>
      <w:pPr>
        <w:spacing w:before="0" w:after="120"/>
      </w:pPr>
      <w:r>
        <w:rPr>
          <w:b/>
        </w:rPr>
        <w:t xml:space="preserve">Source: </w:t>
      </w:r>
      <w:r>
        <w:t>Chemical Reviews: Latest Articles (ACS Publications)</w:t>
      </w:r>
      <w:r>
        <w:t xml:space="preserve">    </w:t>
      </w:r>
      <w:r>
        <w:rPr>
          <w:b/>
        </w:rPr>
        <w:t xml:space="preserve">Pub date: </w:t>
      </w:r>
      <w:r>
        <w:t>2026-01-29 13:16:26+00:00</w:t>
      </w:r>
      <w:r>
        <w:t xml:space="preserve">    </w:t>
      </w:r>
      <w:r>
        <w:rPr>
          <w:b/>
        </w:rPr>
        <w:t xml:space="preserve">DOI: </w:t>
      </w:r>
      <w:hyperlink r:id="rId993">
        <w:r>
          <w:rPr>
            <w:color w:val="1155CC"/>
            <w:u w:val="single"/>
          </w:rPr>
          <w:t>10.1021/acs.chemrev.5c00732</w:t>
        </w:r>
      </w:hyperlink>
    </w:p>
    <w:p>
      <w:pPr>
        <w:spacing w:before="0" w:after="120"/>
      </w:pPr>
      <w:r>
        <w:rPr>
          <w:b/>
        </w:rPr>
        <w:t xml:space="preserve">Notes: </w:t>
      </w:r>
      <w:r>
        <w:t>abstract_source=pubmed</w:t>
      </w:r>
    </w:p>
    <w:p>
      <w:pPr>
        <w:spacing w:before="0" w:after="80" w:lineRule="auto" w:line="276"/>
      </w:pPr>
      <w:r>
        <w:rPr>
          <w:b/>
        </w:rPr>
        <w:t xml:space="preserve">摘要（ZH）: </w:t>
      </w:r>
      <w:r>
        <w:t>功能分级表层和材料在组成、结构和其他特性方面不同,具有空间差异,跨越距离,已成为模仿本地组织结构和促成广泛生物医学应用的强大平台。本审查的目的是全面概述其制造方法和生物医学应用。我们首先介绍梯度概念及其自然固有的生物关联性。我们以表面或材料为明确重点,然后讨论制造方法和能够控制分级剖面的定性技术。重要的是,提供了有代表性的例子,以突出设计梯度如何调节具体的细胞反应和功能性。</w:t>
      </w:r>
    </w:p>
    <w:p>
      <w:pPr>
        <w:spacing w:before="0" w:after="200" w:lineRule="auto" w:line="276"/>
      </w:pPr>
      <w:r>
        <w:rPr>
          <w:b/>
        </w:rPr>
        <w:t xml:space="preserve">Abstract (EN): </w:t>
      </w:r>
      <w:r>
        <w:t>Functionally graded surfaces and materials, featuring spatial variations in terms of composition, structure, and other properties across distance, have emerged as powerful platforms for mimicking native tissue architectures and enabling a wide range of biomedical applications. This review aims to provide a comprehensive overview of their fabrication methods and biomedical applications. We begin by introducing the concept of gradients and their inherent biological relevance in nature. With a distinct focus on either surfaces or materials, we then discuss the fabrication methods and characterization techniques capable of controlling the graded profiles. Importantly, representative examples are provided to highlight how engineered gradients regulate specific cellular responses and functionalities in biomedical contexts. Despite significant progress, challenges remain in translating laboratory-scale fabrication to clinical use, such as ensuring good reproducibility and scalability. At the end, we discuss how computational modeling and artificial intelligence offer new opportunities to address these challenges. We hope this review provides a framework for advancing the development of next-generation functionally graded surfaces and materials toward diverse biomedical applications.</w:t>
      </w:r>
    </w:p>
    <w:p>
      <w:pPr>
        <w:spacing w:before="120" w:after="120"/>
      </w:pPr>
      <w:r>
        <w:rPr>
          <w:sz w:val="18"/>
        </w:rPr>
        <w:t>——————————————————————————————————————————————————————————————————————</w:t>
      </w:r>
    </w:p>
    <w:p>
      <w:pPr>
        <w:spacing w:before="160" w:after="40" w:line="240" w:lineRule="auto"/>
      </w:pPr>
      <w:r>
        <w:rPr>
          <w:b/>
        </w:rPr>
        <w:t xml:space="preserve">[625] </w:t>
      </w:r>
      <w:hyperlink r:id="rId994">
        <w:r>
          <w:rPr>
            <w:color w:val="1155CC"/>
            <w:u w:val="single"/>
          </w:rPr>
          <w:t>[ASAP] 电子化学海洋碳捕获:扩大规模的障碍</w:t>
        </w:r>
      </w:hyperlink>
    </w:p>
    <w:p>
      <w:pPr>
        <w:spacing w:before="0" w:after="80"/>
      </w:pPr>
      <w:r>
        <w:rPr>
          <w:i/>
          <w:sz w:val="20"/>
        </w:rPr>
        <w:t>EN: [ASAP] Electrochemical Ocean-Based Carbon Capture: Roadblocks to Scale-Up</w:t>
      </w:r>
    </w:p>
    <w:p>
      <w:pPr>
        <w:spacing w:before="0" w:after="120"/>
      </w:pPr>
      <w:r>
        <w:rPr>
          <w:b/>
        </w:rPr>
        <w:t xml:space="preserve">Source: </w:t>
      </w:r>
      <w:r>
        <w:t>ACS Energy Letters: Latest Articles (ACS Publications)</w:t>
      </w:r>
      <w:r>
        <w:t xml:space="preserve">    </w:t>
      </w:r>
      <w:r>
        <w:rPr>
          <w:b/>
        </w:rPr>
        <w:t xml:space="preserve">Pub date: </w:t>
      </w:r>
      <w:r>
        <w:t>2026-01-29 20:33:18+00:00</w:t>
      </w:r>
      <w:r>
        <w:t xml:space="preserve">    </w:t>
      </w:r>
      <w:r>
        <w:rPr>
          <w:b/>
        </w:rPr>
        <w:t xml:space="preserve">DOI: </w:t>
      </w:r>
      <w:hyperlink r:id="rId995">
        <w:r>
          <w:rPr>
            <w:color w:val="1155CC"/>
            <w:u w:val="single"/>
          </w:rPr>
          <w:t>10.1021/acsenergylett.5c04249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5020756?dgcid=rss_sd_all" TargetMode="External"/><Relationship Id="rId10" Type="http://schemas.openxmlformats.org/officeDocument/2006/relationships/hyperlink" Target="https://www.sciencedirect.com/science/article/pii/S1369702125005577?dgcid=rss_sd_all" TargetMode="External"/><Relationship Id="rId11" Type="http://schemas.openxmlformats.org/officeDocument/2006/relationships/hyperlink" Target="https://www.nature.com/articles/s41467-025-66643-6" TargetMode="External"/><Relationship Id="rId12" Type="http://schemas.openxmlformats.org/officeDocument/2006/relationships/hyperlink" Target="https://www.nature.com/articles/s41467-025-65766-0" TargetMode="External"/><Relationship Id="rId13" Type="http://schemas.openxmlformats.org/officeDocument/2006/relationships/hyperlink" Target="https://www.sciencedirect.com/science/article/pii/S0306261926000814?dgcid=rss_sd_all" TargetMode="External"/><Relationship Id="rId14" Type="http://schemas.openxmlformats.org/officeDocument/2006/relationships/hyperlink" Target="https://www.sciencedirect.com/science/article/pii/S0306261925019956?dgcid=rss_sd_all" TargetMode="External"/><Relationship Id="rId15" Type="http://schemas.openxmlformats.org/officeDocument/2006/relationships/hyperlink" Target="https://www.sciencedirect.com/science/article/pii/S0306261926000024?dgcid=rss_sd_all" TargetMode="External"/><Relationship Id="rId16" Type="http://schemas.openxmlformats.org/officeDocument/2006/relationships/hyperlink" Target="https://www.sciencedirect.com/science/article/pii/S0306261926000127?dgcid=rss_sd_all" TargetMode="External"/><Relationship Id="rId17" Type="http://schemas.openxmlformats.org/officeDocument/2006/relationships/hyperlink" Target="https://www.sciencedirect.com/science/article/pii/S030626192600019X?dgcid=rss_sd_all" TargetMode="External"/><Relationship Id="rId18" Type="http://schemas.openxmlformats.org/officeDocument/2006/relationships/hyperlink" Target="https://academic.oup.com/nsr/advance-article/doi/10.1093/nsr/nwag050/8440139?rss=1" TargetMode="External"/><Relationship Id="rId19" Type="http://schemas.openxmlformats.org/officeDocument/2006/relationships/hyperlink" Target="https://doi.org/10.1093/nsr/nwag050/8440139" TargetMode="External"/><Relationship Id="rId20" Type="http://schemas.openxmlformats.org/officeDocument/2006/relationships/hyperlink" Target="https://www.sciencedirect.com/science/article/pii/S0306261926000280?dgcid=rss_sd_all" TargetMode="External"/><Relationship Id="rId21" Type="http://schemas.openxmlformats.org/officeDocument/2006/relationships/hyperlink" Target="https://www.sciencedirect.com/science/article/pii/S0306261926000784?dgcid=rss_sd_all" TargetMode="External"/><Relationship Id="rId22" Type="http://schemas.openxmlformats.org/officeDocument/2006/relationships/hyperlink" Target="https://academic.oup.com/nsr/advance-article/doi/10.1093/nsr/nwag047/8440146?rss=1" TargetMode="External"/><Relationship Id="rId23" Type="http://schemas.openxmlformats.org/officeDocument/2006/relationships/hyperlink" Target="https://doi.org/10.1093/nsr/nwag047/8440146" TargetMode="External"/><Relationship Id="rId24" Type="http://schemas.openxmlformats.org/officeDocument/2006/relationships/hyperlink" Target="https://www.sciencedirect.com/science/article/pii/S0306261926000772?dgcid=rss_sd_all" TargetMode="External"/><Relationship Id="rId25" Type="http://schemas.openxmlformats.org/officeDocument/2006/relationships/hyperlink" Target="http://pubs.rsc.org/en/Content/ArticleLanding/2026/EE/D5EE06772C" TargetMode="External"/><Relationship Id="rId26" Type="http://schemas.openxmlformats.org/officeDocument/2006/relationships/hyperlink" Target="https://www.sciencedirect.com/science/article/pii/S0306261926000644?dgcid=rss_sd_all" TargetMode="External"/><Relationship Id="rId27" Type="http://schemas.openxmlformats.org/officeDocument/2006/relationships/hyperlink" Target="https://www.sciencedirect.com/science/article/pii/S0306261926000401?dgcid=rss_sd_all" TargetMode="External"/><Relationship Id="rId28" Type="http://schemas.openxmlformats.org/officeDocument/2006/relationships/hyperlink" Target="https://www.sciencedirect.com/science/article/pii/S0306261926000437?dgcid=rss_sd_all" TargetMode="External"/><Relationship Id="rId29" Type="http://schemas.openxmlformats.org/officeDocument/2006/relationships/hyperlink" Target="https://www.sciencedirect.com/science/article/pii/S0306261926000577?dgcid=rss_sd_all" TargetMode="External"/><Relationship Id="rId30" Type="http://schemas.openxmlformats.org/officeDocument/2006/relationships/hyperlink" Target="https://www.sciencedirect.com/science/article/pii/S0306261926000474?dgcid=rss_sd_all" TargetMode="External"/><Relationship Id="rId31" Type="http://schemas.openxmlformats.org/officeDocument/2006/relationships/hyperlink" Target="https://www.sciencedirect.com/science/article/pii/S0301421526000376?dgcid=rss_sd_all" TargetMode="External"/><Relationship Id="rId32" Type="http://schemas.openxmlformats.org/officeDocument/2006/relationships/hyperlink" Target="https://www.sciencedirect.com/science/article/pii/S0301421526000364?dgcid=rss_sd_all" TargetMode="External"/><Relationship Id="rId33" Type="http://schemas.openxmlformats.org/officeDocument/2006/relationships/hyperlink" Target="https://www.sciencedirect.com/science/article/pii/S0306261926000528?dgcid=rss_sd_all" TargetMode="External"/><Relationship Id="rId34" Type="http://schemas.openxmlformats.org/officeDocument/2006/relationships/hyperlink" Target="https://www.sciencedirect.com/science/article/pii/S0301421526000327?dgcid=rss_sd_all" TargetMode="External"/><Relationship Id="rId35" Type="http://schemas.openxmlformats.org/officeDocument/2006/relationships/hyperlink" Target="https://www.sciencedirect.com/science/article/pii/S1369702126000295?dgcid=rss_sd_all" TargetMode="External"/><Relationship Id="rId36" Type="http://schemas.openxmlformats.org/officeDocument/2006/relationships/hyperlink" Target="https://www.nature.com/articles/s41467-026-68589-9" TargetMode="External"/><Relationship Id="rId37" Type="http://schemas.openxmlformats.org/officeDocument/2006/relationships/hyperlink" Target="https://www.sciencedirect.com/science/article/pii/S0301421526000339?dgcid=rss_sd_all" TargetMode="External"/><Relationship Id="rId38" Type="http://schemas.openxmlformats.org/officeDocument/2006/relationships/hyperlink" Target="https://www.sciencedirect.com/science/article/pii/S1369702126000350?dgcid=rss_sd_all" TargetMode="External"/><Relationship Id="rId39" Type="http://schemas.openxmlformats.org/officeDocument/2006/relationships/hyperlink" Target="https://www.nature.com/articles/s41467-026-68672-1" TargetMode="External"/><Relationship Id="rId40" Type="http://schemas.openxmlformats.org/officeDocument/2006/relationships/hyperlink" Target="https://www.nature.com/articles/s41467-026-68733-5" TargetMode="External"/><Relationship Id="rId41" Type="http://schemas.openxmlformats.org/officeDocument/2006/relationships/hyperlink" Target="https://www.nature.com/articles/s41467-026-68658-z" TargetMode="External"/><Relationship Id="rId42" Type="http://schemas.openxmlformats.org/officeDocument/2006/relationships/hyperlink" Target="https://www.sciencedirect.com/science/article/pii/S0301421526000182?dgcid=rss_sd_all" TargetMode="External"/><Relationship Id="rId43" Type="http://schemas.openxmlformats.org/officeDocument/2006/relationships/hyperlink" Target="https://www.sciencedirect.com/science/article/pii/S1369702126000283?dgcid=rss_sd_all" TargetMode="External"/><Relationship Id="rId44" Type="http://schemas.openxmlformats.org/officeDocument/2006/relationships/hyperlink" Target="http://dx.doi.org/10.1021/jacs.5c13906" TargetMode="External"/><Relationship Id="rId45" Type="http://schemas.openxmlformats.org/officeDocument/2006/relationships/hyperlink" Target="https://doi.org/10.1021/jacs.5c13906" TargetMode="External"/><Relationship Id="rId46" Type="http://schemas.openxmlformats.org/officeDocument/2006/relationships/hyperlink" Target="http://dx.doi.org/10.1021/acsenergylett.5c03711" TargetMode="External"/><Relationship Id="rId47" Type="http://schemas.openxmlformats.org/officeDocument/2006/relationships/hyperlink" Target="https://doi.org/10.1021/acsenergylett.5c03711" TargetMode="External"/><Relationship Id="rId48" Type="http://schemas.openxmlformats.org/officeDocument/2006/relationships/hyperlink" Target="http://dx.doi.org/10.1021/jacs.5c23050" TargetMode="External"/><Relationship Id="rId49" Type="http://schemas.openxmlformats.org/officeDocument/2006/relationships/hyperlink" Target="https://doi.org/10.1021/jacs.5c23050" TargetMode="External"/><Relationship Id="rId50" Type="http://schemas.openxmlformats.org/officeDocument/2006/relationships/hyperlink" Target="https://www.sciencedirect.com/science/article/pii/S0306261926000681?dgcid=rss_sd_all" TargetMode="External"/><Relationship Id="rId51" Type="http://schemas.openxmlformats.org/officeDocument/2006/relationships/hyperlink" Target="https://www.sciencedirect.com/science/article/pii/S0306261926000589?dgcid=rss_sd_all" TargetMode="External"/><Relationship Id="rId52" Type="http://schemas.openxmlformats.org/officeDocument/2006/relationships/hyperlink" Target="https://www.sciencedirect.com/science/article/pii/S0306261926000693?dgcid=rss_sd_all" TargetMode="External"/><Relationship Id="rId53" Type="http://schemas.openxmlformats.org/officeDocument/2006/relationships/hyperlink" Target="https://www.sciencedirect.com/science/article/pii/S0306261926000395?dgcid=rss_sd_all" TargetMode="External"/><Relationship Id="rId54" Type="http://schemas.openxmlformats.org/officeDocument/2006/relationships/hyperlink" Target="https://www.sciencedirect.com/science/article/pii/S030626192600070X?dgcid=rss_sd_all" TargetMode="External"/><Relationship Id="rId55" Type="http://schemas.openxmlformats.org/officeDocument/2006/relationships/hyperlink" Target="https://www.sciencedirect.com/science/article/pii/S0306261926000711?dgcid=rss_sd_all" TargetMode="External"/><Relationship Id="rId56" Type="http://schemas.openxmlformats.org/officeDocument/2006/relationships/hyperlink" Target="https://www.sciencedirect.com/science/article/pii/S0306261926000383?dgcid=rss_sd_all" TargetMode="External"/><Relationship Id="rId57" Type="http://schemas.openxmlformats.org/officeDocument/2006/relationships/hyperlink" Target="https://www.sciencedirect.com/science/article/pii/S0306261926000760?dgcid=rss_sd_all" TargetMode="External"/><Relationship Id="rId58" Type="http://schemas.openxmlformats.org/officeDocument/2006/relationships/hyperlink" Target="https://www.sciencedirect.com/science/article/pii/S0306261926000462?dgcid=rss_sd_all" TargetMode="External"/><Relationship Id="rId59" Type="http://schemas.openxmlformats.org/officeDocument/2006/relationships/hyperlink" Target="https://www.sciencedirect.com/science/article/pii/S0301421526000236?dgcid=rss_sd_all" TargetMode="External"/><Relationship Id="rId60" Type="http://schemas.openxmlformats.org/officeDocument/2006/relationships/hyperlink" Target="https://www.sciencedirect.com/science/article/pii/S0306261926000553?dgcid=rss_sd_all" TargetMode="External"/><Relationship Id="rId61" Type="http://schemas.openxmlformats.org/officeDocument/2006/relationships/hyperlink" Target="https://www.sciencedirect.com/science/article/pii/S0306261925020550?dgcid=rss_sd_all" TargetMode="External"/><Relationship Id="rId62" Type="http://schemas.openxmlformats.org/officeDocument/2006/relationships/hyperlink" Target="https://www.sciencedirect.com/science/article/pii/S0306261926000796?dgcid=rss_sd_all" TargetMode="External"/><Relationship Id="rId63" Type="http://schemas.openxmlformats.org/officeDocument/2006/relationships/hyperlink" Target="https://www.nature.com/articles/s41467-026-68599-7" TargetMode="External"/><Relationship Id="rId64" Type="http://schemas.openxmlformats.org/officeDocument/2006/relationships/hyperlink" Target="https://www.sciencedirect.com/science/article/pii/S0306261926000164?dgcid=rss_sd_all" TargetMode="External"/><Relationship Id="rId65" Type="http://schemas.openxmlformats.org/officeDocument/2006/relationships/hyperlink" Target="https://www.sciencedirect.com/science/article/pii/S0306261926000140?dgcid=rss_sd_all" TargetMode="External"/><Relationship Id="rId66" Type="http://schemas.openxmlformats.org/officeDocument/2006/relationships/hyperlink" Target="https://www.sciencedirect.com/science/article/pii/S0301421526000340?dgcid=rss_sd_all" TargetMode="External"/><Relationship Id="rId67" Type="http://schemas.openxmlformats.org/officeDocument/2006/relationships/hyperlink" Target="https://www.sciencedirect.com/science/article/pii/S1369702126000453?dgcid=rss_sd_all" TargetMode="External"/><Relationship Id="rId68" Type="http://schemas.openxmlformats.org/officeDocument/2006/relationships/hyperlink" Target="https://www.sciencedirect.com/science/article/pii/S0306261926000498?dgcid=rss_sd_all" TargetMode="External"/><Relationship Id="rId69" Type="http://schemas.openxmlformats.org/officeDocument/2006/relationships/hyperlink" Target="https://www.sciencedirect.com/science/article/pii/S030142152600039X?dgcid=rss_sd_all" TargetMode="External"/><Relationship Id="rId70" Type="http://schemas.openxmlformats.org/officeDocument/2006/relationships/hyperlink" Target="https://www.sciencedirect.com/science/article/pii/S0306261926000802?dgcid=rss_sd_all" TargetMode="External"/><Relationship Id="rId71" Type="http://schemas.openxmlformats.org/officeDocument/2006/relationships/hyperlink" Target="https://onlinelibrary.wiley.com/doi/10.1002/anie.202506986?af=R" TargetMode="External"/><Relationship Id="rId72" Type="http://schemas.openxmlformats.org/officeDocument/2006/relationships/hyperlink" Target="https://doi.org/10.1002/anie.202506986" TargetMode="External"/><Relationship Id="rId73" Type="http://schemas.openxmlformats.org/officeDocument/2006/relationships/hyperlink" Target="https://advanced.onlinelibrary.wiley.com/doi/10.1002/aenm.202506756?af=R" TargetMode="External"/><Relationship Id="rId74" Type="http://schemas.openxmlformats.org/officeDocument/2006/relationships/hyperlink" Target="https://doi.org/10.1002/aenm.202506756" TargetMode="External"/><Relationship Id="rId75" Type="http://schemas.openxmlformats.org/officeDocument/2006/relationships/hyperlink" Target="https://onlinelibrary.wiley.com/doi/10.1002/anie.202523338?af=R" TargetMode="External"/><Relationship Id="rId76" Type="http://schemas.openxmlformats.org/officeDocument/2006/relationships/hyperlink" Target="https://doi.org/10.1002/anie.202523338" TargetMode="External"/><Relationship Id="rId77" Type="http://schemas.openxmlformats.org/officeDocument/2006/relationships/hyperlink" Target="https://advanced.onlinelibrary.wiley.com/doi/10.1002/adma.202517882?af=R" TargetMode="External"/><Relationship Id="rId78" Type="http://schemas.openxmlformats.org/officeDocument/2006/relationships/hyperlink" Target="https://doi.org/10.1002/adma.202517882" TargetMode="External"/><Relationship Id="rId79" Type="http://schemas.openxmlformats.org/officeDocument/2006/relationships/hyperlink" Target="https://onlinelibrary.wiley.com/doi/10.1002/anie.202523454?af=R" TargetMode="External"/><Relationship Id="rId80" Type="http://schemas.openxmlformats.org/officeDocument/2006/relationships/hyperlink" Target="https://doi.org/10.1002/anie.202523454" TargetMode="External"/><Relationship Id="rId81" Type="http://schemas.openxmlformats.org/officeDocument/2006/relationships/hyperlink" Target="https://onlinelibrary.wiley.com/doi/10.1002/anie.202525404?af=R" TargetMode="External"/><Relationship Id="rId82" Type="http://schemas.openxmlformats.org/officeDocument/2006/relationships/hyperlink" Target="https://doi.org/10.1002/anie.202525404" TargetMode="External"/><Relationship Id="rId83" Type="http://schemas.openxmlformats.org/officeDocument/2006/relationships/hyperlink" Target="https://advanced.onlinelibrary.wiley.com/doi/10.1002/adma.202521565?af=R" TargetMode="External"/><Relationship Id="rId84" Type="http://schemas.openxmlformats.org/officeDocument/2006/relationships/hyperlink" Target="https://doi.org/10.1002/adma.202521565" TargetMode="External"/><Relationship Id="rId85" Type="http://schemas.openxmlformats.org/officeDocument/2006/relationships/hyperlink" Target="https://advanced.onlinelibrary.wiley.com/doi/10.1002/adma.202517440?af=R" TargetMode="External"/><Relationship Id="rId86" Type="http://schemas.openxmlformats.org/officeDocument/2006/relationships/hyperlink" Target="https://doi.org/10.1002/adma.202517440" TargetMode="External"/><Relationship Id="rId87" Type="http://schemas.openxmlformats.org/officeDocument/2006/relationships/hyperlink" Target="https://advanced.onlinelibrary.wiley.com/doi/10.1002/adma.202518146?af=R" TargetMode="External"/><Relationship Id="rId88" Type="http://schemas.openxmlformats.org/officeDocument/2006/relationships/hyperlink" Target="https://doi.org/10.1002/adma.202518146" TargetMode="External"/><Relationship Id="rId89" Type="http://schemas.openxmlformats.org/officeDocument/2006/relationships/hyperlink" Target="https://advanced.onlinelibrary.wiley.com/doi/10.1002/adma.202512571?af=R" TargetMode="External"/><Relationship Id="rId90" Type="http://schemas.openxmlformats.org/officeDocument/2006/relationships/hyperlink" Target="https://doi.org/10.1002/adma.202512571" TargetMode="External"/><Relationship Id="rId91" Type="http://schemas.openxmlformats.org/officeDocument/2006/relationships/hyperlink" Target="https://advanced.onlinelibrary.wiley.com/doi/10.1002/adma.202523608?af=R" TargetMode="External"/><Relationship Id="rId92" Type="http://schemas.openxmlformats.org/officeDocument/2006/relationships/hyperlink" Target="https://doi.org/10.1002/adma.202523608" TargetMode="External"/><Relationship Id="rId93" Type="http://schemas.openxmlformats.org/officeDocument/2006/relationships/hyperlink" Target="https://advanced.onlinelibrary.wiley.com/doi/10.1002/adma.202522875?af=R" TargetMode="External"/><Relationship Id="rId94" Type="http://schemas.openxmlformats.org/officeDocument/2006/relationships/hyperlink" Target="https://doi.org/10.1002/adma.202522875" TargetMode="External"/><Relationship Id="rId95" Type="http://schemas.openxmlformats.org/officeDocument/2006/relationships/hyperlink" Target="https://advanced.onlinelibrary.wiley.com/doi/10.1002/adma.202521526?af=R" TargetMode="External"/><Relationship Id="rId96" Type="http://schemas.openxmlformats.org/officeDocument/2006/relationships/hyperlink" Target="https://doi.org/10.1002/adma.202521526" TargetMode="External"/><Relationship Id="rId97" Type="http://schemas.openxmlformats.org/officeDocument/2006/relationships/hyperlink" Target="https://advanced.onlinelibrary.wiley.com/doi/10.1002/adma.202522149?af=R" TargetMode="External"/><Relationship Id="rId98" Type="http://schemas.openxmlformats.org/officeDocument/2006/relationships/hyperlink" Target="https://doi.org/10.1002/adma.202522149" TargetMode="External"/><Relationship Id="rId99" Type="http://schemas.openxmlformats.org/officeDocument/2006/relationships/hyperlink" Target="https://advanced.onlinelibrary.wiley.com/doi/10.1002/adma.202519048?af=R" TargetMode="External"/><Relationship Id="rId100" Type="http://schemas.openxmlformats.org/officeDocument/2006/relationships/hyperlink" Target="https://doi.org/10.1002/adma.202519048" TargetMode="External"/><Relationship Id="rId101" Type="http://schemas.openxmlformats.org/officeDocument/2006/relationships/hyperlink" Target="https://advanced.onlinelibrary.wiley.com/doi/10.1002/adma.202521243?af=R" TargetMode="External"/><Relationship Id="rId102" Type="http://schemas.openxmlformats.org/officeDocument/2006/relationships/hyperlink" Target="https://doi.org/10.1002/adma.202521243" TargetMode="External"/><Relationship Id="rId103" Type="http://schemas.openxmlformats.org/officeDocument/2006/relationships/hyperlink" Target="https://advanced.onlinelibrary.wiley.com/doi/10.1002/adma.202520337?af=R" TargetMode="External"/><Relationship Id="rId104" Type="http://schemas.openxmlformats.org/officeDocument/2006/relationships/hyperlink" Target="https://doi.org/10.1002/adma.202520337" TargetMode="External"/><Relationship Id="rId105" Type="http://schemas.openxmlformats.org/officeDocument/2006/relationships/hyperlink" Target="https://advanced.onlinelibrary.wiley.com/doi/10.1002/adma.202513500?af=R" TargetMode="External"/><Relationship Id="rId106" Type="http://schemas.openxmlformats.org/officeDocument/2006/relationships/hyperlink" Target="https://doi.org/10.1002/adma.202513500" TargetMode="External"/><Relationship Id="rId107" Type="http://schemas.openxmlformats.org/officeDocument/2006/relationships/hyperlink" Target="https://advanced.onlinelibrary.wiley.com/doi/10.1002/adma.202520837?af=R" TargetMode="External"/><Relationship Id="rId108" Type="http://schemas.openxmlformats.org/officeDocument/2006/relationships/hyperlink" Target="https://doi.org/10.1002/adma.202520837" TargetMode="External"/><Relationship Id="rId109" Type="http://schemas.openxmlformats.org/officeDocument/2006/relationships/hyperlink" Target="https://advanced.onlinelibrary.wiley.com/doi/10.1002/aenm.202506130?af=R" TargetMode="External"/><Relationship Id="rId110" Type="http://schemas.openxmlformats.org/officeDocument/2006/relationships/hyperlink" Target="https://doi.org/10.1002/aenm.202506130" TargetMode="External"/><Relationship Id="rId111" Type="http://schemas.openxmlformats.org/officeDocument/2006/relationships/hyperlink" Target="https://onlinelibrary.wiley.com/doi/10.1002/anie.202526135?af=R" TargetMode="External"/><Relationship Id="rId112" Type="http://schemas.openxmlformats.org/officeDocument/2006/relationships/hyperlink" Target="https://doi.org/10.1002/anie.202526135" TargetMode="External"/><Relationship Id="rId113" Type="http://schemas.openxmlformats.org/officeDocument/2006/relationships/hyperlink" Target="https://advanced.onlinelibrary.wiley.com/doi/10.1002/adma.202518161?af=R" TargetMode="External"/><Relationship Id="rId114" Type="http://schemas.openxmlformats.org/officeDocument/2006/relationships/hyperlink" Target="https://doi.org/10.1002/adma.202518161" TargetMode="External"/><Relationship Id="rId115" Type="http://schemas.openxmlformats.org/officeDocument/2006/relationships/hyperlink" Target="https://advanced.onlinelibrary.wiley.com/doi/10.1002/adma.202519357?af=R" TargetMode="External"/><Relationship Id="rId116" Type="http://schemas.openxmlformats.org/officeDocument/2006/relationships/hyperlink" Target="https://doi.org/10.1002/adma.202519357" TargetMode="External"/><Relationship Id="rId117" Type="http://schemas.openxmlformats.org/officeDocument/2006/relationships/hyperlink" Target="https://advanced.onlinelibrary.wiley.com/doi/10.1002/aenm.202506308?af=R" TargetMode="External"/><Relationship Id="rId118" Type="http://schemas.openxmlformats.org/officeDocument/2006/relationships/hyperlink" Target="https://doi.org/10.1002/aenm.202506308" TargetMode="External"/><Relationship Id="rId119" Type="http://schemas.openxmlformats.org/officeDocument/2006/relationships/hyperlink" Target="https://advanced.onlinelibrary.wiley.com/doi/10.1002/adma.202519475?af=R" TargetMode="External"/><Relationship Id="rId120" Type="http://schemas.openxmlformats.org/officeDocument/2006/relationships/hyperlink" Target="https://doi.org/10.1002/adma.202519475" TargetMode="External"/><Relationship Id="rId121" Type="http://schemas.openxmlformats.org/officeDocument/2006/relationships/hyperlink" Target="https://advanced.onlinelibrary.wiley.com/doi/10.1002/adma.202522336?af=R" TargetMode="External"/><Relationship Id="rId122" Type="http://schemas.openxmlformats.org/officeDocument/2006/relationships/hyperlink" Target="https://doi.org/10.1002/adma.202522336" TargetMode="External"/><Relationship Id="rId123" Type="http://schemas.openxmlformats.org/officeDocument/2006/relationships/hyperlink" Target="http://dx.doi.org/10.1021/jacs.5c20245" TargetMode="External"/><Relationship Id="rId124" Type="http://schemas.openxmlformats.org/officeDocument/2006/relationships/hyperlink" Target="https://doi.org/10.1021/jacs.5c20245" TargetMode="External"/><Relationship Id="rId125" Type="http://schemas.openxmlformats.org/officeDocument/2006/relationships/hyperlink" Target="http://dx.doi.org/10.1021/jacs.5c21977" TargetMode="External"/><Relationship Id="rId126" Type="http://schemas.openxmlformats.org/officeDocument/2006/relationships/hyperlink" Target="https://doi.org/10.1021/jacs.5c21977" TargetMode="External"/><Relationship Id="rId127" Type="http://schemas.openxmlformats.org/officeDocument/2006/relationships/hyperlink" Target="https://www.nature.com/articles/d41586-026-00271-y" TargetMode="External"/><Relationship Id="rId128" Type="http://schemas.openxmlformats.org/officeDocument/2006/relationships/hyperlink" Target="https://www.nature.com/articles/s41467-026-68655-2" TargetMode="External"/><Relationship Id="rId129" Type="http://schemas.openxmlformats.org/officeDocument/2006/relationships/hyperlink" Target="https://www.sciencedirect.com/science/article/pii/S1369702126000258?dgcid=rss_sd_all" TargetMode="External"/><Relationship Id="rId130" Type="http://schemas.openxmlformats.org/officeDocument/2006/relationships/hyperlink" Target="https://www.nature.com/articles/s41467-026-68344-0" TargetMode="External"/><Relationship Id="rId131" Type="http://schemas.openxmlformats.org/officeDocument/2006/relationships/hyperlink" Target="https://www.nature.com/articles/d41586-026-00260-1" TargetMode="External"/><Relationship Id="rId132" Type="http://schemas.openxmlformats.org/officeDocument/2006/relationships/hyperlink" Target="https://www.nature.com/articles/d41586-026-00255-y" TargetMode="External"/><Relationship Id="rId133" Type="http://schemas.openxmlformats.org/officeDocument/2006/relationships/hyperlink" Target="https://www.nature.com/articles/s41578-025-00880-5" TargetMode="External"/><Relationship Id="rId134" Type="http://schemas.openxmlformats.org/officeDocument/2006/relationships/hyperlink" Target="https://www.nature.com/articles/s41467-026-68645-4" TargetMode="External"/><Relationship Id="rId135" Type="http://schemas.openxmlformats.org/officeDocument/2006/relationships/hyperlink" Target="https://www.nature.com/articles/s41467-025-68197-z" TargetMode="External"/><Relationship Id="rId136" Type="http://schemas.openxmlformats.org/officeDocument/2006/relationships/hyperlink" Target="https://www.nature.com/articles/s41467-026-68829-y" TargetMode="External"/><Relationship Id="rId137" Type="http://schemas.openxmlformats.org/officeDocument/2006/relationships/hyperlink" Target="https://www.nature.com/articles/d41586-026-00248-x" TargetMode="External"/><Relationship Id="rId138" Type="http://schemas.openxmlformats.org/officeDocument/2006/relationships/hyperlink" Target="https://www.nature.com/articles/s41467-026-68848-9" TargetMode="External"/><Relationship Id="rId139" Type="http://schemas.openxmlformats.org/officeDocument/2006/relationships/hyperlink" Target="https://www.nature.com/articles/s41467-026-68879-2" TargetMode="External"/><Relationship Id="rId140" Type="http://schemas.openxmlformats.org/officeDocument/2006/relationships/hyperlink" Target="https://www.nature.com/articles/s41563-025-02468-4" TargetMode="External"/><Relationship Id="rId141" Type="http://schemas.openxmlformats.org/officeDocument/2006/relationships/hyperlink" Target="https://www.nature.com/articles/s41563-025-02467-5" TargetMode="External"/><Relationship Id="rId142" Type="http://schemas.openxmlformats.org/officeDocument/2006/relationships/hyperlink" Target="https://www.sciencedirect.com/science/article/pii/S0301421526000194?dgcid=rss_sd_all" TargetMode="External"/><Relationship Id="rId143" Type="http://schemas.openxmlformats.org/officeDocument/2006/relationships/hyperlink" Target="https://www.nature.com/articles/s41557-025-02062-w" TargetMode="External"/><Relationship Id="rId144" Type="http://schemas.openxmlformats.org/officeDocument/2006/relationships/hyperlink" Target="https://www.nature.com/articles/s41557-026-02069-x" TargetMode="External"/><Relationship Id="rId145" Type="http://schemas.openxmlformats.org/officeDocument/2006/relationships/hyperlink" Target="https://www.nature.com/articles/s41563-025-02464-8" TargetMode="External"/><Relationship Id="rId146" Type="http://schemas.openxmlformats.org/officeDocument/2006/relationships/hyperlink" Target="https://www.sciencedirect.com/science/article/pii/S1369702126000441?dgcid=rss_sd_all" TargetMode="External"/><Relationship Id="rId147" Type="http://schemas.openxmlformats.org/officeDocument/2006/relationships/hyperlink" Target="https://www.nature.com/articles/s41467-026-68827-0" TargetMode="External"/><Relationship Id="rId148" Type="http://schemas.openxmlformats.org/officeDocument/2006/relationships/hyperlink" Target="https://www.nature.com/articles/d41586-026-00246-z" TargetMode="External"/><Relationship Id="rId149" Type="http://schemas.openxmlformats.org/officeDocument/2006/relationships/hyperlink" Target="https://www.nature.com/articles/d41586-026-00247-y" TargetMode="External"/><Relationship Id="rId150" Type="http://schemas.openxmlformats.org/officeDocument/2006/relationships/hyperlink" Target="https://www.nature.com/articles/s41928-025-01557-1" TargetMode="External"/><Relationship Id="rId151" Type="http://schemas.openxmlformats.org/officeDocument/2006/relationships/hyperlink" Target="http://pubs.rsc.org/en/Content/ArticleLanding/2026/CS/D5CS01211B" TargetMode="External"/><Relationship Id="rId152" Type="http://schemas.openxmlformats.org/officeDocument/2006/relationships/hyperlink" Target="https://www.nature.com/articles/d41586-026-00245-0" TargetMode="External"/><Relationship Id="rId153" Type="http://schemas.openxmlformats.org/officeDocument/2006/relationships/hyperlink" Target="https://www.nature.com/articles/s41893-025-01759-7" TargetMode="External"/><Relationship Id="rId154" Type="http://schemas.openxmlformats.org/officeDocument/2006/relationships/hyperlink" Target="https://www.nature.com/articles/s41893-025-01754-y" TargetMode="External"/><Relationship Id="rId155" Type="http://schemas.openxmlformats.org/officeDocument/2006/relationships/hyperlink" Target="http://pubs.rsc.org/en/Content/ArticleLanding/2026/EE/D5EE06920C" TargetMode="External"/><Relationship Id="rId156" Type="http://schemas.openxmlformats.org/officeDocument/2006/relationships/hyperlink" Target="https://www.nature.com/articles/s41586-026-10156-9" TargetMode="External"/><Relationship Id="rId157" Type="http://schemas.openxmlformats.org/officeDocument/2006/relationships/hyperlink" Target="https://www.cell.com/chem/fulltext/S2451-9294(25)00426-7?rss=yes" TargetMode="External"/><Relationship Id="rId158" Type="http://schemas.openxmlformats.org/officeDocument/2006/relationships/hyperlink" Target="https://www.sciencedirect.com/science/article/pii/S1369702126000477?dgcid=rss_sd_all" TargetMode="External"/><Relationship Id="rId159" Type="http://schemas.openxmlformats.org/officeDocument/2006/relationships/hyperlink" Target="https://www.cell.com/chem/fulltext/S2451-9294(26)00010-0?rss=yes" TargetMode="External"/><Relationship Id="rId160" Type="http://schemas.openxmlformats.org/officeDocument/2006/relationships/hyperlink" Target="https://www.cell.com/joule/fulltext/S2542-4351(25)00443-X?rss=yes" TargetMode="External"/><Relationship Id="rId161" Type="http://schemas.openxmlformats.org/officeDocument/2006/relationships/hyperlink" Target="https://www.cell.com/joule/fulltext/S2542-4351(25)00444-1?rss=yes" TargetMode="External"/><Relationship Id="rId162" Type="http://schemas.openxmlformats.org/officeDocument/2006/relationships/hyperlink" Target="https://www.cell.com/chem/fulltext/S2451-9294(26)00001-X?rss=yes" TargetMode="External"/><Relationship Id="rId163" Type="http://schemas.openxmlformats.org/officeDocument/2006/relationships/hyperlink" Target="https://www.nature.com/articles/d41586-026-00208-5" TargetMode="External"/><Relationship Id="rId164" Type="http://schemas.openxmlformats.org/officeDocument/2006/relationships/hyperlink" Target="https://www.pnas.org/doi/abs/10.1073/pnas.2515479123?mi=eymic2&amp;af=R&amp;access=on&amp;content=articlesChapters&amp;publication=pnas&amp;sortBy=Earliest&amp;target=default" TargetMode="External"/><Relationship Id="rId165" Type="http://schemas.openxmlformats.org/officeDocument/2006/relationships/hyperlink" Target="https://doi.org/10.1073/pnas.2515479123" TargetMode="External"/><Relationship Id="rId166" Type="http://schemas.openxmlformats.org/officeDocument/2006/relationships/hyperlink" Target="https://www.pnas.org/doi/abs/10.1073/pnas.2532504123?mi=eymic2&amp;af=R&amp;access=on&amp;content=articlesChapters&amp;publication=pnas&amp;sortBy=Earliest&amp;target=default" TargetMode="External"/><Relationship Id="rId167" Type="http://schemas.openxmlformats.org/officeDocument/2006/relationships/hyperlink" Target="https://doi.org/10.1073/pnas.2532504123" TargetMode="External"/><Relationship Id="rId168" Type="http://schemas.openxmlformats.org/officeDocument/2006/relationships/hyperlink" Target="https://www.pnas.org/doi/abs/10.1073/pnas.2517167123?mi=eymic2&amp;af=R&amp;access=on&amp;content=articlesChapters&amp;publication=pnas&amp;sortBy=Earliest&amp;target=default" TargetMode="External"/><Relationship Id="rId169" Type="http://schemas.openxmlformats.org/officeDocument/2006/relationships/hyperlink" Target="https://doi.org/10.1073/pnas.2517167123" TargetMode="External"/><Relationship Id="rId170" Type="http://schemas.openxmlformats.org/officeDocument/2006/relationships/hyperlink" Target="https://www.pnas.org/doi/abs/10.1073/pnas.2518106123?mi=eymic2&amp;af=R&amp;access=on&amp;content=articlesChapters&amp;publication=pnas&amp;sortBy=Earliest&amp;target=default" TargetMode="External"/><Relationship Id="rId171" Type="http://schemas.openxmlformats.org/officeDocument/2006/relationships/hyperlink" Target="https://doi.org/10.1073/pnas.2518106123" TargetMode="External"/><Relationship Id="rId172" Type="http://schemas.openxmlformats.org/officeDocument/2006/relationships/hyperlink" Target="https://www.pnas.org/doi/abs/10.1073/pnas.2518372123?mi=eymic2&amp;af=R&amp;access=on&amp;content=articlesChapters&amp;publication=pnas&amp;sortBy=Earliest&amp;target=default" TargetMode="External"/><Relationship Id="rId173" Type="http://schemas.openxmlformats.org/officeDocument/2006/relationships/hyperlink" Target="https://doi.org/10.1073/pnas.2518372123" TargetMode="External"/><Relationship Id="rId174" Type="http://schemas.openxmlformats.org/officeDocument/2006/relationships/hyperlink" Target="https://www.pnas.org/doi/abs/10.1073/pnas.2513080122?mi=eymic2&amp;af=R&amp;access=on&amp;content=articlesChapters&amp;publication=pnas&amp;sortBy=Earliest&amp;target=default" TargetMode="External"/><Relationship Id="rId175" Type="http://schemas.openxmlformats.org/officeDocument/2006/relationships/hyperlink" Target="https://doi.org/10.1073/pnas.2513080122" TargetMode="External"/><Relationship Id="rId176" Type="http://schemas.openxmlformats.org/officeDocument/2006/relationships/hyperlink" Target="https://www.pnas.org/doi/abs/10.1073/pnas.2511397123?mi=eymic2&amp;af=R&amp;access=on&amp;content=articlesChapters&amp;publication=pnas&amp;sortBy=Earliest&amp;target=default" TargetMode="External"/><Relationship Id="rId177" Type="http://schemas.openxmlformats.org/officeDocument/2006/relationships/hyperlink" Target="https://doi.org/10.1073/pnas.2511397123" TargetMode="External"/><Relationship Id="rId178" Type="http://schemas.openxmlformats.org/officeDocument/2006/relationships/hyperlink" Target="https://www.pnas.org/doi/abs/10.1073/pnas.2519944123?mi=eymic2&amp;af=R&amp;access=on&amp;content=articlesChapters&amp;publication=pnas&amp;sortBy=Earliest&amp;target=default" TargetMode="External"/><Relationship Id="rId179" Type="http://schemas.openxmlformats.org/officeDocument/2006/relationships/hyperlink" Target="https://doi.org/10.1073/pnas.2519944123" TargetMode="External"/><Relationship Id="rId180" Type="http://schemas.openxmlformats.org/officeDocument/2006/relationships/hyperlink" Target="https://www.pnas.org/doi/abs/10.1073/pnas.2504742123?mi=eymic2&amp;af=R&amp;access=on&amp;content=articlesChapters&amp;publication=pnas&amp;sortBy=Earliest&amp;target=default" TargetMode="External"/><Relationship Id="rId181" Type="http://schemas.openxmlformats.org/officeDocument/2006/relationships/hyperlink" Target="https://doi.org/10.1073/pnas.2504742123" TargetMode="External"/><Relationship Id="rId182" Type="http://schemas.openxmlformats.org/officeDocument/2006/relationships/hyperlink" Target="https://www.pnas.org/doi/abs/10.1073/pnas.2530570123?mi=eymic2&amp;af=R&amp;access=on&amp;content=articlesChapters&amp;publication=pnas&amp;sortBy=Earliest&amp;target=default" TargetMode="External"/><Relationship Id="rId183" Type="http://schemas.openxmlformats.org/officeDocument/2006/relationships/hyperlink" Target="https://doi.org/10.1073/pnas.2530570123" TargetMode="External"/><Relationship Id="rId184" Type="http://schemas.openxmlformats.org/officeDocument/2006/relationships/hyperlink" Target="https://www.pnas.org/doi/abs/10.1073/pnas.2530441123?mi=eymic2&amp;af=R&amp;access=on&amp;content=articlesChapters&amp;publication=pnas&amp;sortBy=Earliest&amp;target=default" TargetMode="External"/><Relationship Id="rId185" Type="http://schemas.openxmlformats.org/officeDocument/2006/relationships/hyperlink" Target="https://doi.org/10.1073/pnas.2530441123" TargetMode="External"/><Relationship Id="rId186" Type="http://schemas.openxmlformats.org/officeDocument/2006/relationships/hyperlink" Target="https://www.pnas.org/doi/abs/10.1073/pnas.2524226123?mi=eymic2&amp;af=R&amp;access=on&amp;content=articlesChapters&amp;publication=pnas&amp;sortBy=Earliest&amp;target=default" TargetMode="External"/><Relationship Id="rId187" Type="http://schemas.openxmlformats.org/officeDocument/2006/relationships/hyperlink" Target="https://doi.org/10.1073/pnas.2524226123" TargetMode="External"/><Relationship Id="rId188" Type="http://schemas.openxmlformats.org/officeDocument/2006/relationships/hyperlink" Target="https://www.pnas.org/doi/abs/10.1073/pnas.2529200123?mi=eymic2&amp;af=R&amp;access=on&amp;content=articlesChapters&amp;publication=pnas&amp;sortBy=Earliest&amp;target=default" TargetMode="External"/><Relationship Id="rId189" Type="http://schemas.openxmlformats.org/officeDocument/2006/relationships/hyperlink" Target="https://doi.org/10.1073/pnas.2529200123" TargetMode="External"/><Relationship Id="rId190" Type="http://schemas.openxmlformats.org/officeDocument/2006/relationships/hyperlink" Target="https://www.pnas.org/doi/abs/10.1073/pnas.2527222122?mi=eymic2&amp;af=R&amp;access=on&amp;content=articlesChapters&amp;publication=pnas&amp;sortBy=Earliest&amp;target=default" TargetMode="External"/><Relationship Id="rId191" Type="http://schemas.openxmlformats.org/officeDocument/2006/relationships/hyperlink" Target="https://doi.org/10.1073/pnas.2527222122" TargetMode="External"/><Relationship Id="rId192" Type="http://schemas.openxmlformats.org/officeDocument/2006/relationships/hyperlink" Target="https://www.pnas.org/doi/abs/10.1073/pnas.2528103123?mi=eymic2&amp;af=R&amp;access=on&amp;content=articlesChapters&amp;publication=pnas&amp;sortBy=Earliest&amp;target=default" TargetMode="External"/><Relationship Id="rId193" Type="http://schemas.openxmlformats.org/officeDocument/2006/relationships/hyperlink" Target="https://doi.org/10.1073/pnas.2528103123" TargetMode="External"/><Relationship Id="rId194" Type="http://schemas.openxmlformats.org/officeDocument/2006/relationships/hyperlink" Target="https://www.pnas.org/doi/abs/10.1073/pnas.2525797123?mi=eymic2&amp;af=R&amp;access=on&amp;content=articlesChapters&amp;publication=pnas&amp;sortBy=Earliest&amp;target=default" TargetMode="External"/><Relationship Id="rId195" Type="http://schemas.openxmlformats.org/officeDocument/2006/relationships/hyperlink" Target="https://doi.org/10.1073/pnas.2525797123" TargetMode="External"/><Relationship Id="rId196" Type="http://schemas.openxmlformats.org/officeDocument/2006/relationships/hyperlink" Target="https://www.pnas.org/doi/abs/10.1073/pnas.2524513123?mi=eymic2&amp;af=R&amp;access=on&amp;content=articlesChapters&amp;publication=pnas&amp;sortBy=Earliest&amp;target=default" TargetMode="External"/><Relationship Id="rId197" Type="http://schemas.openxmlformats.org/officeDocument/2006/relationships/hyperlink" Target="https://doi.org/10.1073/pnas.2524513123" TargetMode="External"/><Relationship Id="rId198" Type="http://schemas.openxmlformats.org/officeDocument/2006/relationships/hyperlink" Target="https://www.pnas.org/doi/abs/10.1073/pnas.2520719123?mi=eymic2&amp;af=R&amp;access=on&amp;content=articlesChapters&amp;publication=pnas&amp;sortBy=Earliest&amp;target=default" TargetMode="External"/><Relationship Id="rId199" Type="http://schemas.openxmlformats.org/officeDocument/2006/relationships/hyperlink" Target="https://doi.org/10.1073/pnas.2520719123" TargetMode="External"/><Relationship Id="rId200" Type="http://schemas.openxmlformats.org/officeDocument/2006/relationships/hyperlink" Target="https://www.pnas.org/doi/abs/10.1073/pnas.2517066123?mi=eymic2&amp;af=R&amp;access=on&amp;content=articlesChapters&amp;publication=pnas&amp;sortBy=Earliest&amp;target=default" TargetMode="External"/><Relationship Id="rId201" Type="http://schemas.openxmlformats.org/officeDocument/2006/relationships/hyperlink" Target="https://doi.org/10.1073/pnas.2517066123" TargetMode="External"/><Relationship Id="rId202" Type="http://schemas.openxmlformats.org/officeDocument/2006/relationships/hyperlink" Target="https://www.pnas.org/doi/abs/10.1073/pnas.2523901123?mi=eymic2&amp;af=R&amp;access=on&amp;content=articlesChapters&amp;publication=pnas&amp;sortBy=Earliest&amp;target=default" TargetMode="External"/><Relationship Id="rId203" Type="http://schemas.openxmlformats.org/officeDocument/2006/relationships/hyperlink" Target="https://doi.org/10.1073/pnas.2523901123" TargetMode="External"/><Relationship Id="rId204" Type="http://schemas.openxmlformats.org/officeDocument/2006/relationships/hyperlink" Target="https://www.pnas.org/doi/abs/10.1073/pnas.2535454123?mi=eymic2&amp;af=R&amp;access=on&amp;content=articlesChapters&amp;publication=pnas&amp;sortBy=Earliest&amp;target=default" TargetMode="External"/><Relationship Id="rId205" Type="http://schemas.openxmlformats.org/officeDocument/2006/relationships/hyperlink" Target="https://doi.org/10.1073/pnas.2535454123" TargetMode="External"/><Relationship Id="rId206" Type="http://schemas.openxmlformats.org/officeDocument/2006/relationships/hyperlink" Target="https://advanced.onlinelibrary.wiley.com/doi/10.1002/adma.202519384?af=R" TargetMode="External"/><Relationship Id="rId207" Type="http://schemas.openxmlformats.org/officeDocument/2006/relationships/hyperlink" Target="https://doi.org/10.1002/adma.202519384" TargetMode="External"/><Relationship Id="rId208" Type="http://schemas.openxmlformats.org/officeDocument/2006/relationships/hyperlink" Target="http://dx.doi.org/10.1021/jacs.5c18705" TargetMode="External"/><Relationship Id="rId209" Type="http://schemas.openxmlformats.org/officeDocument/2006/relationships/hyperlink" Target="https://doi.org/10.1021/jacs.5c18705" TargetMode="External"/><Relationship Id="rId210" Type="http://schemas.openxmlformats.org/officeDocument/2006/relationships/hyperlink" Target="http://dx.doi.org/10.1021/acsenergylett.5c03740" TargetMode="External"/><Relationship Id="rId211" Type="http://schemas.openxmlformats.org/officeDocument/2006/relationships/hyperlink" Target="https://doi.org/10.1021/acsenergylett.5c03740" TargetMode="External"/><Relationship Id="rId212" Type="http://schemas.openxmlformats.org/officeDocument/2006/relationships/hyperlink" Target="http://dx.doi.org/10.1021/jacs.5c19366" TargetMode="External"/><Relationship Id="rId213" Type="http://schemas.openxmlformats.org/officeDocument/2006/relationships/hyperlink" Target="https://doi.org/10.1021/jacs.5c19366" TargetMode="External"/><Relationship Id="rId214" Type="http://schemas.openxmlformats.org/officeDocument/2006/relationships/hyperlink" Target="http://dx.doi.org/10.1021/jacs.5c16974" TargetMode="External"/><Relationship Id="rId215" Type="http://schemas.openxmlformats.org/officeDocument/2006/relationships/hyperlink" Target="https://doi.org/10.1021/jacs.5c16974" TargetMode="External"/><Relationship Id="rId216" Type="http://schemas.openxmlformats.org/officeDocument/2006/relationships/hyperlink" Target="http://dx.doi.org/10.1021/jacs.6c00593" TargetMode="External"/><Relationship Id="rId217" Type="http://schemas.openxmlformats.org/officeDocument/2006/relationships/hyperlink" Target="https://doi.org/10.1021/jacs.6c00593" TargetMode="External"/><Relationship Id="rId218" Type="http://schemas.openxmlformats.org/officeDocument/2006/relationships/hyperlink" Target="http://dx.doi.org/10.1021/jacs.5c16008" TargetMode="External"/><Relationship Id="rId219" Type="http://schemas.openxmlformats.org/officeDocument/2006/relationships/hyperlink" Target="https://doi.org/10.1021/jacs.5c16008" TargetMode="External"/><Relationship Id="rId220" Type="http://schemas.openxmlformats.org/officeDocument/2006/relationships/hyperlink" Target="http://dx.doi.org/10.1021/jacs.5c19892" TargetMode="External"/><Relationship Id="rId221" Type="http://schemas.openxmlformats.org/officeDocument/2006/relationships/hyperlink" Target="https://doi.org/10.1021/jacs.5c19892" TargetMode="External"/><Relationship Id="rId222" Type="http://schemas.openxmlformats.org/officeDocument/2006/relationships/hyperlink" Target="http://dx.doi.org/10.1021/jacs.5c18600" TargetMode="External"/><Relationship Id="rId223" Type="http://schemas.openxmlformats.org/officeDocument/2006/relationships/hyperlink" Target="https://doi.org/10.1021/jacs.5c18600" TargetMode="External"/><Relationship Id="rId224" Type="http://schemas.openxmlformats.org/officeDocument/2006/relationships/hyperlink" Target="http://dx.doi.org/10.1021/jacs.5c18937" TargetMode="External"/><Relationship Id="rId225" Type="http://schemas.openxmlformats.org/officeDocument/2006/relationships/hyperlink" Target="https://doi.org/10.1021/jacs.5c18937" TargetMode="External"/><Relationship Id="rId226" Type="http://schemas.openxmlformats.org/officeDocument/2006/relationships/hyperlink" Target="http://dx.doi.org/10.1021/acsenergylett.5c04072" TargetMode="External"/><Relationship Id="rId227" Type="http://schemas.openxmlformats.org/officeDocument/2006/relationships/hyperlink" Target="https://doi.org/10.1021/acsenergylett.5c04072" TargetMode="External"/><Relationship Id="rId228" Type="http://schemas.openxmlformats.org/officeDocument/2006/relationships/hyperlink" Target="http://dx.doi.org/10.1021/acsenergylett.5c03653" TargetMode="External"/><Relationship Id="rId229" Type="http://schemas.openxmlformats.org/officeDocument/2006/relationships/hyperlink" Target="https://doi.org/10.1021/acsenergylett.5c03653" TargetMode="External"/><Relationship Id="rId230" Type="http://schemas.openxmlformats.org/officeDocument/2006/relationships/hyperlink" Target="http://dx.doi.org/10.1021/acsenergylett.5c04112" TargetMode="External"/><Relationship Id="rId231" Type="http://schemas.openxmlformats.org/officeDocument/2006/relationships/hyperlink" Target="https://doi.org/10.1021/acsenergylett.5c04112" TargetMode="External"/><Relationship Id="rId232" Type="http://schemas.openxmlformats.org/officeDocument/2006/relationships/hyperlink" Target="http://dx.doi.org/10.1021/jacs.5c21759" TargetMode="External"/><Relationship Id="rId233" Type="http://schemas.openxmlformats.org/officeDocument/2006/relationships/hyperlink" Target="https://doi.org/10.1021/jacs.5c21759" TargetMode="External"/><Relationship Id="rId234" Type="http://schemas.openxmlformats.org/officeDocument/2006/relationships/hyperlink" Target="http://dx.doi.org/10.1021/jacs.5c14558" TargetMode="External"/><Relationship Id="rId235" Type="http://schemas.openxmlformats.org/officeDocument/2006/relationships/hyperlink" Target="https://doi.org/10.1021/jacs.5c14558" TargetMode="External"/><Relationship Id="rId236" Type="http://schemas.openxmlformats.org/officeDocument/2006/relationships/hyperlink" Target="http://dx.doi.org/10.1021/acsenergylett.5c03901" TargetMode="External"/><Relationship Id="rId237" Type="http://schemas.openxmlformats.org/officeDocument/2006/relationships/hyperlink" Target="https://doi.org/10.1021/acsenergylett.5c03901" TargetMode="External"/><Relationship Id="rId238" Type="http://schemas.openxmlformats.org/officeDocument/2006/relationships/hyperlink" Target="http://dx.doi.org/10.1021/jacs.5c20379" TargetMode="External"/><Relationship Id="rId239" Type="http://schemas.openxmlformats.org/officeDocument/2006/relationships/hyperlink" Target="https://doi.org/10.1021/jacs.5c20379" TargetMode="External"/><Relationship Id="rId240" Type="http://schemas.openxmlformats.org/officeDocument/2006/relationships/hyperlink" Target="http://dx.doi.org/10.1021/acsenergylett.5c02410" TargetMode="External"/><Relationship Id="rId241" Type="http://schemas.openxmlformats.org/officeDocument/2006/relationships/hyperlink" Target="https://doi.org/10.1021/acsenergylett.5c02410" TargetMode="External"/><Relationship Id="rId242" Type="http://schemas.openxmlformats.org/officeDocument/2006/relationships/hyperlink" Target="http://dx.doi.org/10.1021/jacs.5c16402" TargetMode="External"/><Relationship Id="rId243" Type="http://schemas.openxmlformats.org/officeDocument/2006/relationships/hyperlink" Target="https://doi.org/10.1021/jacs.5c16402" TargetMode="External"/><Relationship Id="rId244" Type="http://schemas.openxmlformats.org/officeDocument/2006/relationships/hyperlink" Target="http://dx.doi.org/10.1021/jacs.5c21055" TargetMode="External"/><Relationship Id="rId245" Type="http://schemas.openxmlformats.org/officeDocument/2006/relationships/hyperlink" Target="https://doi.org/10.1021/jacs.5c21055" TargetMode="External"/><Relationship Id="rId246" Type="http://schemas.openxmlformats.org/officeDocument/2006/relationships/hyperlink" Target="http://dx.doi.org/10.1021/jacs.5c16349" TargetMode="External"/><Relationship Id="rId247" Type="http://schemas.openxmlformats.org/officeDocument/2006/relationships/hyperlink" Target="https://doi.org/10.1021/jacs.5c16349" TargetMode="External"/><Relationship Id="rId248" Type="http://schemas.openxmlformats.org/officeDocument/2006/relationships/hyperlink" Target="http://dx.doi.org/10.1021/acsenergylett.5c03191" TargetMode="External"/><Relationship Id="rId249" Type="http://schemas.openxmlformats.org/officeDocument/2006/relationships/hyperlink" Target="https://doi.org/10.1021/acsenergylett.5c03191" TargetMode="External"/><Relationship Id="rId250" Type="http://schemas.openxmlformats.org/officeDocument/2006/relationships/hyperlink" Target="http://dx.doi.org/10.1021/jacs.5c15697" TargetMode="External"/><Relationship Id="rId251" Type="http://schemas.openxmlformats.org/officeDocument/2006/relationships/hyperlink" Target="https://doi.org/10.1021/jacs.5c15697" TargetMode="External"/><Relationship Id="rId252" Type="http://schemas.openxmlformats.org/officeDocument/2006/relationships/hyperlink" Target="http://dx.doi.org/10.1021/jacs.5c17756" TargetMode="External"/><Relationship Id="rId253" Type="http://schemas.openxmlformats.org/officeDocument/2006/relationships/hyperlink" Target="https://doi.org/10.1021/jacs.5c17756" TargetMode="External"/><Relationship Id="rId254" Type="http://schemas.openxmlformats.org/officeDocument/2006/relationships/hyperlink" Target="http://dx.doi.org/10.1021/jacs.5c21054" TargetMode="External"/><Relationship Id="rId255" Type="http://schemas.openxmlformats.org/officeDocument/2006/relationships/hyperlink" Target="https://doi.org/10.1021/jacs.5c21054" TargetMode="External"/><Relationship Id="rId256" Type="http://schemas.openxmlformats.org/officeDocument/2006/relationships/hyperlink" Target="https://www.nature.com/articles/s41586-026-10186-3" TargetMode="External"/><Relationship Id="rId257" Type="http://schemas.openxmlformats.org/officeDocument/2006/relationships/hyperlink" Target="https://www.nature.com/articles/s41586-026-10119-0" TargetMode="External"/><Relationship Id="rId258" Type="http://schemas.openxmlformats.org/officeDocument/2006/relationships/hyperlink" Target="https://www.nature.com/articles/s41893-025-01752-0" TargetMode="External"/><Relationship Id="rId259" Type="http://schemas.openxmlformats.org/officeDocument/2006/relationships/hyperlink" Target="https://www.nature.com/articles/s41893-025-01750-2" TargetMode="External"/><Relationship Id="rId260" Type="http://schemas.openxmlformats.org/officeDocument/2006/relationships/hyperlink" Target="https://www.nature.com/articles/s41563-025-02475-5" TargetMode="External"/><Relationship Id="rId261" Type="http://schemas.openxmlformats.org/officeDocument/2006/relationships/hyperlink" Target="https://www.nature.com/articles/s41563-026-02481-1" TargetMode="External"/><Relationship Id="rId262" Type="http://schemas.openxmlformats.org/officeDocument/2006/relationships/hyperlink" Target="https://www.nature.com/articles/s41893-025-01749-9" TargetMode="External"/><Relationship Id="rId263" Type="http://schemas.openxmlformats.org/officeDocument/2006/relationships/hyperlink" Target="https://www.nature.com/articles/s44286-025-00344-1" TargetMode="External"/><Relationship Id="rId264" Type="http://schemas.openxmlformats.org/officeDocument/2006/relationships/hyperlink" Target="https://www.nature.com/articles/s41893-025-01753-z" TargetMode="External"/><Relationship Id="rId265" Type="http://schemas.openxmlformats.org/officeDocument/2006/relationships/hyperlink" Target="https://www.nature.com/articles/s41893-025-01763-x" TargetMode="External"/><Relationship Id="rId266" Type="http://schemas.openxmlformats.org/officeDocument/2006/relationships/hyperlink" Target="https://www.cell.com/joule/fulltext/S2542-4351(25)00447-7?rss=yes" TargetMode="External"/><Relationship Id="rId267" Type="http://schemas.openxmlformats.org/officeDocument/2006/relationships/hyperlink" Target="https://www.cell.com/chem/fulltext/S2451-9294(25)00429-2?rss=yes" TargetMode="External"/><Relationship Id="rId268" Type="http://schemas.openxmlformats.org/officeDocument/2006/relationships/hyperlink" Target="https://www.nature.com/articles/d41586-026-00265-w" TargetMode="External"/><Relationship Id="rId269" Type="http://schemas.openxmlformats.org/officeDocument/2006/relationships/hyperlink" Target="https://www.nature.com/articles/d41586-026-00263-y" TargetMode="External"/><Relationship Id="rId270" Type="http://schemas.openxmlformats.org/officeDocument/2006/relationships/hyperlink" Target="https://www.nature.com/articles/d41586-026-00262-z" TargetMode="External"/><Relationship Id="rId271" Type="http://schemas.openxmlformats.org/officeDocument/2006/relationships/hyperlink" Target="https://www.nature.com/articles/d41586-026-00256-x" TargetMode="External"/><Relationship Id="rId272" Type="http://schemas.openxmlformats.org/officeDocument/2006/relationships/hyperlink" Target="https://www.nature.com/articles/s41578-026-00894-7" TargetMode="External"/><Relationship Id="rId273" Type="http://schemas.openxmlformats.org/officeDocument/2006/relationships/hyperlink" Target="https://www.nature.com/articles/d41586-026-00238-z" TargetMode="External"/><Relationship Id="rId274" Type="http://schemas.openxmlformats.org/officeDocument/2006/relationships/hyperlink" Target="https://www.nature.com/articles/s41578-026-00891-w" TargetMode="External"/><Relationship Id="rId275" Type="http://schemas.openxmlformats.org/officeDocument/2006/relationships/hyperlink" Target="https://www.nature.com/articles/d41586-026-00236-1" TargetMode="External"/><Relationship Id="rId276" Type="http://schemas.openxmlformats.org/officeDocument/2006/relationships/hyperlink" Target="https://www.nature.com/articles/d41586-026-00234-3" TargetMode="External"/><Relationship Id="rId277" Type="http://schemas.openxmlformats.org/officeDocument/2006/relationships/hyperlink" Target="https://www.nature.com/articles/d41586-026-00225-4" TargetMode="External"/><Relationship Id="rId278" Type="http://schemas.openxmlformats.org/officeDocument/2006/relationships/hyperlink" Target="https://www.nature.com/articles/d41586-026-00191-x" TargetMode="External"/><Relationship Id="rId279" Type="http://schemas.openxmlformats.org/officeDocument/2006/relationships/hyperlink" Target="https://www.nature.com/articles/s41467-025-67546-2" TargetMode="External"/><Relationship Id="rId280" Type="http://schemas.openxmlformats.org/officeDocument/2006/relationships/hyperlink" Target="https://www.nature.com/articles/s41578-025-00857-4" TargetMode="External"/><Relationship Id="rId281" Type="http://schemas.openxmlformats.org/officeDocument/2006/relationships/hyperlink" Target="https://www.nature.com/articles/s41467-026-68616-9" TargetMode="External"/><Relationship Id="rId282" Type="http://schemas.openxmlformats.org/officeDocument/2006/relationships/hyperlink" Target="https://www.nature.com/articles/d41586-026-00055-4" TargetMode="External"/><Relationship Id="rId283" Type="http://schemas.openxmlformats.org/officeDocument/2006/relationships/hyperlink" Target="https://www.nature.com/articles/s41467-026-68709-5" TargetMode="External"/><Relationship Id="rId284" Type="http://schemas.openxmlformats.org/officeDocument/2006/relationships/hyperlink" Target="https://www.nature.com/articles/s41467-026-68751-3" TargetMode="External"/><Relationship Id="rId285" Type="http://schemas.openxmlformats.org/officeDocument/2006/relationships/hyperlink" Target="https://www.nature.com/articles/s41467-026-68777-7" TargetMode="External"/><Relationship Id="rId286" Type="http://schemas.openxmlformats.org/officeDocument/2006/relationships/hyperlink" Target="https://www.cell.com/matter/fulltext/S2590-2385(25)00622-8?rss=yes" TargetMode="External"/><Relationship Id="rId287" Type="http://schemas.openxmlformats.org/officeDocument/2006/relationships/hyperlink" Target="https://www.cell.com/matter/fulltext/S2590-2385(25)00621-6?rss=yes" TargetMode="External"/><Relationship Id="rId288" Type="http://schemas.openxmlformats.org/officeDocument/2006/relationships/hyperlink" Target="https://www.nature.com/articles/s41467-026-68876-5" TargetMode="External"/><Relationship Id="rId289" Type="http://schemas.openxmlformats.org/officeDocument/2006/relationships/hyperlink" Target="https://www.nature.com/articles/s44286-025-00349-w" TargetMode="External"/><Relationship Id="rId290" Type="http://schemas.openxmlformats.org/officeDocument/2006/relationships/hyperlink" Target="https://www.cell.com/joule/fulltext/S2542-4351(25)00441-6?rss=yes" TargetMode="External"/><Relationship Id="rId291" Type="http://schemas.openxmlformats.org/officeDocument/2006/relationships/hyperlink" Target="https://www.nature.com/articles/s41467-026-68963-7" TargetMode="External"/><Relationship Id="rId292" Type="http://schemas.openxmlformats.org/officeDocument/2006/relationships/hyperlink" Target="https://www.nature.com/articles/s44286-026-00357-4" TargetMode="External"/><Relationship Id="rId293" Type="http://schemas.openxmlformats.org/officeDocument/2006/relationships/hyperlink" Target="https://www.nature.com/articles/s41893-025-01751-1" TargetMode="External"/><Relationship Id="rId294" Type="http://schemas.openxmlformats.org/officeDocument/2006/relationships/hyperlink" Target="http://pubs.rsc.org/en/Content/ArticleLanding/2026/CS/D5CS00736D" TargetMode="External"/><Relationship Id="rId295" Type="http://schemas.openxmlformats.org/officeDocument/2006/relationships/hyperlink" Target="https://academic.oup.com/nsr/advance-article/doi/10.1093/nsr/nwag052/8442252?rss=1" TargetMode="External"/><Relationship Id="rId296" Type="http://schemas.openxmlformats.org/officeDocument/2006/relationships/hyperlink" Target="https://doi.org/10.1093/nsr/nwag052/8442252" TargetMode="External"/><Relationship Id="rId297" Type="http://schemas.openxmlformats.org/officeDocument/2006/relationships/hyperlink" Target="http://pubs.rsc.org/en/Content/ArticleLanding/2026/CS/D5CS01330E" TargetMode="External"/><Relationship Id="rId298" Type="http://schemas.openxmlformats.org/officeDocument/2006/relationships/hyperlink" Target="https://www.nature.com/articles/s41563-025-02458-6" TargetMode="External"/><Relationship Id="rId299" Type="http://schemas.openxmlformats.org/officeDocument/2006/relationships/hyperlink" Target="https://academic.oup.com/nsr/advance-article/doi/10.1093/nsr/nwag051/8442258?rss=1" TargetMode="External"/><Relationship Id="rId300" Type="http://schemas.openxmlformats.org/officeDocument/2006/relationships/hyperlink" Target="https://doi.org/10.1093/nsr/nwag051/8442258" TargetMode="External"/><Relationship Id="rId301" Type="http://schemas.openxmlformats.org/officeDocument/2006/relationships/hyperlink" Target="http://pubs.rsc.org/en/Content/ArticleLanding/2026/EE/D5EE05901A" TargetMode="External"/><Relationship Id="rId302" Type="http://schemas.openxmlformats.org/officeDocument/2006/relationships/hyperlink" Target="https://academic.oup.com/nsr/advance-article/doi/10.1093/nsr/nwag043/8442246?rss=1" TargetMode="External"/><Relationship Id="rId303" Type="http://schemas.openxmlformats.org/officeDocument/2006/relationships/hyperlink" Target="https://doi.org/10.1093/nsr/nwag043/8442246" TargetMode="External"/><Relationship Id="rId304" Type="http://schemas.openxmlformats.org/officeDocument/2006/relationships/hyperlink" Target="https://academic.oup.com/nsr/advance-article/doi/10.1093/nsr/nwag027/8442262?rss=1" TargetMode="External"/><Relationship Id="rId305" Type="http://schemas.openxmlformats.org/officeDocument/2006/relationships/hyperlink" Target="https://doi.org/10.1093/nsr/nwag027/8442262" TargetMode="External"/><Relationship Id="rId306" Type="http://schemas.openxmlformats.org/officeDocument/2006/relationships/hyperlink" Target="https://advanced.onlinelibrary.wiley.com/doi/10.1002/aenm.202506114?af=R" TargetMode="External"/><Relationship Id="rId307" Type="http://schemas.openxmlformats.org/officeDocument/2006/relationships/hyperlink" Target="https://doi.org/10.1002/aenm.202506114" TargetMode="External"/><Relationship Id="rId308" Type="http://schemas.openxmlformats.org/officeDocument/2006/relationships/hyperlink" Target="https://advanced.onlinelibrary.wiley.com/doi/10.1002/aenm.202505551?af=R" TargetMode="External"/><Relationship Id="rId309" Type="http://schemas.openxmlformats.org/officeDocument/2006/relationships/hyperlink" Target="https://doi.org/10.1002/aenm.202505551" TargetMode="External"/><Relationship Id="rId310" Type="http://schemas.openxmlformats.org/officeDocument/2006/relationships/hyperlink" Target="https://advanced.onlinelibrary.wiley.com/doi/10.1002/adma.202522739?af=R" TargetMode="External"/><Relationship Id="rId311" Type="http://schemas.openxmlformats.org/officeDocument/2006/relationships/hyperlink" Target="https://doi.org/10.1002/adma.202522739" TargetMode="External"/><Relationship Id="rId312" Type="http://schemas.openxmlformats.org/officeDocument/2006/relationships/hyperlink" Target="https://advanced.onlinelibrary.wiley.com/doi/10.1002/adma.202518602?af=R" TargetMode="External"/><Relationship Id="rId313" Type="http://schemas.openxmlformats.org/officeDocument/2006/relationships/hyperlink" Target="https://doi.org/10.1002/adma.202518602" TargetMode="External"/><Relationship Id="rId314" Type="http://schemas.openxmlformats.org/officeDocument/2006/relationships/hyperlink" Target="https://advanced.onlinelibrary.wiley.com/doi/10.1002/adma.72241?af=R" TargetMode="External"/><Relationship Id="rId315" Type="http://schemas.openxmlformats.org/officeDocument/2006/relationships/hyperlink" Target="https://doi.org/10.1002/adma.72241" TargetMode="External"/><Relationship Id="rId316" Type="http://schemas.openxmlformats.org/officeDocument/2006/relationships/hyperlink" Target="https://advanced.onlinelibrary.wiley.com/doi/10.1002/adma.72292?af=R" TargetMode="External"/><Relationship Id="rId317" Type="http://schemas.openxmlformats.org/officeDocument/2006/relationships/hyperlink" Target="https://doi.org/10.1002/adma.72292" TargetMode="External"/><Relationship Id="rId318" Type="http://schemas.openxmlformats.org/officeDocument/2006/relationships/hyperlink" Target="https://advanced.onlinelibrary.wiley.com/doi/10.1002/adma.202522244?af=R" TargetMode="External"/><Relationship Id="rId319" Type="http://schemas.openxmlformats.org/officeDocument/2006/relationships/hyperlink" Target="https://doi.org/10.1002/adma.202522244" TargetMode="External"/><Relationship Id="rId320" Type="http://schemas.openxmlformats.org/officeDocument/2006/relationships/hyperlink" Target="https://advanced.onlinelibrary.wiley.com/doi/10.1002/adma.202523516?af=R" TargetMode="External"/><Relationship Id="rId321" Type="http://schemas.openxmlformats.org/officeDocument/2006/relationships/hyperlink" Target="https://doi.org/10.1002/adma.202523516" TargetMode="External"/><Relationship Id="rId322" Type="http://schemas.openxmlformats.org/officeDocument/2006/relationships/hyperlink" Target="https://advanced.onlinelibrary.wiley.com/doi/10.1002/adma.202519453?af=R" TargetMode="External"/><Relationship Id="rId323" Type="http://schemas.openxmlformats.org/officeDocument/2006/relationships/hyperlink" Target="https://doi.org/10.1002/adma.202519453" TargetMode="External"/><Relationship Id="rId324" Type="http://schemas.openxmlformats.org/officeDocument/2006/relationships/hyperlink" Target="https://advanced.onlinelibrary.wiley.com/doi/10.1002/adma.202518307?af=R" TargetMode="External"/><Relationship Id="rId325" Type="http://schemas.openxmlformats.org/officeDocument/2006/relationships/hyperlink" Target="https://doi.org/10.1002/adma.202518307" TargetMode="External"/><Relationship Id="rId326" Type="http://schemas.openxmlformats.org/officeDocument/2006/relationships/hyperlink" Target="https://advanced.onlinelibrary.wiley.com/doi/10.1002/adma.202521218?af=R" TargetMode="External"/><Relationship Id="rId327" Type="http://schemas.openxmlformats.org/officeDocument/2006/relationships/hyperlink" Target="https://doi.org/10.1002/adma.202521218" TargetMode="External"/><Relationship Id="rId328" Type="http://schemas.openxmlformats.org/officeDocument/2006/relationships/hyperlink" Target="https://advanced.onlinelibrary.wiley.com/doi/10.1002/adma.202523627?af=R" TargetMode="External"/><Relationship Id="rId329" Type="http://schemas.openxmlformats.org/officeDocument/2006/relationships/hyperlink" Target="https://doi.org/10.1002/adma.202523627" TargetMode="External"/><Relationship Id="rId330" Type="http://schemas.openxmlformats.org/officeDocument/2006/relationships/hyperlink" Target="https://advanced.onlinelibrary.wiley.com/doi/10.1002/adma.202514125?af=R" TargetMode="External"/><Relationship Id="rId331" Type="http://schemas.openxmlformats.org/officeDocument/2006/relationships/hyperlink" Target="https://doi.org/10.1002/adma.202514125" TargetMode="External"/><Relationship Id="rId332" Type="http://schemas.openxmlformats.org/officeDocument/2006/relationships/hyperlink" Target="https://advanced.onlinelibrary.wiley.com/doi/10.1002/adma.202520618?af=R" TargetMode="External"/><Relationship Id="rId333" Type="http://schemas.openxmlformats.org/officeDocument/2006/relationships/hyperlink" Target="https://doi.org/10.1002/adma.202520618" TargetMode="External"/><Relationship Id="rId334" Type="http://schemas.openxmlformats.org/officeDocument/2006/relationships/hyperlink" Target="https://advanced.onlinelibrary.wiley.com/doi/10.1002/adma.202520782?af=R" TargetMode="External"/><Relationship Id="rId335" Type="http://schemas.openxmlformats.org/officeDocument/2006/relationships/hyperlink" Target="https://doi.org/10.1002/adma.202520782" TargetMode="External"/><Relationship Id="rId336" Type="http://schemas.openxmlformats.org/officeDocument/2006/relationships/hyperlink" Target="https://www.pnas.org/doi/abs/10.1073/pnas.2535320122?mi=eymic2&amp;af=R&amp;access=on&amp;content=articlesChapters&amp;publication=pnas&amp;sortBy=Earliest&amp;target=default" TargetMode="External"/><Relationship Id="rId337" Type="http://schemas.openxmlformats.org/officeDocument/2006/relationships/hyperlink" Target="https://doi.org/10.1073/pnas.2535320122" TargetMode="External"/><Relationship Id="rId338" Type="http://schemas.openxmlformats.org/officeDocument/2006/relationships/hyperlink" Target="https://www.pnas.org/doi/abs/10.1073/pnas.2535197122?mi=eymic2&amp;af=R&amp;access=on&amp;content=articlesChapters&amp;publication=pnas&amp;sortBy=Earliest&amp;target=default" TargetMode="External"/><Relationship Id="rId339" Type="http://schemas.openxmlformats.org/officeDocument/2006/relationships/hyperlink" Target="https://doi.org/10.1073/pnas.2535197122" TargetMode="External"/><Relationship Id="rId340" Type="http://schemas.openxmlformats.org/officeDocument/2006/relationships/hyperlink" Target="https://www.pnas.org/doi/abs/10.1073/pnas.2534531123?mi=eymic2&amp;af=R&amp;access=on&amp;content=articlesChapters&amp;publication=pnas&amp;sortBy=Earliest&amp;target=default" TargetMode="External"/><Relationship Id="rId341" Type="http://schemas.openxmlformats.org/officeDocument/2006/relationships/hyperlink" Target="https://doi.org/10.1073/pnas.2534531123" TargetMode="External"/><Relationship Id="rId342" Type="http://schemas.openxmlformats.org/officeDocument/2006/relationships/hyperlink" Target="https://www.pnas.org/doi/abs/10.1073/iti0426123?mi=eymic2&amp;af=R&amp;access=on&amp;content=articlesChapters&amp;publication=pnas&amp;sortBy=Earliest&amp;target=default" TargetMode="External"/><Relationship Id="rId343" Type="http://schemas.openxmlformats.org/officeDocument/2006/relationships/hyperlink" Target="https://doi.org/10.1073/iti0426123" TargetMode="External"/><Relationship Id="rId344" Type="http://schemas.openxmlformats.org/officeDocument/2006/relationships/hyperlink" Target="https://www.pnas.org/doi/abs/10.1073/pnas.2515790122?mi=eymic2&amp;af=R&amp;access=on&amp;content=articlesChapters&amp;publication=pnas&amp;sortBy=Earliest&amp;target=default" TargetMode="External"/><Relationship Id="rId345" Type="http://schemas.openxmlformats.org/officeDocument/2006/relationships/hyperlink" Target="https://doi.org/10.1073/pnas.2515790122" TargetMode="External"/><Relationship Id="rId346" Type="http://schemas.openxmlformats.org/officeDocument/2006/relationships/hyperlink" Target="https://www.pnas.org/doi/abs/10.1073/pnas.2524926123?mi=eymic2&amp;af=R&amp;access=on&amp;content=articlesChapters&amp;publication=pnas&amp;sortBy=Earliest&amp;target=default" TargetMode="External"/><Relationship Id="rId347" Type="http://schemas.openxmlformats.org/officeDocument/2006/relationships/hyperlink" Target="https://doi.org/10.1073/pnas.2524926123" TargetMode="External"/><Relationship Id="rId348" Type="http://schemas.openxmlformats.org/officeDocument/2006/relationships/hyperlink" Target="https://www.pnas.org/doi/abs/10.1073/pnas.2528600123?mi=eymic2&amp;af=R&amp;access=on&amp;content=articlesChapters&amp;publication=pnas&amp;sortBy=Earliest&amp;target=default" TargetMode="External"/><Relationship Id="rId349" Type="http://schemas.openxmlformats.org/officeDocument/2006/relationships/hyperlink" Target="https://doi.org/10.1073/pnas.2528600123" TargetMode="External"/><Relationship Id="rId350" Type="http://schemas.openxmlformats.org/officeDocument/2006/relationships/hyperlink" Target="https://www.pnas.org/doi/abs/10.1073/pnas.2600063123?mi=eymic2&amp;af=R&amp;access=on&amp;content=articlesChapters&amp;publication=pnas&amp;sortBy=Earliest&amp;target=default" TargetMode="External"/><Relationship Id="rId351" Type="http://schemas.openxmlformats.org/officeDocument/2006/relationships/hyperlink" Target="https://doi.org/10.1073/pnas.2600063123" TargetMode="External"/><Relationship Id="rId352" Type="http://schemas.openxmlformats.org/officeDocument/2006/relationships/hyperlink" Target="https://www.pnas.org/doi/abs/10.1073/pnas.2531105123?mi=eymic2&amp;af=R&amp;access=on&amp;content=articlesChapters&amp;publication=pnas&amp;sortBy=Earliest&amp;target=default" TargetMode="External"/><Relationship Id="rId353" Type="http://schemas.openxmlformats.org/officeDocument/2006/relationships/hyperlink" Target="https://doi.org/10.1073/pnas.2531105123" TargetMode="External"/><Relationship Id="rId354" Type="http://schemas.openxmlformats.org/officeDocument/2006/relationships/hyperlink" Target="https://www.pnas.org/doi/abs/10.1073/pnas.2512201123?mi=eymic2&amp;af=R&amp;access=on&amp;content=articlesChapters&amp;publication=pnas&amp;sortBy=Earliest&amp;target=default" TargetMode="External"/><Relationship Id="rId355" Type="http://schemas.openxmlformats.org/officeDocument/2006/relationships/hyperlink" Target="https://doi.org/10.1073/pnas.2512201123" TargetMode="External"/><Relationship Id="rId356" Type="http://schemas.openxmlformats.org/officeDocument/2006/relationships/hyperlink" Target="https://www.pnas.org/doi/abs/10.1073/pnas.2507707123?mi=eymic2&amp;af=R&amp;access=on&amp;content=articlesChapters&amp;publication=pnas&amp;sortBy=Earliest&amp;target=default" TargetMode="External"/><Relationship Id="rId357" Type="http://schemas.openxmlformats.org/officeDocument/2006/relationships/hyperlink" Target="https://doi.org/10.1073/pnas.2507707123" TargetMode="External"/><Relationship Id="rId358" Type="http://schemas.openxmlformats.org/officeDocument/2006/relationships/hyperlink" Target="https://www.pnas.org/doi/abs/10.1073/pnas.2505026123?mi=eymic2&amp;af=R&amp;access=on&amp;content=articlesChapters&amp;publication=pnas&amp;sortBy=Earliest&amp;target=default" TargetMode="External"/><Relationship Id="rId359" Type="http://schemas.openxmlformats.org/officeDocument/2006/relationships/hyperlink" Target="https://doi.org/10.1073/pnas.2505026123" TargetMode="External"/><Relationship Id="rId360" Type="http://schemas.openxmlformats.org/officeDocument/2006/relationships/hyperlink" Target="https://www.pnas.org/doi/abs/10.1073/pnas.2533902123?mi=eymic2&amp;af=R&amp;access=on&amp;content=articlesChapters&amp;publication=pnas&amp;sortBy=Earliest&amp;target=default" TargetMode="External"/><Relationship Id="rId361" Type="http://schemas.openxmlformats.org/officeDocument/2006/relationships/hyperlink" Target="https://doi.org/10.1073/pnas.2533902123" TargetMode="External"/><Relationship Id="rId362" Type="http://schemas.openxmlformats.org/officeDocument/2006/relationships/hyperlink" Target="http://dx.doi.org/10.1021/jacs.5c20189" TargetMode="External"/><Relationship Id="rId363" Type="http://schemas.openxmlformats.org/officeDocument/2006/relationships/hyperlink" Target="https://doi.org/10.1021/jacs.5c20189" TargetMode="External"/><Relationship Id="rId364" Type="http://schemas.openxmlformats.org/officeDocument/2006/relationships/hyperlink" Target="https://onlinelibrary.wiley.com/doi/10.1002/anie.202523522?af=R" TargetMode="External"/><Relationship Id="rId365" Type="http://schemas.openxmlformats.org/officeDocument/2006/relationships/hyperlink" Target="https://doi.org/10.1002/anie.202523522" TargetMode="External"/><Relationship Id="rId366" Type="http://schemas.openxmlformats.org/officeDocument/2006/relationships/hyperlink" Target="http://dx.doi.org/10.1021/jacs.5c17838" TargetMode="External"/><Relationship Id="rId367" Type="http://schemas.openxmlformats.org/officeDocument/2006/relationships/hyperlink" Target="https://doi.org/10.1021/jacs.5c17838" TargetMode="External"/><Relationship Id="rId368" Type="http://schemas.openxmlformats.org/officeDocument/2006/relationships/hyperlink" Target="http://dx.doi.org/10.1021/jacs.5c16273" TargetMode="External"/><Relationship Id="rId369" Type="http://schemas.openxmlformats.org/officeDocument/2006/relationships/hyperlink" Target="https://doi.org/10.1021/jacs.5c16273" TargetMode="External"/><Relationship Id="rId370" Type="http://schemas.openxmlformats.org/officeDocument/2006/relationships/hyperlink" Target="http://dx.doi.org/10.1021/jacs.5c16913" TargetMode="External"/><Relationship Id="rId371" Type="http://schemas.openxmlformats.org/officeDocument/2006/relationships/hyperlink" Target="https://doi.org/10.1021/jacs.5c16913" TargetMode="External"/><Relationship Id="rId372" Type="http://schemas.openxmlformats.org/officeDocument/2006/relationships/hyperlink" Target="http://dx.doi.org/10.1021/jacs.5c15840" TargetMode="External"/><Relationship Id="rId373" Type="http://schemas.openxmlformats.org/officeDocument/2006/relationships/hyperlink" Target="https://doi.org/10.1021/jacs.5c15840" TargetMode="External"/><Relationship Id="rId374" Type="http://schemas.openxmlformats.org/officeDocument/2006/relationships/hyperlink" Target="http://dx.doi.org/10.1021/acsenergylett.5c03761" TargetMode="External"/><Relationship Id="rId375" Type="http://schemas.openxmlformats.org/officeDocument/2006/relationships/hyperlink" Target="https://doi.org/10.1021/acsenergylett.5c03761" TargetMode="External"/><Relationship Id="rId376" Type="http://schemas.openxmlformats.org/officeDocument/2006/relationships/hyperlink" Target="https://advanced.onlinelibrary.wiley.com/doi/10.1002/aenm.202506351?af=R" TargetMode="External"/><Relationship Id="rId377" Type="http://schemas.openxmlformats.org/officeDocument/2006/relationships/hyperlink" Target="https://doi.org/10.1002/aenm.202506351" TargetMode="External"/><Relationship Id="rId378" Type="http://schemas.openxmlformats.org/officeDocument/2006/relationships/hyperlink" Target="https://onlinelibrary.wiley.com/doi/10.1002/anie.202525742?af=R" TargetMode="External"/><Relationship Id="rId379" Type="http://schemas.openxmlformats.org/officeDocument/2006/relationships/hyperlink" Target="https://doi.org/10.1002/anie.202525742" TargetMode="External"/><Relationship Id="rId380" Type="http://schemas.openxmlformats.org/officeDocument/2006/relationships/hyperlink" Target="https://advanced.onlinelibrary.wiley.com/doi/10.1002/adma.202521795?af=R" TargetMode="External"/><Relationship Id="rId381" Type="http://schemas.openxmlformats.org/officeDocument/2006/relationships/hyperlink" Target="https://doi.org/10.1002/adma.202521795" TargetMode="External"/><Relationship Id="rId382" Type="http://schemas.openxmlformats.org/officeDocument/2006/relationships/hyperlink" Target="https://advanced.onlinelibrary.wiley.com/doi/10.1002/aenm.202506650?af=R" TargetMode="External"/><Relationship Id="rId383" Type="http://schemas.openxmlformats.org/officeDocument/2006/relationships/hyperlink" Target="https://doi.org/10.1002/aenm.202506650" TargetMode="External"/><Relationship Id="rId384" Type="http://schemas.openxmlformats.org/officeDocument/2006/relationships/hyperlink" Target="https://advanced.onlinelibrary.wiley.com/doi/10.1002/adma.202515496?af=R" TargetMode="External"/><Relationship Id="rId385" Type="http://schemas.openxmlformats.org/officeDocument/2006/relationships/hyperlink" Target="https://doi.org/10.1002/adma.202515496" TargetMode="External"/><Relationship Id="rId386" Type="http://schemas.openxmlformats.org/officeDocument/2006/relationships/hyperlink" Target="https://onlinelibrary.wiley.com/doi/10.1002/anie.202519699?af=R" TargetMode="External"/><Relationship Id="rId387" Type="http://schemas.openxmlformats.org/officeDocument/2006/relationships/hyperlink" Target="https://doi.org/10.1002/anie.202519699" TargetMode="External"/><Relationship Id="rId388" Type="http://schemas.openxmlformats.org/officeDocument/2006/relationships/hyperlink" Target="https://onlinelibrary.wiley.com/doi/10.1002/anie.3547171?af=R" TargetMode="External"/><Relationship Id="rId389" Type="http://schemas.openxmlformats.org/officeDocument/2006/relationships/hyperlink" Target="https://doi.org/10.1002/anie.3547171" TargetMode="External"/><Relationship Id="rId390" Type="http://schemas.openxmlformats.org/officeDocument/2006/relationships/hyperlink" Target="https://advanced.onlinelibrary.wiley.com/doi/10.1002/adma.202518858?af=R" TargetMode="External"/><Relationship Id="rId391" Type="http://schemas.openxmlformats.org/officeDocument/2006/relationships/hyperlink" Target="https://doi.org/10.1002/adma.202518858" TargetMode="External"/><Relationship Id="rId392" Type="http://schemas.openxmlformats.org/officeDocument/2006/relationships/hyperlink" Target="https://onlinelibrary.wiley.com/doi/10.1002/anie.202522655?af=R" TargetMode="External"/><Relationship Id="rId393" Type="http://schemas.openxmlformats.org/officeDocument/2006/relationships/hyperlink" Target="https://doi.org/10.1002/anie.202522655" TargetMode="External"/><Relationship Id="rId394" Type="http://schemas.openxmlformats.org/officeDocument/2006/relationships/hyperlink" Target="https://advanced.onlinelibrary.wiley.com/doi/10.1002/adma.202522886?af=R" TargetMode="External"/><Relationship Id="rId395" Type="http://schemas.openxmlformats.org/officeDocument/2006/relationships/hyperlink" Target="https://doi.org/10.1002/adma.202522886" TargetMode="External"/><Relationship Id="rId396" Type="http://schemas.openxmlformats.org/officeDocument/2006/relationships/hyperlink" Target="https://advanced.onlinelibrary.wiley.com/doi/10.1002/adma.202521050?af=R" TargetMode="External"/><Relationship Id="rId397" Type="http://schemas.openxmlformats.org/officeDocument/2006/relationships/hyperlink" Target="https://doi.org/10.1002/adma.202521050" TargetMode="External"/><Relationship Id="rId398" Type="http://schemas.openxmlformats.org/officeDocument/2006/relationships/hyperlink" Target="https://onlinelibrary.wiley.com/doi/10.1002/anie.202524012?af=R" TargetMode="External"/><Relationship Id="rId399" Type="http://schemas.openxmlformats.org/officeDocument/2006/relationships/hyperlink" Target="https://doi.org/10.1002/anie.202524012" TargetMode="External"/><Relationship Id="rId400" Type="http://schemas.openxmlformats.org/officeDocument/2006/relationships/hyperlink" Target="https://advanced.onlinelibrary.wiley.com/doi/10.1002/adma.202522348?af=R" TargetMode="External"/><Relationship Id="rId401" Type="http://schemas.openxmlformats.org/officeDocument/2006/relationships/hyperlink" Target="https://doi.org/10.1002/adma.202522348" TargetMode="External"/><Relationship Id="rId402" Type="http://schemas.openxmlformats.org/officeDocument/2006/relationships/hyperlink" Target="https://onlinelibrary.wiley.com/doi/10.1002/anie.202518228?af=R" TargetMode="External"/><Relationship Id="rId403" Type="http://schemas.openxmlformats.org/officeDocument/2006/relationships/hyperlink" Target="https://doi.org/10.1002/anie.202518228" TargetMode="External"/><Relationship Id="rId404" Type="http://schemas.openxmlformats.org/officeDocument/2006/relationships/hyperlink" Target="https://advanced.onlinelibrary.wiley.com/doi/10.1002/adma.202520644?af=R" TargetMode="External"/><Relationship Id="rId405" Type="http://schemas.openxmlformats.org/officeDocument/2006/relationships/hyperlink" Target="https://doi.org/10.1002/adma.202520644" TargetMode="External"/><Relationship Id="rId406" Type="http://schemas.openxmlformats.org/officeDocument/2006/relationships/hyperlink" Target="https://onlinelibrary.wiley.com/doi/10.1002/anie.202512754?af=R" TargetMode="External"/><Relationship Id="rId407" Type="http://schemas.openxmlformats.org/officeDocument/2006/relationships/hyperlink" Target="https://doi.org/10.1002/anie.202512754" TargetMode="External"/><Relationship Id="rId408" Type="http://schemas.openxmlformats.org/officeDocument/2006/relationships/hyperlink" Target="https://onlinelibrary.wiley.com/doi/10.1002/anie.202524407?af=R" TargetMode="External"/><Relationship Id="rId409" Type="http://schemas.openxmlformats.org/officeDocument/2006/relationships/hyperlink" Target="https://doi.org/10.1002/anie.202524407" TargetMode="External"/><Relationship Id="rId410" Type="http://schemas.openxmlformats.org/officeDocument/2006/relationships/hyperlink" Target="https://onlinelibrary.wiley.com/doi/10.1002/anie.202524756?af=R" TargetMode="External"/><Relationship Id="rId411" Type="http://schemas.openxmlformats.org/officeDocument/2006/relationships/hyperlink" Target="https://doi.org/10.1002/anie.202524756" TargetMode="External"/><Relationship Id="rId412" Type="http://schemas.openxmlformats.org/officeDocument/2006/relationships/hyperlink" Target="https://advanced.onlinelibrary.wiley.com/doi/10.1002/adma.202518755?af=R" TargetMode="External"/><Relationship Id="rId413" Type="http://schemas.openxmlformats.org/officeDocument/2006/relationships/hyperlink" Target="https://doi.org/10.1002/adma.202518755" TargetMode="External"/><Relationship Id="rId414" Type="http://schemas.openxmlformats.org/officeDocument/2006/relationships/hyperlink" Target="https://onlinelibrary.wiley.com/doi/10.1002/anie.202524061?af=R" TargetMode="External"/><Relationship Id="rId415" Type="http://schemas.openxmlformats.org/officeDocument/2006/relationships/hyperlink" Target="https://doi.org/10.1002/anie.202524061" TargetMode="External"/><Relationship Id="rId416" Type="http://schemas.openxmlformats.org/officeDocument/2006/relationships/hyperlink" Target="http://dx.doi.org/10.1021/jacs.5c21089" TargetMode="External"/><Relationship Id="rId417" Type="http://schemas.openxmlformats.org/officeDocument/2006/relationships/hyperlink" Target="https://doi.org/10.1021/jacs.5c21089" TargetMode="External"/><Relationship Id="rId418" Type="http://schemas.openxmlformats.org/officeDocument/2006/relationships/hyperlink" Target="https://advanced.onlinelibrary.wiley.com/doi/10.1002/adma.202522178?af=R" TargetMode="External"/><Relationship Id="rId419" Type="http://schemas.openxmlformats.org/officeDocument/2006/relationships/hyperlink" Target="https://doi.org/10.1002/adma.202522178" TargetMode="External"/><Relationship Id="rId420" Type="http://schemas.openxmlformats.org/officeDocument/2006/relationships/hyperlink" Target="https://onlinelibrary.wiley.com/doi/10.1002/anie.4550187?af=R" TargetMode="External"/><Relationship Id="rId421" Type="http://schemas.openxmlformats.org/officeDocument/2006/relationships/hyperlink" Target="https://doi.org/10.1002/anie.4550187" TargetMode="External"/><Relationship Id="rId422" Type="http://schemas.openxmlformats.org/officeDocument/2006/relationships/hyperlink" Target="https://onlinelibrary.wiley.com/doi/10.1002/anie.202523729?af=R" TargetMode="External"/><Relationship Id="rId423" Type="http://schemas.openxmlformats.org/officeDocument/2006/relationships/hyperlink" Target="https://doi.org/10.1002/anie.202523729" TargetMode="External"/><Relationship Id="rId424" Type="http://schemas.openxmlformats.org/officeDocument/2006/relationships/hyperlink" Target="https://onlinelibrary.wiley.com/doi/10.1002/anie.9911471?af=R" TargetMode="External"/><Relationship Id="rId425" Type="http://schemas.openxmlformats.org/officeDocument/2006/relationships/hyperlink" Target="https://doi.org/10.1002/anie.9911471" TargetMode="External"/><Relationship Id="rId426" Type="http://schemas.openxmlformats.org/officeDocument/2006/relationships/hyperlink" Target="https://onlinelibrary.wiley.com/doi/10.1002/anie.202521387?af=R" TargetMode="External"/><Relationship Id="rId427" Type="http://schemas.openxmlformats.org/officeDocument/2006/relationships/hyperlink" Target="https://doi.org/10.1002/anie.202521387" TargetMode="External"/><Relationship Id="rId428" Type="http://schemas.openxmlformats.org/officeDocument/2006/relationships/hyperlink" Target="https://onlinelibrary.wiley.com/doi/10.1002/anie.202525822?af=R" TargetMode="External"/><Relationship Id="rId429" Type="http://schemas.openxmlformats.org/officeDocument/2006/relationships/hyperlink" Target="https://doi.org/10.1002/anie.202525822" TargetMode="External"/><Relationship Id="rId430" Type="http://schemas.openxmlformats.org/officeDocument/2006/relationships/hyperlink" Target="https://onlinelibrary.wiley.com/doi/10.1002/anie.202524729?af=R" TargetMode="External"/><Relationship Id="rId431" Type="http://schemas.openxmlformats.org/officeDocument/2006/relationships/hyperlink" Target="https://doi.org/10.1002/anie.202524729" TargetMode="External"/><Relationship Id="rId432" Type="http://schemas.openxmlformats.org/officeDocument/2006/relationships/hyperlink" Target="http://dx.doi.org/10.1021/acsenergylett.5c04220" TargetMode="External"/><Relationship Id="rId433" Type="http://schemas.openxmlformats.org/officeDocument/2006/relationships/hyperlink" Target="https://doi.org/10.1021/acsenergylett.5c04220" TargetMode="External"/><Relationship Id="rId434" Type="http://schemas.openxmlformats.org/officeDocument/2006/relationships/hyperlink" Target="http://dx.doi.org/10.1021/jacs.5c22374" TargetMode="External"/><Relationship Id="rId435" Type="http://schemas.openxmlformats.org/officeDocument/2006/relationships/hyperlink" Target="https://doi.org/10.1021/jacs.5c22374" TargetMode="External"/><Relationship Id="rId436" Type="http://schemas.openxmlformats.org/officeDocument/2006/relationships/hyperlink" Target="http://dx.doi.org/10.1021/jacs.5c15954" TargetMode="External"/><Relationship Id="rId437" Type="http://schemas.openxmlformats.org/officeDocument/2006/relationships/hyperlink" Target="https://doi.org/10.1021/jacs.5c15954" TargetMode="External"/><Relationship Id="rId438" Type="http://schemas.openxmlformats.org/officeDocument/2006/relationships/hyperlink" Target="http://dx.doi.org/10.1021/jacs.5c22213" TargetMode="External"/><Relationship Id="rId439" Type="http://schemas.openxmlformats.org/officeDocument/2006/relationships/hyperlink" Target="https://doi.org/10.1021/jacs.5c22213" TargetMode="External"/><Relationship Id="rId440" Type="http://schemas.openxmlformats.org/officeDocument/2006/relationships/hyperlink" Target="http://dx.doi.org/10.1021/acsenergylett.5c03717" TargetMode="External"/><Relationship Id="rId441" Type="http://schemas.openxmlformats.org/officeDocument/2006/relationships/hyperlink" Target="https://doi.org/10.1021/acsenergylett.5c03717" TargetMode="External"/><Relationship Id="rId442" Type="http://schemas.openxmlformats.org/officeDocument/2006/relationships/hyperlink" Target="http://dx.doi.org/10.1021/acsenergylett.5c03751" TargetMode="External"/><Relationship Id="rId443" Type="http://schemas.openxmlformats.org/officeDocument/2006/relationships/hyperlink" Target="https://doi.org/10.1021/acsenergylett.5c03751" TargetMode="External"/><Relationship Id="rId444" Type="http://schemas.openxmlformats.org/officeDocument/2006/relationships/hyperlink" Target="http://dx.doi.org/10.1021/jacs.5c19643" TargetMode="External"/><Relationship Id="rId445" Type="http://schemas.openxmlformats.org/officeDocument/2006/relationships/hyperlink" Target="https://doi.org/10.1021/jacs.5c19643" TargetMode="External"/><Relationship Id="rId446" Type="http://schemas.openxmlformats.org/officeDocument/2006/relationships/hyperlink" Target="http://dx.doi.org/10.1021/jacs.5c19068" TargetMode="External"/><Relationship Id="rId447" Type="http://schemas.openxmlformats.org/officeDocument/2006/relationships/hyperlink" Target="https://doi.org/10.1021/jacs.5c19068" TargetMode="External"/><Relationship Id="rId448" Type="http://schemas.openxmlformats.org/officeDocument/2006/relationships/hyperlink" Target="http://dx.doi.org/10.1021/jacs.5c10940" TargetMode="External"/><Relationship Id="rId449" Type="http://schemas.openxmlformats.org/officeDocument/2006/relationships/hyperlink" Target="https://doi.org/10.1021/jacs.5c10940" TargetMode="External"/><Relationship Id="rId450" Type="http://schemas.openxmlformats.org/officeDocument/2006/relationships/hyperlink" Target="http://dx.doi.org/10.1021/jacs.5c09492" TargetMode="External"/><Relationship Id="rId451" Type="http://schemas.openxmlformats.org/officeDocument/2006/relationships/hyperlink" Target="https://doi.org/10.1021/jacs.5c09492" TargetMode="External"/><Relationship Id="rId452" Type="http://schemas.openxmlformats.org/officeDocument/2006/relationships/hyperlink" Target="http://dx.doi.org/10.1021/jacs.5c17373" TargetMode="External"/><Relationship Id="rId453" Type="http://schemas.openxmlformats.org/officeDocument/2006/relationships/hyperlink" Target="https://doi.org/10.1021/jacs.5c17373" TargetMode="External"/><Relationship Id="rId454" Type="http://schemas.openxmlformats.org/officeDocument/2006/relationships/hyperlink" Target="http://dx.doi.org/10.1021/jacs.5c18778" TargetMode="External"/><Relationship Id="rId455" Type="http://schemas.openxmlformats.org/officeDocument/2006/relationships/hyperlink" Target="https://doi.org/10.1021/jacs.5c18778" TargetMode="External"/><Relationship Id="rId456" Type="http://schemas.openxmlformats.org/officeDocument/2006/relationships/hyperlink" Target="http://dx.doi.org/10.1021/acsenergylett.5c03690" TargetMode="External"/><Relationship Id="rId457" Type="http://schemas.openxmlformats.org/officeDocument/2006/relationships/hyperlink" Target="https://doi.org/10.1021/acsenergylett.5c03690" TargetMode="External"/><Relationship Id="rId458" Type="http://schemas.openxmlformats.org/officeDocument/2006/relationships/hyperlink" Target="http://dx.doi.org/10.1021/jacs.5c17488" TargetMode="External"/><Relationship Id="rId459" Type="http://schemas.openxmlformats.org/officeDocument/2006/relationships/hyperlink" Target="https://doi.org/10.1021/jacs.5c17488" TargetMode="External"/><Relationship Id="rId460" Type="http://schemas.openxmlformats.org/officeDocument/2006/relationships/hyperlink" Target="http://dx.doi.org/10.1021/acs.chemrev.5c00783" TargetMode="External"/><Relationship Id="rId461" Type="http://schemas.openxmlformats.org/officeDocument/2006/relationships/hyperlink" Target="https://doi.org/10.1021/acs.chemrev.5c00783" TargetMode="External"/><Relationship Id="rId462" Type="http://schemas.openxmlformats.org/officeDocument/2006/relationships/hyperlink" Target="http://dx.doi.org/10.1021/acsenergylett.5c03396" TargetMode="External"/><Relationship Id="rId463" Type="http://schemas.openxmlformats.org/officeDocument/2006/relationships/hyperlink" Target="https://doi.org/10.1021/acsenergylett.5c03396" TargetMode="External"/><Relationship Id="rId464" Type="http://schemas.openxmlformats.org/officeDocument/2006/relationships/hyperlink" Target="http://dx.doi.org/10.1021/acsenergylett.5c03992" TargetMode="External"/><Relationship Id="rId465" Type="http://schemas.openxmlformats.org/officeDocument/2006/relationships/hyperlink" Target="https://doi.org/10.1021/acsenergylett.5c03992" TargetMode="External"/><Relationship Id="rId466" Type="http://schemas.openxmlformats.org/officeDocument/2006/relationships/hyperlink" Target="http://dx.doi.org/10.1021/acsenergylett.5c02980" TargetMode="External"/><Relationship Id="rId467" Type="http://schemas.openxmlformats.org/officeDocument/2006/relationships/hyperlink" Target="https://doi.org/10.1021/acsenergylett.5c02980" TargetMode="External"/><Relationship Id="rId468" Type="http://schemas.openxmlformats.org/officeDocument/2006/relationships/hyperlink" Target="http://dx.doi.org/10.1021/jacs.5c19704" TargetMode="External"/><Relationship Id="rId469" Type="http://schemas.openxmlformats.org/officeDocument/2006/relationships/hyperlink" Target="https://doi.org/10.1021/jacs.5c19704" TargetMode="External"/><Relationship Id="rId470" Type="http://schemas.openxmlformats.org/officeDocument/2006/relationships/hyperlink" Target="http://dx.doi.org/10.1021/jacs.5c22670" TargetMode="External"/><Relationship Id="rId471" Type="http://schemas.openxmlformats.org/officeDocument/2006/relationships/hyperlink" Target="https://doi.org/10.1021/jacs.5c22670" TargetMode="External"/><Relationship Id="rId472" Type="http://schemas.openxmlformats.org/officeDocument/2006/relationships/hyperlink" Target="http://dx.doi.org/10.1021/acsenergylett.5c04247" TargetMode="External"/><Relationship Id="rId473" Type="http://schemas.openxmlformats.org/officeDocument/2006/relationships/hyperlink" Target="https://doi.org/10.1021/acsenergylett.5c04247" TargetMode="External"/><Relationship Id="rId474" Type="http://schemas.openxmlformats.org/officeDocument/2006/relationships/hyperlink" Target="http://dx.doi.org/10.1021/jacs.5c15646" TargetMode="External"/><Relationship Id="rId475" Type="http://schemas.openxmlformats.org/officeDocument/2006/relationships/hyperlink" Target="https://doi.org/10.1021/jacs.5c15646" TargetMode="External"/><Relationship Id="rId476" Type="http://schemas.openxmlformats.org/officeDocument/2006/relationships/hyperlink" Target="https://www.nature.com/articles/s41563-025-02477-3" TargetMode="External"/><Relationship Id="rId477" Type="http://schemas.openxmlformats.org/officeDocument/2006/relationships/hyperlink" Target="https://www.nature.com/articles/s41586-025-09777-3" TargetMode="External"/><Relationship Id="rId478" Type="http://schemas.openxmlformats.org/officeDocument/2006/relationships/hyperlink" Target="https://www.nature.com/articles/s41565-025-02085-x" TargetMode="External"/><Relationship Id="rId479" Type="http://schemas.openxmlformats.org/officeDocument/2006/relationships/hyperlink" Target="https://www.nature.com/articles/s41560-026-01991-1" TargetMode="External"/><Relationship Id="rId480" Type="http://schemas.openxmlformats.org/officeDocument/2006/relationships/hyperlink" Target="https://www.nature.com/articles/s41563-026-02484-y" TargetMode="External"/><Relationship Id="rId481" Type="http://schemas.openxmlformats.org/officeDocument/2006/relationships/hyperlink" Target="https://www.sciencedirect.com/science/article/pii/S0306261926000899?dgcid=rss_sd_all" TargetMode="External"/><Relationship Id="rId482" Type="http://schemas.openxmlformats.org/officeDocument/2006/relationships/hyperlink" Target="https://www.nature.com/articles/s41578-025-00889-w" TargetMode="External"/><Relationship Id="rId483" Type="http://schemas.openxmlformats.org/officeDocument/2006/relationships/hyperlink" Target="https://www.sciencedirect.com/science/article/pii/S0306261926000838?dgcid=rss_sd_all" TargetMode="External"/><Relationship Id="rId484" Type="http://schemas.openxmlformats.org/officeDocument/2006/relationships/hyperlink" Target="https://www.nature.com/articles/s41565-025-02121-w" TargetMode="External"/><Relationship Id="rId485" Type="http://schemas.openxmlformats.org/officeDocument/2006/relationships/hyperlink" Target="https://www.nature.com/articles/s41586-025-09851-w" TargetMode="External"/><Relationship Id="rId486" Type="http://schemas.openxmlformats.org/officeDocument/2006/relationships/hyperlink" Target="https://www.sciencedirect.com/science/article/pii/S1369702126000301?dgcid=rss_sd_all" TargetMode="External"/><Relationship Id="rId487" Type="http://schemas.openxmlformats.org/officeDocument/2006/relationships/hyperlink" Target="https://www.nature.com/articles/s41586-025-10048-4" TargetMode="External"/><Relationship Id="rId488" Type="http://schemas.openxmlformats.org/officeDocument/2006/relationships/hyperlink" Target="https://www.nature.com/articles/s41586-025-09924-w" TargetMode="External"/><Relationship Id="rId489" Type="http://schemas.openxmlformats.org/officeDocument/2006/relationships/hyperlink" Target="https://www.nature.com/articles/s41586-025-10029-7" TargetMode="External"/><Relationship Id="rId490" Type="http://schemas.openxmlformats.org/officeDocument/2006/relationships/hyperlink" Target="https://www.nature.com/articles/s41586-025-10030-0" TargetMode="External"/><Relationship Id="rId491" Type="http://schemas.openxmlformats.org/officeDocument/2006/relationships/hyperlink" Target="https://www.nature.com/articles/s41586-025-10033-x" TargetMode="External"/><Relationship Id="rId492" Type="http://schemas.openxmlformats.org/officeDocument/2006/relationships/hyperlink" Target="https://www.nature.com/articles/s41586-025-10034-w" TargetMode="External"/><Relationship Id="rId493" Type="http://schemas.openxmlformats.org/officeDocument/2006/relationships/hyperlink" Target="https://www.nature.com/articles/s41586-025-10035-9" TargetMode="External"/><Relationship Id="rId494" Type="http://schemas.openxmlformats.org/officeDocument/2006/relationships/hyperlink" Target="https://www.nature.com/articles/s41586-025-10037-7" TargetMode="External"/><Relationship Id="rId495" Type="http://schemas.openxmlformats.org/officeDocument/2006/relationships/hyperlink" Target="https://www.nature.com/articles/s41586-025-10041-x" TargetMode="External"/><Relationship Id="rId496" Type="http://schemas.openxmlformats.org/officeDocument/2006/relationships/hyperlink" Target="https://www.nature.com/articles/s41586-025-10046-6" TargetMode="External"/><Relationship Id="rId497" Type="http://schemas.openxmlformats.org/officeDocument/2006/relationships/hyperlink" Target="https://www.nature.com/articles/s41586-025-10027-9" TargetMode="External"/><Relationship Id="rId498" Type="http://schemas.openxmlformats.org/officeDocument/2006/relationships/hyperlink" Target="https://www.nature.com/articles/s41586-025-10049-3" TargetMode="External"/><Relationship Id="rId499" Type="http://schemas.openxmlformats.org/officeDocument/2006/relationships/hyperlink" Target="https://www.nature.com/articles/s41586-025-10054-6" TargetMode="External"/><Relationship Id="rId500" Type="http://schemas.openxmlformats.org/officeDocument/2006/relationships/hyperlink" Target="https://www.nature.com/articles/s41586-025-10061-7" TargetMode="External"/><Relationship Id="rId501" Type="http://schemas.openxmlformats.org/officeDocument/2006/relationships/hyperlink" Target="https://www.nature.com/articles/s41586-025-10069-z" TargetMode="External"/><Relationship Id="rId502" Type="http://schemas.openxmlformats.org/officeDocument/2006/relationships/hyperlink" Target="https://www.nature.com/articles/s41586-025-10070-6" TargetMode="External"/><Relationship Id="rId503" Type="http://schemas.openxmlformats.org/officeDocument/2006/relationships/hyperlink" Target="https://www.nature.com/articles/s41586-025-10071-5" TargetMode="External"/><Relationship Id="rId504" Type="http://schemas.openxmlformats.org/officeDocument/2006/relationships/hyperlink" Target="https://www.nature.com/articles/s41893-025-01762-y" TargetMode="External"/><Relationship Id="rId505" Type="http://schemas.openxmlformats.org/officeDocument/2006/relationships/hyperlink" Target="https://www.nature.com/articles/s44359-026-00145-6" TargetMode="External"/><Relationship Id="rId506" Type="http://schemas.openxmlformats.org/officeDocument/2006/relationships/hyperlink" Target="https://www.nature.com/articles/s41560-025-01960-0" TargetMode="External"/><Relationship Id="rId507" Type="http://schemas.openxmlformats.org/officeDocument/2006/relationships/hyperlink" Target="https://www.nature.com/articles/s41586-025-10052-8" TargetMode="External"/><Relationship Id="rId508" Type="http://schemas.openxmlformats.org/officeDocument/2006/relationships/hyperlink" Target="https://www.nature.com/articles/s41586-025-10025-x" TargetMode="External"/><Relationship Id="rId509" Type="http://schemas.openxmlformats.org/officeDocument/2006/relationships/hyperlink" Target="https://www.nature.com/articles/s41586-025-10023-z" TargetMode="External"/><Relationship Id="rId510" Type="http://schemas.openxmlformats.org/officeDocument/2006/relationships/hyperlink" Target="https://www.nature.com/articles/s41586-025-10020-2" TargetMode="External"/><Relationship Id="rId511" Type="http://schemas.openxmlformats.org/officeDocument/2006/relationships/hyperlink" Target="https://www.nature.com/articles/s41586-025-09931-x" TargetMode="External"/><Relationship Id="rId512" Type="http://schemas.openxmlformats.org/officeDocument/2006/relationships/hyperlink" Target="https://www.nature.com/articles/s41586-025-09934-8" TargetMode="External"/><Relationship Id="rId513" Type="http://schemas.openxmlformats.org/officeDocument/2006/relationships/hyperlink" Target="https://www.nature.com/articles/s41586-025-09959-z" TargetMode="External"/><Relationship Id="rId514" Type="http://schemas.openxmlformats.org/officeDocument/2006/relationships/hyperlink" Target="https://www.nature.com/articles/s41586-025-09962-4" TargetMode="External"/><Relationship Id="rId515" Type="http://schemas.openxmlformats.org/officeDocument/2006/relationships/hyperlink" Target="https://www.nature.com/articles/s41586-025-09973-1" TargetMode="External"/><Relationship Id="rId516" Type="http://schemas.openxmlformats.org/officeDocument/2006/relationships/hyperlink" Target="https://www.nature.com/articles/s41586-025-09976-y" TargetMode="External"/><Relationship Id="rId517" Type="http://schemas.openxmlformats.org/officeDocument/2006/relationships/hyperlink" Target="https://www.nature.com/articles/s41586-025-09977-x" TargetMode="External"/><Relationship Id="rId518" Type="http://schemas.openxmlformats.org/officeDocument/2006/relationships/hyperlink" Target="https://www.nature.com/articles/s41586-025-09984-y" TargetMode="External"/><Relationship Id="rId519" Type="http://schemas.openxmlformats.org/officeDocument/2006/relationships/hyperlink" Target="https://www.nature.com/articles/s41586-025-09986-w" TargetMode="External"/><Relationship Id="rId520" Type="http://schemas.openxmlformats.org/officeDocument/2006/relationships/hyperlink" Target="https://www.nature.com/articles/s41586-025-09991-z" TargetMode="External"/><Relationship Id="rId521" Type="http://schemas.openxmlformats.org/officeDocument/2006/relationships/hyperlink" Target="https://www.nature.com/articles/s41586-025-09999-5" TargetMode="External"/><Relationship Id="rId522" Type="http://schemas.openxmlformats.org/officeDocument/2006/relationships/hyperlink" Target="https://www.nature.com/articles/s41586-025-10001-5" TargetMode="External"/><Relationship Id="rId523" Type="http://schemas.openxmlformats.org/officeDocument/2006/relationships/hyperlink" Target="https://www.nature.com/articles/s41586-025-10007-z" TargetMode="External"/><Relationship Id="rId524" Type="http://schemas.openxmlformats.org/officeDocument/2006/relationships/hyperlink" Target="https://www.nature.com/articles/s41586-025-10010-4" TargetMode="External"/><Relationship Id="rId525" Type="http://schemas.openxmlformats.org/officeDocument/2006/relationships/hyperlink" Target="https://www.nature.com/articles/s41586-025-10011-3" TargetMode="External"/><Relationship Id="rId526" Type="http://schemas.openxmlformats.org/officeDocument/2006/relationships/hyperlink" Target="https://www.nature.com/articles/s41586-025-10014-0" TargetMode="External"/><Relationship Id="rId527" Type="http://schemas.openxmlformats.org/officeDocument/2006/relationships/hyperlink" Target="https://www.nature.com/articles/s41586-025-10015-z" TargetMode="External"/><Relationship Id="rId528" Type="http://schemas.openxmlformats.org/officeDocument/2006/relationships/hyperlink" Target="https://www.nature.com/articles/s41586-025-10017-x" TargetMode="External"/><Relationship Id="rId529" Type="http://schemas.openxmlformats.org/officeDocument/2006/relationships/hyperlink" Target="https://www.nature.com/articles/s41586-025-10019-9" TargetMode="External"/><Relationship Id="rId530" Type="http://schemas.openxmlformats.org/officeDocument/2006/relationships/hyperlink" Target="https://www.nature.com/articles/s41586-025-09857-4" TargetMode="External"/><Relationship Id="rId531" Type="http://schemas.openxmlformats.org/officeDocument/2006/relationships/hyperlink" Target="https://www.nature.com/articles/s41560-025-01951-1" TargetMode="External"/><Relationship Id="rId532" Type="http://schemas.openxmlformats.org/officeDocument/2006/relationships/hyperlink" Target="https://www.nature.com/articles/d41586-026-00282-9" TargetMode="External"/><Relationship Id="rId533" Type="http://schemas.openxmlformats.org/officeDocument/2006/relationships/hyperlink" Target="https://www.nature.com/articles/s41560-025-01934-2" TargetMode="External"/><Relationship Id="rId534" Type="http://schemas.openxmlformats.org/officeDocument/2006/relationships/hyperlink" Target="https://www.nature.com/articles/d41586-026-00110-0" TargetMode="External"/><Relationship Id="rId535" Type="http://schemas.openxmlformats.org/officeDocument/2006/relationships/hyperlink" Target="https://www.nature.com/articles/d41586-026-00109-7" TargetMode="External"/><Relationship Id="rId536" Type="http://schemas.openxmlformats.org/officeDocument/2006/relationships/hyperlink" Target="https://www.nature.com/articles/d41586-026-00108-8" TargetMode="External"/><Relationship Id="rId537" Type="http://schemas.openxmlformats.org/officeDocument/2006/relationships/hyperlink" Target="https://www.nature.com/articles/d41586-026-00107-9" TargetMode="External"/><Relationship Id="rId538" Type="http://schemas.openxmlformats.org/officeDocument/2006/relationships/hyperlink" Target="https://www.nature.com/articles/d41586-026-00106-w" TargetMode="External"/><Relationship Id="rId539" Type="http://schemas.openxmlformats.org/officeDocument/2006/relationships/hyperlink" Target="https://www.nature.com/articles/d41586-026-00105-x" TargetMode="External"/><Relationship Id="rId540" Type="http://schemas.openxmlformats.org/officeDocument/2006/relationships/hyperlink" Target="https://www.nature.com/articles/d41586-026-00104-y" TargetMode="External"/><Relationship Id="rId541" Type="http://schemas.openxmlformats.org/officeDocument/2006/relationships/hyperlink" Target="https://www.nature.com/articles/d41586-026-00103-z" TargetMode="External"/><Relationship Id="rId542" Type="http://schemas.openxmlformats.org/officeDocument/2006/relationships/hyperlink" Target="https://www.nature.com/articles/d41586-026-00039-4" TargetMode="External"/><Relationship Id="rId543" Type="http://schemas.openxmlformats.org/officeDocument/2006/relationships/hyperlink" Target="https://www.nature.com/articles/d41586-026-00038-5" TargetMode="External"/><Relationship Id="rId544" Type="http://schemas.openxmlformats.org/officeDocument/2006/relationships/hyperlink" Target="https://www.nature.com/articles/d41586-026-00037-6" TargetMode="External"/><Relationship Id="rId545" Type="http://schemas.openxmlformats.org/officeDocument/2006/relationships/hyperlink" Target="https://www.nature.com/articles/d41586-026-00030-z" TargetMode="External"/><Relationship Id="rId546" Type="http://schemas.openxmlformats.org/officeDocument/2006/relationships/hyperlink" Target="https://www.nature.com/articles/d41586-026-00026-9" TargetMode="External"/><Relationship Id="rId547" Type="http://schemas.openxmlformats.org/officeDocument/2006/relationships/hyperlink" Target="https://www.nature.com/articles/d41586-026-00111-z" TargetMode="External"/><Relationship Id="rId548" Type="http://schemas.openxmlformats.org/officeDocument/2006/relationships/hyperlink" Target="https://www.nature.com/articles/d41586-025-04098-x" TargetMode="External"/><Relationship Id="rId549" Type="http://schemas.openxmlformats.org/officeDocument/2006/relationships/hyperlink" Target="https://www.cell.com/joule/fulltext/S2542-4351(25)00449-0?rss=yes" TargetMode="External"/><Relationship Id="rId550" Type="http://schemas.openxmlformats.org/officeDocument/2006/relationships/hyperlink" Target="https://www.cell.com/chem/fulltext/S2451-9294(26)00017-3?rss=yes" TargetMode="External"/><Relationship Id="rId551" Type="http://schemas.openxmlformats.org/officeDocument/2006/relationships/hyperlink" Target="https://www.cell.com/chem/fulltext/S2451-9294(25)00446-2?rss=yes" TargetMode="External"/><Relationship Id="rId552" Type="http://schemas.openxmlformats.org/officeDocument/2006/relationships/hyperlink" Target="http://pubs.rsc.org/en/Content/ArticleLanding/2026/EE/D5EE05832E" TargetMode="External"/><Relationship Id="rId553" Type="http://schemas.openxmlformats.org/officeDocument/2006/relationships/hyperlink" Target="http://pubs.rsc.org/en/Content/ArticleLanding/2026/EE/D5EE05840F" TargetMode="External"/><Relationship Id="rId554" Type="http://schemas.openxmlformats.org/officeDocument/2006/relationships/hyperlink" Target="http://pubs.rsc.org/en/Content/ArticleLanding/2026/EE/D5EE06010A" TargetMode="External"/><Relationship Id="rId555" Type="http://schemas.openxmlformats.org/officeDocument/2006/relationships/hyperlink" Target="http://pubs.rsc.org/en/Content/ArticleLanding/2026/EE/D5EE06986F" TargetMode="External"/><Relationship Id="rId556" Type="http://schemas.openxmlformats.org/officeDocument/2006/relationships/hyperlink" Target="https://academic.oup.com/nsr/advance-article/doi/10.1093/nsr/nwag048/8443366?rss=1" TargetMode="External"/><Relationship Id="rId557" Type="http://schemas.openxmlformats.org/officeDocument/2006/relationships/hyperlink" Target="https://doi.org/10.1093/nsr/nwag048/8443366" TargetMode="External"/><Relationship Id="rId558" Type="http://schemas.openxmlformats.org/officeDocument/2006/relationships/hyperlink" Target="https://academic.oup.com/nsr/advance-article/doi/10.1093/nsr/nwag053/8443346?rss=1" TargetMode="External"/><Relationship Id="rId559" Type="http://schemas.openxmlformats.org/officeDocument/2006/relationships/hyperlink" Target="https://doi.org/10.1093/nsr/nwag053/8443346" TargetMode="External"/><Relationship Id="rId560" Type="http://schemas.openxmlformats.org/officeDocument/2006/relationships/hyperlink" Target="https://academic.oup.com/nsr/advance-article/doi/10.1093/nsr/nwag054/8443360?rss=1" TargetMode="External"/><Relationship Id="rId561" Type="http://schemas.openxmlformats.org/officeDocument/2006/relationships/hyperlink" Target="https://doi.org/10.1093/nsr/nwag054/8443360" TargetMode="External"/><Relationship Id="rId562" Type="http://schemas.openxmlformats.org/officeDocument/2006/relationships/hyperlink" Target="https://academic.oup.com/nsr/advance-article/doi/10.1093/nsr/nwag057/8443335?rss=1" TargetMode="External"/><Relationship Id="rId563" Type="http://schemas.openxmlformats.org/officeDocument/2006/relationships/hyperlink" Target="https://doi.org/10.1093/nsr/nwag057/8443335" TargetMode="External"/><Relationship Id="rId564" Type="http://schemas.openxmlformats.org/officeDocument/2006/relationships/hyperlink" Target="https://academic.oup.com/nsr/advance-article/doi/10.1093/nsr/nwag059/8443361?rss=1" TargetMode="External"/><Relationship Id="rId565" Type="http://schemas.openxmlformats.org/officeDocument/2006/relationships/hyperlink" Target="https://doi.org/10.1093/nsr/nwag059/8443361" TargetMode="External"/><Relationship Id="rId566" Type="http://schemas.openxmlformats.org/officeDocument/2006/relationships/hyperlink" Target="https://academic.oup.com/nsr/advance-article/doi/10.1093/nsr/nwag062/8443349?rss=1" TargetMode="External"/><Relationship Id="rId567" Type="http://schemas.openxmlformats.org/officeDocument/2006/relationships/hyperlink" Target="https://doi.org/10.1093/nsr/nwag062/8443349" TargetMode="External"/><Relationship Id="rId568" Type="http://schemas.openxmlformats.org/officeDocument/2006/relationships/hyperlink" Target="https://www.nature.com/articles/d41586-025-04012-5" TargetMode="External"/><Relationship Id="rId569" Type="http://schemas.openxmlformats.org/officeDocument/2006/relationships/hyperlink" Target="https://www.nature.com/articles/d41586-026-00126-6" TargetMode="External"/><Relationship Id="rId570" Type="http://schemas.openxmlformats.org/officeDocument/2006/relationships/hyperlink" Target="https://www.nature.com/articles/d41586-026-00074-1" TargetMode="External"/><Relationship Id="rId571" Type="http://schemas.openxmlformats.org/officeDocument/2006/relationships/hyperlink" Target="https://www.nature.com/articles/s41557-025-02045-x" TargetMode="External"/><Relationship Id="rId572" Type="http://schemas.openxmlformats.org/officeDocument/2006/relationships/hyperlink" Target="https://www.nature.com/articles/s41560-025-01915-5" TargetMode="External"/><Relationship Id="rId573" Type="http://schemas.openxmlformats.org/officeDocument/2006/relationships/hyperlink" Target="https://www.nature.com/articles/s41467-026-68888-1" TargetMode="External"/><Relationship Id="rId574" Type="http://schemas.openxmlformats.org/officeDocument/2006/relationships/hyperlink" Target="https://www.nature.com/articles/s41467-026-68970-8" TargetMode="External"/><Relationship Id="rId575" Type="http://schemas.openxmlformats.org/officeDocument/2006/relationships/hyperlink" Target="https://www.nature.com/articles/s41467-026-68784-8" TargetMode="External"/><Relationship Id="rId576" Type="http://schemas.openxmlformats.org/officeDocument/2006/relationships/hyperlink" Target="https://www.nature.com/articles/s41467-026-68593-z" TargetMode="External"/><Relationship Id="rId577" Type="http://schemas.openxmlformats.org/officeDocument/2006/relationships/hyperlink" Target="https://www.nature.com/articles/s41467-026-68466-5" TargetMode="External"/><Relationship Id="rId578" Type="http://schemas.openxmlformats.org/officeDocument/2006/relationships/hyperlink" Target="https://www.nature.com/articles/s41467-025-66153-5" TargetMode="External"/><Relationship Id="rId579" Type="http://schemas.openxmlformats.org/officeDocument/2006/relationships/hyperlink" Target="https://www.nature.com/articles/s41467-026-68794-6" TargetMode="External"/><Relationship Id="rId580" Type="http://schemas.openxmlformats.org/officeDocument/2006/relationships/hyperlink" Target="https://www.nature.com/articles/d41586-026-00221-8" TargetMode="External"/><Relationship Id="rId581" Type="http://schemas.openxmlformats.org/officeDocument/2006/relationships/hyperlink" Target="https://www.nature.com/articles/s41557-025-02054-w" TargetMode="External"/><Relationship Id="rId582" Type="http://schemas.openxmlformats.org/officeDocument/2006/relationships/hyperlink" Target="https://www.nature.com/articles/d41586-026-00273-w" TargetMode="External"/><Relationship Id="rId583" Type="http://schemas.openxmlformats.org/officeDocument/2006/relationships/hyperlink" Target="https://www.nature.com/articles/d41586-026-00266-9" TargetMode="External"/><Relationship Id="rId584" Type="http://schemas.openxmlformats.org/officeDocument/2006/relationships/hyperlink" Target="https://www.nature.com/articles/d41586-026-00261-0" TargetMode="External"/><Relationship Id="rId585" Type="http://schemas.openxmlformats.org/officeDocument/2006/relationships/hyperlink" Target="https://www.nature.com/articles/s41560-025-01946-y" TargetMode="External"/><Relationship Id="rId586" Type="http://schemas.openxmlformats.org/officeDocument/2006/relationships/hyperlink" Target="https://www.nature.com/articles/d41586-026-00237-0" TargetMode="External"/><Relationship Id="rId587" Type="http://schemas.openxmlformats.org/officeDocument/2006/relationships/hyperlink" Target="https://www.nature.com/articles/s41560-025-01870-1" TargetMode="External"/><Relationship Id="rId588" Type="http://schemas.openxmlformats.org/officeDocument/2006/relationships/hyperlink" Target="https://www.nature.com/articles/s41560-025-01922-6" TargetMode="External"/><Relationship Id="rId589" Type="http://schemas.openxmlformats.org/officeDocument/2006/relationships/hyperlink" Target="https://www.science.org/doi/abs/10.1126/sciadv.adx2127?af=R" TargetMode="External"/><Relationship Id="rId590" Type="http://schemas.openxmlformats.org/officeDocument/2006/relationships/hyperlink" Target="https://doi.org/10.1126/sciadv.adx2127" TargetMode="External"/><Relationship Id="rId591" Type="http://schemas.openxmlformats.org/officeDocument/2006/relationships/hyperlink" Target="https://www.science.org/doi/abs/10.1126/sciadv.aeb3911?af=R" TargetMode="External"/><Relationship Id="rId592" Type="http://schemas.openxmlformats.org/officeDocument/2006/relationships/hyperlink" Target="https://doi.org/10.1126/sciadv.aeb3911" TargetMode="External"/><Relationship Id="rId593" Type="http://schemas.openxmlformats.org/officeDocument/2006/relationships/hyperlink" Target="https://www.science.org/doi/abs/10.1126/sciadv.aeb7242?af=R" TargetMode="External"/><Relationship Id="rId594" Type="http://schemas.openxmlformats.org/officeDocument/2006/relationships/hyperlink" Target="https://doi.org/10.1126/sciadv.aeb7242" TargetMode="External"/><Relationship Id="rId595" Type="http://schemas.openxmlformats.org/officeDocument/2006/relationships/hyperlink" Target="https://www.science.org/doi/abs/10.1126/sciadv.aea7983?af=R" TargetMode="External"/><Relationship Id="rId596" Type="http://schemas.openxmlformats.org/officeDocument/2006/relationships/hyperlink" Target="https://doi.org/10.1126/sciadv.aea7983" TargetMode="External"/><Relationship Id="rId597" Type="http://schemas.openxmlformats.org/officeDocument/2006/relationships/hyperlink" Target="https://www.science.org/doi/abs/10.1126/sciadv.ady0545?af=R" TargetMode="External"/><Relationship Id="rId598" Type="http://schemas.openxmlformats.org/officeDocument/2006/relationships/hyperlink" Target="https://doi.org/10.1126/sciadv.ady0545" TargetMode="External"/><Relationship Id="rId599" Type="http://schemas.openxmlformats.org/officeDocument/2006/relationships/hyperlink" Target="https://www.science.org/doi/abs/10.1126/sciadv.aeb8806?af=R" TargetMode="External"/><Relationship Id="rId600" Type="http://schemas.openxmlformats.org/officeDocument/2006/relationships/hyperlink" Target="https://doi.org/10.1126/sciadv.aeb8806" TargetMode="External"/><Relationship Id="rId601" Type="http://schemas.openxmlformats.org/officeDocument/2006/relationships/hyperlink" Target="https://www.pnas.org/doi/abs/10.1073/pnas.2521639123?mi=eymic2&amp;af=R&amp;access=on&amp;content=articlesChapters&amp;publication=pnas&amp;sortBy=Earliest&amp;target=default" TargetMode="External"/><Relationship Id="rId602" Type="http://schemas.openxmlformats.org/officeDocument/2006/relationships/hyperlink" Target="https://doi.org/10.1073/pnas.2521639123" TargetMode="External"/><Relationship Id="rId603" Type="http://schemas.openxmlformats.org/officeDocument/2006/relationships/hyperlink" Target="https://www.science.org/doi/abs/10.1126/sciadv.aec7718?af=R" TargetMode="External"/><Relationship Id="rId604" Type="http://schemas.openxmlformats.org/officeDocument/2006/relationships/hyperlink" Target="https://doi.org/10.1126/sciadv.aec7718" TargetMode="External"/><Relationship Id="rId605" Type="http://schemas.openxmlformats.org/officeDocument/2006/relationships/hyperlink" Target="https://www.pnas.org/doi/abs/10.1073/pnas.2514172123?mi=eymic2&amp;af=R&amp;access=on&amp;content=articlesChapters&amp;publication=pnas&amp;sortBy=Earliest&amp;target=default" TargetMode="External"/><Relationship Id="rId606" Type="http://schemas.openxmlformats.org/officeDocument/2006/relationships/hyperlink" Target="https://doi.org/10.1073/pnas.2514172123" TargetMode="External"/><Relationship Id="rId607" Type="http://schemas.openxmlformats.org/officeDocument/2006/relationships/hyperlink" Target="https://www.science.org/doi/abs/10.1126/sciadv.aed1952?af=R" TargetMode="External"/><Relationship Id="rId608" Type="http://schemas.openxmlformats.org/officeDocument/2006/relationships/hyperlink" Target="https://doi.org/10.1126/sciadv.aed1952" TargetMode="External"/><Relationship Id="rId609" Type="http://schemas.openxmlformats.org/officeDocument/2006/relationships/hyperlink" Target="https://www.science.org/doi/abs/10.1126/sciadv.aed2184?af=R" TargetMode="External"/><Relationship Id="rId610" Type="http://schemas.openxmlformats.org/officeDocument/2006/relationships/hyperlink" Target="https://doi.org/10.1126/sciadv.aed2184" TargetMode="External"/><Relationship Id="rId611" Type="http://schemas.openxmlformats.org/officeDocument/2006/relationships/hyperlink" Target="https://www.pnas.org/doi/abs/10.1073/pnas.2508686123?mi=eymic2&amp;af=R&amp;access=on&amp;content=articlesChapters&amp;publication=pnas&amp;sortBy=Earliest&amp;target=default" TargetMode="External"/><Relationship Id="rId612" Type="http://schemas.openxmlformats.org/officeDocument/2006/relationships/hyperlink" Target="https://doi.org/10.1073/pnas.2508686123" TargetMode="External"/><Relationship Id="rId613" Type="http://schemas.openxmlformats.org/officeDocument/2006/relationships/hyperlink" Target="https://www.pnas.org/doi/abs/10.1073/pnas.2518712123?mi=eymic2&amp;af=R&amp;access=on&amp;content=articlesChapters&amp;publication=pnas&amp;sortBy=Earliest&amp;target=default" TargetMode="External"/><Relationship Id="rId614" Type="http://schemas.openxmlformats.org/officeDocument/2006/relationships/hyperlink" Target="https://doi.org/10.1073/pnas.2518712123" TargetMode="External"/><Relationship Id="rId615" Type="http://schemas.openxmlformats.org/officeDocument/2006/relationships/hyperlink" Target="https://www.pnas.org/doi/abs/10.1073/pnas.2518217123?mi=eymic2&amp;af=R&amp;access=on&amp;content=articlesChapters&amp;publication=pnas&amp;sortBy=Earliest&amp;target=default" TargetMode="External"/><Relationship Id="rId616" Type="http://schemas.openxmlformats.org/officeDocument/2006/relationships/hyperlink" Target="https://doi.org/10.1073/pnas.2518217123" TargetMode="External"/><Relationship Id="rId617" Type="http://schemas.openxmlformats.org/officeDocument/2006/relationships/hyperlink" Target="https://www.pnas.org/doi/abs/10.1073/pnas.2524108123?mi=eymic2&amp;af=R&amp;access=on&amp;content=articlesChapters&amp;publication=pnas&amp;sortBy=Earliest&amp;target=default" TargetMode="External"/><Relationship Id="rId618" Type="http://schemas.openxmlformats.org/officeDocument/2006/relationships/hyperlink" Target="https://doi.org/10.1073/pnas.2524108123" TargetMode="External"/><Relationship Id="rId619" Type="http://schemas.openxmlformats.org/officeDocument/2006/relationships/hyperlink" Target="https://www.science.org/doi/abs/10.1126/sciadv.adx2075?af=R" TargetMode="External"/><Relationship Id="rId620" Type="http://schemas.openxmlformats.org/officeDocument/2006/relationships/hyperlink" Target="https://doi.org/10.1126/sciadv.adx2075" TargetMode="External"/><Relationship Id="rId621" Type="http://schemas.openxmlformats.org/officeDocument/2006/relationships/hyperlink" Target="https://www.pnas.org/doi/abs/10.1073/pnas.2530250123?mi=eymic2&amp;af=R&amp;access=on&amp;content=articlesChapters&amp;publication=pnas&amp;sortBy=Earliest&amp;target=default" TargetMode="External"/><Relationship Id="rId622" Type="http://schemas.openxmlformats.org/officeDocument/2006/relationships/hyperlink" Target="https://doi.org/10.1073/pnas.2530250123" TargetMode="External"/><Relationship Id="rId623" Type="http://schemas.openxmlformats.org/officeDocument/2006/relationships/hyperlink" Target="https://www.science.org/doi/abs/10.1126/sciadv.aea7598?af=R" TargetMode="External"/><Relationship Id="rId624" Type="http://schemas.openxmlformats.org/officeDocument/2006/relationships/hyperlink" Target="https://doi.org/10.1126/sciadv.aea7598" TargetMode="External"/><Relationship Id="rId625" Type="http://schemas.openxmlformats.org/officeDocument/2006/relationships/hyperlink" Target="https://www.science.org/doi/abs/10.1126/sciadv.aea3935?af=R" TargetMode="External"/><Relationship Id="rId626" Type="http://schemas.openxmlformats.org/officeDocument/2006/relationships/hyperlink" Target="https://doi.org/10.1126/sciadv.aea3935" TargetMode="External"/><Relationship Id="rId627" Type="http://schemas.openxmlformats.org/officeDocument/2006/relationships/hyperlink" Target="https://www.pnas.org/doi/abs/10.1073/pnas.2506269123?mi=eymic2&amp;af=R&amp;access=on&amp;content=articlesChapters&amp;publication=pnas&amp;sortBy=Earliest&amp;target=default" TargetMode="External"/><Relationship Id="rId628" Type="http://schemas.openxmlformats.org/officeDocument/2006/relationships/hyperlink" Target="https://doi.org/10.1073/pnas.2506269123" TargetMode="External"/><Relationship Id="rId629" Type="http://schemas.openxmlformats.org/officeDocument/2006/relationships/hyperlink" Target="https://www.science.org/doi/abs/10.1126/sciadv.adz8962?af=R" TargetMode="External"/><Relationship Id="rId630" Type="http://schemas.openxmlformats.org/officeDocument/2006/relationships/hyperlink" Target="https://doi.org/10.1126/sciadv.adz8962" TargetMode="External"/><Relationship Id="rId631" Type="http://schemas.openxmlformats.org/officeDocument/2006/relationships/hyperlink" Target="https://www.pnas.org/doi/abs/10.1073/pnas.2527650123?mi=eymic2&amp;af=R&amp;access=on&amp;content=articlesChapters&amp;publication=pnas&amp;sortBy=Earliest&amp;target=default" TargetMode="External"/><Relationship Id="rId632" Type="http://schemas.openxmlformats.org/officeDocument/2006/relationships/hyperlink" Target="https://doi.org/10.1073/pnas.2527650123" TargetMode="External"/><Relationship Id="rId633" Type="http://schemas.openxmlformats.org/officeDocument/2006/relationships/hyperlink" Target="https://www.science.org/doi/abs/10.1126/sciadv.aeb1158?af=R" TargetMode="External"/><Relationship Id="rId634" Type="http://schemas.openxmlformats.org/officeDocument/2006/relationships/hyperlink" Target="https://doi.org/10.1126/sciadv.aeb1158" TargetMode="External"/><Relationship Id="rId635" Type="http://schemas.openxmlformats.org/officeDocument/2006/relationships/hyperlink" Target="https://www.science.org/doi/abs/10.1126/sciadv.aeb1378?af=R" TargetMode="External"/><Relationship Id="rId636" Type="http://schemas.openxmlformats.org/officeDocument/2006/relationships/hyperlink" Target="https://doi.org/10.1126/sciadv.aeb1378" TargetMode="External"/><Relationship Id="rId637" Type="http://schemas.openxmlformats.org/officeDocument/2006/relationships/hyperlink" Target="https://www.science.org/doi/abs/10.1126/sciadv.adz1962?af=R" TargetMode="External"/><Relationship Id="rId638" Type="http://schemas.openxmlformats.org/officeDocument/2006/relationships/hyperlink" Target="https://doi.org/10.1126/sciadv.adz1962" TargetMode="External"/><Relationship Id="rId639" Type="http://schemas.openxmlformats.org/officeDocument/2006/relationships/hyperlink" Target="https://www.pnas.org/doi/abs/10.1073/pnas.2524602123?mi=eymic2&amp;af=R&amp;access=on&amp;content=articlesChapters&amp;publication=pnas&amp;sortBy=Earliest&amp;target=default" TargetMode="External"/><Relationship Id="rId640" Type="http://schemas.openxmlformats.org/officeDocument/2006/relationships/hyperlink" Target="https://doi.org/10.1073/pnas.2524602123" TargetMode="External"/><Relationship Id="rId641" Type="http://schemas.openxmlformats.org/officeDocument/2006/relationships/hyperlink" Target="https://www.science.org/doi/abs/10.1126/sciadv.adz1833?af=R" TargetMode="External"/><Relationship Id="rId642" Type="http://schemas.openxmlformats.org/officeDocument/2006/relationships/hyperlink" Target="https://doi.org/10.1126/sciadv.adz1833" TargetMode="External"/><Relationship Id="rId643" Type="http://schemas.openxmlformats.org/officeDocument/2006/relationships/hyperlink" Target="https://www.pnas.org/doi/abs/10.1073/pnas.2524367123?mi=eymic2&amp;af=R&amp;access=on&amp;content=articlesChapters&amp;publication=pnas&amp;sortBy=Earliest&amp;target=default" TargetMode="External"/><Relationship Id="rId644" Type="http://schemas.openxmlformats.org/officeDocument/2006/relationships/hyperlink" Target="https://doi.org/10.1073/pnas.2524367123" TargetMode="External"/><Relationship Id="rId645" Type="http://schemas.openxmlformats.org/officeDocument/2006/relationships/hyperlink" Target="https://www.science.org/doi/abs/10.1126/sciadv.adw3414?af=R" TargetMode="External"/><Relationship Id="rId646" Type="http://schemas.openxmlformats.org/officeDocument/2006/relationships/hyperlink" Target="https://doi.org/10.1126/sciadv.adw3414" TargetMode="External"/><Relationship Id="rId647" Type="http://schemas.openxmlformats.org/officeDocument/2006/relationships/hyperlink" Target="https://www.pnas.org/doi/abs/10.1073/pnas.2522841123?mi=eymic2&amp;af=R&amp;access=on&amp;content=articlesChapters&amp;publication=pnas&amp;sortBy=Earliest&amp;target=default" TargetMode="External"/><Relationship Id="rId648" Type="http://schemas.openxmlformats.org/officeDocument/2006/relationships/hyperlink" Target="https://doi.org/10.1073/pnas.2522841123" TargetMode="External"/><Relationship Id="rId649" Type="http://schemas.openxmlformats.org/officeDocument/2006/relationships/hyperlink" Target="https://www.science.org/doi/abs/10.1126/sciadv.adw8946?af=R" TargetMode="External"/><Relationship Id="rId650" Type="http://schemas.openxmlformats.org/officeDocument/2006/relationships/hyperlink" Target="https://doi.org/10.1126/sciadv.adw8946" TargetMode="External"/><Relationship Id="rId651" Type="http://schemas.openxmlformats.org/officeDocument/2006/relationships/hyperlink" Target="https://www.science.org/doi/abs/10.1126/sciadv.aeb3006?af=R" TargetMode="External"/><Relationship Id="rId652" Type="http://schemas.openxmlformats.org/officeDocument/2006/relationships/hyperlink" Target="https://doi.org/10.1126/sciadv.aeb3006" TargetMode="External"/><Relationship Id="rId653" Type="http://schemas.openxmlformats.org/officeDocument/2006/relationships/hyperlink" Target="https://www.pnas.org/doi/abs/10.1073/pnas.2502307123?mi=eymic2&amp;af=R&amp;access=on&amp;content=articlesChapters&amp;publication=pnas&amp;sortBy=Earliest&amp;target=default" TargetMode="External"/><Relationship Id="rId654" Type="http://schemas.openxmlformats.org/officeDocument/2006/relationships/hyperlink" Target="https://doi.org/10.1073/pnas.2502307123" TargetMode="External"/><Relationship Id="rId655" Type="http://schemas.openxmlformats.org/officeDocument/2006/relationships/hyperlink" Target="https://www.science.org/doi/abs/10.1126/sciadv.ady6978?af=R" TargetMode="External"/><Relationship Id="rId656" Type="http://schemas.openxmlformats.org/officeDocument/2006/relationships/hyperlink" Target="https://doi.org/10.1126/sciadv.ady6978" TargetMode="External"/><Relationship Id="rId657" Type="http://schemas.openxmlformats.org/officeDocument/2006/relationships/hyperlink" Target="https://pubs.acs.org/doi/10.1021/acs.chemrev.5c01078?af=R" TargetMode="External"/><Relationship Id="rId658" Type="http://schemas.openxmlformats.org/officeDocument/2006/relationships/hyperlink" Target="https://doi.org/10.1021/acs.chemrev.5c01078" TargetMode="External"/><Relationship Id="rId659" Type="http://schemas.openxmlformats.org/officeDocument/2006/relationships/hyperlink" Target="https://www.science.org/doi/abs/10.1126/sciadv.ady3529?af=R" TargetMode="External"/><Relationship Id="rId660" Type="http://schemas.openxmlformats.org/officeDocument/2006/relationships/hyperlink" Target="https://doi.org/10.1126/sciadv.ady3529" TargetMode="External"/><Relationship Id="rId661" Type="http://schemas.openxmlformats.org/officeDocument/2006/relationships/hyperlink" Target="https://pubs.acs.org/doi/10.1021/acs.chemrev.4c00687?af=R" TargetMode="External"/><Relationship Id="rId662" Type="http://schemas.openxmlformats.org/officeDocument/2006/relationships/hyperlink" Target="https://doi.org/10.1021/acs.chemrev.4c00687" TargetMode="External"/><Relationship Id="rId663" Type="http://schemas.openxmlformats.org/officeDocument/2006/relationships/hyperlink" Target="http://dx.doi.org/10.1021/jacs.5c10593" TargetMode="External"/><Relationship Id="rId664" Type="http://schemas.openxmlformats.org/officeDocument/2006/relationships/hyperlink" Target="https://doi.org/10.1021/jacs.5c10593" TargetMode="External"/><Relationship Id="rId665" Type="http://schemas.openxmlformats.org/officeDocument/2006/relationships/hyperlink" Target="http://dx.doi.org/10.1021/jacs.5c19057" TargetMode="External"/><Relationship Id="rId666" Type="http://schemas.openxmlformats.org/officeDocument/2006/relationships/hyperlink" Target="https://doi.org/10.1021/jacs.5c19057" TargetMode="External"/><Relationship Id="rId667" Type="http://schemas.openxmlformats.org/officeDocument/2006/relationships/hyperlink" Target="http://dx.doi.org/10.1021/jacs.5c18009" TargetMode="External"/><Relationship Id="rId668" Type="http://schemas.openxmlformats.org/officeDocument/2006/relationships/hyperlink" Target="https://doi.org/10.1021/jacs.5c18009" TargetMode="External"/><Relationship Id="rId669" Type="http://schemas.openxmlformats.org/officeDocument/2006/relationships/hyperlink" Target="https://advanced.onlinelibrary.wiley.com/doi/10.1002/aenm.202506291?af=R" TargetMode="External"/><Relationship Id="rId670" Type="http://schemas.openxmlformats.org/officeDocument/2006/relationships/hyperlink" Target="https://doi.org/10.1002/aenm.202506291" TargetMode="External"/><Relationship Id="rId671" Type="http://schemas.openxmlformats.org/officeDocument/2006/relationships/hyperlink" Target="https://advanced.onlinelibrary.wiley.com/doi/10.1002/aenm.202506211?af=R" TargetMode="External"/><Relationship Id="rId672" Type="http://schemas.openxmlformats.org/officeDocument/2006/relationships/hyperlink" Target="https://doi.org/10.1002/aenm.202506211" TargetMode="External"/><Relationship Id="rId673" Type="http://schemas.openxmlformats.org/officeDocument/2006/relationships/hyperlink" Target="https://onlinelibrary.wiley.com/doi/10.1002/anie.202525416?af=R" TargetMode="External"/><Relationship Id="rId674" Type="http://schemas.openxmlformats.org/officeDocument/2006/relationships/hyperlink" Target="https://doi.org/10.1002/anie.202525416" TargetMode="External"/><Relationship Id="rId675" Type="http://schemas.openxmlformats.org/officeDocument/2006/relationships/hyperlink" Target="https://advanced.onlinelibrary.wiley.com/doi/10.1002/adma.202520188?af=R" TargetMode="External"/><Relationship Id="rId676" Type="http://schemas.openxmlformats.org/officeDocument/2006/relationships/hyperlink" Target="https://doi.org/10.1002/adma.202520188" TargetMode="External"/><Relationship Id="rId677" Type="http://schemas.openxmlformats.org/officeDocument/2006/relationships/hyperlink" Target="https://onlinelibrary.wiley.com/doi/10.1002/anie.6399534?af=R" TargetMode="External"/><Relationship Id="rId678" Type="http://schemas.openxmlformats.org/officeDocument/2006/relationships/hyperlink" Target="https://doi.org/10.1002/anie.6399534" TargetMode="External"/><Relationship Id="rId679" Type="http://schemas.openxmlformats.org/officeDocument/2006/relationships/hyperlink" Target="https://advanced.onlinelibrary.wiley.com/doi/10.1002/adma.202522101?af=R" TargetMode="External"/><Relationship Id="rId680" Type="http://schemas.openxmlformats.org/officeDocument/2006/relationships/hyperlink" Target="https://doi.org/10.1002/adma.202522101" TargetMode="External"/><Relationship Id="rId681" Type="http://schemas.openxmlformats.org/officeDocument/2006/relationships/hyperlink" Target="https://advanced.onlinelibrary.wiley.com/doi/10.1002/adma.202522827?af=R" TargetMode="External"/><Relationship Id="rId682" Type="http://schemas.openxmlformats.org/officeDocument/2006/relationships/hyperlink" Target="https://doi.org/10.1002/adma.202522827" TargetMode="External"/><Relationship Id="rId683" Type="http://schemas.openxmlformats.org/officeDocument/2006/relationships/hyperlink" Target="https://advanced.onlinelibrary.wiley.com/doi/10.1002/adma.72037?af=R" TargetMode="External"/><Relationship Id="rId684" Type="http://schemas.openxmlformats.org/officeDocument/2006/relationships/hyperlink" Target="https://doi.org/10.1002/adma.72037" TargetMode="External"/><Relationship Id="rId685" Type="http://schemas.openxmlformats.org/officeDocument/2006/relationships/hyperlink" Target="https://advanced.onlinelibrary.wiley.com/doi/10.1002/adma.72033?af=R" TargetMode="External"/><Relationship Id="rId686" Type="http://schemas.openxmlformats.org/officeDocument/2006/relationships/hyperlink" Target="https://doi.org/10.1002/adma.72033" TargetMode="External"/><Relationship Id="rId687" Type="http://schemas.openxmlformats.org/officeDocument/2006/relationships/hyperlink" Target="https://advanced.onlinelibrary.wiley.com/doi/10.1002/adma.72034?af=R" TargetMode="External"/><Relationship Id="rId688" Type="http://schemas.openxmlformats.org/officeDocument/2006/relationships/hyperlink" Target="https://doi.org/10.1002/adma.72034" TargetMode="External"/><Relationship Id="rId689" Type="http://schemas.openxmlformats.org/officeDocument/2006/relationships/hyperlink" Target="https://advanced.onlinelibrary.wiley.com/doi/10.1002/adma.72038?af=R" TargetMode="External"/><Relationship Id="rId690" Type="http://schemas.openxmlformats.org/officeDocument/2006/relationships/hyperlink" Target="https://doi.org/10.1002/adma.72038" TargetMode="External"/><Relationship Id="rId691" Type="http://schemas.openxmlformats.org/officeDocument/2006/relationships/hyperlink" Target="https://advanced.onlinelibrary.wiley.com/doi/10.1002/adma.72035?af=R" TargetMode="External"/><Relationship Id="rId692" Type="http://schemas.openxmlformats.org/officeDocument/2006/relationships/hyperlink" Target="https://doi.org/10.1002/adma.72035" TargetMode="External"/><Relationship Id="rId693" Type="http://schemas.openxmlformats.org/officeDocument/2006/relationships/hyperlink" Target="https://onlinelibrary.wiley.com/doi/10.1002/anie.202516203?af=R" TargetMode="External"/><Relationship Id="rId694" Type="http://schemas.openxmlformats.org/officeDocument/2006/relationships/hyperlink" Target="https://doi.org/10.1002/anie.202516203" TargetMode="External"/><Relationship Id="rId695" Type="http://schemas.openxmlformats.org/officeDocument/2006/relationships/hyperlink" Target="https://onlinelibrary.wiley.com/doi/10.1002/anie.202523303?af=R" TargetMode="External"/><Relationship Id="rId696" Type="http://schemas.openxmlformats.org/officeDocument/2006/relationships/hyperlink" Target="https://doi.org/10.1002/anie.202523303" TargetMode="External"/><Relationship Id="rId697" Type="http://schemas.openxmlformats.org/officeDocument/2006/relationships/hyperlink" Target="https://advanced.onlinelibrary.wiley.com/doi/10.1002/adma.202523083?af=R" TargetMode="External"/><Relationship Id="rId698" Type="http://schemas.openxmlformats.org/officeDocument/2006/relationships/hyperlink" Target="https://doi.org/10.1002/adma.202523083" TargetMode="External"/><Relationship Id="rId699" Type="http://schemas.openxmlformats.org/officeDocument/2006/relationships/hyperlink" Target="https://advanced.onlinelibrary.wiley.com/doi/10.1002/adma.202521440?af=R" TargetMode="External"/><Relationship Id="rId700" Type="http://schemas.openxmlformats.org/officeDocument/2006/relationships/hyperlink" Target="https://doi.org/10.1002/adma.202521440" TargetMode="External"/><Relationship Id="rId701" Type="http://schemas.openxmlformats.org/officeDocument/2006/relationships/hyperlink" Target="https://onlinelibrary.wiley.com/doi/10.1002/anie.202523576?af=R" TargetMode="External"/><Relationship Id="rId702" Type="http://schemas.openxmlformats.org/officeDocument/2006/relationships/hyperlink" Target="https://doi.org/10.1002/anie.202523576" TargetMode="External"/><Relationship Id="rId703" Type="http://schemas.openxmlformats.org/officeDocument/2006/relationships/hyperlink" Target="https://advanced.onlinelibrary.wiley.com/doi/10.1002/adma.202520703?af=R" TargetMode="External"/><Relationship Id="rId704" Type="http://schemas.openxmlformats.org/officeDocument/2006/relationships/hyperlink" Target="https://doi.org/10.1002/adma.202520703" TargetMode="External"/><Relationship Id="rId705" Type="http://schemas.openxmlformats.org/officeDocument/2006/relationships/hyperlink" Target="https://advanced.onlinelibrary.wiley.com/doi/10.1002/adma.202523545?af=R" TargetMode="External"/><Relationship Id="rId706" Type="http://schemas.openxmlformats.org/officeDocument/2006/relationships/hyperlink" Target="https://doi.org/10.1002/adma.202523545" TargetMode="External"/><Relationship Id="rId707" Type="http://schemas.openxmlformats.org/officeDocument/2006/relationships/hyperlink" Target="https://advanced.onlinelibrary.wiley.com/doi/10.1002/aenm.202506634?af=R" TargetMode="External"/><Relationship Id="rId708" Type="http://schemas.openxmlformats.org/officeDocument/2006/relationships/hyperlink" Target="https://doi.org/10.1002/aenm.202506634" TargetMode="External"/><Relationship Id="rId709" Type="http://schemas.openxmlformats.org/officeDocument/2006/relationships/hyperlink" Target="https://onlinelibrary.wiley.com/doi/10.1002/anie.202525964?af=R" TargetMode="External"/><Relationship Id="rId710" Type="http://schemas.openxmlformats.org/officeDocument/2006/relationships/hyperlink" Target="https://doi.org/10.1002/anie.202525964" TargetMode="External"/><Relationship Id="rId711" Type="http://schemas.openxmlformats.org/officeDocument/2006/relationships/hyperlink" Target="https://advanced.onlinelibrary.wiley.com/doi/10.1002/adma.202514370?af=R" TargetMode="External"/><Relationship Id="rId712" Type="http://schemas.openxmlformats.org/officeDocument/2006/relationships/hyperlink" Target="https://doi.org/10.1002/adma.202514370" TargetMode="External"/><Relationship Id="rId713" Type="http://schemas.openxmlformats.org/officeDocument/2006/relationships/hyperlink" Target="https://advanced.onlinelibrary.wiley.com/doi/10.1002/adma.202518712?af=R" TargetMode="External"/><Relationship Id="rId714" Type="http://schemas.openxmlformats.org/officeDocument/2006/relationships/hyperlink" Target="https://doi.org/10.1002/adma.202518712" TargetMode="External"/><Relationship Id="rId715" Type="http://schemas.openxmlformats.org/officeDocument/2006/relationships/hyperlink" Target="https://advanced.onlinelibrary.wiley.com/doi/10.1002/aenm.70483?af=R" TargetMode="External"/><Relationship Id="rId716" Type="http://schemas.openxmlformats.org/officeDocument/2006/relationships/hyperlink" Target="https://doi.org/10.1002/aenm.70483" TargetMode="External"/><Relationship Id="rId717" Type="http://schemas.openxmlformats.org/officeDocument/2006/relationships/hyperlink" Target="https://advanced.onlinelibrary.wiley.com/doi/10.1002/aenm.70485?af=R" TargetMode="External"/><Relationship Id="rId718" Type="http://schemas.openxmlformats.org/officeDocument/2006/relationships/hyperlink" Target="https://doi.org/10.1002/aenm.70485" TargetMode="External"/><Relationship Id="rId719" Type="http://schemas.openxmlformats.org/officeDocument/2006/relationships/hyperlink" Target="https://advanced.onlinelibrary.wiley.com/doi/10.1002/adma.202519153?af=R" TargetMode="External"/><Relationship Id="rId720" Type="http://schemas.openxmlformats.org/officeDocument/2006/relationships/hyperlink" Target="https://doi.org/10.1002/adma.202519153" TargetMode="External"/><Relationship Id="rId721" Type="http://schemas.openxmlformats.org/officeDocument/2006/relationships/hyperlink" Target="https://advanced.onlinelibrary.wiley.com/doi/10.1002/aenm.202505382?af=R" TargetMode="External"/><Relationship Id="rId722" Type="http://schemas.openxmlformats.org/officeDocument/2006/relationships/hyperlink" Target="https://doi.org/10.1002/aenm.202505382" TargetMode="External"/><Relationship Id="rId723" Type="http://schemas.openxmlformats.org/officeDocument/2006/relationships/hyperlink" Target="https://advanced.onlinelibrary.wiley.com/doi/10.1002/adma.202518317?af=R" TargetMode="External"/><Relationship Id="rId724" Type="http://schemas.openxmlformats.org/officeDocument/2006/relationships/hyperlink" Target="https://doi.org/10.1002/adma.202518317" TargetMode="External"/><Relationship Id="rId725" Type="http://schemas.openxmlformats.org/officeDocument/2006/relationships/hyperlink" Target="https://advanced.onlinelibrary.wiley.com/doi/10.1002/adma.72296?af=R" TargetMode="External"/><Relationship Id="rId726" Type="http://schemas.openxmlformats.org/officeDocument/2006/relationships/hyperlink" Target="https://doi.org/10.1002/adma.72296" TargetMode="External"/><Relationship Id="rId727" Type="http://schemas.openxmlformats.org/officeDocument/2006/relationships/hyperlink" Target="http://dx.doi.org/10.1021/acsenergylett.5c03228" TargetMode="External"/><Relationship Id="rId728" Type="http://schemas.openxmlformats.org/officeDocument/2006/relationships/hyperlink" Target="https://doi.org/10.1021/acsenergylett.5c03228" TargetMode="External"/><Relationship Id="rId729" Type="http://schemas.openxmlformats.org/officeDocument/2006/relationships/hyperlink" Target="https://advanced.onlinelibrary.wiley.com/doi/10.1002/adma.202521504?af=R" TargetMode="External"/><Relationship Id="rId730" Type="http://schemas.openxmlformats.org/officeDocument/2006/relationships/hyperlink" Target="https://doi.org/10.1002/adma.202521504" TargetMode="External"/><Relationship Id="rId731" Type="http://schemas.openxmlformats.org/officeDocument/2006/relationships/hyperlink" Target="https://advanced.onlinelibrary.wiley.com/doi/10.1002/adma.202523247?af=R" TargetMode="External"/><Relationship Id="rId732" Type="http://schemas.openxmlformats.org/officeDocument/2006/relationships/hyperlink" Target="https://doi.org/10.1002/adma.202523247" TargetMode="External"/><Relationship Id="rId733" Type="http://schemas.openxmlformats.org/officeDocument/2006/relationships/hyperlink" Target="http://dx.doi.org/10.1021/jacs.5c19227" TargetMode="External"/><Relationship Id="rId734" Type="http://schemas.openxmlformats.org/officeDocument/2006/relationships/hyperlink" Target="https://doi.org/10.1021/jacs.5c19227" TargetMode="External"/><Relationship Id="rId735" Type="http://schemas.openxmlformats.org/officeDocument/2006/relationships/hyperlink" Target="https://advanced.onlinelibrary.wiley.com/doi/10.1002/adma.202520191?af=R" TargetMode="External"/><Relationship Id="rId736" Type="http://schemas.openxmlformats.org/officeDocument/2006/relationships/hyperlink" Target="https://doi.org/10.1002/adma.202520191" TargetMode="External"/><Relationship Id="rId737" Type="http://schemas.openxmlformats.org/officeDocument/2006/relationships/hyperlink" Target="https://advanced.onlinelibrary.wiley.com/doi/10.1002/adma.72365?af=R" TargetMode="External"/><Relationship Id="rId738" Type="http://schemas.openxmlformats.org/officeDocument/2006/relationships/hyperlink" Target="https://doi.org/10.1002/adma.72365" TargetMode="External"/><Relationship Id="rId739" Type="http://schemas.openxmlformats.org/officeDocument/2006/relationships/hyperlink" Target="https://advanced.onlinelibrary.wiley.com/doi/10.1002/adma.202516951?af=R" TargetMode="External"/><Relationship Id="rId740" Type="http://schemas.openxmlformats.org/officeDocument/2006/relationships/hyperlink" Target="https://doi.org/10.1002/adma.202516951" TargetMode="External"/><Relationship Id="rId741" Type="http://schemas.openxmlformats.org/officeDocument/2006/relationships/hyperlink" Target="http://dx.doi.org/10.1021/jacs.5c22743" TargetMode="External"/><Relationship Id="rId742" Type="http://schemas.openxmlformats.org/officeDocument/2006/relationships/hyperlink" Target="https://doi.org/10.1021/jacs.5c22743" TargetMode="External"/><Relationship Id="rId743" Type="http://schemas.openxmlformats.org/officeDocument/2006/relationships/hyperlink" Target="https://advanced.onlinelibrary.wiley.com/doi/10.1002/adma.202519222?af=R" TargetMode="External"/><Relationship Id="rId744" Type="http://schemas.openxmlformats.org/officeDocument/2006/relationships/hyperlink" Target="https://doi.org/10.1002/adma.202519222" TargetMode="External"/><Relationship Id="rId745" Type="http://schemas.openxmlformats.org/officeDocument/2006/relationships/hyperlink" Target="https://advanced.onlinelibrary.wiley.com/doi/10.1002/adma.202521690?af=R" TargetMode="External"/><Relationship Id="rId746" Type="http://schemas.openxmlformats.org/officeDocument/2006/relationships/hyperlink" Target="https://doi.org/10.1002/adma.202521690" TargetMode="External"/><Relationship Id="rId747" Type="http://schemas.openxmlformats.org/officeDocument/2006/relationships/hyperlink" Target="https://onlinelibrary.wiley.com/doi/10.1002/anie.202523665?af=R" TargetMode="External"/><Relationship Id="rId748" Type="http://schemas.openxmlformats.org/officeDocument/2006/relationships/hyperlink" Target="https://doi.org/10.1002/anie.202523665" TargetMode="External"/><Relationship Id="rId749" Type="http://schemas.openxmlformats.org/officeDocument/2006/relationships/hyperlink" Target="https://onlinelibrary.wiley.com/doi/10.1002/anie.202524207?af=R" TargetMode="External"/><Relationship Id="rId750" Type="http://schemas.openxmlformats.org/officeDocument/2006/relationships/hyperlink" Target="https://doi.org/10.1002/anie.202524207" TargetMode="External"/><Relationship Id="rId751" Type="http://schemas.openxmlformats.org/officeDocument/2006/relationships/hyperlink" Target="https://onlinelibrary.wiley.com/doi/10.1002/anie.202523810?af=R" TargetMode="External"/><Relationship Id="rId752" Type="http://schemas.openxmlformats.org/officeDocument/2006/relationships/hyperlink" Target="https://doi.org/10.1002/anie.202523810" TargetMode="External"/><Relationship Id="rId753" Type="http://schemas.openxmlformats.org/officeDocument/2006/relationships/hyperlink" Target="http://dx.doi.org/10.1021/jacs.5c17758" TargetMode="External"/><Relationship Id="rId754" Type="http://schemas.openxmlformats.org/officeDocument/2006/relationships/hyperlink" Target="https://doi.org/10.1021/jacs.5c17758" TargetMode="External"/><Relationship Id="rId755" Type="http://schemas.openxmlformats.org/officeDocument/2006/relationships/hyperlink" Target="https://advanced.onlinelibrary.wiley.com/doi/10.1002/adma.202522652?af=R" TargetMode="External"/><Relationship Id="rId756" Type="http://schemas.openxmlformats.org/officeDocument/2006/relationships/hyperlink" Target="https://doi.org/10.1002/adma.202522652" TargetMode="External"/><Relationship Id="rId757" Type="http://schemas.openxmlformats.org/officeDocument/2006/relationships/hyperlink" Target="https://onlinelibrary.wiley.com/doi/10.1002/anie.202524234?af=R" TargetMode="External"/><Relationship Id="rId758" Type="http://schemas.openxmlformats.org/officeDocument/2006/relationships/hyperlink" Target="https://doi.org/10.1002/anie.202524234" TargetMode="External"/><Relationship Id="rId759" Type="http://schemas.openxmlformats.org/officeDocument/2006/relationships/hyperlink" Target="https://advanced.onlinelibrary.wiley.com/doi/10.1002/adma.202519226?af=R" TargetMode="External"/><Relationship Id="rId760" Type="http://schemas.openxmlformats.org/officeDocument/2006/relationships/hyperlink" Target="https://doi.org/10.1002/adma.202519226" TargetMode="External"/><Relationship Id="rId761" Type="http://schemas.openxmlformats.org/officeDocument/2006/relationships/hyperlink" Target="http://dx.doi.org/10.1021/jacs.5c15739" TargetMode="External"/><Relationship Id="rId762" Type="http://schemas.openxmlformats.org/officeDocument/2006/relationships/hyperlink" Target="https://doi.org/10.1021/jacs.5c15739" TargetMode="External"/><Relationship Id="rId763" Type="http://schemas.openxmlformats.org/officeDocument/2006/relationships/hyperlink" Target="https://onlinelibrary.wiley.com/doi/10.1002/anie.2476901?af=R" TargetMode="External"/><Relationship Id="rId764" Type="http://schemas.openxmlformats.org/officeDocument/2006/relationships/hyperlink" Target="https://doi.org/10.1002/anie.2476901" TargetMode="External"/><Relationship Id="rId765" Type="http://schemas.openxmlformats.org/officeDocument/2006/relationships/hyperlink" Target="https://advanced.onlinelibrary.wiley.com/doi/10.1002/adma.202520889?af=R" TargetMode="External"/><Relationship Id="rId766" Type="http://schemas.openxmlformats.org/officeDocument/2006/relationships/hyperlink" Target="https://doi.org/10.1002/adma.202520889" TargetMode="External"/><Relationship Id="rId767" Type="http://schemas.openxmlformats.org/officeDocument/2006/relationships/hyperlink" Target="https://advanced.onlinelibrary.wiley.com/doi/10.1002/adma.202522271?af=R" TargetMode="External"/><Relationship Id="rId768" Type="http://schemas.openxmlformats.org/officeDocument/2006/relationships/hyperlink" Target="https://doi.org/10.1002/adma.202522271" TargetMode="External"/><Relationship Id="rId769" Type="http://schemas.openxmlformats.org/officeDocument/2006/relationships/hyperlink" Target="https://advanced.onlinelibrary.wiley.com/doi/10.1002/adma.202517751?af=R" TargetMode="External"/><Relationship Id="rId770" Type="http://schemas.openxmlformats.org/officeDocument/2006/relationships/hyperlink" Target="https://doi.org/10.1002/adma.202517751" TargetMode="External"/><Relationship Id="rId771" Type="http://schemas.openxmlformats.org/officeDocument/2006/relationships/hyperlink" Target="https://advanced.onlinelibrary.wiley.com/doi/10.1002/adma.202520827?af=R" TargetMode="External"/><Relationship Id="rId772" Type="http://schemas.openxmlformats.org/officeDocument/2006/relationships/hyperlink" Target="https://doi.org/10.1002/adma.202520827" TargetMode="External"/><Relationship Id="rId773" Type="http://schemas.openxmlformats.org/officeDocument/2006/relationships/hyperlink" Target="https://advanced.onlinelibrary.wiley.com/doi/10.1002/adma.202522750?af=R" TargetMode="External"/><Relationship Id="rId774" Type="http://schemas.openxmlformats.org/officeDocument/2006/relationships/hyperlink" Target="https://doi.org/10.1002/adma.202522750" TargetMode="External"/><Relationship Id="rId775" Type="http://schemas.openxmlformats.org/officeDocument/2006/relationships/hyperlink" Target="https://advanced.onlinelibrary.wiley.com/doi/10.1002/adma.202522289?af=R" TargetMode="External"/><Relationship Id="rId776" Type="http://schemas.openxmlformats.org/officeDocument/2006/relationships/hyperlink" Target="https://doi.org/10.1002/adma.202522289" TargetMode="External"/><Relationship Id="rId777" Type="http://schemas.openxmlformats.org/officeDocument/2006/relationships/hyperlink" Target="http://dx.doi.org/10.1021/jacs.5c19547" TargetMode="External"/><Relationship Id="rId778" Type="http://schemas.openxmlformats.org/officeDocument/2006/relationships/hyperlink" Target="https://doi.org/10.1021/jacs.5c19547" TargetMode="External"/><Relationship Id="rId779" Type="http://schemas.openxmlformats.org/officeDocument/2006/relationships/hyperlink" Target="http://dx.doi.org/10.1021/jacs.5c14714" TargetMode="External"/><Relationship Id="rId780" Type="http://schemas.openxmlformats.org/officeDocument/2006/relationships/hyperlink" Target="https://doi.org/10.1021/jacs.5c14714" TargetMode="External"/><Relationship Id="rId781" Type="http://schemas.openxmlformats.org/officeDocument/2006/relationships/hyperlink" Target="http://dx.doi.org/10.1021/jacs.5c20365" TargetMode="External"/><Relationship Id="rId782" Type="http://schemas.openxmlformats.org/officeDocument/2006/relationships/hyperlink" Target="https://doi.org/10.1021/jacs.5c20365" TargetMode="External"/><Relationship Id="rId783" Type="http://schemas.openxmlformats.org/officeDocument/2006/relationships/hyperlink" Target="http://dx.doi.org/10.1021/jacs.5c23103" TargetMode="External"/><Relationship Id="rId784" Type="http://schemas.openxmlformats.org/officeDocument/2006/relationships/hyperlink" Target="https://doi.org/10.1021/jacs.5c23103" TargetMode="External"/><Relationship Id="rId785" Type="http://schemas.openxmlformats.org/officeDocument/2006/relationships/hyperlink" Target="http://dx.doi.org/10.1021/jacs.5c18601" TargetMode="External"/><Relationship Id="rId786" Type="http://schemas.openxmlformats.org/officeDocument/2006/relationships/hyperlink" Target="https://doi.org/10.1021/jacs.5c18601" TargetMode="External"/><Relationship Id="rId787" Type="http://schemas.openxmlformats.org/officeDocument/2006/relationships/hyperlink" Target="http://dx.doi.org/10.1021/acsenergylett.6c00107" TargetMode="External"/><Relationship Id="rId788" Type="http://schemas.openxmlformats.org/officeDocument/2006/relationships/hyperlink" Target="https://doi.org/10.1021/acsenergylett.6c00107" TargetMode="External"/><Relationship Id="rId789" Type="http://schemas.openxmlformats.org/officeDocument/2006/relationships/hyperlink" Target="http://dx.doi.org/10.1021/acsenergylett.5c03360" TargetMode="External"/><Relationship Id="rId790" Type="http://schemas.openxmlformats.org/officeDocument/2006/relationships/hyperlink" Target="https://doi.org/10.1021/acsenergylett.5c03360" TargetMode="External"/><Relationship Id="rId791" Type="http://schemas.openxmlformats.org/officeDocument/2006/relationships/hyperlink" Target="http://dx.doi.org/10.1021/jacs.5c22062" TargetMode="External"/><Relationship Id="rId792" Type="http://schemas.openxmlformats.org/officeDocument/2006/relationships/hyperlink" Target="https://doi.org/10.1021/jacs.5c22062" TargetMode="External"/><Relationship Id="rId793" Type="http://schemas.openxmlformats.org/officeDocument/2006/relationships/hyperlink" Target="http://dx.doi.org/10.1021/jacs.5c16527" TargetMode="External"/><Relationship Id="rId794" Type="http://schemas.openxmlformats.org/officeDocument/2006/relationships/hyperlink" Target="https://doi.org/10.1021/jacs.5c16527" TargetMode="External"/><Relationship Id="rId795" Type="http://schemas.openxmlformats.org/officeDocument/2006/relationships/hyperlink" Target="http://dx.doi.org/10.1021/acsenergylett.5c03621" TargetMode="External"/><Relationship Id="rId796" Type="http://schemas.openxmlformats.org/officeDocument/2006/relationships/hyperlink" Target="https://doi.org/10.1021/acsenergylett.5c03621" TargetMode="External"/><Relationship Id="rId797" Type="http://schemas.openxmlformats.org/officeDocument/2006/relationships/hyperlink" Target="http://dx.doi.org/10.1021/acs.chemrev.5c00280" TargetMode="External"/><Relationship Id="rId798" Type="http://schemas.openxmlformats.org/officeDocument/2006/relationships/hyperlink" Target="https://doi.org/10.1021/acs.chemrev.5c00280" TargetMode="External"/><Relationship Id="rId799" Type="http://schemas.openxmlformats.org/officeDocument/2006/relationships/hyperlink" Target="http://dx.doi.org/10.1021/jacs.5c19864" TargetMode="External"/><Relationship Id="rId800" Type="http://schemas.openxmlformats.org/officeDocument/2006/relationships/hyperlink" Target="https://doi.org/10.1021/jacs.5c19864" TargetMode="External"/><Relationship Id="rId801" Type="http://schemas.openxmlformats.org/officeDocument/2006/relationships/hyperlink" Target="http://dx.doi.org/10.1021/acsenergylett.5c03292" TargetMode="External"/><Relationship Id="rId802" Type="http://schemas.openxmlformats.org/officeDocument/2006/relationships/hyperlink" Target="https://doi.org/10.1021/acsenergylett.5c03292" TargetMode="External"/><Relationship Id="rId803" Type="http://schemas.openxmlformats.org/officeDocument/2006/relationships/hyperlink" Target="http://dx.doi.org/10.1021/jacs.5c17711" TargetMode="External"/><Relationship Id="rId804" Type="http://schemas.openxmlformats.org/officeDocument/2006/relationships/hyperlink" Target="https://doi.org/10.1021/jacs.5c17711" TargetMode="External"/><Relationship Id="rId805" Type="http://schemas.openxmlformats.org/officeDocument/2006/relationships/hyperlink" Target="https://www.sciencedirect.com/science/article/pii/S030626192600067X?dgcid=rss_sd_all" TargetMode="External"/><Relationship Id="rId806" Type="http://schemas.openxmlformats.org/officeDocument/2006/relationships/hyperlink" Target="https://www.nature.com/articles/s41563-026-02486-w" TargetMode="External"/><Relationship Id="rId807" Type="http://schemas.openxmlformats.org/officeDocument/2006/relationships/hyperlink" Target="http://pubs.rsc.org/en/Content/ArticleLanding/2026/EE/D5EE06811H" TargetMode="External"/><Relationship Id="rId808" Type="http://schemas.openxmlformats.org/officeDocument/2006/relationships/hyperlink" Target="https://www.nature.com/articles/s41565-025-02113-w" TargetMode="External"/><Relationship Id="rId809" Type="http://schemas.openxmlformats.org/officeDocument/2006/relationships/hyperlink" Target="https://www.nature.com/articles/d41586-026-00301-9" TargetMode="External"/><Relationship Id="rId810" Type="http://schemas.openxmlformats.org/officeDocument/2006/relationships/hyperlink" Target="https://academic.oup.com/nsr/advance-article/doi/10.1093/nsr/nwag055/8444594?rss=1" TargetMode="External"/><Relationship Id="rId811" Type="http://schemas.openxmlformats.org/officeDocument/2006/relationships/hyperlink" Target="https://doi.org/10.1093/nsr/nwag055/8444594" TargetMode="External"/><Relationship Id="rId812" Type="http://schemas.openxmlformats.org/officeDocument/2006/relationships/hyperlink" Target="https://www.sciencedirect.com/science/article/pii/S0306261926000097?dgcid=rss_sd_all" TargetMode="External"/><Relationship Id="rId813" Type="http://schemas.openxmlformats.org/officeDocument/2006/relationships/hyperlink" Target="https://academic.oup.com/nsr/advance-article/doi/10.1093/nsr/nwag058/8444591?rss=1" TargetMode="External"/><Relationship Id="rId814" Type="http://schemas.openxmlformats.org/officeDocument/2006/relationships/hyperlink" Target="https://doi.org/10.1093/nsr/nwag058/8444591" TargetMode="External"/><Relationship Id="rId815" Type="http://schemas.openxmlformats.org/officeDocument/2006/relationships/hyperlink" Target="https://academic.oup.com/nsr/advance-article/doi/10.1093/nsr/nwag063/8444589?rss=1" TargetMode="External"/><Relationship Id="rId816" Type="http://schemas.openxmlformats.org/officeDocument/2006/relationships/hyperlink" Target="https://doi.org/10.1093/nsr/nwag063/8444589" TargetMode="External"/><Relationship Id="rId817" Type="http://schemas.openxmlformats.org/officeDocument/2006/relationships/hyperlink" Target="https://www.sciencedirect.com/science/article/pii/S0301421526000388?dgcid=rss_sd_all" TargetMode="External"/><Relationship Id="rId818" Type="http://schemas.openxmlformats.org/officeDocument/2006/relationships/hyperlink" Target="https://www.nature.com/articles/s44359-025-00141-2" TargetMode="External"/><Relationship Id="rId819" Type="http://schemas.openxmlformats.org/officeDocument/2006/relationships/hyperlink" Target="https://www.nature.com/articles/d41586-026-00239-y" TargetMode="External"/><Relationship Id="rId820" Type="http://schemas.openxmlformats.org/officeDocument/2006/relationships/hyperlink" Target="https://www.nature.com/articles/d41586-026-00240-5" TargetMode="External"/><Relationship Id="rId821" Type="http://schemas.openxmlformats.org/officeDocument/2006/relationships/hyperlink" Target="https://www.nature.com/articles/d41586-026-00277-6" TargetMode="External"/><Relationship Id="rId822" Type="http://schemas.openxmlformats.org/officeDocument/2006/relationships/hyperlink" Target="https://www.sciencedirect.com/science/article/pii/S0306261926000723?dgcid=rss_sd_all" TargetMode="External"/><Relationship Id="rId823" Type="http://schemas.openxmlformats.org/officeDocument/2006/relationships/hyperlink" Target="https://www.sciencedirect.com/science/article/pii/S030626192600084X?dgcid=rss_sd_all" TargetMode="External"/><Relationship Id="rId824" Type="http://schemas.openxmlformats.org/officeDocument/2006/relationships/hyperlink" Target="https://www.nature.com/articles/d41586-026-00229-0" TargetMode="External"/><Relationship Id="rId825" Type="http://schemas.openxmlformats.org/officeDocument/2006/relationships/hyperlink" Target="https://www.sciencedirect.com/science/article/pii/S0306261926000887?dgcid=rss_sd_all" TargetMode="External"/><Relationship Id="rId826" Type="http://schemas.openxmlformats.org/officeDocument/2006/relationships/hyperlink" Target="https://www.cell.com/joule/fulltext/S2542-4351(25)00448-9?rss=yes" TargetMode="External"/><Relationship Id="rId827" Type="http://schemas.openxmlformats.org/officeDocument/2006/relationships/hyperlink" Target="https://www.nature.com/articles/s41586-025-10024-y" TargetMode="External"/><Relationship Id="rId828" Type="http://schemas.openxmlformats.org/officeDocument/2006/relationships/hyperlink" Target="https://www.nature.com/articles/s41560-026-01975-1" TargetMode="External"/><Relationship Id="rId829" Type="http://schemas.openxmlformats.org/officeDocument/2006/relationships/hyperlink" Target="https://www.nature.com/articles/s41557-025-02061-x" TargetMode="External"/><Relationship Id="rId830" Type="http://schemas.openxmlformats.org/officeDocument/2006/relationships/hyperlink" Target="https://www.nature.com/articles/s41563-025-02476-4" TargetMode="External"/><Relationship Id="rId831" Type="http://schemas.openxmlformats.org/officeDocument/2006/relationships/hyperlink" Target="https://www.nature.com/articles/s41557-025-02039-9" TargetMode="External"/><Relationship Id="rId832" Type="http://schemas.openxmlformats.org/officeDocument/2006/relationships/hyperlink" Target="https://www.sciencedirect.com/science/article/pii/S0306261926001054?dgcid=rss_sd_all" TargetMode="External"/><Relationship Id="rId833" Type="http://schemas.openxmlformats.org/officeDocument/2006/relationships/hyperlink" Target="https://www.sciencedirect.com/science/article/pii/S0306261926001030?dgcid=rss_sd_all" TargetMode="External"/><Relationship Id="rId834" Type="http://schemas.openxmlformats.org/officeDocument/2006/relationships/hyperlink" Target="https://www.nature.com/articles/s41586-025-10047-5" TargetMode="External"/><Relationship Id="rId835" Type="http://schemas.openxmlformats.org/officeDocument/2006/relationships/hyperlink" Target="https://www.nature.com/articles/d41586-026-00300-w" TargetMode="External"/><Relationship Id="rId836" Type="http://schemas.openxmlformats.org/officeDocument/2006/relationships/hyperlink" Target="https://www.sciencedirect.com/science/article/pii/S0306261926000905?dgcid=rss_sd_all" TargetMode="External"/><Relationship Id="rId837" Type="http://schemas.openxmlformats.org/officeDocument/2006/relationships/hyperlink" Target="https://www.nature.com/articles/d41586-025-04162-6" TargetMode="External"/><Relationship Id="rId838" Type="http://schemas.openxmlformats.org/officeDocument/2006/relationships/hyperlink" Target="https://www.nature.com/articles/d41586-025-04146-6" TargetMode="External"/><Relationship Id="rId839" Type="http://schemas.openxmlformats.org/officeDocument/2006/relationships/hyperlink" Target="https://www.cell.com/joule/fulltext/S2542-4351(25)00452-0?rss=yes" TargetMode="External"/><Relationship Id="rId840" Type="http://schemas.openxmlformats.org/officeDocument/2006/relationships/hyperlink" Target="https://www.nature.com/articles/s41563-026-02480-2" TargetMode="External"/><Relationship Id="rId841" Type="http://schemas.openxmlformats.org/officeDocument/2006/relationships/hyperlink" Target="https://www.sciencedirect.com/science/article/pii/S0306261926000917?dgcid=rss_sd_all" TargetMode="External"/><Relationship Id="rId842" Type="http://schemas.openxmlformats.org/officeDocument/2006/relationships/hyperlink" Target="https://onlinelibrary.wiley.com/doi/10.1002/anie.202520774?af=R" TargetMode="External"/><Relationship Id="rId843" Type="http://schemas.openxmlformats.org/officeDocument/2006/relationships/hyperlink" Target="https://doi.org/10.1002/anie.202520774" TargetMode="External"/><Relationship Id="rId844" Type="http://schemas.openxmlformats.org/officeDocument/2006/relationships/hyperlink" Target="https://advanced.onlinelibrary.wiley.com/doi/10.1002/aenm.202505686?af=R" TargetMode="External"/><Relationship Id="rId845" Type="http://schemas.openxmlformats.org/officeDocument/2006/relationships/hyperlink" Target="https://doi.org/10.1002/aenm.202505686" TargetMode="External"/><Relationship Id="rId846" Type="http://schemas.openxmlformats.org/officeDocument/2006/relationships/hyperlink" Target="https://onlinelibrary.wiley.com/doi/10.1002/anie.202524211?af=R" TargetMode="External"/><Relationship Id="rId847" Type="http://schemas.openxmlformats.org/officeDocument/2006/relationships/hyperlink" Target="https://doi.org/10.1002/anie.202524211" TargetMode="External"/><Relationship Id="rId848" Type="http://schemas.openxmlformats.org/officeDocument/2006/relationships/hyperlink" Target="https://advanced.onlinelibrary.wiley.com/doi/10.1002/aenm.202505944?af=R" TargetMode="External"/><Relationship Id="rId849" Type="http://schemas.openxmlformats.org/officeDocument/2006/relationships/hyperlink" Target="https://doi.org/10.1002/aenm.202505944" TargetMode="External"/><Relationship Id="rId850" Type="http://schemas.openxmlformats.org/officeDocument/2006/relationships/hyperlink" Target="https://advanced.onlinelibrary.wiley.com/doi/10.1002/adma.202521854?af=R" TargetMode="External"/><Relationship Id="rId851" Type="http://schemas.openxmlformats.org/officeDocument/2006/relationships/hyperlink" Target="https://doi.org/10.1002/adma.202521854" TargetMode="External"/><Relationship Id="rId852" Type="http://schemas.openxmlformats.org/officeDocument/2006/relationships/hyperlink" Target="https://onlinelibrary.wiley.com/doi/10.1002/anie.202524042?af=R" TargetMode="External"/><Relationship Id="rId853" Type="http://schemas.openxmlformats.org/officeDocument/2006/relationships/hyperlink" Target="https://doi.org/10.1002/anie.202524042" TargetMode="External"/><Relationship Id="rId854" Type="http://schemas.openxmlformats.org/officeDocument/2006/relationships/hyperlink" Target="https://advanced.onlinelibrary.wiley.com/doi/10.1002/adma.202520990?af=R" TargetMode="External"/><Relationship Id="rId855" Type="http://schemas.openxmlformats.org/officeDocument/2006/relationships/hyperlink" Target="https://doi.org/10.1002/adma.202520990" TargetMode="External"/><Relationship Id="rId856" Type="http://schemas.openxmlformats.org/officeDocument/2006/relationships/hyperlink" Target="https://onlinelibrary.wiley.com/doi/10.1002/anie.6718169?af=R" TargetMode="External"/><Relationship Id="rId857" Type="http://schemas.openxmlformats.org/officeDocument/2006/relationships/hyperlink" Target="https://doi.org/10.1002/anie.6718169" TargetMode="External"/><Relationship Id="rId858" Type="http://schemas.openxmlformats.org/officeDocument/2006/relationships/hyperlink" Target="https://onlinelibrary.wiley.com/doi/10.1002/anie.202525200?af=R" TargetMode="External"/><Relationship Id="rId859" Type="http://schemas.openxmlformats.org/officeDocument/2006/relationships/hyperlink" Target="https://doi.org/10.1002/anie.202525200" TargetMode="External"/><Relationship Id="rId860" Type="http://schemas.openxmlformats.org/officeDocument/2006/relationships/hyperlink" Target="https://onlinelibrary.wiley.com/doi/10.1002/anie.202525699?af=R" TargetMode="External"/><Relationship Id="rId861" Type="http://schemas.openxmlformats.org/officeDocument/2006/relationships/hyperlink" Target="https://doi.org/10.1002/anie.202525699" TargetMode="External"/><Relationship Id="rId862" Type="http://schemas.openxmlformats.org/officeDocument/2006/relationships/hyperlink" Target="https://onlinelibrary.wiley.com/doi/10.1002/anie.202516630?af=R" TargetMode="External"/><Relationship Id="rId863" Type="http://schemas.openxmlformats.org/officeDocument/2006/relationships/hyperlink" Target="https://doi.org/10.1002/anie.202516630" TargetMode="External"/><Relationship Id="rId864" Type="http://schemas.openxmlformats.org/officeDocument/2006/relationships/hyperlink" Target="https://onlinelibrary.wiley.com/doi/10.1002/anie.202525851?af=R" TargetMode="External"/><Relationship Id="rId865" Type="http://schemas.openxmlformats.org/officeDocument/2006/relationships/hyperlink" Target="https://doi.org/10.1002/anie.202525851" TargetMode="External"/><Relationship Id="rId866" Type="http://schemas.openxmlformats.org/officeDocument/2006/relationships/hyperlink" Target="https://advanced.onlinelibrary.wiley.com/doi/10.1002/aenm.202506247?af=R" TargetMode="External"/><Relationship Id="rId867" Type="http://schemas.openxmlformats.org/officeDocument/2006/relationships/hyperlink" Target="https://doi.org/10.1002/aenm.202506247" TargetMode="External"/><Relationship Id="rId868" Type="http://schemas.openxmlformats.org/officeDocument/2006/relationships/hyperlink" Target="https://onlinelibrary.wiley.com/doi/10.1002/anie.6909224?af=R" TargetMode="External"/><Relationship Id="rId869" Type="http://schemas.openxmlformats.org/officeDocument/2006/relationships/hyperlink" Target="https://doi.org/10.1002/anie.6909224" TargetMode="External"/><Relationship Id="rId870" Type="http://schemas.openxmlformats.org/officeDocument/2006/relationships/hyperlink" Target="https://onlinelibrary.wiley.com/doi/10.1002/anie.202522057?af=R" TargetMode="External"/><Relationship Id="rId871" Type="http://schemas.openxmlformats.org/officeDocument/2006/relationships/hyperlink" Target="https://doi.org/10.1002/anie.202522057" TargetMode="External"/><Relationship Id="rId872" Type="http://schemas.openxmlformats.org/officeDocument/2006/relationships/hyperlink" Target="https://onlinelibrary.wiley.com/doi/10.1002/anie.5036296?af=R" TargetMode="External"/><Relationship Id="rId873" Type="http://schemas.openxmlformats.org/officeDocument/2006/relationships/hyperlink" Target="https://doi.org/10.1002/anie.5036296" TargetMode="External"/><Relationship Id="rId874" Type="http://schemas.openxmlformats.org/officeDocument/2006/relationships/hyperlink" Target="https://onlinelibrary.wiley.com/doi/10.1002/anie.202525232?af=R" TargetMode="External"/><Relationship Id="rId875" Type="http://schemas.openxmlformats.org/officeDocument/2006/relationships/hyperlink" Target="https://doi.org/10.1002/anie.202525232" TargetMode="External"/><Relationship Id="rId876" Type="http://schemas.openxmlformats.org/officeDocument/2006/relationships/hyperlink" Target="https://onlinelibrary.wiley.com/doi/10.1002/anie.202525440?af=R" TargetMode="External"/><Relationship Id="rId877" Type="http://schemas.openxmlformats.org/officeDocument/2006/relationships/hyperlink" Target="https://doi.org/10.1002/anie.202525440" TargetMode="External"/><Relationship Id="rId878" Type="http://schemas.openxmlformats.org/officeDocument/2006/relationships/hyperlink" Target="https://www.science.org/doi/abs/10.1126/science.aea0972?af=R" TargetMode="External"/><Relationship Id="rId879" Type="http://schemas.openxmlformats.org/officeDocument/2006/relationships/hyperlink" Target="https://doi.org/10.1126/science.aea0972" TargetMode="External"/><Relationship Id="rId880" Type="http://schemas.openxmlformats.org/officeDocument/2006/relationships/hyperlink" Target="https://www.science.org/doi/abs/10.1126/science.adv4503?af=R" TargetMode="External"/><Relationship Id="rId881" Type="http://schemas.openxmlformats.org/officeDocument/2006/relationships/hyperlink" Target="https://doi.org/10.1126/science.adv4503" TargetMode="External"/><Relationship Id="rId882" Type="http://schemas.openxmlformats.org/officeDocument/2006/relationships/hyperlink" Target="https://www.science.org/doi/abs/10.1126/science.adv1209?af=R" TargetMode="External"/><Relationship Id="rId883" Type="http://schemas.openxmlformats.org/officeDocument/2006/relationships/hyperlink" Target="https://doi.org/10.1126/science.adv1209" TargetMode="External"/><Relationship Id="rId884" Type="http://schemas.openxmlformats.org/officeDocument/2006/relationships/hyperlink" Target="https://www.science.org/doi/abs/10.1126/science.adz1187?af=R" TargetMode="External"/><Relationship Id="rId885" Type="http://schemas.openxmlformats.org/officeDocument/2006/relationships/hyperlink" Target="https://doi.org/10.1126/science.adz1187" TargetMode="External"/><Relationship Id="rId886" Type="http://schemas.openxmlformats.org/officeDocument/2006/relationships/hyperlink" Target="https://www.science.org/doi/abs/10.1126/science.ads9175?af=R" TargetMode="External"/><Relationship Id="rId887" Type="http://schemas.openxmlformats.org/officeDocument/2006/relationships/hyperlink" Target="https://doi.org/10.1126/science.ads9175" TargetMode="External"/><Relationship Id="rId888" Type="http://schemas.openxmlformats.org/officeDocument/2006/relationships/hyperlink" Target="https://www.science.org/doi/abs/10.1126/science.ads6733?af=R" TargetMode="External"/><Relationship Id="rId889" Type="http://schemas.openxmlformats.org/officeDocument/2006/relationships/hyperlink" Target="https://doi.org/10.1126/science.ads6733" TargetMode="External"/><Relationship Id="rId890" Type="http://schemas.openxmlformats.org/officeDocument/2006/relationships/hyperlink" Target="https://www.science.org/doi/abs/10.1126/science.adz3638?af=R" TargetMode="External"/><Relationship Id="rId891" Type="http://schemas.openxmlformats.org/officeDocument/2006/relationships/hyperlink" Target="https://doi.org/10.1126/science.adz3638" TargetMode="External"/><Relationship Id="rId892" Type="http://schemas.openxmlformats.org/officeDocument/2006/relationships/hyperlink" Target="https://www.science.org/doi/abs/10.1126/science.adi3552?af=R" TargetMode="External"/><Relationship Id="rId893" Type="http://schemas.openxmlformats.org/officeDocument/2006/relationships/hyperlink" Target="https://doi.org/10.1126/science.adi3552" TargetMode="External"/><Relationship Id="rId894" Type="http://schemas.openxmlformats.org/officeDocument/2006/relationships/hyperlink" Target="https://www.science.org/doi/abs/10.1126/science.adx8114?af=R" TargetMode="External"/><Relationship Id="rId895" Type="http://schemas.openxmlformats.org/officeDocument/2006/relationships/hyperlink" Target="https://doi.org/10.1126/science.adx8114" TargetMode="External"/><Relationship Id="rId896" Type="http://schemas.openxmlformats.org/officeDocument/2006/relationships/hyperlink" Target="https://www.science.org/doi/abs/10.1126/science.aee7263?af=R" TargetMode="External"/><Relationship Id="rId897" Type="http://schemas.openxmlformats.org/officeDocument/2006/relationships/hyperlink" Target="https://doi.org/10.1126/science.aee7263" TargetMode="External"/><Relationship Id="rId898" Type="http://schemas.openxmlformats.org/officeDocument/2006/relationships/hyperlink" Target="https://www.science.org/doi/abs/10.1126/science.aec7259?af=R" TargetMode="External"/><Relationship Id="rId899" Type="http://schemas.openxmlformats.org/officeDocument/2006/relationships/hyperlink" Target="https://doi.org/10.1126/science.aec7259" TargetMode="External"/><Relationship Id="rId900" Type="http://schemas.openxmlformats.org/officeDocument/2006/relationships/hyperlink" Target="https://www.science.org/doi/abs/10.1126/science.aee8317?af=R" TargetMode="External"/><Relationship Id="rId901" Type="http://schemas.openxmlformats.org/officeDocument/2006/relationships/hyperlink" Target="https://doi.org/10.1126/science.aee8317" TargetMode="External"/><Relationship Id="rId902" Type="http://schemas.openxmlformats.org/officeDocument/2006/relationships/hyperlink" Target="https://www.science.org/doi/abs/10.1126/science.aef7771?af=R" TargetMode="External"/><Relationship Id="rId903" Type="http://schemas.openxmlformats.org/officeDocument/2006/relationships/hyperlink" Target="https://doi.org/10.1126/science.aef7771" TargetMode="External"/><Relationship Id="rId904" Type="http://schemas.openxmlformats.org/officeDocument/2006/relationships/hyperlink" Target="https://www.science.org/doi/abs/10.1126/science.aef7772?af=R" TargetMode="External"/><Relationship Id="rId905" Type="http://schemas.openxmlformats.org/officeDocument/2006/relationships/hyperlink" Target="https://doi.org/10.1126/science.aef7772" TargetMode="External"/><Relationship Id="rId906" Type="http://schemas.openxmlformats.org/officeDocument/2006/relationships/hyperlink" Target="https://www.science.org/doi/abs/10.1126/science.aef8478?af=R" TargetMode="External"/><Relationship Id="rId907" Type="http://schemas.openxmlformats.org/officeDocument/2006/relationships/hyperlink" Target="https://doi.org/10.1126/science.aef8478" TargetMode="External"/><Relationship Id="rId908" Type="http://schemas.openxmlformats.org/officeDocument/2006/relationships/hyperlink" Target="https://www.science.org/doi/abs/10.1126/science.aef8479?af=R" TargetMode="External"/><Relationship Id="rId909" Type="http://schemas.openxmlformats.org/officeDocument/2006/relationships/hyperlink" Target="https://doi.org/10.1126/science.aef8479" TargetMode="External"/><Relationship Id="rId910" Type="http://schemas.openxmlformats.org/officeDocument/2006/relationships/hyperlink" Target="https://www.science.org/doi/abs/10.1126/science.aef8481?af=R" TargetMode="External"/><Relationship Id="rId911" Type="http://schemas.openxmlformats.org/officeDocument/2006/relationships/hyperlink" Target="https://doi.org/10.1126/science.aef8481" TargetMode="External"/><Relationship Id="rId912" Type="http://schemas.openxmlformats.org/officeDocument/2006/relationships/hyperlink" Target="https://www.science.org/doi/abs/10.1126/science.aef8893?af=R" TargetMode="External"/><Relationship Id="rId913" Type="http://schemas.openxmlformats.org/officeDocument/2006/relationships/hyperlink" Target="https://doi.org/10.1126/science.aef8893" TargetMode="External"/><Relationship Id="rId914" Type="http://schemas.openxmlformats.org/officeDocument/2006/relationships/hyperlink" Target="https://www.science.org/doi/abs/10.1126/science.aef8894?af=R" TargetMode="External"/><Relationship Id="rId915" Type="http://schemas.openxmlformats.org/officeDocument/2006/relationships/hyperlink" Target="https://doi.org/10.1126/science.aef8894" TargetMode="External"/><Relationship Id="rId916" Type="http://schemas.openxmlformats.org/officeDocument/2006/relationships/hyperlink" Target="https://www.science.org/doi/abs/10.1126/science.aef8895?af=R" TargetMode="External"/><Relationship Id="rId917" Type="http://schemas.openxmlformats.org/officeDocument/2006/relationships/hyperlink" Target="https://doi.org/10.1126/science.aef8895" TargetMode="External"/><Relationship Id="rId918" Type="http://schemas.openxmlformats.org/officeDocument/2006/relationships/hyperlink" Target="https://www.science.org/doi/abs/10.1126/science.aef8896?af=R" TargetMode="External"/><Relationship Id="rId919" Type="http://schemas.openxmlformats.org/officeDocument/2006/relationships/hyperlink" Target="https://doi.org/10.1126/science.aef8896" TargetMode="External"/><Relationship Id="rId920" Type="http://schemas.openxmlformats.org/officeDocument/2006/relationships/hyperlink" Target="https://www.science.org/doi/abs/10.1126/science.aef8898?af=R" TargetMode="External"/><Relationship Id="rId921" Type="http://schemas.openxmlformats.org/officeDocument/2006/relationships/hyperlink" Target="https://doi.org/10.1126/science.aef8898" TargetMode="External"/><Relationship Id="rId922" Type="http://schemas.openxmlformats.org/officeDocument/2006/relationships/hyperlink" Target="https://www.science.org/doi/abs/10.1126/science.aee4597?af=R" TargetMode="External"/><Relationship Id="rId923" Type="http://schemas.openxmlformats.org/officeDocument/2006/relationships/hyperlink" Target="https://doi.org/10.1126/science.aee4597" TargetMode="External"/><Relationship Id="rId924" Type="http://schemas.openxmlformats.org/officeDocument/2006/relationships/hyperlink" Target="https://www.science.org/doi/abs/10.1126/science.aee3844?af=R" TargetMode="External"/><Relationship Id="rId925" Type="http://schemas.openxmlformats.org/officeDocument/2006/relationships/hyperlink" Target="https://doi.org/10.1126/science.aee3844" TargetMode="External"/><Relationship Id="rId926" Type="http://schemas.openxmlformats.org/officeDocument/2006/relationships/hyperlink" Target="https://www.science.org/doi/abs/10.1126/science.aee3786?af=R" TargetMode="External"/><Relationship Id="rId927" Type="http://schemas.openxmlformats.org/officeDocument/2006/relationships/hyperlink" Target="https://doi.org/10.1126/science.aee3786" TargetMode="External"/><Relationship Id="rId928" Type="http://schemas.openxmlformats.org/officeDocument/2006/relationships/hyperlink" Target="https://www.science.org/doi/abs/10.1126/science.aee3245?af=R" TargetMode="External"/><Relationship Id="rId929" Type="http://schemas.openxmlformats.org/officeDocument/2006/relationships/hyperlink" Target="https://doi.org/10.1126/science.aee3245" TargetMode="External"/><Relationship Id="rId930" Type="http://schemas.openxmlformats.org/officeDocument/2006/relationships/hyperlink" Target="https://www.science.org/doi/abs/10.1126/science.aed8689?af=R" TargetMode="External"/><Relationship Id="rId931" Type="http://schemas.openxmlformats.org/officeDocument/2006/relationships/hyperlink" Target="https://doi.org/10.1126/science.aed8689" TargetMode="External"/><Relationship Id="rId932" Type="http://schemas.openxmlformats.org/officeDocument/2006/relationships/hyperlink" Target="https://www.science.org/doi/abs/10.1126/science.aed6470?af=R" TargetMode="External"/><Relationship Id="rId933" Type="http://schemas.openxmlformats.org/officeDocument/2006/relationships/hyperlink" Target="https://doi.org/10.1126/science.aed6470" TargetMode="External"/><Relationship Id="rId934" Type="http://schemas.openxmlformats.org/officeDocument/2006/relationships/hyperlink" Target="https://www.science.org/doi/abs/10.1126/science.aed3298?af=R" TargetMode="External"/><Relationship Id="rId935" Type="http://schemas.openxmlformats.org/officeDocument/2006/relationships/hyperlink" Target="https://doi.org/10.1126/science.aed3298" TargetMode="External"/><Relationship Id="rId936" Type="http://schemas.openxmlformats.org/officeDocument/2006/relationships/hyperlink" Target="https://www.science.org/doi/abs/10.1126/science.aeb3637?af=R" TargetMode="External"/><Relationship Id="rId937" Type="http://schemas.openxmlformats.org/officeDocument/2006/relationships/hyperlink" Target="https://doi.org/10.1126/science.aeb3637" TargetMode="External"/><Relationship Id="rId938" Type="http://schemas.openxmlformats.org/officeDocument/2006/relationships/hyperlink" Target="https://www.science.org/doi/abs/10.1126/science.aef7757?af=R" TargetMode="External"/><Relationship Id="rId939" Type="http://schemas.openxmlformats.org/officeDocument/2006/relationships/hyperlink" Target="https://doi.org/10.1126/science.aef7757" TargetMode="External"/><Relationship Id="rId940" Type="http://schemas.openxmlformats.org/officeDocument/2006/relationships/hyperlink" Target="https://www.pnas.org/doi/abs/10.1073/pnas.2537193123?mi=eymic2&amp;af=R&amp;access=on&amp;content=articlesChapters&amp;publication=pnas&amp;sortBy=Earliest&amp;target=default" TargetMode="External"/><Relationship Id="rId941" Type="http://schemas.openxmlformats.org/officeDocument/2006/relationships/hyperlink" Target="https://doi.org/10.1073/pnas.2537193123" TargetMode="External"/><Relationship Id="rId942" Type="http://schemas.openxmlformats.org/officeDocument/2006/relationships/hyperlink" Target="https://www.science.org/doi/abs/10.1126/science.adu2392?af=R" TargetMode="External"/><Relationship Id="rId943" Type="http://schemas.openxmlformats.org/officeDocument/2006/relationships/hyperlink" Target="https://doi.org/10.1126/science.adu2392" TargetMode="External"/><Relationship Id="rId944" Type="http://schemas.openxmlformats.org/officeDocument/2006/relationships/hyperlink" Target="https://www.pnas.org/doi/abs/10.1073/pnas.2533999123?mi=eymic2&amp;af=R&amp;access=on&amp;content=articlesChapters&amp;publication=pnas&amp;sortBy=Earliest&amp;target=default" TargetMode="External"/><Relationship Id="rId945" Type="http://schemas.openxmlformats.org/officeDocument/2006/relationships/hyperlink" Target="https://doi.org/10.1073/pnas.2533999123" TargetMode="External"/><Relationship Id="rId946" Type="http://schemas.openxmlformats.org/officeDocument/2006/relationships/hyperlink" Target="https://www.pnas.org/doi/abs/10.1073/pnas.2530922123?mi=eymic2&amp;af=R&amp;access=on&amp;content=articlesChapters&amp;publication=pnas&amp;sortBy=Earliest&amp;target=default" TargetMode="External"/><Relationship Id="rId947" Type="http://schemas.openxmlformats.org/officeDocument/2006/relationships/hyperlink" Target="https://doi.org/10.1073/pnas.2530922123" TargetMode="External"/><Relationship Id="rId948" Type="http://schemas.openxmlformats.org/officeDocument/2006/relationships/hyperlink" Target="https://www.pnas.org/doi/abs/10.1073/pnas.2528141123?mi=eymic2&amp;af=R&amp;access=on&amp;content=articlesChapters&amp;publication=pnas&amp;sortBy=Earliest&amp;target=default" TargetMode="External"/><Relationship Id="rId949" Type="http://schemas.openxmlformats.org/officeDocument/2006/relationships/hyperlink" Target="https://doi.org/10.1073/pnas.2528141123" TargetMode="External"/><Relationship Id="rId950" Type="http://schemas.openxmlformats.org/officeDocument/2006/relationships/hyperlink" Target="https://www.pnas.org/doi/abs/10.1073/pnas.2526773123?mi=eymic2&amp;af=R&amp;access=on&amp;content=articlesChapters&amp;publication=pnas&amp;sortBy=Earliest&amp;target=default" TargetMode="External"/><Relationship Id="rId951" Type="http://schemas.openxmlformats.org/officeDocument/2006/relationships/hyperlink" Target="https://doi.org/10.1073/pnas.2526773123" TargetMode="External"/><Relationship Id="rId952" Type="http://schemas.openxmlformats.org/officeDocument/2006/relationships/hyperlink" Target="https://www.pnas.org/doi/abs/10.1073/pnas.2525760123?mi=eymic2&amp;af=R&amp;access=on&amp;content=articlesChapters&amp;publication=pnas&amp;sortBy=Earliest&amp;target=default" TargetMode="External"/><Relationship Id="rId953" Type="http://schemas.openxmlformats.org/officeDocument/2006/relationships/hyperlink" Target="https://doi.org/10.1073/pnas.2525760123" TargetMode="External"/><Relationship Id="rId954" Type="http://schemas.openxmlformats.org/officeDocument/2006/relationships/hyperlink" Target="https://www.pnas.org/doi/abs/10.1073/pnas.2521927123?mi=eymic2&amp;af=R&amp;access=on&amp;content=articlesChapters&amp;publication=pnas&amp;sortBy=Earliest&amp;target=default" TargetMode="External"/><Relationship Id="rId955" Type="http://schemas.openxmlformats.org/officeDocument/2006/relationships/hyperlink" Target="https://doi.org/10.1073/pnas.2521927123" TargetMode="External"/><Relationship Id="rId956" Type="http://schemas.openxmlformats.org/officeDocument/2006/relationships/hyperlink" Target="https://www.pnas.org/doi/abs/10.1073/pnas.2519940123?mi=eymic2&amp;af=R&amp;access=on&amp;content=articlesChapters&amp;publication=pnas&amp;sortBy=Earliest&amp;target=default" TargetMode="External"/><Relationship Id="rId957" Type="http://schemas.openxmlformats.org/officeDocument/2006/relationships/hyperlink" Target="https://doi.org/10.1073/pnas.2519940123" TargetMode="External"/><Relationship Id="rId958" Type="http://schemas.openxmlformats.org/officeDocument/2006/relationships/hyperlink" Target="https://www.pnas.org/doi/abs/10.1073/pnas.2519494123?mi=eymic2&amp;af=R&amp;access=on&amp;content=articlesChapters&amp;publication=pnas&amp;sortBy=Earliest&amp;target=default" TargetMode="External"/><Relationship Id="rId959" Type="http://schemas.openxmlformats.org/officeDocument/2006/relationships/hyperlink" Target="https://doi.org/10.1073/pnas.2519494123" TargetMode="External"/><Relationship Id="rId960" Type="http://schemas.openxmlformats.org/officeDocument/2006/relationships/hyperlink" Target="https://www.pnas.org/doi/abs/10.1073/pnas.2518486123?mi=eymic2&amp;af=R&amp;access=on&amp;content=articlesChapters&amp;publication=pnas&amp;sortBy=Earliest&amp;target=default" TargetMode="External"/><Relationship Id="rId961" Type="http://schemas.openxmlformats.org/officeDocument/2006/relationships/hyperlink" Target="https://doi.org/10.1073/pnas.2518486123" TargetMode="External"/><Relationship Id="rId962" Type="http://schemas.openxmlformats.org/officeDocument/2006/relationships/hyperlink" Target="https://www.pnas.org/doi/abs/10.1073/pnas.2600337123?mi=eymic2&amp;af=R&amp;access=on&amp;content=articlesChapters&amp;publication=pnas&amp;sortBy=Earliest&amp;target=default" TargetMode="External"/><Relationship Id="rId963" Type="http://schemas.openxmlformats.org/officeDocument/2006/relationships/hyperlink" Target="https://doi.org/10.1073/pnas.2600337123" TargetMode="External"/><Relationship Id="rId964" Type="http://schemas.openxmlformats.org/officeDocument/2006/relationships/hyperlink" Target="https://www.science.org/doi/abs/10.1126/science.adv7129?af=R" TargetMode="External"/><Relationship Id="rId965" Type="http://schemas.openxmlformats.org/officeDocument/2006/relationships/hyperlink" Target="https://doi.org/10.1126/science.adv7129" TargetMode="External"/><Relationship Id="rId966" Type="http://schemas.openxmlformats.org/officeDocument/2006/relationships/hyperlink" Target="https://www.pnas.org/doi/abs/10.1073/pnas.2503046123?mi=eymic2&amp;af=R&amp;access=on&amp;content=articlesChapters&amp;publication=pnas&amp;sortBy=Earliest&amp;target=default" TargetMode="External"/><Relationship Id="rId967" Type="http://schemas.openxmlformats.org/officeDocument/2006/relationships/hyperlink" Target="https://doi.org/10.1073/pnas.2503046123" TargetMode="External"/><Relationship Id="rId968" Type="http://schemas.openxmlformats.org/officeDocument/2006/relationships/hyperlink" Target="https://www.science.org/doi/abs/10.1126/science.adw9154?af=R" TargetMode="External"/><Relationship Id="rId969" Type="http://schemas.openxmlformats.org/officeDocument/2006/relationships/hyperlink" Target="https://doi.org/10.1126/science.adw9154" TargetMode="External"/><Relationship Id="rId970" Type="http://schemas.openxmlformats.org/officeDocument/2006/relationships/hyperlink" Target="https://www.science.org/doi/abs/10.1126/science.adx9445?af=R" TargetMode="External"/><Relationship Id="rId971" Type="http://schemas.openxmlformats.org/officeDocument/2006/relationships/hyperlink" Target="https://doi.org/10.1126/science.adx9445" TargetMode="External"/><Relationship Id="rId972" Type="http://schemas.openxmlformats.org/officeDocument/2006/relationships/hyperlink" Target="https://www.science.org/doi/abs/10.1126/science.ady1055?af=R" TargetMode="External"/><Relationship Id="rId973" Type="http://schemas.openxmlformats.org/officeDocument/2006/relationships/hyperlink" Target="https://doi.org/10.1126/science.ady1055" TargetMode="External"/><Relationship Id="rId974" Type="http://schemas.openxmlformats.org/officeDocument/2006/relationships/hyperlink" Target="https://www.science.org/doi/abs/10.1126/science.adz1655?af=R" TargetMode="External"/><Relationship Id="rId975" Type="http://schemas.openxmlformats.org/officeDocument/2006/relationships/hyperlink" Target="https://doi.org/10.1126/science.adz1655" TargetMode="External"/><Relationship Id="rId976" Type="http://schemas.openxmlformats.org/officeDocument/2006/relationships/hyperlink" Target="https://www.science.org/doi/abs/10.1126/science.aee8306?af=R" TargetMode="External"/><Relationship Id="rId977" Type="http://schemas.openxmlformats.org/officeDocument/2006/relationships/hyperlink" Target="https://doi.org/10.1126/science.aee8306" TargetMode="External"/><Relationship Id="rId978" Type="http://schemas.openxmlformats.org/officeDocument/2006/relationships/hyperlink" Target="https://www.pnas.org/doi/abs/10.1073/pnas.2507428123?mi=eymic2&amp;af=R&amp;access=on&amp;content=articlesChapters&amp;publication=pnas&amp;sortBy=Earliest&amp;target=default" TargetMode="External"/><Relationship Id="rId979" Type="http://schemas.openxmlformats.org/officeDocument/2006/relationships/hyperlink" Target="https://doi.org/10.1073/pnas.2507428123" TargetMode="External"/><Relationship Id="rId980" Type="http://schemas.openxmlformats.org/officeDocument/2006/relationships/hyperlink" Target="https://www.pnas.org/doi/abs/10.1073/pnas.2506751123?mi=eymic2&amp;af=R&amp;access=on&amp;content=articlesChapters&amp;publication=pnas&amp;sortBy=Earliest&amp;target=default" TargetMode="External"/><Relationship Id="rId981" Type="http://schemas.openxmlformats.org/officeDocument/2006/relationships/hyperlink" Target="https://doi.org/10.1073/pnas.2506751123" TargetMode="External"/><Relationship Id="rId982" Type="http://schemas.openxmlformats.org/officeDocument/2006/relationships/hyperlink" Target="https://www.pnas.org/doi/abs/10.1073/pnas.2504561123?mi=eymic2&amp;af=R&amp;access=on&amp;content=articlesChapters&amp;publication=pnas&amp;sortBy=Earliest&amp;target=default" TargetMode="External"/><Relationship Id="rId983" Type="http://schemas.openxmlformats.org/officeDocument/2006/relationships/hyperlink" Target="https://doi.org/10.1073/pnas.2504561123" TargetMode="External"/><Relationship Id="rId984" Type="http://schemas.openxmlformats.org/officeDocument/2006/relationships/hyperlink" Target="https://www.science.org/doi/abs/10.1126/science.adw3365?af=R" TargetMode="External"/><Relationship Id="rId985" Type="http://schemas.openxmlformats.org/officeDocument/2006/relationships/hyperlink" Target="https://doi.org/10.1126/science.adw3365" TargetMode="External"/><Relationship Id="rId986" Type="http://schemas.openxmlformats.org/officeDocument/2006/relationships/hyperlink" Target="http://dx.doi.org/10.1021/jacs.5c18734" TargetMode="External"/><Relationship Id="rId987" Type="http://schemas.openxmlformats.org/officeDocument/2006/relationships/hyperlink" Target="https://doi.org/10.1021/jacs.5c18734" TargetMode="External"/><Relationship Id="rId988" Type="http://schemas.openxmlformats.org/officeDocument/2006/relationships/hyperlink" Target="http://dx.doi.org/10.1021/jacs.5c12182" TargetMode="External"/><Relationship Id="rId989" Type="http://schemas.openxmlformats.org/officeDocument/2006/relationships/hyperlink" Target="https://doi.org/10.1021/jacs.5c12182" TargetMode="External"/><Relationship Id="rId990" Type="http://schemas.openxmlformats.org/officeDocument/2006/relationships/hyperlink" Target="http://dx.doi.org/10.1021/jacs.5c17407" TargetMode="External"/><Relationship Id="rId991" Type="http://schemas.openxmlformats.org/officeDocument/2006/relationships/hyperlink" Target="https://doi.org/10.1021/jacs.5c17407" TargetMode="External"/><Relationship Id="rId992" Type="http://schemas.openxmlformats.org/officeDocument/2006/relationships/hyperlink" Target="http://dx.doi.org/10.1021/acs.chemrev.5c00732" TargetMode="External"/><Relationship Id="rId993" Type="http://schemas.openxmlformats.org/officeDocument/2006/relationships/hyperlink" Target="https://doi.org/10.1021/acs.chemrev.5c00732" TargetMode="External"/><Relationship Id="rId994" Type="http://schemas.openxmlformats.org/officeDocument/2006/relationships/hyperlink" Target="http://dx.doi.org/10.1021/acsenergylett.5c04249" TargetMode="External"/><Relationship Id="rId995" Type="http://schemas.openxmlformats.org/officeDocument/2006/relationships/hyperlink" Target="https://doi.org/10.1021/acsenergylett.5c04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