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Tech Tracking Digest</w:t>
      </w:r>
    </w:p>
    <w:p>
      <w:pPr>
        <w:spacing w:after="280"/>
        <w:jc w:val="center"/>
      </w:pPr>
      <w:r>
        <w:rPr>
          <w:i/>
        </w:rPr>
        <w:t>2026-02-13</w:t>
      </w:r>
    </w:p>
    <w:p>
      <w:pPr>
        <w:spacing w:before="160" w:after="40" w:line="240" w:lineRule="auto"/>
      </w:pPr>
      <w:r>
        <w:rPr>
          <w:b/>
        </w:rPr>
        <w:t xml:space="preserve">[1] </w:t>
      </w:r>
      <w:hyperlink r:id="rId9">
        <w:r>
          <w:rPr>
            <w:color w:val="1155CC"/>
            <w:u w:val="single"/>
          </w:rPr>
          <w:t>Interleukin-10在内脏脂肪组织中表示B直线细胞,防止与老龄有关的胰岛素抗药性及延长寿命</w:t>
        </w:r>
      </w:hyperlink>
    </w:p>
    <w:p>
      <w:pPr>
        <w:spacing w:before="0" w:after="80"/>
      </w:pPr>
      <w:r>
        <w:rPr>
          <w:i/>
          <w:sz w:val="20"/>
        </w:rPr>
        <w:t>EN: Interleukin-10 expressing B lineage cells in visceral adipose tissue protect against aging-related insulin resistance and extend lifespan</w:t>
      </w:r>
    </w:p>
    <w:p>
      <w:pPr>
        <w:spacing w:before="0" w:after="120"/>
      </w:pPr>
      <w:r>
        <w:rPr>
          <w:b/>
        </w:rPr>
        <w:t xml:space="preserve">Source: </w:t>
      </w:r>
      <w:r>
        <w:t>Nature Communications</w:t>
      </w:r>
      <w:r>
        <w:t xml:space="preserve">    </w:t>
      </w:r>
      <w:r>
        <w:rPr>
          <w:b/>
        </w:rPr>
        <w:t xml:space="preserve">Pub date: </w:t>
      </w:r>
      <w:r>
        <w:t>2026-02-07 00:00:00+00:00</w:t>
      </w:r>
    </w:p>
    <w:p>
      <w:pPr>
        <w:spacing w:before="0" w:after="120"/>
      </w:pPr>
      <w:r>
        <w:rPr>
          <w:b/>
        </w:rPr>
        <w:t xml:space="preserve">Notes: </w:t>
      </w:r>
      <w:r>
        <w:t>abstract_source=nature_html</w:t>
      </w:r>
    </w:p>
    <w:p>
      <w:pPr>
        <w:spacing w:before="0" w:after="80" w:lineRule="auto" w:line="276"/>
      </w:pPr>
      <w:r>
        <w:rPr>
          <w:b/>
        </w:rPr>
        <w:t xml:space="preserve">摘要（ZH）: </w:t>
      </w:r>
      <w:r>
        <w:t>然而,增值税中是否存在抵消这个过程的内生因素,仍然模糊不清。我们在这里报告说,人体和老鼠体内表现B线状(B-10)的内 Leukin(IL)-10细胞内表现B线状(B-10)的内分泌(B-10)细胞在年老增值税中大为扩大。在年老的增值税中,B-10细胞是IL-10的主要来源。B细胞击倒IL-10型过大与老化有关的发炎和胰岛素抗药性(IR)和缩短寿命,这可以通过野型小鼠的B-10细胞的吸收性转移部分恢复。老的增值税微环境加强了IL-10分泌和B-10细胞的扩散。B-10细胞的扩散是由老的增值税中BAFF增加的介介介质。VAT中的BAFF击垮BAFF会损害 agi。</w:t>
      </w:r>
    </w:p>
    <w:p>
      <w:pPr>
        <w:spacing w:before="0" w:after="200" w:lineRule="auto" w:line="276"/>
      </w:pPr>
      <w:r>
        <w:rPr>
          <w:b/>
        </w:rPr>
        <w:t xml:space="preserve">Abstract (EN): </w:t>
      </w:r>
      <w:r>
        <w:t>Visceral adipose tissue (VAT) inflammation is considered as an important contributor of aging, however, whether there is endogenous factor(s) in VAT that counteract this process remains obscure. Here we reported that interleukin (IL)−10 expressing B lineage (B-10) cells are greatly expanded in aged VAT in human and mouse. In aged VAT, B-10 cells are the primary source of IL-10. B cell-specific knockout of IL-10 exaggerated aging-related inflammation and insulin resistance (IR) and reduced lifespan, which could be partially recovered via adoptive transfer of B-10 cells from wild-type mice. Aged VAT microenvironment enhanced IL-10 secretion and proliferation of B-10 cells. The proliferation of B-10 cells was mediated by increases in BAFF in aged VAT. Knock-down of BAFF in VAT compromised aging-related expansion of B-10 cells. On the contrary, VAT-specific overexpression of BAFF promoted B-10 cells expansion, improved aging-related inflammation and IR, and prolonged lifespan.</w:t>
      </w:r>
    </w:p>
    <w:p>
      <w:pPr>
        <w:spacing w:before="120" w:after="120"/>
      </w:pPr>
      <w:r>
        <w:rPr>
          <w:sz w:val="18"/>
        </w:rPr>
        <w:t>——————————————————————————————————————————————————————————————————————</w:t>
      </w:r>
    </w:p>
    <w:p>
      <w:pPr>
        <w:spacing w:before="160" w:after="40" w:line="240" w:lineRule="auto"/>
      </w:pPr>
      <w:r>
        <w:rPr>
          <w:b/>
        </w:rPr>
        <w:t xml:space="preserve">[2] </w:t>
      </w:r>
      <w:hyperlink r:id="rId10">
        <w:r>
          <w:rPr>
            <w:color w:val="1155CC"/>
            <w:u w:val="single"/>
          </w:rPr>
          <w:t>通过基于XGBost的分配系数预测改善集体自消费的能源分配</w:t>
        </w:r>
      </w:hyperlink>
    </w:p>
    <w:p>
      <w:pPr>
        <w:spacing w:before="0" w:after="80"/>
      </w:pPr>
      <w:r>
        <w:rPr>
          <w:i/>
          <w:sz w:val="20"/>
        </w:rPr>
        <w:t>EN: Improving energy distribution in collective self-consumption via XGBoost-based allocation coefficients prediction</w:t>
      </w:r>
    </w:p>
    <w:p>
      <w:pPr>
        <w:spacing w:before="0" w:after="120"/>
      </w:pPr>
      <w:r>
        <w:rPr>
          <w:b/>
        </w:rPr>
        <w:t xml:space="preserve">Source: </w:t>
      </w:r>
      <w:r>
        <w:t>ScienceDirect Publication: Applied Energy</w:t>
      </w:r>
      <w:r>
        <w:t xml:space="preserve">    </w:t>
      </w:r>
      <w:r>
        <w:rPr>
          <w:b/>
        </w:rPr>
        <w:t xml:space="preserve">Pub date: </w:t>
      </w:r>
      <w:r>
        <w:t>2026-02-07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 </w:t>
      </w:r>
      <w:hyperlink r:id="rId11">
        <w:r>
          <w:rPr>
            <w:color w:val="1155CC"/>
            <w:u w:val="single"/>
          </w:rPr>
          <w:t>具有电子光学模拟内存的神经定光光学计算</w:t>
        </w:r>
      </w:hyperlink>
    </w:p>
    <w:p>
      <w:pPr>
        <w:spacing w:before="0" w:after="80"/>
      </w:pPr>
      <w:r>
        <w:rPr>
          <w:i/>
          <w:sz w:val="20"/>
        </w:rPr>
        <w:t>EN: Neuromorphic photonic computing with an electro-optic analog memory</w:t>
      </w:r>
    </w:p>
    <w:p>
      <w:pPr>
        <w:spacing w:before="0" w:after="120"/>
      </w:pPr>
      <w:r>
        <w:rPr>
          <w:b/>
        </w:rPr>
        <w:t xml:space="preserve">Source: </w:t>
      </w:r>
      <w:r>
        <w:t>Nature Communications</w:t>
      </w:r>
      <w:r>
        <w:t xml:space="preserve">    </w:t>
      </w:r>
      <w:r>
        <w:rPr>
          <w:b/>
        </w:rPr>
        <w:t xml:space="preserve">Pub date: </w:t>
      </w:r>
      <w:r>
        <w:t>2026-02-07 00:00:00+00:00</w:t>
      </w:r>
    </w:p>
    <w:p>
      <w:pPr>
        <w:spacing w:before="0" w:after="120"/>
      </w:pPr>
      <w:r>
        <w:rPr>
          <w:b/>
        </w:rPr>
        <w:t xml:space="preserve">Notes: </w:t>
      </w:r>
      <w:r>
        <w:t>abstract_source=nature_html</w:t>
      </w:r>
    </w:p>
    <w:p>
      <w:pPr>
        <w:spacing w:before="0" w:after="80" w:lineRule="auto" w:line="276"/>
      </w:pPr>
      <w:r>
        <w:rPr>
          <w:b/>
        </w:rPr>
        <w:t xml:space="preserve">摘要（ZH）: </w:t>
      </w:r>
      <w:r>
        <w:t>在神经成形光谱系统中,设备操作通常由模拟信号管理,需要数字到模拟转换器和模拟到数字转换器;然而,传统冯纽曼结构中的记忆和这些转换器之间的数据移动需要高昂的能源费用。我们提议与光度计算器合用一个模拟电子存储器,以消除重复的长距离数据移动。在这里,我们展示了一个单元集成的神经成像光谱路,在芯片上具有电能性模拟内存,并评价其在利用MNIST数据集进行现场培训和推断的机器学习方面的性能。我们的分析表明,将模拟内存纳入神经形态光学结构可以节省26倍以上电力。</w:t>
      </w:r>
    </w:p>
    <w:p>
      <w:pPr>
        <w:spacing w:before="0" w:after="200" w:lineRule="auto" w:line="276"/>
      </w:pPr>
      <w:r>
        <w:rPr>
          <w:b/>
        </w:rPr>
        <w:t xml:space="preserve">Abstract (EN): </w:t>
      </w:r>
      <w:r>
        <w:t>In neuromorphic photonic systems, device operations are typically governed by analog signals, necessitating digital-to-analog converters (DAC) and analog-to-digital converters (ADC). However, data movement between memory and these converters in conventional von Neumann architectures incur significant energy costs. We propose an analog electronic memory co-located with photonic computing units to eliminate repeated long-distance data movement. Here, we demonstrate a monolithically integrated neuromorphic photonic circuit with on-chip capacitive analog memory and evaluate its performance in machine learning for in situ training and inference using the MNIST dataset. Our analysis shows that integrating analog memory into a neuromorphic photonic architecture can achieve over 26 × power savings compared to conventional SRAM-DAC architectures. Furthermore, maintaining a minimum analog memory retention-to-network-latency ratio of 100 maintains &gt;90% inference accuracy, enabling leaky analog memories without substantial performance degradation. This approach reduces reliance on DACs, minimizes data movement, and offers a scalable pathway toward energy-efficient, high-speed neuromorphic photonic computing.</w:t>
      </w:r>
    </w:p>
    <w:p>
      <w:pPr>
        <w:spacing w:before="120" w:after="120"/>
      </w:pPr>
      <w:r>
        <w:rPr>
          <w:sz w:val="18"/>
        </w:rPr>
        <w:t>——————————————————————————————————————————————————————————————————————</w:t>
      </w:r>
    </w:p>
    <w:p>
      <w:pPr>
        <w:spacing w:before="160" w:after="40" w:line="240" w:lineRule="auto"/>
      </w:pPr>
      <w:r>
        <w:rPr>
          <w:b/>
        </w:rPr>
        <w:t xml:space="preserve">[4] </w:t>
      </w:r>
      <w:hyperlink r:id="rId12">
        <w:r>
          <w:rPr>
            <w:color w:val="1155CC"/>
            <w:u w:val="single"/>
          </w:rPr>
          <w:t>潜在热储存技术复合材料的有限要素分析:全面审查</w:t>
        </w:r>
      </w:hyperlink>
    </w:p>
    <w:p>
      <w:pPr>
        <w:spacing w:before="0" w:after="80"/>
      </w:pPr>
      <w:r>
        <w:rPr>
          <w:i/>
          <w:sz w:val="20"/>
        </w:rPr>
        <w:t>EN: Finite element analysis of composites for latent heat storage technology: a comprehensive review</w:t>
      </w:r>
    </w:p>
    <w:p>
      <w:pPr>
        <w:spacing w:before="0" w:after="120"/>
      </w:pPr>
      <w:r>
        <w:rPr>
          <w:b/>
        </w:rPr>
        <w:t xml:space="preserve">Source: </w:t>
      </w:r>
      <w:r>
        <w:t>ScienceDirect Publication: Applied Energy</w:t>
      </w:r>
      <w:r>
        <w:t xml:space="preserve">    </w:t>
      </w:r>
      <w:r>
        <w:rPr>
          <w:b/>
        </w:rPr>
        <w:t xml:space="preserve">Pub date: </w:t>
      </w:r>
      <w:r>
        <w:t>2026-02-07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 </w:t>
      </w:r>
      <w:hyperlink r:id="rId13">
        <w:r>
          <w:rPr>
            <w:color w:val="1155CC"/>
            <w:u w:val="single"/>
          </w:rPr>
          <w:t>超稳定表4.5 V 锂金属电池的以太-氮建构体分子工程</w:t>
        </w:r>
      </w:hyperlink>
    </w:p>
    <w:p>
      <w:pPr>
        <w:spacing w:before="0" w:after="80"/>
      </w:pPr>
      <w:r>
        <w:rPr>
          <w:i/>
          <w:sz w:val="20"/>
        </w:rPr>
        <w:t>EN: Molecular Engineering of an Ether-Nitrile Constructs Robust Dual-interphases for Ultra-Stable 4.5 V Lithium Metal Batteries</w:t>
      </w:r>
    </w:p>
    <w:p>
      <w:pPr>
        <w:spacing w:before="0" w:after="120"/>
      </w:pPr>
      <w:r>
        <w:rPr>
          <w:b/>
        </w:rPr>
        <w:t xml:space="preserve">Source: </w:t>
      </w:r>
      <w:r>
        <w:t>RSC - Energy Environ. Sci. latest articles</w:t>
      </w:r>
      <w:r>
        <w:t xml:space="preserve">    </w:t>
      </w:r>
      <w:r>
        <w:rPr>
          <w:b/>
        </w:rPr>
        <w:t xml:space="preserve">Pub date: </w:t>
      </w:r>
      <w:r>
        <w:t>2026-02-07 00:00:00+00:00</w:t>
      </w:r>
    </w:p>
    <w:p>
      <w:pPr>
        <w:spacing w:before="0" w:after="120"/>
      </w:pPr>
      <w:r>
        <w:rPr>
          <w:b/>
        </w:rPr>
        <w:t xml:space="preserve">Notes: </w:t>
      </w:r>
      <w:r>
        <w:t>abstract_source=rsc_html</w:t>
      </w:r>
    </w:p>
    <w:p>
      <w:pPr>
        <w:spacing w:before="0" w:after="80" w:lineRule="auto" w:line="276"/>
      </w:pPr>
      <w:r>
        <w:rPr>
          <w:b/>
        </w:rPr>
        <w:t xml:space="preserve">摘要（ZH）: </w:t>
      </w:r>
      <w:r>
        <w:t>高压锂金属电池(LMBs)在实际应用方面面临一个关键障碍:常规电解解层未能稳定阴极和阳极界面,引发快速降解和安全风险。为了克服这一限制,我们设计了三甲基丙烷(MPN),一种分子定制的乙基乙烷-硝酸添加剂,并将其纳入稀释的高浓度电解解液(DHCE)。计算研究显示,MPN的乙氧乙基乙基乙氧原子重新分配了电子密度和微调Li+溶液,从而有效地避免了氨基金属的臭名昭著再活动。这种分子干预使得两阶段稳定——在锂阳极上,MPN通过微弱但有选择性的李+ Coordin促进亚离子分解。</w:t>
      </w:r>
    </w:p>
    <w:p>
      <w:pPr>
        <w:spacing w:before="0" w:after="200" w:lineRule="auto" w:line="276"/>
      </w:pPr>
      <w:r>
        <w:rPr>
          <w:b/>
        </w:rPr>
        <w:t xml:space="preserve">Abstract (EN): </w:t>
      </w:r>
      <w:r>
        <w:t>High-voltage lithium metal batteries (LMBs) face a critical barrier to practical deployment: conventional electrolytes fail to stabilize both the cathode and anode interfaces, triggering rapid degradation and safety risks. To overcome this limitation, we designed 3-methoxypropanenitrile (MPN), a molecularly tailored ether-nitrile additive, and integrated it into a diluted high-concentration electrolyte (DHCE). Computational studies reveal that the ether-oxygen heteroatom in MPN redistributes electron density and fine-tunes Li+ solvation, effectively circumventing the notorious reactivity of nitrile groups with lithium metal. This molecular intervention enables dual-interphase stabilization—on the lithium anode, MPN promotes anion-derived decomposition through weak yet selective Li+ coordination, forming an inorganic-rich SEI (LiF/Li3N) that ensures 99.5% Coulombic efficiency and uniform lithium deposition. At the LiMnxFe1-xPO4 cathode operating above 4.5 V, MPN adsorbs preferentially via Mn/Fe coordination, shields the surface from oxidative attack, and participates in hydrogen-transfer reactions with FSI- anions to construct a robust inorganic CEI, substantially suppressing transition metal dissolution. As a result, the MPN-enhanced electrolyte enables Li||LMFP full cells to achieve breakthrough cycling stability, maintaining 86.4% capacity after 1,400 cycles at 0.5C while sustaining 300 cycles under lean-lithium conditions (N/P=2). This work establishes a heteroatom-functionalization strategy that transforms conventionally incompatible nitriles into bifunctional interphase regulators, thereby providing a universal platform for constructing durable high-voltage lithium metal batteries.</w:t>
      </w:r>
    </w:p>
    <w:p>
      <w:pPr>
        <w:spacing w:before="120" w:after="120"/>
      </w:pPr>
      <w:r>
        <w:rPr>
          <w:sz w:val="18"/>
        </w:rPr>
        <w:t>——————————————————————————————————————————————————————————————————————</w:t>
      </w:r>
    </w:p>
    <w:p>
      <w:pPr>
        <w:spacing w:before="160" w:after="40" w:line="240" w:lineRule="auto"/>
      </w:pPr>
      <w:r>
        <w:rPr>
          <w:b/>
        </w:rPr>
        <w:t xml:space="preserve">[6] </w:t>
      </w:r>
      <w:hyperlink r:id="rId14">
        <w:r>
          <w:rPr>
            <w:color w:val="1155CC"/>
            <w:u w:val="single"/>
          </w:rPr>
          <w:t>对光密中通用 SO(m) 全息性普通 SO(m) 的模拟多级控制</w:t>
        </w:r>
      </w:hyperlink>
    </w:p>
    <w:p>
      <w:pPr>
        <w:spacing w:before="0" w:after="80"/>
      </w:pPr>
      <w:r>
        <w:rPr>
          <w:i/>
          <w:sz w:val="20"/>
        </w:rPr>
        <w:t>EN: In-memory multilevel control of generic SO(m) holonomy in photonics</w:t>
      </w:r>
    </w:p>
    <w:p>
      <w:pPr>
        <w:spacing w:before="0" w:after="120"/>
      </w:pPr>
      <w:r>
        <w:rPr>
          <w:b/>
        </w:rPr>
        <w:t xml:space="preserve">Source: </w:t>
      </w:r>
      <w:r>
        <w:t>Nature Communications</w:t>
      </w:r>
      <w:r>
        <w:t xml:space="preserve">    </w:t>
      </w:r>
      <w:r>
        <w:rPr>
          <w:b/>
        </w:rPr>
        <w:t xml:space="preserve">Pub date: </w:t>
      </w:r>
      <w:r>
        <w:t>2026-02-07 00:00:00+00:00</w:t>
      </w:r>
    </w:p>
    <w:p>
      <w:pPr>
        <w:spacing w:before="0" w:after="120"/>
      </w:pPr>
      <w:r>
        <w:rPr>
          <w:b/>
        </w:rPr>
        <w:t xml:space="preserve">Notes: </w:t>
      </w:r>
      <w:r>
        <w:t>abstract_source=nature_html</w:t>
      </w:r>
    </w:p>
    <w:p>
      <w:pPr>
        <w:spacing w:before="0" w:after="80" w:lineRule="auto" w:line="276"/>
      </w:pPr>
      <w:r>
        <w:rPr>
          <w:b/>
        </w:rPr>
        <w:t xml:space="preserve">摘要（ZH）: </w:t>
      </w:r>
      <w:r>
        <w:t>非亚伯里非几何几何阶段提供了对荷洛omic量量计算至关重要的容错统一操作。 虽然“所有几何”方法成功地实现了对不同量子系统中原子、离子和电子的强力控制,但其光子应用仍因缺乏金枪鱼的特性而受到限制 — — 这是现代古典或量量光学信息处理的基本特征。在这里,我们展示了一个多层硅相光平台上的非挥发性多级金枪鱼可分为的通用特殊正方位(SO)几何级,该平台包含Sb2Se3的相光化材料(PCM PCM ) 。 通过在晶体和不形态状态之间将 Sb2Se3 捆绑在一起,我们动态地控制了参与全息学的衰变国家的数量,使不同的人得以转换。</w:t>
      </w:r>
    </w:p>
    <w:p>
      <w:pPr>
        <w:spacing w:before="0" w:after="200" w:lineRule="auto" w:line="276"/>
      </w:pPr>
      <w:r>
        <w:rPr>
          <w:b/>
        </w:rPr>
        <w:t xml:space="preserve">Abstract (EN): </w:t>
      </w:r>
      <w:r>
        <w:t>Non-Abelian geometric phases offer fault-tolerant unitary operations that are essential for holonomic quantum computation. While the “all-geometric” approach has successfully enabled robust control of atoms, ions, and electrons in various quantum systems, its photonic implementations have remained limited by a lack of tunability—an essential feature for modern classical or quantum optical information processing. Here, we demonstrate nonvolatile multilevel tunable generic special-orthogonal (SO) geometric phases on a multilayer silicon photonic platform incorporating the phase-change material (PCM) of Sb₂Se₃. By toggling Sb₂Se₃ between crystalline and amorphous states, we dynamically control the number of degenerate states involved in the holonomy, enabling switching between different holonomic paths and SO(m) geometric transformations. Our results bridge the key gap between robust geometric-phase control and in-memory reconfigurable photonics, establishing a paradigm for fault-tolerant, high-dimensional operations in integrated optical systems.</w:t>
      </w:r>
    </w:p>
    <w:p>
      <w:pPr>
        <w:spacing w:before="120" w:after="120"/>
      </w:pPr>
      <w:r>
        <w:rPr>
          <w:sz w:val="18"/>
        </w:rPr>
        <w:t>——————————————————————————————————————————————————————————————————————</w:t>
      </w:r>
    </w:p>
    <w:p>
      <w:pPr>
        <w:spacing w:before="160" w:after="40" w:line="240" w:lineRule="auto"/>
      </w:pPr>
      <w:r>
        <w:rPr>
          <w:b/>
        </w:rPr>
        <w:t xml:space="preserve">[7] </w:t>
      </w:r>
      <w:hyperlink r:id="rId15">
        <w:r>
          <w:rPr>
            <w:color w:val="1155CC"/>
            <w:u w:val="single"/>
          </w:rPr>
          <w:t>太阳能光光电池集电池能源储存技术的当前趋势和挑战:关键组成部分、方法和未来前景</w:t>
        </w:r>
      </w:hyperlink>
    </w:p>
    <w:p>
      <w:pPr>
        <w:spacing w:before="0" w:after="80"/>
      </w:pPr>
      <w:r>
        <w:rPr>
          <w:i/>
          <w:sz w:val="20"/>
        </w:rPr>
        <w:t>EN: Current trends and challenges in solar PV-integrated battery energy storage technology: Key components, methods, and future prospects</w:t>
      </w:r>
    </w:p>
    <w:p>
      <w:pPr>
        <w:spacing w:before="0" w:after="120"/>
      </w:pPr>
      <w:r>
        <w:rPr>
          <w:b/>
        </w:rPr>
        <w:t xml:space="preserve">Source: </w:t>
      </w:r>
      <w:r>
        <w:t>ScienceDirect Publication: Applied Energy</w:t>
      </w:r>
      <w:r>
        <w:t xml:space="preserve">    </w:t>
      </w:r>
      <w:r>
        <w:rPr>
          <w:b/>
        </w:rPr>
        <w:t xml:space="preserve">Pub date: </w:t>
      </w:r>
      <w:r>
        <w:t>2026-02-07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[8] </w:t>
      </w:r>
      <w:hyperlink r:id="rId16">
        <w:r>
          <w:rPr>
            <w:color w:val="1155CC"/>
            <w:u w:val="single"/>
          </w:rPr>
          <w:t>评估深学习产生的3D分子的校正有效性和合理性</w:t>
        </w:r>
      </w:hyperlink>
    </w:p>
    <w:p>
      <w:pPr>
        <w:spacing w:before="0" w:after="80"/>
      </w:pPr>
      <w:r>
        <w:rPr>
          <w:i/>
          <w:sz w:val="20"/>
        </w:rPr>
        <w:t>EN: Assessing conformation validity and rationality of deep learning-generated 3D molecules</w:t>
      </w:r>
    </w:p>
    <w:p>
      <w:pPr>
        <w:spacing w:before="0" w:after="120"/>
      </w:pPr>
      <w:r>
        <w:rPr>
          <w:b/>
        </w:rPr>
        <w:t xml:space="preserve">Source: </w:t>
      </w:r>
      <w:r>
        <w:t>Nature Communications</w:t>
      </w:r>
      <w:r>
        <w:t xml:space="preserve">    </w:t>
      </w:r>
      <w:r>
        <w:rPr>
          <w:b/>
        </w:rPr>
        <w:t xml:space="preserve">Pub date: </w:t>
      </w:r>
      <w:r>
        <w:t>2026-02-07 00:00:00+00:00</w:t>
      </w:r>
    </w:p>
    <w:p>
      <w:pPr>
        <w:spacing w:before="0" w:after="120"/>
      </w:pPr>
      <w:r>
        <w:rPr>
          <w:b/>
        </w:rPr>
        <w:t xml:space="preserve">Notes: </w:t>
      </w:r>
      <w:r>
        <w:t>abstract_source=nature_html</w:t>
      </w:r>
    </w:p>
    <w:p>
      <w:pPr>
        <w:spacing w:before="0" w:after="80" w:lineRule="auto" w:line="276"/>
      </w:pPr>
      <w:r>
        <w:rPr>
          <w:b/>
        </w:rPr>
        <w:t xml:space="preserve">摘要（ZH）: </w:t>
      </w:r>
      <w:r>
        <w:t>最近人工智能的进步使3D分子生成领域发生了革命性的变化。然而,3D分子生成领域缺乏有效的评估方法,这限制了进一步的改进。当前的技术,为了达到评价大量AI产生的分子的必要速度,往往依赖没有充分捕捉各种相貌异常现象的经验几何测量,或依靠分子力能指标,这些指标显示的精度低,缺乏原子或振动细节。为弥补这一差距,我们建议采取两阶段办法,既能达到高速,又能达到量子机械级的精确度。第一阶段,即有效性测试,采用AI派生的能量场,以辨别因不可信而产生的高能量原子和高能量原子。</w:t>
      </w:r>
    </w:p>
    <w:p>
      <w:pPr>
        <w:spacing w:before="0" w:after="200" w:lineRule="auto" w:line="276"/>
      </w:pPr>
      <w:r>
        <w:rPr>
          <w:b/>
        </w:rPr>
        <w:t xml:space="preserve">Abstract (EN): </w:t>
      </w:r>
      <w:r>
        <w:t>Recent advancements in artificial intelligence (AI) have revolutionized the field of 3D molecule generation. However, the lack of effective evaluation methods for 3D conformations limits further improvements. Current techniques, in order to achieve the necessary speed for evaluating large number of AI-generated molecules, often rely on empirical geometric metrics that do not adequately capture various conformational anomalies, or on molecular mechanics energy metrics that exhibit low accuracy and lack atomic or torsional details. To address this gap, we propose a two-stage approach that achieves both high speed and quantum mechanical level accuracy. The first stage, termed the validity test, employs an AI-derived force field to identify atoms with elevated energy resulting from implausible neighboring environments. The second stage, known as the rationality test, utilizes a deep learning network trained on data with density functional theory accuracy to detect rotatable bonds with high torsional energies. To demonstrate the functionality of our evaluation system, we applied our approach to five recently reported 3D molecule generation AI models across 102 targets in Directory of Useful Decoys-Enhanced dataset. To facilitate accessibility for the academic community, our method is available as an open-source package.</w:t>
      </w:r>
    </w:p>
    <w:p>
      <w:pPr>
        <w:spacing w:before="120" w:after="120"/>
      </w:pPr>
      <w:r>
        <w:rPr>
          <w:sz w:val="18"/>
        </w:rPr>
        <w:t>——————————————————————————————————————————————————————————————————————</w:t>
      </w:r>
    </w:p>
    <w:p>
      <w:pPr>
        <w:spacing w:before="160" w:after="40" w:line="240" w:lineRule="auto"/>
      </w:pPr>
      <w:r>
        <w:rPr>
          <w:b/>
        </w:rPr>
        <w:t xml:space="preserve">[9] </w:t>
      </w:r>
      <w:hyperlink r:id="rId17">
        <w:r>
          <w:rPr>
            <w:color w:val="1155CC"/>
            <w:u w:val="single"/>
          </w:rPr>
          <w:t>开发针对鼠视网膜的基因组编辑蛋白交付物剂的组合合成战略</w:t>
        </w:r>
      </w:hyperlink>
    </w:p>
    <w:p>
      <w:pPr>
        <w:spacing w:before="0" w:after="80"/>
      </w:pPr>
      <w:r>
        <w:rPr>
          <w:i/>
          <w:sz w:val="20"/>
        </w:rPr>
        <w:t>EN: A combinatorial synthetic strategy for developing genome-editing protein-delivery agents targeting mouse retina</w:t>
      </w:r>
    </w:p>
    <w:p>
      <w:pPr>
        <w:spacing w:before="0" w:after="120"/>
      </w:pPr>
      <w:r>
        <w:rPr>
          <w:b/>
        </w:rPr>
        <w:t xml:space="preserve">Source: </w:t>
      </w:r>
      <w:r>
        <w:t>Nature Communications</w:t>
      </w:r>
      <w:r>
        <w:t xml:space="preserve">    </w:t>
      </w:r>
      <w:r>
        <w:rPr>
          <w:b/>
        </w:rPr>
        <w:t xml:space="preserve">Pub date: </w:t>
      </w:r>
      <w:r>
        <w:t>2026-02-07 00:00:00+00:00</w:t>
      </w:r>
    </w:p>
    <w:p>
      <w:pPr>
        <w:spacing w:before="0" w:after="120"/>
      </w:pPr>
      <w:r>
        <w:rPr>
          <w:b/>
        </w:rPr>
        <w:t xml:space="preserve">Notes: </w:t>
      </w:r>
      <w:r>
        <w:t>abstract_source=nature_html</w:t>
      </w:r>
    </w:p>
    <w:p>
      <w:pPr>
        <w:spacing w:before="0" w:after="80" w:lineRule="auto" w:line="276"/>
      </w:pPr>
      <w:r>
        <w:rPr>
          <w:b/>
        </w:rPr>
        <w:t xml:space="preserve">摘要（ZH）: </w:t>
      </w:r>
      <w:r>
        <w:t>CRISPR/Cas9基基因编辑技术为治疗遗传性视网膜疾病提供了希望,然而,安全而高效地提供精确编辑的眼部仍具有挑战性。为了应对这一挑战,我们报告有一类由Coomassie 光亮的蓝(CBB)衍生脂质素,将蛋白质捆绑和提供。与这些脂质素相混合的Cre脂质混入 mT/mG小鼠的子脑注射导致对视色猪皮内膜和光感应器进行有力的再组合。我们使用CBB-lipidoid平台来交付腺基编辑(ABE)肋骨蛋白质(RNP),将CBB脂质纳入唇片中提高了交付效率。CBB11致力于为活性ABE代基因精确编辑提供便利。交付脂-CBB11-RNP综合体会导致120倍的增加。</w:t>
      </w:r>
    </w:p>
    <w:p>
      <w:pPr>
        <w:spacing w:before="0" w:after="200" w:lineRule="auto" w:line="276"/>
      </w:pPr>
      <w:r>
        <w:rPr>
          <w:b/>
        </w:rPr>
        <w:t xml:space="preserve">Abstract (EN): </w:t>
      </w:r>
      <w:r>
        <w:t>CRISPR/Cas9-based gene-editing technologies offer promise for treating inherited retinal diseases (IRDs), however safe and efficient ocular delivery of precision editors remains challenging. To address this challenge, we report a class of Coomassie brilliant blue (CBB)-derived lipidoids that bind and deliver proteins. Subretinal injection of Cre complexed with these lipidoids into mT/mG mice leads to robust recombination in the retinal pigment epithelium and photoreceptors. We employ the CBB-lipidoid platform to deliver adenine base editor (ABE) ribonucleoproteins (RNP). Incorporating CBB lipidoids into liposomes improves delivery efficiency. CBB11 stands out for facilitating precise in vivo ABE-mediated gene editing. Delivery of liposome-CBB11-RNP complexes results in a 120-fold increase in base editing compared to RNP alone and restores the scotopic ERG b-wave response in the rd12 mouse model. These results demonstrate the potential of CBB-augmented, liposome-RNP systems for therapeutic gene editing in the eye, paving the way for single-dose precision medicines to treat IRDs.</w:t>
      </w:r>
    </w:p>
    <w:p>
      <w:pPr>
        <w:spacing w:before="120" w:after="120"/>
      </w:pPr>
      <w:r>
        <w:rPr>
          <w:sz w:val="18"/>
        </w:rPr>
        <w:t>——————————————————————————————————————————————————————————————————————</w:t>
      </w:r>
    </w:p>
    <w:p>
      <w:pPr>
        <w:spacing w:before="160" w:after="40" w:line="240" w:lineRule="auto"/>
      </w:pPr>
      <w:r>
        <w:rPr>
          <w:b/>
        </w:rPr>
        <w:t xml:space="preserve">[10] </w:t>
      </w:r>
      <w:hyperlink r:id="rId18">
        <w:r>
          <w:rPr>
            <w:color w:val="1155CC"/>
            <w:u w:val="single"/>
          </w:rPr>
          <w:t>一种材料-能源-碳碳流动方法,用以量化钢铁场地能源消耗和二氧化碳排放的变化</w:t>
        </w:r>
      </w:hyperlink>
    </w:p>
    <w:p>
      <w:pPr>
        <w:spacing w:before="0" w:after="80"/>
      </w:pPr>
      <w:r>
        <w:rPr>
          <w:i/>
          <w:sz w:val="20"/>
        </w:rPr>
        <w:t>EN: A coupled material-energy‑carbon flow method for quantifying changes in energy consumption and CO2 emissions of iron and steel sites</w:t>
      </w:r>
    </w:p>
    <w:p>
      <w:pPr>
        <w:spacing w:before="0" w:after="120"/>
      </w:pPr>
      <w:r>
        <w:rPr>
          <w:b/>
        </w:rPr>
        <w:t xml:space="preserve">Source: </w:t>
      </w:r>
      <w:r>
        <w:t>ScienceDirect Publication: Applied Energy</w:t>
      </w:r>
      <w:r>
        <w:t xml:space="preserve">    </w:t>
      </w:r>
      <w:r>
        <w:rPr>
          <w:b/>
        </w:rPr>
        <w:t xml:space="preserve">Pub date: </w:t>
      </w:r>
      <w:r>
        <w:t>2026-02-07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[11] </w:t>
      </w:r>
      <w:hyperlink r:id="rId19">
        <w:r>
          <w:rPr>
            <w:color w:val="1155CC"/>
            <w:u w:val="single"/>
          </w:rPr>
          <w:t>相互连接的分销系统快速发送和惠益分配办法</w:t>
        </w:r>
      </w:hyperlink>
    </w:p>
    <w:p>
      <w:pPr>
        <w:spacing w:before="0" w:after="80"/>
      </w:pPr>
      <w:r>
        <w:rPr>
          <w:i/>
          <w:sz w:val="20"/>
        </w:rPr>
        <w:t>EN: Collaborative risk-resistant distributionally robust dispatch and benefit allocation scheme for interconnected distribution systems</w:t>
      </w:r>
    </w:p>
    <w:p>
      <w:pPr>
        <w:spacing w:before="0" w:after="120"/>
      </w:pPr>
      <w:r>
        <w:rPr>
          <w:b/>
        </w:rPr>
        <w:t xml:space="preserve">Source: </w:t>
      </w:r>
      <w:r>
        <w:t>ScienceDirect Publication: Applied Energy</w:t>
      </w:r>
      <w:r>
        <w:t xml:space="preserve">    </w:t>
      </w:r>
      <w:r>
        <w:rPr>
          <w:b/>
        </w:rPr>
        <w:t xml:space="preserve">Pub date: </w:t>
      </w:r>
      <w:r>
        <w:t>2026-02-07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[12] </w:t>
      </w:r>
      <w:hyperlink r:id="rId20">
        <w:r>
          <w:rPr>
            <w:color w:val="1155CC"/>
            <w:u w:val="single"/>
          </w:rPr>
          <w:t>创新还是收缩? 解除巴西碳税和补贴对排放的影响</w:t>
        </w:r>
      </w:hyperlink>
    </w:p>
    <w:p>
      <w:pPr>
        <w:spacing w:before="0" w:after="80"/>
      </w:pPr>
      <w:r>
        <w:rPr>
          <w:i/>
          <w:sz w:val="20"/>
        </w:rPr>
        <w:t>EN: Innovation or contraction? Unpacking the effects of carbon taxes and subsidies on emissions in Brazil</w:t>
      </w:r>
    </w:p>
    <w:p>
      <w:pPr>
        <w:spacing w:before="0" w:after="120"/>
      </w:pPr>
      <w:r>
        <w:rPr>
          <w:b/>
        </w:rPr>
        <w:t xml:space="preserve">Source: </w:t>
      </w:r>
      <w:r>
        <w:t>ScienceDirect Publication: Energy Policy</w:t>
      </w:r>
      <w:r>
        <w:t xml:space="preserve">    </w:t>
      </w:r>
      <w:r>
        <w:rPr>
          <w:b/>
        </w:rPr>
        <w:t xml:space="preserve">Pub date: </w:t>
      </w:r>
      <w:r>
        <w:t>2026-02-07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[13] </w:t>
      </w:r>
      <w:hyperlink r:id="rId21">
        <w:r>
          <w:rPr>
            <w:color w:val="1155CC"/>
            <w:u w:val="single"/>
          </w:rPr>
          <w:t>不同的碳政策对氢供应链和动力系统综合规划的影响</w:t>
        </w:r>
      </w:hyperlink>
    </w:p>
    <w:p>
      <w:pPr>
        <w:spacing w:before="0" w:after="80"/>
      </w:pPr>
      <w:r>
        <w:rPr>
          <w:i/>
          <w:sz w:val="20"/>
        </w:rPr>
        <w:t>EN: Impact of different carbon policies on integrated planning of hydrogen supply chain and power system</w:t>
      </w:r>
    </w:p>
    <w:p>
      <w:pPr>
        <w:spacing w:before="0" w:after="120"/>
      </w:pPr>
      <w:r>
        <w:rPr>
          <w:b/>
        </w:rPr>
        <w:t xml:space="preserve">Source: </w:t>
      </w:r>
      <w:r>
        <w:t>ScienceDirect Publication: Applied Energy</w:t>
      </w:r>
      <w:r>
        <w:t xml:space="preserve">    </w:t>
      </w:r>
      <w:r>
        <w:rPr>
          <w:b/>
        </w:rPr>
        <w:t xml:space="preserve">Pub date: </w:t>
      </w:r>
      <w:r>
        <w:t>2026-02-07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[14] </w:t>
      </w:r>
      <w:hyperlink r:id="rId22">
        <w:r>
          <w:rPr>
            <w:color w:val="1155CC"/>
            <w:u w:val="single"/>
          </w:rPr>
          <w:t>抓住绿色氢的机会? 比较较晚国家工业转型战略</w:t>
        </w:r>
      </w:hyperlink>
    </w:p>
    <w:p>
      <w:pPr>
        <w:spacing w:before="0" w:after="80"/>
      </w:pPr>
      <w:r>
        <w:rPr>
          <w:i/>
          <w:sz w:val="20"/>
        </w:rPr>
        <w:t>EN: Seizing the green hydrogen opportunity? Comparing strategies for industrial transformation in latecomer countries</w:t>
      </w:r>
    </w:p>
    <w:p>
      <w:pPr>
        <w:spacing w:before="0" w:after="120"/>
      </w:pPr>
      <w:r>
        <w:rPr>
          <w:b/>
        </w:rPr>
        <w:t xml:space="preserve">Source: </w:t>
      </w:r>
      <w:r>
        <w:t>ScienceDirect Publication: Energy Policy</w:t>
      </w:r>
      <w:r>
        <w:t xml:space="preserve">    </w:t>
      </w:r>
      <w:r>
        <w:rPr>
          <w:b/>
        </w:rPr>
        <w:t xml:space="preserve">Pub date: </w:t>
      </w:r>
      <w:r>
        <w:t>2026-02-07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[15] </w:t>
      </w:r>
      <w:hyperlink r:id="rId23">
        <w:r>
          <w:rPr>
            <w:color w:val="1155CC"/>
            <w:u w:val="single"/>
          </w:rPr>
          <w:t>利用热建筑惰性,为具有灵活性的住户提供电价保障</w:t>
        </w:r>
      </w:hyperlink>
    </w:p>
    <w:p>
      <w:pPr>
        <w:spacing w:before="0" w:after="80"/>
      </w:pPr>
      <w:r>
        <w:rPr>
          <w:i/>
          <w:sz w:val="20"/>
        </w:rPr>
        <w:t>EN: Aggregator electricity price guarantees for households with flexibility potential utilizing thermal building inertia</w:t>
      </w:r>
    </w:p>
    <w:p>
      <w:pPr>
        <w:spacing w:before="0" w:after="120"/>
      </w:pPr>
      <w:r>
        <w:rPr>
          <w:b/>
        </w:rPr>
        <w:t xml:space="preserve">Source: </w:t>
      </w:r>
      <w:r>
        <w:t>ScienceDirect Publication: Applied Energy</w:t>
      </w:r>
      <w:r>
        <w:t xml:space="preserve">    </w:t>
      </w:r>
      <w:r>
        <w:rPr>
          <w:b/>
        </w:rPr>
        <w:t xml:space="preserve">Pub date: </w:t>
      </w:r>
      <w:r>
        <w:t>2026-02-07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[16] </w:t>
      </w:r>
      <w:hyperlink r:id="rId24">
        <w:r>
          <w:rPr>
            <w:color w:val="1155CC"/>
            <w:u w:val="single"/>
          </w:rPr>
          <w:t>超越领导人和落后者:现任者如何领导变革政策任务</w:t>
        </w:r>
      </w:hyperlink>
    </w:p>
    <w:p>
      <w:pPr>
        <w:spacing w:before="0" w:after="80"/>
      </w:pPr>
      <w:r>
        <w:rPr>
          <w:i/>
          <w:sz w:val="20"/>
        </w:rPr>
        <w:t>EN: Beyond leaders and laggards: How incumbents navigate transformative policy missions</w:t>
      </w:r>
    </w:p>
    <w:p>
      <w:pPr>
        <w:spacing w:before="0" w:after="120"/>
      </w:pPr>
      <w:r>
        <w:rPr>
          <w:b/>
        </w:rPr>
        <w:t xml:space="preserve">Source: </w:t>
      </w:r>
      <w:r>
        <w:t>ScienceDirect Publication: Energy Policy</w:t>
      </w:r>
      <w:r>
        <w:t xml:space="preserve">    </w:t>
      </w:r>
      <w:r>
        <w:rPr>
          <w:b/>
        </w:rPr>
        <w:t xml:space="preserve">Pub date: </w:t>
      </w:r>
      <w:r>
        <w:t>2026-02-07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[17] </w:t>
      </w:r>
      <w:hyperlink r:id="rId25">
        <w:r>
          <w:rPr>
            <w:color w:val="1155CC"/>
            <w:u w:val="single"/>
          </w:rPr>
          <w:t>第二代生物能源生产业务路线规划第二代生物能源生产,将多个价值链纳入横向合作</w:t>
        </w:r>
      </w:hyperlink>
    </w:p>
    <w:p>
      <w:pPr>
        <w:spacing w:before="0" w:after="80"/>
      </w:pPr>
      <w:r>
        <w:rPr>
          <w:i/>
          <w:sz w:val="20"/>
        </w:rPr>
        <w:t>EN: Operational route planning for second-generation bioenergy production integrating multiple value chains in horizontal collaboration</w:t>
      </w:r>
    </w:p>
    <w:p>
      <w:pPr>
        <w:spacing w:before="0" w:after="120"/>
      </w:pPr>
      <w:r>
        <w:rPr>
          <w:b/>
        </w:rPr>
        <w:t xml:space="preserve">Source: </w:t>
      </w:r>
      <w:r>
        <w:t>ScienceDirect Publication: Applied Energy</w:t>
      </w:r>
      <w:r>
        <w:t xml:space="preserve">    </w:t>
      </w:r>
      <w:r>
        <w:rPr>
          <w:b/>
        </w:rPr>
        <w:t xml:space="preserve">Pub date: </w:t>
      </w:r>
      <w:r>
        <w:t>2026-02-07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[18] </w:t>
      </w:r>
      <w:hyperlink r:id="rId26">
        <w:r>
          <w:rPr>
            <w:color w:val="1155CC"/>
            <w:u w:val="single"/>
          </w:rPr>
          <w:t>Myoferlin是晚期VRNP贩运输卵管以包扎RNA病毒的一部分。</w:t>
        </w:r>
      </w:hyperlink>
    </w:p>
    <w:p>
      <w:pPr>
        <w:spacing w:before="0" w:after="80"/>
      </w:pPr>
      <w:r>
        <w:rPr>
          <w:i/>
          <w:sz w:val="20"/>
        </w:rPr>
        <w:t>EN: Myoferlin is a component of late-stage vRNP trafficking vesicles for enveloped RNA viruses</w:t>
      </w:r>
    </w:p>
    <w:p>
      <w:pPr>
        <w:spacing w:before="0" w:after="120"/>
      </w:pPr>
      <w:r>
        <w:rPr>
          <w:b/>
        </w:rPr>
        <w:t xml:space="preserve">Source: </w:t>
      </w:r>
      <w:r>
        <w:t>Nature Communications</w:t>
      </w:r>
      <w:r>
        <w:t xml:space="preserve">    </w:t>
      </w:r>
      <w:r>
        <w:rPr>
          <w:b/>
        </w:rPr>
        <w:t xml:space="preserve">Pub date: </w:t>
      </w:r>
      <w:r>
        <w:t>2026-02-07 00:00:00+00:00</w:t>
      </w:r>
    </w:p>
    <w:p>
      <w:pPr>
        <w:spacing w:before="0" w:after="120"/>
      </w:pPr>
      <w:r>
        <w:rPr>
          <w:b/>
        </w:rPr>
        <w:t xml:space="preserve">Notes: </w:t>
      </w:r>
      <w:r>
        <w:t>abstract_source=nature_html</w:t>
      </w:r>
    </w:p>
    <w:p>
      <w:pPr>
        <w:spacing w:before="0" w:after="80" w:lineRule="auto" w:line="276"/>
      </w:pPr>
      <w:r>
        <w:rPr>
          <w:b/>
        </w:rPr>
        <w:t xml:space="preserve">摘要（ZH）: </w:t>
      </w:r>
      <w:r>
        <w:t>Rab11 内分泌循环利用途径被重要呼吸式RNA病毒,如IAV和RSV等,利用,帮助从极化上皮细胞的表面向外扩散病毒。在感染晚期,含有Rab11的卵囊在包装和发芽前专门将病毒性核素蛋白素(vRNP)转移到细胞表面。病毒感染细胞没有使用传统的Rab11抗体阳性再循环内分泌物,而是产生在IAV感染期间观察到的含有Rb11的卵囊。除了Rab11外,在这些不同的VRNP贩运卵囊中,没有找到其他保存的宿主共同因素。在这里,我们发现并确认了宫颈类素与IAV vRNP在细胞感染晚期的关联和与Rab11的关联。我们还发现了 t。</w:t>
      </w:r>
    </w:p>
    <w:p>
      <w:pPr>
        <w:spacing w:before="0" w:after="200" w:lineRule="auto" w:line="276"/>
      </w:pPr>
      <w:r>
        <w:rPr>
          <w:b/>
        </w:rPr>
        <w:t xml:space="preserve">Abstract (EN): </w:t>
      </w:r>
      <w:r>
        <w:t>The Rab11 endosomal recycling pathway is exploited by important respiratory RNA viruses such as IAV and RSV, aiding viral egress from the apical surface of polarized epithelial cells. Late in infection, Rab11-containing vesicles specifically transport viral ribonucleoprotein (vRNP) complexes towards the cell surface before packaging and budding. Rather than employing traditional Rab11-positive recycling endosomes, virus-infected cells generate remodelled Rab11-containing vesicles, as observed during IAV infection. Besides Rab11, no other conserved host co-factors have been identified among these various vRNP trafficking vesicles. Here we discover and confirm myoferlin’s association with IAV vRNPs in the cytoplasm and colocalisation with Rab11 during late stages of infection. We also find that this role is conserved in late-stage vRNP trafficking of other viruses, including RSV and SeV. Myoferlin likely recruits the EHD family of proteins, which are involved in endosomal biogenesis, to these unique vRNP trafficking endosomes, highlighting myoferlin’s pivotal role in viral replication.</w:t>
      </w:r>
    </w:p>
    <w:p>
      <w:pPr>
        <w:spacing w:before="120" w:after="120"/>
      </w:pPr>
      <w:r>
        <w:rPr>
          <w:sz w:val="18"/>
        </w:rPr>
        <w:t>——————————————————————————————————————————————————————————————————————</w:t>
      </w:r>
    </w:p>
    <w:p>
      <w:pPr>
        <w:spacing w:before="160" w:after="40" w:line="240" w:lineRule="auto"/>
      </w:pPr>
      <w:r>
        <w:rPr>
          <w:b/>
        </w:rPr>
        <w:t xml:space="preserve">[19] </w:t>
      </w:r>
      <w:hyperlink r:id="rId27">
        <w:r>
          <w:rPr>
            <w:color w:val="1155CC"/>
            <w:u w:val="single"/>
          </w:rPr>
          <w:t>哺乳动物全血的激进足足足足足足足迹</w:t>
        </w:r>
      </w:hyperlink>
    </w:p>
    <w:p>
      <w:pPr>
        <w:spacing w:before="0" w:after="80"/>
      </w:pPr>
      <w:r>
        <w:rPr>
          <w:i/>
          <w:sz w:val="20"/>
        </w:rPr>
        <w:t>EN: Radical footprinting in mammalian whole blood</w:t>
      </w:r>
    </w:p>
    <w:p>
      <w:pPr>
        <w:spacing w:before="0" w:after="120"/>
      </w:pPr>
      <w:r>
        <w:rPr>
          <w:b/>
        </w:rPr>
        <w:t xml:space="preserve">Source: </w:t>
      </w:r>
      <w:r>
        <w:t>Nature Communications</w:t>
      </w:r>
      <w:r>
        <w:t xml:space="preserve">    </w:t>
      </w:r>
      <w:r>
        <w:rPr>
          <w:b/>
        </w:rPr>
        <w:t xml:space="preserve">Pub date: </w:t>
      </w:r>
      <w:r>
        <w:t>2026-02-07 00:00:00+00:00</w:t>
      </w:r>
    </w:p>
    <w:p>
      <w:pPr>
        <w:spacing w:before="0" w:after="120"/>
      </w:pPr>
      <w:r>
        <w:rPr>
          <w:b/>
        </w:rPr>
        <w:t xml:space="preserve">Notes: </w:t>
      </w:r>
      <w:r>
        <w:t>abstract_source=nature_html</w:t>
      </w:r>
    </w:p>
    <w:p>
      <w:pPr>
        <w:spacing w:before="0" w:after="80" w:lineRule="auto" w:line="276"/>
      </w:pPr>
      <w:r>
        <w:rPr>
          <w:b/>
        </w:rPr>
        <w:t xml:space="preserve">摘要（ZH）: </w:t>
      </w:r>
      <w:r>
        <w:t>足印是探究蛋白质更高顺序结构、蛋白质-蛋白质和蛋白质-骨和相互作用的有力工具,主要在体外进行,但最近的进展已将其使用扩大到活细胞、线虫和3D文化。然而,据我们所知,在活哺乳动物组织中的应用尚未完成。在这里,我们介绍了在野生和2型糖尿病(T2DM)小鼠的全部哺乳动物血液中成功使用基质蛋白足迹(RPF)的情况。我们利用FOX光解系统进行的透肺光活作用,我们实现了有效的蛋白标签,没有严重影响到血细胞形态。优化排泄协议消除了背景标签。我们报告对11米的氧化性修改。</w:t>
      </w:r>
    </w:p>
    <w:p>
      <w:pPr>
        <w:spacing w:before="0" w:after="200" w:lineRule="auto" w:line="276"/>
      </w:pPr>
      <w:r>
        <w:rPr>
          <w:b/>
        </w:rPr>
        <w:t xml:space="preserve">Abstract (EN): </w:t>
      </w:r>
      <w:r>
        <w:t>Hydroxyl Radical Protein Footprinting is a powerful tool to probe protein higher-order structure, protein-protein and protein-ligand interactions. It is mostly performed in vitro, but recent advances have extended its use to live cells, nematodes, and 3D cultures. However, to the best of our knowledge, application in living mammalian tissues has not been accomplished. Here, we present the successful use of radical protein footprinting (RPF) in mammalian whole blood from wild-type and type 2 diabetes mellitus (T2DM) mice. Using persulfate photoactivated with the FOX Photolysis System, we achieve effective protein labeling without significant disruption to blood cell morphology. An optimized quenching protocol eliminates background labeling. We report oxidative modifications for the eleven most abundant proteins detected, revealing disease-associated conformational changes in multiple proteins. We validate that in-blood RPF identifies changes in protein structure resulting from complement activation and increased transferrin iron saturation in T2DM mice. These findings demonstrate the feasibility of RPF in mammalian blood and create opportunities for structural proteomics in preclinical models and clinical samples.</w:t>
      </w:r>
    </w:p>
    <w:p>
      <w:pPr>
        <w:spacing w:before="120" w:after="120"/>
      </w:pPr>
      <w:r>
        <w:rPr>
          <w:sz w:val="18"/>
        </w:rPr>
        <w:t>——————————————————————————————————————————————————————————————————————</w:t>
      </w:r>
    </w:p>
    <w:p>
      <w:pPr>
        <w:spacing w:before="160" w:after="40" w:line="240" w:lineRule="auto"/>
      </w:pPr>
      <w:r>
        <w:rPr>
          <w:b/>
        </w:rPr>
        <w:t xml:space="preserve">[20] </w:t>
      </w:r>
      <w:hyperlink r:id="rId28">
        <w:r>
          <w:rPr>
            <w:color w:val="1155CC"/>
            <w:u w:val="single"/>
          </w:rPr>
          <w:t>防止中高C速率下锂离电池循环降解的新机制</w:t>
        </w:r>
      </w:hyperlink>
    </w:p>
    <w:p>
      <w:pPr>
        <w:spacing w:before="0" w:after="80"/>
      </w:pPr>
      <w:r>
        <w:rPr>
          <w:i/>
          <w:sz w:val="20"/>
        </w:rPr>
        <w:t>EN: A novel mechanism for suppressing cycling degradation of lithium-ion batteries under medium-to-high C-rates</w:t>
      </w:r>
    </w:p>
    <w:p>
      <w:pPr>
        <w:spacing w:before="0" w:after="120"/>
      </w:pPr>
      <w:r>
        <w:rPr>
          <w:b/>
        </w:rPr>
        <w:t xml:space="preserve">Source: </w:t>
      </w:r>
      <w:r>
        <w:t>ScienceDirect Publication: Applied Energy</w:t>
      </w:r>
      <w:r>
        <w:t xml:space="preserve">    </w:t>
      </w:r>
      <w:r>
        <w:rPr>
          <w:b/>
        </w:rPr>
        <w:t xml:space="preserve">Pub date: </w:t>
      </w:r>
      <w:r>
        <w:t>2026-02-07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[21] </w:t>
      </w:r>
      <w:hyperlink r:id="rId29">
        <w:r>
          <w:rPr>
            <w:color w:val="1155CC"/>
            <w:u w:val="single"/>
          </w:rPr>
          <w:t>实现可持续的工作场所:从生命周期角度看待风险、风险、风险、风险、风险、风险、风险、风险、风险、风险、风险、风险、风险、风险、风险、风险、风险、风险、风险、风险、风险、风险、风险、风险、风险、风险、风险、风险、风险、风险、风险、风险、风险、风险、风险、风险、风险、风险、风险、风险、风险、风险、风险、风险、风险、风险、风险、风险、风险、风险、风险、风险、风险、风险、风险、风险、风险、风险、风险</w:t>
        </w:r>
      </w:hyperlink>
    </w:p>
    <w:p>
      <w:pPr>
        <w:spacing w:before="0" w:after="80"/>
      </w:pPr>
      <w:r>
        <w:rPr>
          <w:i/>
          <w:sz w:val="20"/>
        </w:rPr>
        <w:t>EN: Towards a sustainable workplace: a life cycle perspective on EV-charging-integrated HVAC systems</w:t>
      </w:r>
    </w:p>
    <w:p>
      <w:pPr>
        <w:spacing w:before="0" w:after="120"/>
      </w:pPr>
      <w:r>
        <w:rPr>
          <w:b/>
        </w:rPr>
        <w:t xml:space="preserve">Source: </w:t>
      </w:r>
      <w:r>
        <w:t>ScienceDirect Publication: Applied Energy</w:t>
      </w:r>
      <w:r>
        <w:t xml:space="preserve">    </w:t>
      </w:r>
      <w:r>
        <w:rPr>
          <w:b/>
        </w:rPr>
        <w:t xml:space="preserve">Pub date: </w:t>
      </w:r>
      <w:r>
        <w:t>2026-02-07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[22] </w:t>
      </w:r>
      <w:hyperlink r:id="rId30">
        <w:r>
          <w:rPr>
            <w:color w:val="1155CC"/>
            <w:u w:val="single"/>
          </w:rPr>
          <w:t>考虑到时间安排成本和可控制负荷的不确定性,在多市场对虚拟发电厂进行风险-逆风险共同优化</w:t>
        </w:r>
      </w:hyperlink>
    </w:p>
    <w:p>
      <w:pPr>
        <w:spacing w:before="0" w:after="80"/>
      </w:pPr>
      <w:r>
        <w:rPr>
          <w:i/>
          <w:sz w:val="20"/>
        </w:rPr>
        <w:t>EN: Risk-averse co-optimization of virtual power plants in multi-markets considering scheduling costs and uncertainties of controllable loads</w:t>
      </w:r>
    </w:p>
    <w:p>
      <w:pPr>
        <w:spacing w:before="0" w:after="120"/>
      </w:pPr>
      <w:r>
        <w:rPr>
          <w:b/>
        </w:rPr>
        <w:t xml:space="preserve">Source: </w:t>
      </w:r>
      <w:r>
        <w:t>ScienceDirect Publication: Applied Energy</w:t>
      </w:r>
      <w:r>
        <w:t xml:space="preserve">    </w:t>
      </w:r>
      <w:r>
        <w:rPr>
          <w:b/>
        </w:rPr>
        <w:t xml:space="preserve">Pub date: </w:t>
      </w:r>
      <w:r>
        <w:t>2026-02-07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[23] </w:t>
      </w:r>
      <w:hyperlink r:id="rId31">
        <w:r>
          <w:rPr>
            <w:color w:val="1155CC"/>
            <w:u w:val="single"/>
          </w:rPr>
          <w:t>通过液体有机氢载体(LOHCs)实施氢作为海洋燃料的多目标混合喷热贝叶斯优化</w:t>
        </w:r>
      </w:hyperlink>
    </w:p>
    <w:p>
      <w:pPr>
        <w:spacing w:before="0" w:after="80"/>
      </w:pPr>
      <w:r>
        <w:rPr>
          <w:i/>
          <w:sz w:val="20"/>
        </w:rPr>
        <w:t>EN: Multiobjective mixed-integer Bayesian optimization for the implementation of hydrogen as maritime fuel through liquid organic hydrogen carriers (LOHCs)</w:t>
      </w:r>
    </w:p>
    <w:p>
      <w:pPr>
        <w:spacing w:before="0" w:after="120"/>
      </w:pPr>
      <w:r>
        <w:rPr>
          <w:b/>
        </w:rPr>
        <w:t xml:space="preserve">Source: </w:t>
      </w:r>
      <w:r>
        <w:t>ScienceDirect Publication: Applied Energy</w:t>
      </w:r>
      <w:r>
        <w:t xml:space="preserve">    </w:t>
      </w:r>
      <w:r>
        <w:rPr>
          <w:b/>
        </w:rPr>
        <w:t xml:space="preserve">Pub date: </w:t>
      </w:r>
      <w:r>
        <w:t>2026-02-07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[24] </w:t>
      </w:r>
      <w:hyperlink r:id="rId32">
        <w:r>
          <w:rPr>
            <w:color w:val="1155CC"/>
            <w:u w:val="single"/>
          </w:rPr>
          <w:t>跟踪基于电池动态的锂电镀引起的健康退化</w:t>
        </w:r>
      </w:hyperlink>
    </w:p>
    <w:p>
      <w:pPr>
        <w:spacing w:before="0" w:after="80"/>
      </w:pPr>
      <w:r>
        <w:rPr>
          <w:i/>
          <w:sz w:val="20"/>
        </w:rPr>
        <w:t>EN: Tracking lithium plating-induced health degradation based on battery dynamics</w:t>
      </w:r>
    </w:p>
    <w:p>
      <w:pPr>
        <w:spacing w:before="0" w:after="120"/>
      </w:pPr>
      <w:r>
        <w:rPr>
          <w:b/>
        </w:rPr>
        <w:t xml:space="preserve">Source: </w:t>
      </w:r>
      <w:r>
        <w:t>ScienceDirect Publication: Applied Energy</w:t>
      </w:r>
      <w:r>
        <w:t xml:space="preserve">    </w:t>
      </w:r>
      <w:r>
        <w:rPr>
          <w:b/>
        </w:rPr>
        <w:t xml:space="preserve">Pub date: </w:t>
      </w:r>
      <w:r>
        <w:t>2026-02-07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[25] </w:t>
      </w:r>
      <w:hyperlink r:id="rId33">
        <w:r>
          <w:rPr>
            <w:color w:val="1155CC"/>
            <w:u w:val="single"/>
          </w:rPr>
          <w:t>利用脉冲液体浸入冷却战略改进电池模块的电热性能</w:t>
        </w:r>
      </w:hyperlink>
    </w:p>
    <w:p>
      <w:pPr>
        <w:spacing w:before="0" w:after="80"/>
      </w:pPr>
      <w:r>
        <w:rPr>
          <w:i/>
          <w:sz w:val="20"/>
        </w:rPr>
        <w:t>EN: Improving the electro-thermal performance of battery module using a pulse liquid immersion cooling strategy</w:t>
      </w:r>
    </w:p>
    <w:p>
      <w:pPr>
        <w:spacing w:before="0" w:after="120"/>
      </w:pPr>
      <w:r>
        <w:rPr>
          <w:b/>
        </w:rPr>
        <w:t xml:space="preserve">Source: </w:t>
      </w:r>
      <w:r>
        <w:t>ScienceDirect Publication: Applied Energy</w:t>
      </w:r>
      <w:r>
        <w:t xml:space="preserve">    </w:t>
      </w:r>
      <w:r>
        <w:rPr>
          <w:b/>
        </w:rPr>
        <w:t xml:space="preserve">Pub date: </w:t>
      </w:r>
      <w:r>
        <w:t>2026-02-07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[26] </w:t>
      </w:r>
      <w:hyperlink r:id="rId34">
        <w:r>
          <w:rPr>
            <w:color w:val="1155CC"/>
            <w:u w:val="single"/>
          </w:rPr>
          <w:t>对波浪能源转换器(点吸收器、线性吸收器和混合系统)的比较最新比较审查</w:t>
        </w:r>
      </w:hyperlink>
    </w:p>
    <w:p>
      <w:pPr>
        <w:spacing w:before="0" w:after="80"/>
      </w:pPr>
      <w:r>
        <w:rPr>
          <w:i/>
          <w:sz w:val="20"/>
        </w:rPr>
        <w:t>EN: A comparative state-of-the-art review of wave energy converters: point absorbers, linear absorbers, and hybrid systems</w:t>
      </w:r>
    </w:p>
    <w:p>
      <w:pPr>
        <w:spacing w:before="0" w:after="120"/>
      </w:pPr>
      <w:r>
        <w:rPr>
          <w:b/>
        </w:rPr>
        <w:t xml:space="preserve">Source: </w:t>
      </w:r>
      <w:r>
        <w:t>ScienceDirect Publication: Applied Energy</w:t>
      </w:r>
      <w:r>
        <w:t xml:space="preserve">    </w:t>
      </w:r>
      <w:r>
        <w:rPr>
          <w:b/>
        </w:rPr>
        <w:t xml:space="preserve">Pub date: </w:t>
      </w:r>
      <w:r>
        <w:t>2026-02-07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[27] </w:t>
      </w:r>
      <w:hyperlink r:id="rId35">
        <w:r>
          <w:rPr>
            <w:color w:val="1155CC"/>
            <w:u w:val="single"/>
          </w:rPr>
          <w:t>利用城市5G基站特大型集群群促进电网灵活性:协调优化框架</w:t>
        </w:r>
      </w:hyperlink>
    </w:p>
    <w:p>
      <w:pPr>
        <w:spacing w:before="0" w:after="80"/>
      </w:pPr>
      <w:r>
        <w:rPr>
          <w:i/>
          <w:sz w:val="20"/>
        </w:rPr>
        <w:t>EN: Harnessing urban 5G base station mega-clusters for grid flexibility: A coordinated optimization framework</w:t>
      </w:r>
    </w:p>
    <w:p>
      <w:pPr>
        <w:spacing w:before="0" w:after="120"/>
      </w:pPr>
      <w:r>
        <w:rPr>
          <w:b/>
        </w:rPr>
        <w:t xml:space="preserve">Source: </w:t>
      </w:r>
      <w:r>
        <w:t>ScienceDirect Publication: Applied Energy</w:t>
      </w:r>
      <w:r>
        <w:t xml:space="preserve">    </w:t>
      </w:r>
      <w:r>
        <w:rPr>
          <w:b/>
        </w:rPr>
        <w:t xml:space="preserve">Pub date: </w:t>
      </w:r>
      <w:r>
        <w:t>2026-02-07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[28] </w:t>
      </w:r>
      <w:hyperlink r:id="rId36">
        <w:r>
          <w:rPr>
            <w:color w:val="1155CC"/>
            <w:u w:val="single"/>
          </w:rPr>
          <w:t>通过双级奖励措施,确保终端用户瓦塞斯坦</w:t>
        </w:r>
      </w:hyperlink>
    </w:p>
    <w:p>
      <w:pPr>
        <w:spacing w:before="0" w:after="80"/>
      </w:pPr>
      <w:r>
        <w:rPr>
          <w:i/>
          <w:sz w:val="20"/>
        </w:rPr>
        <w:t>EN: Independent aggregators securing end user Wasserstein distributionally robust flexibility through bilevel incentives</w:t>
      </w:r>
    </w:p>
    <w:p>
      <w:pPr>
        <w:spacing w:before="0" w:after="120"/>
      </w:pPr>
      <w:r>
        <w:rPr>
          <w:b/>
        </w:rPr>
        <w:t xml:space="preserve">Source: </w:t>
      </w:r>
      <w:r>
        <w:t>ScienceDirect Publication: Applied Energy</w:t>
      </w:r>
      <w:r>
        <w:t xml:space="preserve">    </w:t>
      </w:r>
      <w:r>
        <w:rPr>
          <w:b/>
        </w:rPr>
        <w:t xml:space="preserve">Pub date: </w:t>
      </w:r>
      <w:r>
        <w:t>2026-02-07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[29] </w:t>
      </w:r>
      <w:hyperlink r:id="rId37">
        <w:r>
          <w:rPr>
            <w:color w:val="1155CC"/>
            <w:u w:val="single"/>
          </w:rPr>
          <w:t>从熔炉到热泵:评估加拿大房主的偏好差异性</w:t>
        </w:r>
      </w:hyperlink>
    </w:p>
    <w:p>
      <w:pPr>
        <w:spacing w:before="0" w:after="80"/>
      </w:pPr>
      <w:r>
        <w:rPr>
          <w:i/>
          <w:sz w:val="20"/>
        </w:rPr>
        <w:t>EN: From furnaces to heat pumps: Assessing preference heterogeneity among Canadian homeowners</w:t>
      </w:r>
    </w:p>
    <w:p>
      <w:pPr>
        <w:spacing w:before="0" w:after="120"/>
      </w:pPr>
      <w:r>
        <w:rPr>
          <w:b/>
        </w:rPr>
        <w:t xml:space="preserve">Source: </w:t>
      </w:r>
      <w:r>
        <w:t>ScienceDirect Publication: Energy Policy</w:t>
      </w:r>
      <w:r>
        <w:t xml:space="preserve">    </w:t>
      </w:r>
      <w:r>
        <w:rPr>
          <w:b/>
        </w:rPr>
        <w:t xml:space="preserve">Pub date: </w:t>
      </w:r>
      <w:r>
        <w:t>2026-02-07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[30] </w:t>
      </w:r>
      <w:hyperlink r:id="rId38">
        <w:r>
          <w:rPr>
            <w:color w:val="1155CC"/>
            <w:u w:val="single"/>
          </w:rPr>
          <w:t>低碳热:材料、可靠性和工业、建筑和数据中心采用AI驱动的系统整合</w:t>
        </w:r>
      </w:hyperlink>
    </w:p>
    <w:p>
      <w:pPr>
        <w:spacing w:before="0" w:after="80"/>
      </w:pPr>
      <w:r>
        <w:rPr>
          <w:i/>
          <w:sz w:val="20"/>
        </w:rPr>
        <w:t>EN: Advanced phase change material-thermal energy storage for low-carbon heat: materials, reliability, and AI-driven system integration for industry, buildings, and data centers</w:t>
      </w:r>
    </w:p>
    <w:p>
      <w:pPr>
        <w:spacing w:before="0" w:after="120"/>
      </w:pPr>
      <w:r>
        <w:rPr>
          <w:b/>
        </w:rPr>
        <w:t xml:space="preserve">Source: </w:t>
      </w:r>
      <w:r>
        <w:t>ScienceDirect Publication: Applied Energy</w:t>
      </w:r>
      <w:r>
        <w:t xml:space="preserve">    </w:t>
      </w:r>
      <w:r>
        <w:rPr>
          <w:b/>
        </w:rPr>
        <w:t xml:space="preserve">Pub date: </w:t>
      </w:r>
      <w:r>
        <w:t>2026-02-07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[31] </w:t>
      </w:r>
      <w:hyperlink r:id="rId39">
        <w:r>
          <w:rPr>
            <w:color w:val="1155CC"/>
            <w:u w:val="single"/>
          </w:rPr>
          <w:t>利用物理学知情神经网络的能力优化PEM燃料电池的频道优化</w:t>
        </w:r>
      </w:hyperlink>
    </w:p>
    <w:p>
      <w:pPr>
        <w:spacing w:before="0" w:after="80"/>
      </w:pPr>
      <w:r>
        <w:rPr>
          <w:i/>
          <w:sz w:val="20"/>
        </w:rPr>
        <w:t>EN: Leveraging the capabilities of physics-informed neural networks for channel optimization in PEM fuel cells</w:t>
      </w:r>
    </w:p>
    <w:p>
      <w:pPr>
        <w:spacing w:before="0" w:after="120"/>
      </w:pPr>
      <w:r>
        <w:rPr>
          <w:b/>
        </w:rPr>
        <w:t xml:space="preserve">Source: </w:t>
      </w:r>
      <w:r>
        <w:t>ScienceDirect Publication: Applied Energy</w:t>
      </w:r>
      <w:r>
        <w:t xml:space="preserve">    </w:t>
      </w:r>
      <w:r>
        <w:rPr>
          <w:b/>
        </w:rPr>
        <w:t xml:space="preserve">Pub date: </w:t>
      </w:r>
      <w:r>
        <w:t>2026-02-07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[32] </w:t>
      </w:r>
      <w:hyperlink r:id="rId40">
        <w:r>
          <w:rPr>
            <w:color w:val="1155CC"/>
            <w:u w:val="single"/>
          </w:rPr>
          <w:t>考虑到极端情况下分配式能源储存的不确定性,对虚拟发电厂实行两阶段优化安排战略</w:t>
        </w:r>
      </w:hyperlink>
    </w:p>
    <w:p>
      <w:pPr>
        <w:spacing w:before="0" w:after="80"/>
      </w:pPr>
      <w:r>
        <w:rPr>
          <w:i/>
          <w:sz w:val="20"/>
        </w:rPr>
        <w:t>EN: Two-stage optimization scheduling strategy for virtual power plants considering the correlated uncertainty of distributed energy storage in extreme scenarios</w:t>
      </w:r>
    </w:p>
    <w:p>
      <w:pPr>
        <w:spacing w:before="0" w:after="120"/>
      </w:pPr>
      <w:r>
        <w:rPr>
          <w:b/>
        </w:rPr>
        <w:t xml:space="preserve">Source: </w:t>
      </w:r>
      <w:r>
        <w:t>ScienceDirect Publication: Applied Energy</w:t>
      </w:r>
      <w:r>
        <w:t xml:space="preserve">    </w:t>
      </w:r>
      <w:r>
        <w:rPr>
          <w:b/>
        </w:rPr>
        <w:t xml:space="preserve">Pub date: </w:t>
      </w:r>
      <w:r>
        <w:t>2026-02-07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[33] </w:t>
      </w:r>
      <w:hyperlink r:id="rId41">
        <w:r>
          <w:rPr>
            <w:color w:val="1155CC"/>
            <w:u w:val="single"/>
          </w:rPr>
          <w:t>全面审查将超级电容器纳入风力涡轮机的情况</w:t>
        </w:r>
      </w:hyperlink>
    </w:p>
    <w:p>
      <w:pPr>
        <w:spacing w:before="0" w:after="80"/>
      </w:pPr>
      <w:r>
        <w:rPr>
          <w:i/>
          <w:sz w:val="20"/>
        </w:rPr>
        <w:t>EN: A comprehensive review of Supercapacitor integration into wind turbines</w:t>
      </w:r>
    </w:p>
    <w:p>
      <w:pPr>
        <w:spacing w:before="0" w:after="120"/>
      </w:pPr>
      <w:r>
        <w:rPr>
          <w:b/>
        </w:rPr>
        <w:t xml:space="preserve">Source: </w:t>
      </w:r>
      <w:r>
        <w:t>ScienceDirect Publication: Applied Energy</w:t>
      </w:r>
      <w:r>
        <w:t xml:space="preserve">    </w:t>
      </w:r>
      <w:r>
        <w:rPr>
          <w:b/>
        </w:rPr>
        <w:t xml:space="preserve">Pub date: </w:t>
      </w:r>
      <w:r>
        <w:t>2026-02-07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[34] </w:t>
      </w:r>
      <w:hyperlink r:id="rId42">
        <w:r>
          <w:rPr>
            <w:color w:val="1155CC"/>
            <w:u w:val="single"/>
          </w:rPr>
          <w:t>争取实现能源中枢的公平和低碳运作:一个多目标优化框架,其中含有能源-碳双向双向结合和多种不确定因素</w:t>
        </w:r>
      </w:hyperlink>
    </w:p>
    <w:p>
      <w:pPr>
        <w:spacing w:before="0" w:after="80"/>
      </w:pPr>
      <w:r>
        <w:rPr>
          <w:i/>
          <w:sz w:val="20"/>
        </w:rPr>
        <w:t>EN: Towards fairness and low-carbon operation of energy hub: A multi-objective optimization framework with energy–carbon bidirectional coupling and heterogeneous uncertainties</w:t>
      </w:r>
    </w:p>
    <w:p>
      <w:pPr>
        <w:spacing w:before="0" w:after="120"/>
      </w:pPr>
      <w:r>
        <w:rPr>
          <w:b/>
        </w:rPr>
        <w:t xml:space="preserve">Source: </w:t>
      </w:r>
      <w:r>
        <w:t>ScienceDirect Publication: Applied Energy</w:t>
      </w:r>
      <w:r>
        <w:t xml:space="preserve">    </w:t>
      </w:r>
      <w:r>
        <w:rPr>
          <w:b/>
        </w:rPr>
        <w:t xml:space="preserve">Pub date: </w:t>
      </w:r>
      <w:r>
        <w:t>2026-02-07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[35] </w:t>
      </w:r>
      <w:hyperlink r:id="rId43">
        <w:r>
          <w:rPr>
            <w:color w:val="1155CC"/>
            <w:u w:val="single"/>
          </w:rPr>
          <w:t>由自由流传的元表层与增强的能力和加密信息进行独立声波Vortex通信</w:t>
        </w:r>
      </w:hyperlink>
    </w:p>
    <w:p>
      <w:pPr>
        <w:spacing w:before="0" w:after="80"/>
      </w:pPr>
      <w:r>
        <w:rPr>
          <w:i/>
          <w:sz w:val="20"/>
        </w:rPr>
        <w:t>EN: Pressure‐Independent Acoustic‐Vortex Communication With Enhanced‐Capacity and Cryptographic Information by Free‐Flooded Metasurfaces</w:t>
      </w:r>
    </w:p>
    <w:p>
      <w:pPr>
        <w:spacing w:before="0" w:after="120"/>
      </w:pPr>
      <w:r>
        <w:rPr>
          <w:b/>
        </w:rPr>
        <w:t xml:space="preserve">Source: </w:t>
      </w:r>
      <w:r>
        <w:t>Wiley: Advanced Materials: Table of Contents</w:t>
      </w:r>
      <w:r>
        <w:t xml:space="preserve">    </w:t>
      </w:r>
      <w:r>
        <w:rPr>
          <w:b/>
        </w:rPr>
        <w:t xml:space="preserve">Pub date: </w:t>
      </w:r>
      <w:r>
        <w:t>2026-02-07 08:39:35+00:00</w:t>
      </w:r>
      <w:r>
        <w:t xml:space="preserve">    </w:t>
      </w:r>
      <w:r>
        <w:rPr>
          <w:b/>
        </w:rPr>
        <w:t xml:space="preserve">DOI: </w:t>
      </w:r>
      <w:hyperlink r:id="rId44">
        <w:r>
          <w:rPr>
            <w:color w:val="1155CC"/>
            <w:u w:val="single"/>
          </w:rPr>
          <w:t>10.1002/adma.202521718</w:t>
        </w:r>
      </w:hyperlink>
    </w:p>
    <w:p>
      <w:pPr>
        <w:spacing w:before="0" w:after="120"/>
      </w:pPr>
      <w:r>
        <w:rPr>
          <w:b/>
        </w:rPr>
        <w:t xml:space="preserve">Notes: </w:t>
      </w:r>
      <w:r>
        <w:t>abstract_source=crossref</w:t>
      </w:r>
    </w:p>
    <w:p>
      <w:pPr>
        <w:spacing w:before="0" w:after="80" w:lineRule="auto" w:line="276"/>
      </w:pPr>
      <w:r>
        <w:rPr>
          <w:b/>
        </w:rPr>
        <w:t xml:space="preserve">摘要（ZH）: </w:t>
      </w:r>
      <w:r>
        <w:t>结构涡旋束束已推动多轴通信技术的显著进步,并在光学、电磁和气载声学实验中进行了实验性示范,然而,强大的振动双声联结和高静水压力妨碍了通过被动调节共轴束,实验性地提高水下通信的声学信息能力。这里,我们报告了在水下自由空间压力中同时增强信息能力和混合体物理电解迷彩的实验性成就。两种反向设计的自由融化的元表层,具有具有水文弹性的稳定性和定制的波散射特性、合成和合成。</w:t>
      </w:r>
    </w:p>
    <w:p>
      <w:pPr>
        <w:spacing w:before="0" w:after="200" w:lineRule="auto" w:line="276"/>
      </w:pPr>
      <w:r>
        <w:rPr>
          <w:b/>
        </w:rPr>
        <w:t xml:space="preserve">Abstract (EN): </w:t>
      </w:r>
      <w:r>
        <w:t>Structured vortex beams have driven significant advances in multiplexing communication technologies and have been demonstrated experimentally in optics, electromagnetics, and airborne acoustics. However, the strong vibroacoustic coupling and high hydrostatic pressure hamper the experimental enhancement of acoustic information capacity in underwater communication via passively modulating coaxial beams. Here, we report the experimental realization of simultaneous information capacity enhancement and hybrid physical‐computational camouflage in underwater free‐space pressure‐independent acoustic‐vortex communication. Two inverse‐designed free‐flooded metasurfaces, with hydrostatically resilient stability and customized wave scattering characteristics, synthesize and demodulate experimentally coaxial vortex beams of different topological charges, enabling physically encrypted, port‐to‐port information transfer. A computational‐mask encryption scheme further digitally conceals a plaintext image within two ciphertext bitstreams. Transmission of these ciphertexts through the synthesized hetero‐order vortex beams experimentally confirms physical‐computational anti‐eavesdropping capabilities of the system. Our research charts an unprecedented path toward high‐capacity, highly secure underwater acoustic communication technologies in the deep ocean.</w:t>
      </w:r>
    </w:p>
    <w:p>
      <w:pPr>
        <w:spacing w:before="120" w:after="120"/>
      </w:pPr>
      <w:r>
        <w:rPr>
          <w:sz w:val="18"/>
        </w:rPr>
        <w:t>——————————————————————————————————————————————————————————————————————</w:t>
      </w:r>
    </w:p>
    <w:p>
      <w:pPr>
        <w:spacing w:before="160" w:after="40" w:line="240" w:lineRule="auto"/>
      </w:pPr>
      <w:r>
        <w:rPr>
          <w:b/>
        </w:rPr>
        <w:t xml:space="preserve">[36] </w:t>
      </w:r>
      <w:hyperlink r:id="rId45">
        <w:r>
          <w:rPr>
            <w:color w:val="1155CC"/>
            <w:u w:val="single"/>
          </w:rPr>
          <w:t>BiFEO3基于BiFO3的传感器技术:基础、性能计量和多种应用的最新进展</w:t>
        </w:r>
      </w:hyperlink>
    </w:p>
    <w:p>
      <w:pPr>
        <w:spacing w:before="0" w:after="80"/>
      </w:pPr>
      <w:r>
        <w:rPr>
          <w:i/>
          <w:sz w:val="20"/>
        </w:rPr>
        <w:t>EN: Recent Progress in BiFeO3‐Based Sensor Technologies: Fundamentals, Performance Metrics, and Diverse Applications</w:t>
      </w:r>
    </w:p>
    <w:p>
      <w:pPr>
        <w:spacing w:before="0" w:after="120"/>
      </w:pPr>
      <w:r>
        <w:rPr>
          <w:b/>
        </w:rPr>
        <w:t xml:space="preserve">Source: </w:t>
      </w:r>
      <w:r>
        <w:t>Wiley: Advanced Materials: Table of Contents</w:t>
      </w:r>
      <w:r>
        <w:t xml:space="preserve">    </w:t>
      </w:r>
      <w:r>
        <w:rPr>
          <w:b/>
        </w:rPr>
        <w:t xml:space="preserve">Pub date: </w:t>
      </w:r>
      <w:r>
        <w:t>2026-02-07 08:41:28+00:00</w:t>
      </w:r>
      <w:r>
        <w:t xml:space="preserve">    </w:t>
      </w:r>
      <w:r>
        <w:rPr>
          <w:b/>
        </w:rPr>
        <w:t xml:space="preserve">DOI: </w:t>
      </w:r>
      <w:hyperlink r:id="rId46">
        <w:r>
          <w:rPr>
            <w:color w:val="1155CC"/>
            <w:u w:val="single"/>
          </w:rPr>
          <w:t>10.1002/adma.202520682</w:t>
        </w:r>
      </w:hyperlink>
    </w:p>
    <w:p>
      <w:pPr>
        <w:spacing w:before="0" w:after="120"/>
      </w:pPr>
      <w:r>
        <w:rPr>
          <w:b/>
        </w:rPr>
        <w:t xml:space="preserve">Notes: </w:t>
      </w:r>
      <w:r>
        <w:t>abstract_source=crossref</w:t>
      </w:r>
    </w:p>
    <w:p>
      <w:pPr>
        <w:spacing w:before="0" w:after="80" w:lineRule="auto" w:line="276"/>
      </w:pPr>
      <w:r>
        <w:rPr>
          <w:b/>
        </w:rPr>
        <w:t xml:space="preserve">摘要（ZH）: </w:t>
      </w:r>
      <w:r>
        <w:t>ABSTACT Bismuth ferterite(BIFO 3 3, BFO)是一个原型多发性多发化的百草枯酯,它同时呈现出铁电、抗发磁、电极和强可见光吸收,因为其波段差距相对较小。 光谱扭曲、缺陷化学和轨道混合化之间的相互作用不仅支撑了这些多功能反应,而且还通过变形调制、波段工程、界面或表面控制,使它们高度金枪鱼易被捕获。 由于铁和电子功能之间独特的结合,BFO已成为下一代遥感技术的多功能平台,包括光电、压力、气体、湿度和b。</w:t>
      </w:r>
    </w:p>
    <w:p>
      <w:pPr>
        <w:spacing w:before="0" w:after="200" w:lineRule="auto" w:line="276"/>
      </w:pPr>
      <w:r>
        <w:rPr>
          <w:b/>
        </w:rPr>
        <w:t xml:space="preserve">Abstract (EN): </w:t>
      </w:r>
      <w:r>
        <w:t>Bismuth ferrite (BiFeO</w:t>
      </w:r>
      <w:r>
        <w:rPr>
          <w:vertAlign w:val="subscript"/>
        </w:rPr>
        <w:t>3</w:t>
      </w:r>
      <w:r>
        <w:t>, BFO) is a prototypical multiferroic perovskite that simultaneously exhibits ferroelectricity, antiferromagnetism, piezoelectricity, and strong visible‐light absorption due to its relatively narrow band gap. The interplay among lattice distortions, defect chemistry, and orbital hybridization not only underpins these multifunctional responses but also renders them highly tunable through defect‐dipole modulation, band‐gap engineering, and interface or surface control. Owing to the unique coupling between ferroic and electronic functionalities, BFO has emerged as a versatile platform for next‐generation sensing technologies, including optoelectronic, pressure, gas, humidity, and biosensors. This review systematically examines the structure–property relationships in BFO, recent advances in synthesis and modification strategies, and their implications for sensor performance across diverse domains. Special emphasis is placed on the microscopic mechanisms governing its sensing behavior, including band‐structure modulation, defect‐mediated charge transport, and surface adsorption‐driven chemistry, as well as on strategies to leverage these mechanisms for sensing performance optimization. Finally, we outline the opportunities and challenges in harnessing BFO's multifunctionality for practical sensing applications in environmental, healthcare, industrial, and energy‐related fields.</w:t>
      </w:r>
    </w:p>
    <w:p>
      <w:pPr>
        <w:spacing w:before="120" w:after="120"/>
      </w:pPr>
      <w:r>
        <w:rPr>
          <w:sz w:val="18"/>
        </w:rPr>
        <w:t>——————————————————————————————————————————————————————————————————————</w:t>
      </w:r>
    </w:p>
    <w:p>
      <w:pPr>
        <w:spacing w:before="160" w:after="40" w:line="240" w:lineRule="auto"/>
      </w:pPr>
      <w:r>
        <w:rPr>
          <w:b/>
        </w:rPr>
        <w:t xml:space="preserve">[37] </w:t>
      </w:r>
      <w:hyperlink r:id="rId47">
        <w:r>
          <w:rPr>
            <w:color w:val="1155CC"/>
            <w:u w:val="single"/>
          </w:rPr>
          <w:t>水银电池的崛起:挑战、战略和前进之路</w:t>
        </w:r>
      </w:hyperlink>
    </w:p>
    <w:p>
      <w:pPr>
        <w:spacing w:before="0" w:after="80"/>
      </w:pPr>
      <w:r>
        <w:rPr>
          <w:i/>
          <w:sz w:val="20"/>
        </w:rPr>
        <w:t>EN: The Rise of Aqueous Selenium‐Based Batteries: Challenges, Strategies, and the Path Forward</w:t>
      </w:r>
    </w:p>
    <w:p>
      <w:pPr>
        <w:spacing w:before="0" w:after="120"/>
      </w:pPr>
      <w:r>
        <w:rPr>
          <w:b/>
        </w:rPr>
        <w:t xml:space="preserve">Source: </w:t>
      </w:r>
      <w:r>
        <w:t>Wiley: Advanced Materials: Table of Contents</w:t>
      </w:r>
      <w:r>
        <w:t xml:space="preserve">    </w:t>
      </w:r>
      <w:r>
        <w:rPr>
          <w:b/>
        </w:rPr>
        <w:t xml:space="preserve">Pub date: </w:t>
      </w:r>
      <w:r>
        <w:t>2026-02-07 08:45:47+00:00</w:t>
      </w:r>
      <w:r>
        <w:t xml:space="preserve">    </w:t>
      </w:r>
      <w:r>
        <w:rPr>
          <w:b/>
        </w:rPr>
        <w:t xml:space="preserve">DOI: </w:t>
      </w:r>
      <w:hyperlink r:id="rId48">
        <w:r>
          <w:rPr>
            <w:color w:val="1155CC"/>
            <w:u w:val="single"/>
          </w:rPr>
          <w:t>10.1002/adma.202522085</w:t>
        </w:r>
      </w:hyperlink>
    </w:p>
    <w:p>
      <w:pPr>
        <w:spacing w:before="0" w:after="120"/>
      </w:pPr>
      <w:r>
        <w:rPr>
          <w:b/>
        </w:rPr>
        <w:t xml:space="preserve">Notes: </w:t>
      </w:r>
      <w:r>
        <w:t>abstract_source=crossref</w:t>
      </w:r>
    </w:p>
    <w:p>
      <w:pPr>
        <w:spacing w:before="0" w:after="80" w:lineRule="auto" w:line="276"/>
      </w:pPr>
      <w:r>
        <w:rPr>
          <w:b/>
        </w:rPr>
        <w:t xml:space="preserve">摘要（ZH）: </w:t>
      </w:r>
      <w:r>
        <w:t>ABSTACT 水态金属锂电池(AMSeBs)已成为安全、高成本效益和高能密度能源储存的有前景的候选安全、高成本效益和高能源密度能源,然而,由于电极稳定性、反应可逆性、电解兼容性等挑战而阻碍其发展。这项审查系统地探索了AMSeBs的热动力学和电化学景观,将理论分析与实验性进展结合起来,以建立一个合理的设计框架。首先,通过评估关键参数,包括电极潜力、体积变化率、金属素溶性以及能源指标,我们确定了Zn-Se和CuSe等有前景的系统,以及Fe-Se和Ga-Se等未被探索的候选者。第二,基于锂的猫。</w:t>
      </w:r>
    </w:p>
    <w:p>
      <w:pPr>
        <w:spacing w:before="0" w:after="200" w:lineRule="auto" w:line="276"/>
      </w:pPr>
      <w:r>
        <w:rPr>
          <w:b/>
        </w:rPr>
        <w:t xml:space="preserve">Abstract (EN): </w:t>
      </w:r>
      <w:r>
        <w:t>Aqueous metal‐selenium batteries (AMSeBs) have emerged as promising candidates for safe, cost‐effective, and high‐energy‐density energy storage, yet their development is hindered by challenges spanning electrode stability, reaction reversibility, and electrolyte compatibility. This review systematically explores the thermodynamic and electrochemical landscape of AMSeBs, integrating theoretical analysis with experimental advances to establish a rational design framework. First, by evaluating key parameters, including electrode potentials, volume change rates, solubility of metal selenides, and energy metrics, we identify promising systems such as Zn‐Se and Cu‐Se, along with unexplored candidates like Fe‐Se and Ga‐Se. Second, selenium‐based cathodes are categorized into three types, elemental Se &amp;amp; Se</w:t>
      </w:r>
      <w:r>
        <w:t xml:space="preserve"> </w:t>
      </w:r>
      <w:r>
        <w:t>x</w:t>
      </w:r>
      <w:r>
        <w:t xml:space="preserve"> </w:t>
      </w:r>
      <w:r>
        <w:t>S</w:t>
      </w:r>
      <w:r>
        <w:t xml:space="preserve"> </w:t>
      </w:r>
      <w:r>
        <w:t>y</w:t>
      </w:r>
      <w:r>
        <w:t xml:space="preserve"> </w:t>
      </w:r>
      <w:r>
        <w:t>composites, organic selenides, and transition metal selenides, with emphasis on multi‐electron transfer mechanisms, particularly the six‐electron Se</w:t>
      </w:r>
      <w:r>
        <w:t xml:space="preserve"> </w:t>
      </w:r>
      <w:r>
        <w:t>4+</w:t>
      </w:r>
      <w:r>
        <w:t xml:space="preserve"> </w:t>
      </w:r>
      <w:r>
        <w:t>/Se</w:t>
      </w:r>
      <w:r>
        <w:t xml:space="preserve"> </w:t>
      </w:r>
      <w:r>
        <w:t>2−</w:t>
      </w:r>
      <w:r>
        <w:t>redox pathway, which offers a route to overcome capacity limitations. Third, strategies for stabilizing metal anodes, expanding the electrochemical stability window of aqueous electrolytes, and mitigating shuttle effects are critically discussed. Finally, we outline future directions, including interface engineering, artificial intelligence‐assisted material screening, and flexible device integration, providing a roadmap toward high‐performance AMSeBs for next‐generation energy storage applications.</w:t>
      </w:r>
    </w:p>
    <w:p>
      <w:pPr>
        <w:spacing w:before="120" w:after="120"/>
      </w:pPr>
      <w:r>
        <w:rPr>
          <w:sz w:val="18"/>
        </w:rPr>
        <w:t>——————————————————————————————————————————————————————————————————————</w:t>
      </w:r>
    </w:p>
    <w:p>
      <w:pPr>
        <w:spacing w:before="160" w:after="40" w:line="240" w:lineRule="auto"/>
      </w:pPr>
      <w:r>
        <w:rPr>
          <w:b/>
        </w:rPr>
        <w:t xml:space="preserve">[38] </w:t>
      </w:r>
      <w:hyperlink r:id="rId49">
        <w:r>
          <w:rPr>
            <w:color w:val="1155CC"/>
            <w:u w:val="single"/>
          </w:rPr>
          <w:t>液态作为亚硝基和硬软物质复合物的增强剂</w:t>
        </w:r>
      </w:hyperlink>
    </w:p>
    <w:p>
      <w:pPr>
        <w:spacing w:before="0" w:after="80"/>
      </w:pPr>
      <w:r>
        <w:rPr>
          <w:i/>
          <w:sz w:val="20"/>
        </w:rPr>
        <w:t>EN: Liquids as Reinforcements for Anisotropic and Tough Soft Matter Composites</w:t>
      </w:r>
    </w:p>
    <w:p>
      <w:pPr>
        <w:spacing w:before="0" w:after="120"/>
      </w:pPr>
      <w:r>
        <w:rPr>
          <w:b/>
        </w:rPr>
        <w:t xml:space="preserve">Source: </w:t>
      </w:r>
      <w:r>
        <w:t>Wiley: Advanced Materials: Table of Contents</w:t>
      </w:r>
      <w:r>
        <w:t xml:space="preserve">    </w:t>
      </w:r>
      <w:r>
        <w:rPr>
          <w:b/>
        </w:rPr>
        <w:t xml:space="preserve">Pub date: </w:t>
      </w:r>
      <w:r>
        <w:t>2026-02-07 08:47:11+00:00</w:t>
      </w:r>
      <w:r>
        <w:t xml:space="preserve">    </w:t>
      </w:r>
      <w:r>
        <w:rPr>
          <w:b/>
        </w:rPr>
        <w:t xml:space="preserve">DOI: </w:t>
      </w:r>
      <w:hyperlink r:id="rId50">
        <w:r>
          <w:rPr>
            <w:color w:val="1155CC"/>
            <w:u w:val="single"/>
          </w:rPr>
          <w:t>10.1002/adma.72447</w:t>
        </w:r>
      </w:hyperlink>
    </w:p>
    <w:p>
      <w:pPr>
        <w:spacing w:before="0" w:after="120"/>
      </w:pPr>
      <w:r>
        <w:rPr>
          <w:b/>
        </w:rPr>
        <w:t xml:space="preserve">Notes: </w:t>
      </w:r>
      <w:r>
        <w:t>abstract_source=crossref</w:t>
      </w:r>
    </w:p>
    <w:p>
      <w:pPr>
        <w:spacing w:before="0" w:after="80" w:lineRule="auto" w:line="276"/>
      </w:pPr>
      <w:r>
        <w:rPr>
          <w:b/>
        </w:rPr>
        <w:t xml:space="preserve">摘要（ZH）: </w:t>
      </w:r>
      <w:r>
        <w:t>ABSTACT 生物组织和工程合成材料通过微型结构实现特殊的机械特性,这些结构在偏好的方向上造成僵硬和坚硬。虽然合成材料传统上利用固体加固剂驱动这种厌异性,但所有软质复合材料的定向力仍是一个长期挑战,尽管它们对在载荷下伸展和适应的软装置十分重要。在这里,我们创建了所有软质复合体,液体结合直接和促成厌异和异异质机械特性。通过在弹性体内塑造和定向液态金属滴,我们编程方向性坚硬度,使坚硬度超过36 000 J米-2,并制导线。</w:t>
      </w:r>
    </w:p>
    <w:p>
      <w:pPr>
        <w:spacing w:before="0" w:after="200" w:lineRule="auto" w:line="276"/>
      </w:pPr>
      <w:r>
        <w:rPr>
          <w:b/>
        </w:rPr>
        <w:t xml:space="preserve">Abstract (EN): </w:t>
      </w:r>
      <w:r>
        <w:t>Biological tissues and engineered composites achieve exceptional mechanical properties through microstructures that create stiffness and toughness in preferred directions. While composites traditionally leverage solid reinforcements to drive this anisotropy, directional mechanics in all‐soft matter composites remain a longstanding challenge, despite their importance for soft devices that stretch and adapt under load. Here, we create all‐soft matter composites where liquid inclusions direct and enable anisotropic and heterogeneous mechanical properties. By shaping and orienting liquid metal droplets within elastomers, we program directional stiffness, enhance toughness beyond 36,000 J m</w:t>
      </w:r>
      <w:r>
        <w:t xml:space="preserve"> </w:t>
      </w:r>
      <w:r>
        <w:t>−2</w:t>
      </w:r>
      <w:r>
        <w:t xml:space="preserve"> </w:t>
      </w:r>
      <w:r>
        <w:t>, and guide cracks along non‐linear paths with deflections up to 150 during extreme deformations. This allows liquids, which are up to a million times softer than traditional rigid inclusions, to act as mechanical reinforcements. These liquid inclusions enhance directional stiffness or softness relative to unfilled elastomers and enable programmable crack‐path engineering that surpasses simple blunting or trapping, with anisotropy tuned on demand during processing. We leverage this to protect soft circuits even under catastrophic damage, offering new possibilities to direct mechanical forces in compliant materials for resilient soft electronics and robots, wearables, and morphing matter.</w:t>
      </w:r>
    </w:p>
    <w:p>
      <w:pPr>
        <w:spacing w:before="120" w:after="120"/>
      </w:pPr>
      <w:r>
        <w:rPr>
          <w:sz w:val="18"/>
        </w:rPr>
        <w:t>——————————————————————————————————————————————————————————————————————</w:t>
      </w:r>
    </w:p>
    <w:p>
      <w:pPr>
        <w:spacing w:before="160" w:after="40" w:line="240" w:lineRule="auto"/>
      </w:pPr>
      <w:r>
        <w:rPr>
          <w:b/>
        </w:rPr>
        <w:t xml:space="preserve">[39] </w:t>
      </w:r>
      <w:hyperlink r:id="rId51">
        <w:r>
          <w:rPr>
            <w:color w:val="1155CC"/>
            <w:u w:val="single"/>
          </w:rPr>
          <w:t>具有裁缝液体金属电路的可适当拉伸的压载电动电动感应器,用于亚硝酸性应激反应和适应性动力监测</w:t>
        </w:r>
      </w:hyperlink>
    </w:p>
    <w:p>
      <w:pPr>
        <w:spacing w:before="0" w:after="80"/>
      </w:pPr>
      <w:r>
        <w:rPr>
          <w:i/>
          <w:sz w:val="20"/>
        </w:rPr>
        <w:t>EN: Topology‐Optimized Stretchable Piezoelectric Sensors With Tailored Liquid‐Metal Circuits for Anisotropic Stress‐Adaptive Motion Monitoring</w:t>
      </w:r>
    </w:p>
    <w:p>
      <w:pPr>
        <w:spacing w:before="0" w:after="120"/>
      </w:pPr>
      <w:r>
        <w:rPr>
          <w:b/>
        </w:rPr>
        <w:t xml:space="preserve">Source: </w:t>
      </w:r>
      <w:r>
        <w:t>Wiley: Advanced Materials: Table of Contents</w:t>
      </w:r>
      <w:r>
        <w:t xml:space="preserve">    </w:t>
      </w:r>
      <w:r>
        <w:rPr>
          <w:b/>
        </w:rPr>
        <w:t xml:space="preserve">Pub date: </w:t>
      </w:r>
      <w:r>
        <w:t>2026-02-07 08:47:23+00:00</w:t>
      </w:r>
      <w:r>
        <w:t xml:space="preserve">    </w:t>
      </w:r>
      <w:r>
        <w:rPr>
          <w:b/>
        </w:rPr>
        <w:t xml:space="preserve">DOI: </w:t>
      </w:r>
      <w:hyperlink r:id="rId52">
        <w:r>
          <w:rPr>
            <w:color w:val="1155CC"/>
            <w:u w:val="single"/>
          </w:rPr>
          <w:t>10.1002/adma.202518168</w:t>
        </w:r>
      </w:hyperlink>
    </w:p>
    <w:p>
      <w:pPr>
        <w:spacing w:before="0" w:after="120"/>
      </w:pPr>
      <w:r>
        <w:rPr>
          <w:b/>
        </w:rPr>
        <w:t xml:space="preserve">Notes: </w:t>
      </w:r>
      <w:r>
        <w:t>abstract_source=crossref</w:t>
      </w:r>
    </w:p>
    <w:p>
      <w:pPr>
        <w:spacing w:before="0" w:after="80" w:lineRule="auto" w:line="276"/>
      </w:pPr>
      <w:r>
        <w:rPr>
          <w:b/>
        </w:rPr>
        <w:t xml:space="preserve">摘要（ZH）: </w:t>
      </w:r>
      <w:r>
        <w:t>由于在保持高效压力转换的同时实现高水平机械变形的能力之间的内在平衡,高敏度可伸展式电动传感器的设计仍然具有挑战性。在这里,我们提出一个新的地形优化战略,以建造可伸展式电动传感器,高效地利用空间压力分布,并能够适应一系列厌食性机械压力状态。通过利用计算机辅助的地形优化,在传感器内分配电压陶瓷装置是为了最大限度地提高压力转移程度,从而在受到紧张和压力影响时,最大电压潜力分别增加103.5%和59.7%。</w:t>
      </w:r>
    </w:p>
    <w:p>
      <w:pPr>
        <w:spacing w:before="0" w:after="200" w:lineRule="auto" w:line="276"/>
      </w:pPr>
      <w:r>
        <w:rPr>
          <w:b/>
        </w:rPr>
        <w:t xml:space="preserve">Abstract (EN): </w:t>
      </w:r>
      <w:r>
        <w:t>The design of high‐sensitivity stretchable piezoelectric sensors remains challenging due to the inherent trade‐off between the ability to achieve high levels of mechanical deformation while maintaining efficient stress transduction. Here, we propose a new topology‐optimization strategy to construct stretchable piezoelectric sensors that efficiently utilize the spatial stress distribution and are able to adapt to a range of anisotropic mechanical stress states. By exploiting computer‐aided topology optimization, the distribution of piezoelectric ceramic units within the sensor was tailored to maximize the degree of stress transfer, resulting in an increase of 103.5% and 59.7% in the maximum piezoelectric potential when subject to tension and torsion, respectively. To ensure structural stretchability and adaptability of the topology optimized sensors when subject to complex loading environments, a direct ink writing process was developed to create stretchable eutectic gallium‐indium liquid alloy (EGaIn) electrodes. Based on a shear‐driven mechanism of printing, new predictive theoretical equations governing printing performance were developed that could predict the printed state (with 94.7% accuracy) and enable trace width control (relative error &amp;lt; 15%). The final optimized sensor exhibited excellent sensitivity, achieving 14.0 V per strain and 0.10 V per degree when subject to tensile and torsional loads, exceeding the unoptimized device by 59.2% and 92.4%, respectively. Finally, inspired by the morphological characteristics of butterflies and guided by the topology‐optimized layout, a multi‐channel sensor was constructed to accurately identify the pattern and amplitude of a complex range of neck movements, demonstrating the significant potential of the new design and manufacturing approach for wearable electronics.</w:t>
      </w:r>
    </w:p>
    <w:p>
      <w:pPr>
        <w:spacing w:before="120" w:after="120"/>
      </w:pPr>
      <w:r>
        <w:rPr>
          <w:sz w:val="18"/>
        </w:rPr>
        <w:t>——————————————————————————————————————————————————————————————————————</w:t>
      </w:r>
    </w:p>
    <w:p>
      <w:pPr>
        <w:spacing w:before="160" w:after="40" w:line="240" w:lineRule="auto"/>
      </w:pPr>
      <w:r>
        <w:rPr>
          <w:b/>
        </w:rPr>
        <w:t xml:space="preserve">[40] </w:t>
      </w:r>
      <w:hyperlink r:id="rId53">
        <w:r>
          <w:rPr>
            <w:color w:val="1155CC"/>
            <w:u w:val="single"/>
          </w:rPr>
          <w:t>太阳能Driven H2O2 和 苯zaldhyde 原子界面动力电-Hole航天飞机</w:t>
        </w:r>
      </w:hyperlink>
    </w:p>
    <w:p>
      <w:pPr>
        <w:spacing w:before="0" w:after="80"/>
      </w:pPr>
      <w:r>
        <w:rPr>
          <w:i/>
          <w:sz w:val="20"/>
        </w:rPr>
        <w:t>EN: Dynamic Electron–Hole Shuttle at Atomic Interfaces for Solar‐Driven H2O2 and Benzaldehyde Coproduction</w:t>
      </w:r>
    </w:p>
    <w:p>
      <w:pPr>
        <w:spacing w:before="0" w:after="120"/>
      </w:pPr>
      <w:r>
        <w:rPr>
          <w:b/>
        </w:rPr>
        <w:t xml:space="preserve">Source: </w:t>
      </w:r>
      <w:r>
        <w:t>Wiley: Advanced Materials: Table of Contents</w:t>
      </w:r>
      <w:r>
        <w:t xml:space="preserve">    </w:t>
      </w:r>
      <w:r>
        <w:rPr>
          <w:b/>
        </w:rPr>
        <w:t xml:space="preserve">Pub date: </w:t>
      </w:r>
      <w:r>
        <w:t>2026-02-07 08:52:09+00:00</w:t>
      </w:r>
      <w:r>
        <w:t xml:space="preserve">    </w:t>
      </w:r>
      <w:r>
        <w:rPr>
          <w:b/>
        </w:rPr>
        <w:t xml:space="preserve">DOI: </w:t>
      </w:r>
      <w:hyperlink r:id="rId54">
        <w:r>
          <w:rPr>
            <w:color w:val="1155CC"/>
            <w:u w:val="single"/>
          </w:rPr>
          <w:t>10.1002/adma.202522711</w:t>
        </w:r>
      </w:hyperlink>
    </w:p>
    <w:p>
      <w:pPr>
        <w:spacing w:before="0" w:after="120"/>
      </w:pPr>
      <w:r>
        <w:rPr>
          <w:b/>
        </w:rPr>
        <w:t xml:space="preserve">Notes: </w:t>
      </w:r>
      <w:r>
        <w:t>abstract_source=crossref</w:t>
      </w:r>
    </w:p>
    <w:p>
      <w:pPr>
        <w:spacing w:before="0" w:after="80" w:lineRule="auto" w:line="276"/>
      </w:pPr>
      <w:r>
        <w:rPr>
          <w:b/>
        </w:rPr>
        <w:t xml:space="preserve">摘要（ZH）: </w:t>
      </w:r>
      <w:r>
        <w:t>利用太阳能同时生产增值化学物质需要空间分离红氧化工艺的关键步骤。 但是,常规光电催化剂仍然受到低速充电动力和不可逆转的再组合的制约。 在这里,我们提议在金子聚金中建立一个原子水平的跨空间穿梭机制(HNiMn 2 O 4/Au 0.5 NCs),它与Ni 3+/Ni 2+红氧化循环结合,同时使用动态电眼分离。 超高速中转吸收光谱显示,它与Ni 3+/Ni 2+红氧化循环结合。</w:t>
      </w:r>
    </w:p>
    <w:p>
      <w:pPr>
        <w:spacing w:before="0" w:after="200" w:lineRule="auto" w:line="276"/>
      </w:pPr>
      <w:r>
        <w:rPr>
          <w:b/>
        </w:rPr>
        <w:t xml:space="preserve">Abstract (EN): </w:t>
      </w:r>
      <w:r>
        <w:t>Harnessing solar energy to produce value‐added chemicals simultaneously requires the critical step of spatially separating redox processes. However, conventional photocatalysts remain fundamentally constrained by sluggish charge dynamics and irreversible recombination. Here, we propose an atomic‐level interfacial shuttle mechanism in sub‐nanometer gold cluster‐anchored nickel manganite (H‐NiMn</w:t>
      </w:r>
      <w:r>
        <w:rPr>
          <w:vertAlign w:val="subscript"/>
        </w:rPr>
        <w:t>2</w:t>
      </w:r>
      <w:r>
        <w:t>O</w:t>
      </w:r>
      <w:r>
        <w:t xml:space="preserve"> </w:t>
      </w:r>
      <w:r>
        <w:t>4‐β</w:t>
      </w:r>
      <w:r>
        <w:t xml:space="preserve"> </w:t>
      </w:r>
      <w:r>
        <w:t>/Au</w:t>
      </w:r>
      <w:r>
        <w:t xml:space="preserve"> </w:t>
      </w:r>
      <w:r>
        <w:t>0.5</w:t>
      </w:r>
      <w:r>
        <w:t xml:space="preserve"> </w:t>
      </w:r>
      <w:r>
        <w:t>NCs), which couples dynamic electron–hole separation with Ni</w:t>
      </w:r>
      <w:r>
        <w:t xml:space="preserve"> </w:t>
      </w:r>
      <w:r>
        <w:t>3+</w:t>
      </w:r>
      <w:r>
        <w:t xml:space="preserve"> </w:t>
      </w:r>
      <w:r>
        <w:t>/Ni</w:t>
      </w:r>
      <w:r>
        <w:t xml:space="preserve"> </w:t>
      </w:r>
      <w:r>
        <w:t>2+</w:t>
      </w:r>
      <w:r>
        <w:t xml:space="preserve"> </w:t>
      </w:r>
      <w:r>
        <w:t>redox cycling. Ultrafast transient absorption spectroscopy indicates electron transfer occurring within 3.06 ps, mediated by an Au–O–Ni coordination interface. In this system, Ni</w:t>
      </w:r>
      <w:r>
        <w:t xml:space="preserve"> </w:t>
      </w:r>
      <w:r>
        <w:t>3+</w:t>
      </w:r>
      <w:r>
        <w:t xml:space="preserve"> </w:t>
      </w:r>
      <w:r>
        <w:t>functions as a transient electron trap, undergoing rapid reduction to Ni</w:t>
      </w:r>
      <w:r>
        <w:t xml:space="preserve"> </w:t>
      </w:r>
      <w:r>
        <w:t>2+</w:t>
      </w:r>
      <w:r>
        <w:t xml:space="preserve"> </w:t>
      </w:r>
      <w:r>
        <w:t>and subsequently transferring electrons to adjacent Au clusters, accelerating charge kinetics by 22.16‐fold. This atomic‐scale electron relay selectively steers 2e</w:t>
      </w:r>
      <w:r>
        <w:t xml:space="preserve"> </w:t>
      </w:r>
      <w:r>
        <w:t>−</w:t>
      </w:r>
      <w:r>
        <w:t>oxygen reduction by balancing *OOH intermediate stabilization and desorption, yielding H</w:t>
      </w:r>
      <w:r>
        <w:rPr>
          <w:vertAlign w:val="subscript"/>
        </w:rPr>
        <w:t>2</w:t>
      </w:r>
      <w:r>
        <w:t>O</w:t>
      </w:r>
      <w:r>
        <w:rPr>
          <w:vertAlign w:val="subscript"/>
        </w:rPr>
        <w:t>2</w:t>
      </w:r>
      <w:r>
        <w:t>at 1.00 mmol g</w:t>
      </w:r>
      <w:r>
        <w:t xml:space="preserve"> </w:t>
      </w:r>
      <w:r>
        <w:t>−1</w:t>
      </w:r>
      <w:r>
        <w:t xml:space="preserve"> </w:t>
      </w:r>
      <w:r>
        <w:t>h</w:t>
      </w:r>
      <w:r>
        <w:t xml:space="preserve"> </w:t>
      </w:r>
      <w:r>
        <w:t>−1</w:t>
      </w:r>
      <w:r>
        <w:t xml:space="preserve"> </w:t>
      </w:r>
      <w:r>
        <w:t>. Simultaneously, hole accumulation on lattice oxygen drives α–H abstraction, enabling photooxidation of benzyl alcohol to benzaldehyde (14.59 mmol g</w:t>
      </w:r>
      <w:r>
        <w:t xml:space="preserve"> </w:t>
      </w:r>
      <w:r>
        <w:t>−1</w:t>
      </w:r>
      <w:r>
        <w:t xml:space="preserve"> </w:t>
      </w:r>
      <w:r>
        <w:t>h</w:t>
      </w:r>
      <w:r>
        <w:t xml:space="preserve"> </w:t>
      </w:r>
      <w:r>
        <w:t>−1</w:t>
      </w:r>
      <w:r>
        <w:t xml:space="preserve"> </w:t>
      </w:r>
      <w:r>
        <w:t>). This work presents a dynamic dual‐site catalysis model, offering atomic‐level insight into interfacial charge management for solar‐driven redox transformations.</w:t>
      </w:r>
    </w:p>
    <w:p>
      <w:pPr>
        <w:spacing w:before="120" w:after="120"/>
      </w:pPr>
      <w:r>
        <w:rPr>
          <w:sz w:val="18"/>
        </w:rPr>
        <w:t>——————————————————————————————————————————————————————————————————————</w:t>
      </w:r>
    </w:p>
    <w:p>
      <w:pPr>
        <w:spacing w:before="160" w:after="40" w:line="240" w:lineRule="auto"/>
      </w:pPr>
      <w:r>
        <w:rPr>
          <w:b/>
        </w:rPr>
        <w:t xml:space="preserve">[41] </w:t>
      </w:r>
      <w:hyperlink r:id="rId55">
        <w:r>
          <w:rPr>
            <w:color w:val="1155CC"/>
            <w:u w:val="single"/>
          </w:rPr>
          <w:t>热装甲能使Perovskite Meta-Aerogel 具有精细定制性液态高达600K</w:t>
        </w:r>
      </w:hyperlink>
    </w:p>
    <w:p>
      <w:pPr>
        <w:spacing w:before="0" w:after="80"/>
      </w:pPr>
      <w:r>
        <w:rPr>
          <w:i/>
          <w:sz w:val="20"/>
        </w:rPr>
        <w:t>EN: Bioinspired Thermal Armor Enables Perovskite Meta‐Aerogels with Spectrally Tailored Luminescence up to 600 K</w:t>
      </w:r>
    </w:p>
    <w:p>
      <w:pPr>
        <w:spacing w:before="0" w:after="120"/>
      </w:pPr>
      <w:r>
        <w:rPr>
          <w:b/>
        </w:rPr>
        <w:t xml:space="preserve">Source: </w:t>
      </w:r>
      <w:r>
        <w:t>Wiley: Advanced Materials: Table of Contents</w:t>
      </w:r>
      <w:r>
        <w:t xml:space="preserve">    </w:t>
      </w:r>
      <w:r>
        <w:rPr>
          <w:b/>
        </w:rPr>
        <w:t xml:space="preserve">Pub date: </w:t>
      </w:r>
      <w:r>
        <w:t>2026-02-07 08:55:27+00:00</w:t>
      </w:r>
      <w:r>
        <w:t xml:space="preserve">    </w:t>
      </w:r>
      <w:r>
        <w:rPr>
          <w:b/>
        </w:rPr>
        <w:t xml:space="preserve">DOI: </w:t>
      </w:r>
      <w:hyperlink r:id="rId56">
        <w:r>
          <w:rPr>
            <w:color w:val="1155CC"/>
            <w:u w:val="single"/>
          </w:rPr>
          <w:t>10.1002/adma.202523117</w:t>
        </w:r>
      </w:hyperlink>
    </w:p>
    <w:p>
      <w:pPr>
        <w:spacing w:before="0" w:after="120"/>
      </w:pPr>
      <w:r>
        <w:rPr>
          <w:b/>
        </w:rPr>
        <w:t xml:space="preserve">Notes: </w:t>
      </w:r>
      <w:r>
        <w:t>abstract_source=crossref</w:t>
      </w:r>
    </w:p>
    <w:p>
      <w:pPr>
        <w:spacing w:before="0" w:after="80" w:lineRule="auto" w:line="276"/>
      </w:pPr>
      <w:r>
        <w:rPr>
          <w:b/>
        </w:rPr>
        <w:t xml:space="preserve">摘要（ZH）: </w:t>
      </w:r>
      <w:r>
        <w:t>高温高温弹性发光材料——有利于信息传输、安全监测和在极端温度下运行的可靠性——极有可能对冶金、石化化学工程和防火保护等应用要求很高,但开发包含多色排放、高色纯度和高温机械灵活性的发光材料,仍然是一项令人兴奋但艰巨的挑战。</w:t>
      </w:r>
    </w:p>
    <w:p>
      <w:pPr>
        <w:spacing w:before="0" w:after="200" w:lineRule="auto" w:line="276"/>
      </w:pPr>
      <w:r>
        <w:rPr>
          <w:b/>
        </w:rPr>
        <w:t xml:space="preserve">Abstract (EN): </w:t>
      </w:r>
      <w:r>
        <w:t>High‐temperature flexible luminescent materials—enabling information transmission, safety monitoring, and operational reliability at extreme temperatures—have great potential for demanding applications such as metallurgy, petrochemical engineering, and fire protection. However, developing luminescent materials that integrate multicolor emission, high color purity, and mechanical flexibility at high temperatures remains an appealing yet formidable challenge. Herein, inspired by the multilevel architecture protecting pigments in the vividly colored butterfly's wing, we present a multiscale self‐confinement strategy to fabricate flexible perovskite luminescent nanofibrous meta‐aerogels with bioinspired thermal armor. Benefiting from multidimensional encapsulation to shield perovskite from extrinsic environmental perturbations and directional confinement to suppress ion migration and particle agglomeration, the biomimetic flexible meta‐aerogels achieve stable luminescence up to 600 K. The resulting meta‐aerogels exhibit tunable emission from blue to red and narrow‐band emission (full width at half maximum &amp;lt; 45 nm). Furthermore, the meta‐aerogels demonstrate excellent recovery after 500 compression cycles and temperature‐invariant superelasticity. These advancements highlight the significant potential of these materials for next‐generation flexible lighting and display applications under extreme conditions.</w:t>
      </w:r>
    </w:p>
    <w:p>
      <w:pPr>
        <w:spacing w:before="120" w:after="120"/>
      </w:pPr>
      <w:r>
        <w:rPr>
          <w:sz w:val="18"/>
        </w:rPr>
        <w:t>——————————————————————————————————————————————————————————————————————</w:t>
      </w:r>
    </w:p>
    <w:p>
      <w:pPr>
        <w:spacing w:before="160" w:after="40" w:line="240" w:lineRule="auto"/>
      </w:pPr>
      <w:r>
        <w:rPr>
          <w:b/>
        </w:rPr>
        <w:t xml:space="preserve">[42] </w:t>
      </w:r>
      <w:hyperlink r:id="rId57">
        <w:r>
          <w:rPr>
            <w:color w:val="1155CC"/>
            <w:u w:val="single"/>
          </w:rPr>
          <w:t>促进可持续安全的所有可重新配置物理不克隆功能</w:t>
        </w:r>
      </w:hyperlink>
    </w:p>
    <w:p>
      <w:pPr>
        <w:spacing w:before="0" w:after="80"/>
      </w:pPr>
      <w:r>
        <w:rPr>
          <w:i/>
          <w:sz w:val="20"/>
        </w:rPr>
        <w:t>EN: All‐Optical Reconfigurable Physical Unclonable Function for Sustainable Security</w:t>
      </w:r>
    </w:p>
    <w:p>
      <w:pPr>
        <w:spacing w:before="0" w:after="120"/>
      </w:pPr>
      <w:r>
        <w:rPr>
          <w:b/>
        </w:rPr>
        <w:t xml:space="preserve">Source: </w:t>
      </w:r>
      <w:r>
        <w:t>Wiley: Advanced Materials: Table of Contents</w:t>
      </w:r>
      <w:r>
        <w:t xml:space="preserve">    </w:t>
      </w:r>
      <w:r>
        <w:rPr>
          <w:b/>
        </w:rPr>
        <w:t xml:space="preserve">Pub date: </w:t>
      </w:r>
      <w:r>
        <w:t>2026-02-07 08:57:28+00:00</w:t>
      </w:r>
      <w:r>
        <w:t xml:space="preserve">    </w:t>
      </w:r>
      <w:r>
        <w:rPr>
          <w:b/>
        </w:rPr>
        <w:t xml:space="preserve">DOI: </w:t>
      </w:r>
      <w:hyperlink r:id="rId58">
        <w:r>
          <w:rPr>
            <w:color w:val="1155CC"/>
            <w:u w:val="single"/>
          </w:rPr>
          <w:t>10.1002/adma.202521712</w:t>
        </w:r>
      </w:hyperlink>
    </w:p>
    <w:p>
      <w:pPr>
        <w:spacing w:before="0" w:after="120"/>
      </w:pPr>
      <w:r>
        <w:rPr>
          <w:b/>
        </w:rPr>
        <w:t xml:space="preserve">Notes: </w:t>
      </w:r>
      <w:r>
        <w:t>abstract_source=crossref</w:t>
      </w:r>
    </w:p>
    <w:p>
      <w:pPr>
        <w:spacing w:before="0" w:after="80" w:lineRule="auto" w:line="276"/>
      </w:pPr>
      <w:r>
        <w:rPr>
          <w:b/>
        </w:rPr>
        <w:t xml:space="preserve">摘要（ZH）: </w:t>
      </w:r>
      <w:r>
        <w:t>随着安全威胁的继续演变,静态物理不协调功能(PUF)系统在安全可持续性方面正面临固有的限制。这种对可持续安全日益增长的需求正在推动向动态和可重新配置的PUF系统的范式转变。然而,由于对热稳定性和可缩放性的担忧,以前依靠热处理重建物理实体的办法在实际操作上可能有限。在这里,我们提出了一个全光再配置功能(PUF),通过非侵入性和可缩放的光学技术满足这一未满足的需要。为了证明这一点,我们采用了纳米模型方法,使用光学困住的金纳米粒子(AuNPPs)的相交法来制造光学微软胶片(AuNPs)。</w:t>
      </w:r>
    </w:p>
    <w:p>
      <w:pPr>
        <w:spacing w:before="0" w:after="200" w:lineRule="auto" w:line="276"/>
      </w:pPr>
      <w:r>
        <w:rPr>
          <w:b/>
        </w:rPr>
        <w:t xml:space="preserve">Abstract (EN): </w:t>
      </w:r>
      <w:r>
        <w:t>As security threats continue to evolve, static physical unclonable function (PUF) systems are facing inherent limitations in their security sustainability. This growing demand for sustainable security is driving a paradigm shift toward dynamic and reconfigurable PUF systems. However, previous approaches relying on thermal treatments to reconstruct physical entities can be limited in practicality due to concerns over thermal stability and scalability. Here, we present an all‐optical reconfigurable PUF that fills this unmet need through non‐invasive and scalable optical techniques. To demonstrate this, we introduce a nanopatterning method that employs plasmonic coupling‐induced sintering of optically trapped gold nanoparticles (AuNPs) to fabricate optical PUFs. The resulting PUFs, which leverage complex spatiospectral information, deliver practically sufficient security, outstanding encoding density, and robust resistance against machine learning‐based modeling attacks. Furthermore, we validate the applicability of the proposed PUF system for anti‐counterfeiting and traceability applications by implementing a lightweight authentication protocol that exhibits reliable performance. Lastly, we demonstrate that irreversible and on‐demand reconfiguration through optothermal nudging of patterned AuNPs enables repeated generation of unpredictable and independent responses while maintaining consistent security. These demonstrations signify the potential of our all‐optical approach as a promising pathway toward achieving sustainable hardware‐based security.</w:t>
      </w:r>
    </w:p>
    <w:p>
      <w:pPr>
        <w:spacing w:before="120" w:after="120"/>
      </w:pPr>
      <w:r>
        <w:rPr>
          <w:sz w:val="18"/>
        </w:rPr>
        <w:t>——————————————————————————————————————————————————————————————————————</w:t>
      </w:r>
    </w:p>
    <w:p>
      <w:pPr>
        <w:spacing w:before="160" w:after="40" w:line="240" w:lineRule="auto"/>
      </w:pPr>
      <w:r>
        <w:rPr>
          <w:b/>
        </w:rPr>
        <w:t xml:space="preserve">[43] </w:t>
      </w:r>
      <w:hyperlink r:id="rId59">
        <w:r>
          <w:rPr>
            <w:color w:val="1155CC"/>
            <w:u w:val="single"/>
          </w:rPr>
          <w:t>铁电聚(乙烯氟化物)同族体</w:t>
        </w:r>
      </w:hyperlink>
    </w:p>
    <w:p>
      <w:pPr>
        <w:spacing w:before="0" w:after="80"/>
      </w:pPr>
      <w:r>
        <w:rPr>
          <w:i/>
          <w:sz w:val="20"/>
        </w:rPr>
        <w:t>EN: Intrinsic Elastification of Ferroelectric Poly(vinylidene fluoride) Homopolymers</w:t>
      </w:r>
    </w:p>
    <w:p>
      <w:pPr>
        <w:spacing w:before="0" w:after="120"/>
      </w:pPr>
      <w:r>
        <w:rPr>
          <w:b/>
        </w:rPr>
        <w:t xml:space="preserve">Source: </w:t>
      </w:r>
      <w:r>
        <w:t>Wiley: Angewandte Chemie International Edition: Table of Contents</w:t>
      </w:r>
      <w:r>
        <w:t xml:space="preserve">    </w:t>
      </w:r>
      <w:r>
        <w:rPr>
          <w:b/>
        </w:rPr>
        <w:t xml:space="preserve">Pub date: </w:t>
      </w:r>
      <w:r>
        <w:t>2026-02-07 08:58:14+00:00</w:t>
      </w:r>
      <w:r>
        <w:t xml:space="preserve">    </w:t>
      </w:r>
      <w:r>
        <w:rPr>
          <w:b/>
        </w:rPr>
        <w:t xml:space="preserve">DOI: </w:t>
      </w:r>
      <w:hyperlink r:id="rId60">
        <w:r>
          <w:rPr>
            <w:color w:val="1155CC"/>
            <w:u w:val="single"/>
          </w:rPr>
          <w:t>10.1002/anie.4732764</w:t>
        </w:r>
      </w:hyperlink>
    </w:p>
    <w:p>
      <w:pPr>
        <w:spacing w:before="0" w:after="120"/>
      </w:pPr>
      <w:r>
        <w:rPr>
          <w:b/>
        </w:rPr>
        <w:t xml:space="preserve">Notes: </w:t>
      </w:r>
      <w:r>
        <w:t>abstract_source=crossref</w:t>
      </w:r>
    </w:p>
    <w:p>
      <w:pPr>
        <w:spacing w:before="0" w:after="80" w:lineRule="auto" w:line="276"/>
      </w:pPr>
      <w:r>
        <w:rPr>
          <w:b/>
        </w:rPr>
        <w:t xml:space="preserve">摘要（ZH）: </w:t>
      </w:r>
      <w:r>
        <w:t>ABSTACT Elastic Articer-电电因其柔软性、可伸缩性以及铁电和花电反应而不同,是下一代可磨损电子产品中很有希望的候选产品。目前,通过“光交叉联系”战略实现了铁电聚合物的内在弹性。 “光交叉联系”战略依靠成本昂贵的多(乙烯-氟)基共聚物,而Curie温度低,从而限制了这些聚合物在高温度下的运作。相比之下,PVDF同质聚合物成本低,具有内在较高的Curie温度,而其高模量长期阻碍弹性。 在这里,我们克服了这些限制,在PVDF同质聚合物中引入了高度活性、软长链交叉联系器,使Simu得以使用。</w:t>
      </w:r>
    </w:p>
    <w:p>
      <w:pPr>
        <w:spacing w:before="0" w:after="200" w:lineRule="auto" w:line="276"/>
      </w:pPr>
      <w:r>
        <w:rPr>
          <w:b/>
        </w:rPr>
        <w:t xml:space="preserve">Abstract (EN): </w:t>
      </w:r>
      <w:r>
        <w:t>Elastic ferroelectrics, distinguished by their softness, stretchability, and ferroelectric and piezoelectric responses, are promising candidates in next‐generation wearable electronics. Currently, the intrinsic elastification of ferroelectric polymers has been achieved through a “slight crosslinking” strategy, which relies on costly poly(vinylidene fluoride) (PVDF)‐based copolymers with low Curie temperatures, thereby limiting their operation at high temperatures. In contrast, PVDF homopolymers are low‐cost and possess an inherently high Curie temperature, while their high modulus has long hindered elasticity. Here, we overcome these limitations by introducing highly reactive, soft long‐chain crosslinkers into PVDF homopolymers, enabling simultaneous low cost, high thermal stability, and intrinsic elasticity. By tuning the crosslinking density, intrinsically elastic ferroelectrics based on PVDF homopolymer were obtained with over 80% elastic recovery under 60% strain. Remarkably, the materials retain a high remanent polarization (</w:t>
      </w:r>
      <w:r>
        <w:t xml:space="preserve"> </w:t>
      </w:r>
      <w:r>
        <w:t>P</w:t>
      </w:r>
      <w:r>
        <w:t xml:space="preserve"> </w:t>
      </w:r>
      <w:r>
        <w:t>r</w:t>
      </w:r>
      <w:r>
        <w:t xml:space="preserve"> </w:t>
      </w:r>
      <w:r>
        <w:t>) of 7.00 µC/cm</w:t>
      </w:r>
      <w:r>
        <w:rPr>
          <w:vertAlign w:val="subscript"/>
        </w:rPr>
        <w:t>2</w:t>
      </w:r>
      <w:r>
        <w:t>at 110°C. The materials maintain stable ferroelectric responses even under strains up to 70%. This study resolves the long‐standing challenge of elastifying high‐modulus PVDF homopolymers and develops a low‐cost, thermally robust, intrinsically elastic ferroelectric. These advances outline a promising pathway toward next‐generation wearable electronics that demand both high elasticity and high‐temperature operation.</w:t>
      </w:r>
    </w:p>
    <w:p>
      <w:pPr>
        <w:spacing w:before="120" w:after="120"/>
      </w:pPr>
      <w:r>
        <w:rPr>
          <w:sz w:val="18"/>
        </w:rPr>
        <w:t>——————————————————————————————————————————————————————————————————————</w:t>
      </w:r>
    </w:p>
    <w:p>
      <w:pPr>
        <w:spacing w:before="160" w:after="40" w:line="240" w:lineRule="auto"/>
      </w:pPr>
      <w:r>
        <w:rPr>
          <w:b/>
        </w:rPr>
        <w:t xml:space="preserve">[44] </w:t>
      </w:r>
      <w:hyperlink r:id="rId61">
        <w:r>
          <w:rPr>
            <w:color w:val="1155CC"/>
            <w:u w:val="single"/>
          </w:rPr>
          <w:t>通过便利制造大型Area Perovskite太阳能舱而实现的软协调</w:t>
        </w:r>
      </w:hyperlink>
    </w:p>
    <w:p>
      <w:pPr>
        <w:spacing w:before="0" w:after="80"/>
      </w:pPr>
      <w:r>
        <w:rPr>
          <w:i/>
          <w:sz w:val="20"/>
        </w:rPr>
        <w:t>EN: Mild Coordination Enabled by Steric Hindrance Facilitates Fabrication of Large‐Area Perovskite Solar Modules</w:t>
      </w:r>
    </w:p>
    <w:p>
      <w:pPr>
        <w:spacing w:before="0" w:after="120"/>
      </w:pPr>
      <w:r>
        <w:rPr>
          <w:b/>
        </w:rPr>
        <w:t xml:space="preserve">Source: </w:t>
      </w:r>
      <w:r>
        <w:t>Wiley: Advanced Materials: Table of Contents</w:t>
      </w:r>
      <w:r>
        <w:t xml:space="preserve">    </w:t>
      </w:r>
      <w:r>
        <w:rPr>
          <w:b/>
        </w:rPr>
        <w:t xml:space="preserve">Pub date: </w:t>
      </w:r>
      <w:r>
        <w:t>2026-02-07 08:58:40+00:00</w:t>
      </w:r>
      <w:r>
        <w:t xml:space="preserve">    </w:t>
      </w:r>
      <w:r>
        <w:rPr>
          <w:b/>
        </w:rPr>
        <w:t xml:space="preserve">DOI: </w:t>
      </w:r>
      <w:hyperlink r:id="rId62">
        <w:r>
          <w:rPr>
            <w:color w:val="1155CC"/>
            <w:u w:val="single"/>
          </w:rPr>
          <w:t>10.1002/adma.202521181</w:t>
        </w:r>
      </w:hyperlink>
    </w:p>
    <w:p>
      <w:pPr>
        <w:spacing w:before="0" w:after="120"/>
      </w:pPr>
      <w:r>
        <w:rPr>
          <w:b/>
        </w:rPr>
        <w:t xml:space="preserve">Notes: </w:t>
      </w:r>
      <w:r>
        <w:t>abstract_source=crossref</w:t>
      </w:r>
    </w:p>
    <w:p>
      <w:pPr>
        <w:spacing w:before="0" w:after="80" w:lineRule="auto" w:line="276"/>
      </w:pPr>
      <w:r>
        <w:rPr>
          <w:b/>
        </w:rPr>
        <w:t xml:space="preserve">摘要（ZH）: </w:t>
      </w:r>
      <w:r>
        <w:t>由于难以控制大片地区子层的晶化同质性和减轻埋在地下的干扰性缺陷,高高效全氟化有机化太阳能模块的可缩缩化制造面临严峻的挑战。通常使用的二甲基硫氧化物(DMSO)可诱发多种核素,并易被困在胶片中。引入二乙基硫化二氧化物(DESO),一种挥发性刘易斯酸基添加剂,从它的分支链结构中产生阻塞效应,与PbI 2进行温和的协调。这一结构特征减少了DESO和PbI 2之间的结合能量,避免形成复杂的结合。</w:t>
      </w:r>
    </w:p>
    <w:p>
      <w:pPr>
        <w:spacing w:before="0" w:after="200" w:lineRule="auto" w:line="276"/>
      </w:pPr>
      <w:r>
        <w:rPr>
          <w:b/>
        </w:rPr>
        <w:t xml:space="preserve">Abstract (EN): </w:t>
      </w:r>
      <w:r>
        <w:t>The scalable fabrication of high‐efficiency perovskite solar modules is critically challenged by the difficulty in controlling crystallization homogeneity and mitigating buried interfacial defects across large‐area substrates. The commonly used dimethyl sulfoxide (DMSO) can induce heterogeneous nucleation and is prone to remain trapped within the films. Herein, diethyl sulfoxide (DESO) is introduced, a volatile Lewis acid‐base additive that leverages steric hindrance effects from its branched‐chain structure to achieve mild coordination with PbI</w:t>
      </w:r>
      <w:r>
        <w:rPr>
          <w:vertAlign w:val="subscript"/>
        </w:rPr>
        <w:t>2</w:t>
      </w:r>
      <w:r>
        <w:t>. This structural feature reduces the binding energy between DESO and PbI</w:t>
      </w:r>
      <w:r>
        <w:rPr>
          <w:vertAlign w:val="subscript"/>
        </w:rPr>
        <w:t>2</w:t>
      </w:r>
      <w:r>
        <w:t>, which avoid the formation of complex metastable intermediate phases. Moreover, the low binding energy of DESO enables its complete removal during vacuum quenching via rapid evaporation, effectively suppressing void formation at the buried interfaces during the subsequent annealing. The resultant perovskite films yield perovskite solar modules (PSMs) with power conversion efficiencies (PCEs) of 22.9% (11.2 cm</w:t>
      </w:r>
      <w:r>
        <w:rPr>
          <w:vertAlign w:val="subscript"/>
        </w:rPr>
        <w:t>2</w:t>
      </w:r>
      <w:r>
        <w:t>, aperture area) and 20.8% (692 cm</w:t>
      </w:r>
      <w:r>
        <w:rPr>
          <w:vertAlign w:val="subscript"/>
        </w:rPr>
        <w:t>2</w:t>
      </w:r>
      <w:r>
        <w:t>, aperture area) via scalable processes. These devices exhibit operational stability, retaining &amp;gt;96% of their initial PCE after 2000 h under continuous 1‐sun illumination and &amp;gt;95% PCE following 2000 h damp‐heat testing (85°C/85% RH).</w:t>
      </w:r>
    </w:p>
    <w:p>
      <w:pPr>
        <w:spacing w:before="120" w:after="120"/>
      </w:pPr>
      <w:r>
        <w:rPr>
          <w:sz w:val="18"/>
        </w:rPr>
        <w:t>——————————————————————————————————————————————————————————————————————</w:t>
      </w:r>
    </w:p>
    <w:p>
      <w:pPr>
        <w:spacing w:before="160" w:after="40" w:line="240" w:lineRule="auto"/>
      </w:pPr>
      <w:r>
        <w:rPr>
          <w:b/>
        </w:rPr>
        <w:t xml:space="preserve">[45] </w:t>
      </w:r>
      <w:hyperlink r:id="rId63">
        <w:r>
          <w:rPr>
            <w:color w:val="1155CC"/>
            <w:u w:val="single"/>
          </w:rPr>
          <w:t>断裂单反应限制:在硫化锂电池中TiS2Driven转化和相互放大协同的等光可视化中</w:t>
        </w:r>
      </w:hyperlink>
    </w:p>
    <w:p>
      <w:pPr>
        <w:spacing w:before="0" w:after="80"/>
      </w:pPr>
      <w:r>
        <w:rPr>
          <w:i/>
          <w:sz w:val="20"/>
        </w:rPr>
        <w:t>EN: Breaking Single‐Reaction Limits: In Situ Visualization of TiS2‐Driven Conversion‐Intercalation Synergy in Lithium‐Sulfur Batteries</w:t>
      </w:r>
    </w:p>
    <w:p>
      <w:pPr>
        <w:spacing w:before="0" w:after="120"/>
      </w:pPr>
      <w:r>
        <w:rPr>
          <w:b/>
        </w:rPr>
        <w:t xml:space="preserve">Source: </w:t>
      </w:r>
      <w:r>
        <w:t>Wiley: Advanced Materials: Table of Contents</w:t>
      </w:r>
      <w:r>
        <w:t xml:space="preserve">    </w:t>
      </w:r>
      <w:r>
        <w:rPr>
          <w:b/>
        </w:rPr>
        <w:t xml:space="preserve">Pub date: </w:t>
      </w:r>
      <w:r>
        <w:t>2026-02-07 08:59:11+00:00</w:t>
      </w:r>
      <w:r>
        <w:t xml:space="preserve">    </w:t>
      </w:r>
      <w:r>
        <w:rPr>
          <w:b/>
        </w:rPr>
        <w:t xml:space="preserve">DOI: </w:t>
      </w:r>
      <w:hyperlink r:id="rId64">
        <w:r>
          <w:rPr>
            <w:color w:val="1155CC"/>
            <w:u w:val="single"/>
          </w:rPr>
          <w:t>10.1002/adma.202522007</w:t>
        </w:r>
      </w:hyperlink>
    </w:p>
    <w:p>
      <w:pPr>
        <w:spacing w:before="0" w:after="120"/>
      </w:pPr>
      <w:r>
        <w:rPr>
          <w:b/>
        </w:rPr>
        <w:t xml:space="preserve">Notes: </w:t>
      </w:r>
      <w:r>
        <w:t>abstract_source=crossref</w:t>
      </w:r>
    </w:p>
    <w:p>
      <w:pPr>
        <w:spacing w:before="0" w:after="80" w:lineRule="auto" w:line="276"/>
      </w:pPr>
      <w:r>
        <w:rPr>
          <w:b/>
        </w:rPr>
        <w:t xml:space="preserve">摘要（ZH）: </w:t>
      </w:r>
      <w:r>
        <w:t>ABSTACT 依赖单一储存机制的锂电池常规阴极利用单一储存机制——无论是相互变换还是相互变换——的锂电池常规阴极利用单一储存机制——能源密度和缓慢电极动动能的内在限制。 将两种机制结合起来的混合系统为克服这些限制提供了有希望的途径;然而,在纳米尺度上,它们的动态间协同作用仍然没有很好地分解。</w:t>
      </w:r>
    </w:p>
    <w:p>
      <w:pPr>
        <w:spacing w:before="0" w:after="200" w:lineRule="auto" w:line="276"/>
      </w:pPr>
      <w:r>
        <w:rPr>
          <w:b/>
        </w:rPr>
        <w:t xml:space="preserve">Abstract (EN): </w:t>
      </w:r>
      <w:r>
        <w:t>Conventional cathodes of lithium battery relying on single storage mechanisms—whether intercalation or conversion—face intrinsic limitations in energy density and sluggish electrode kinetics. Hybrid systems combining both mechanisms offer promising pathways to transcend these constraints; yet, their dynamic interfacial synergies remain poorly deciphered at the nanoscale. This study employs multimodal in situ characterization (Electrochemical atomic force microscopy/Raman/Electrochemical impedance spectroscopy) to elucidate the dynamic synergy in TiS</w:t>
      </w:r>
      <w:r>
        <w:rPr>
          <w:vertAlign w:val="subscript"/>
        </w:rPr>
        <w:t>2</w:t>
      </w:r>
      <w:r>
        <w:t>‐S hybrid cathodes, revealing the concurrent interfacial evolution during cycling: nanoscale steps formation via Li‐ion intercalation in the TiS</w:t>
      </w:r>
      <w:r>
        <w:rPr>
          <w:vertAlign w:val="subscript"/>
        </w:rPr>
        <w:t>2</w:t>
      </w:r>
      <w:r>
        <w:t>‐LiTiS</w:t>
      </w:r>
      <w:r>
        <w:rPr>
          <w:vertAlign w:val="subscript"/>
        </w:rPr>
        <w:t>2</w:t>
      </w:r>
      <w:r>
        <w:t>host and the phase transformation of S‐Li</w:t>
      </w:r>
      <w:r>
        <w:rPr>
          <w:vertAlign w:val="subscript"/>
        </w:rPr>
        <w:t>2</w:t>
      </w:r>
      <w:r>
        <w:t>S/Li</w:t>
      </w:r>
      <w:r>
        <w:rPr>
          <w:vertAlign w:val="subscript"/>
        </w:rPr>
        <w:t>2</w:t>
      </w:r>
      <w:r>
        <w:t>S</w:t>
      </w:r>
      <w:r>
        <w:rPr>
          <w:vertAlign w:val="subscript"/>
        </w:rPr>
        <w:t>2</w:t>
      </w:r>
      <w:r>
        <w:t>. Crucially, the TiS</w:t>
      </w:r>
      <w:r>
        <w:rPr>
          <w:vertAlign w:val="subscript"/>
        </w:rPr>
        <w:t>2</w:t>
      </w:r>
      <w:r>
        <w:t>/LiTiS</w:t>
      </w:r>
      <w:r>
        <w:rPr>
          <w:vertAlign w:val="subscript"/>
        </w:rPr>
        <w:t>2</w:t>
      </w:r>
      <w:r>
        <w:t>serves as a bifunctional interface that not only contributes capacity but also mediates sulfide adsorption and catalyzes preferential edge‐directed sulfide deposition. The partially delithiated Li</w:t>
      </w:r>
      <w:r>
        <w:t xml:space="preserve"> </w:t>
      </w:r>
      <w:r>
        <w:t>x</w:t>
      </w:r>
      <w:r>
        <w:t xml:space="preserve"> </w:t>
      </w:r>
      <w:r>
        <w:t>TiS</w:t>
      </w:r>
      <w:r>
        <w:rPr>
          <w:vertAlign w:val="subscript"/>
        </w:rPr>
        <w:t>2</w:t>
      </w:r>
      <w:r>
        <w:t>enhances electronic conductivity, creating rapid electron transport that facilitates subsequent interfacial sulfide conversion reaction. The hybrid storage mechanism retains features characteristic of both S and TiS</w:t>
      </w:r>
      <w:r>
        <w:rPr>
          <w:vertAlign w:val="subscript"/>
        </w:rPr>
        <w:t>2</w:t>
      </w:r>
      <w:r>
        <w:t>storage mechanisms, yet manifests synergistic interfacial reconstruction rather than simple superposition, achieving enhanced reversibility, exceptional cycling stability, and superior rate capability.</w:t>
      </w:r>
    </w:p>
    <w:p>
      <w:pPr>
        <w:spacing w:before="120" w:after="120"/>
      </w:pPr>
      <w:r>
        <w:rPr>
          <w:sz w:val="18"/>
        </w:rPr>
        <w:t>——————————————————————————————————————————————————————————————————————</w:t>
      </w:r>
    </w:p>
    <w:p>
      <w:pPr>
        <w:spacing w:before="160" w:after="40" w:line="240" w:lineRule="auto"/>
      </w:pPr>
      <w:r>
        <w:rPr>
          <w:b/>
        </w:rPr>
        <w:t xml:space="preserve">[46] </w:t>
      </w:r>
      <w:hyperlink r:id="rId65">
        <w:r>
          <w:rPr>
            <w:color w:val="1155CC"/>
            <w:u w:val="single"/>
          </w:rPr>
          <w:t>定制的红毒活性催化剂 能够高压和高载高压 全部固化国家锂硫化氢电池</w:t>
        </w:r>
      </w:hyperlink>
    </w:p>
    <w:p>
      <w:pPr>
        <w:spacing w:before="0" w:after="80"/>
      </w:pPr>
      <w:r>
        <w:rPr>
          <w:i/>
          <w:sz w:val="20"/>
        </w:rPr>
        <w:t>EN: Tailored Redox‐Active Catholytes Enabling High‐Rate and High‐Loading All‐Solid‐State Lithium‐Sulfur Batteries</w:t>
      </w:r>
    </w:p>
    <w:p>
      <w:pPr>
        <w:spacing w:before="0" w:after="120"/>
      </w:pPr>
      <w:r>
        <w:rPr>
          <w:b/>
        </w:rPr>
        <w:t xml:space="preserve">Source: </w:t>
      </w:r>
      <w:r>
        <w:t>Wiley: Advanced Materials: Table of Contents</w:t>
      </w:r>
      <w:r>
        <w:t xml:space="preserve">    </w:t>
      </w:r>
      <w:r>
        <w:rPr>
          <w:b/>
        </w:rPr>
        <w:t xml:space="preserve">Pub date: </w:t>
      </w:r>
      <w:r>
        <w:t>2026-02-07 08:59:48+00:00</w:t>
      </w:r>
      <w:r>
        <w:t xml:space="preserve">    </w:t>
      </w:r>
      <w:r>
        <w:rPr>
          <w:b/>
        </w:rPr>
        <w:t xml:space="preserve">DOI: </w:t>
      </w:r>
      <w:hyperlink r:id="rId66">
        <w:r>
          <w:rPr>
            <w:color w:val="1155CC"/>
            <w:u w:val="single"/>
          </w:rPr>
          <w:t>10.1002/adma.202513204</w:t>
        </w:r>
      </w:hyperlink>
    </w:p>
    <w:p>
      <w:pPr>
        <w:spacing w:before="0" w:after="120"/>
      </w:pPr>
      <w:r>
        <w:rPr>
          <w:b/>
        </w:rPr>
        <w:t xml:space="preserve">Notes: </w:t>
      </w:r>
      <w:r>
        <w:t>abstract_source=crossref</w:t>
      </w:r>
    </w:p>
    <w:p>
      <w:pPr>
        <w:spacing w:before="0" w:after="80" w:lineRule="auto" w:line="276"/>
      </w:pPr>
      <w:r>
        <w:rPr>
          <w:b/>
        </w:rPr>
        <w:t xml:space="preserve">摘要（ZH）: </w:t>
      </w:r>
      <w:r>
        <w:t>ABSTACT ABSTACT ALSTACT All-固体锂硫电池(ASSLSBs)为下一代电化学能源储存带来了巨大希望,因为硫硫具有较高的理论特定容量和低成本,然而,硫硫化转化动力学缓慢,自行车过程中的体积变化严重,以及复合阴极中的氮化渗透不良,限制了它们的实际可行性。</w:t>
      </w:r>
    </w:p>
    <w:p>
      <w:pPr>
        <w:spacing w:before="0" w:after="200" w:lineRule="auto" w:line="276"/>
      </w:pPr>
      <w:r>
        <w:rPr>
          <w:b/>
        </w:rPr>
        <w:t xml:space="preserve">Abstract (EN): </w:t>
      </w:r>
      <w:r>
        <w:t>All‐solid‐state lithium‐sulfur batteries (ASSLSBs) hold great promise for next‐generation electrochemical energy storage due to sulfur's high theoretical specific capacity and low cost. However, sluggish sulfur conversion kinetics and severe volume variations during cycling, as well as poor ionic percolation in composite cathodes, limit their practical viability. To overcome these challenges, we herein introduce solid electrolytes of nominal composition Li</w:t>
      </w:r>
      <w:r>
        <w:t xml:space="preserve"> </w:t>
      </w:r>
      <w:r>
        <w:t>10.5−</w:t>
      </w:r>
      <w:r>
        <w:t xml:space="preserve"> </w:t>
      </w:r>
      <w:r>
        <w:t>x</w:t>
      </w:r>
      <w:r>
        <w:t xml:space="preserve"> </w:t>
      </w:r>
      <w:r>
        <w:t>Si</w:t>
      </w:r>
      <w:r>
        <w:t xml:space="preserve"> </w:t>
      </w:r>
      <w:r>
        <w:t>1.5</w:t>
      </w:r>
      <w:r>
        <w:t xml:space="preserve"> </w:t>
      </w:r>
      <w:r>
        <w:t>P</w:t>
      </w:r>
      <w:r>
        <w:t xml:space="preserve"> </w:t>
      </w:r>
      <w:r>
        <w:t>1.5</w:t>
      </w:r>
      <w:r>
        <w:t xml:space="preserve"> </w:t>
      </w:r>
      <w:r>
        <w:t>S</w:t>
      </w:r>
      <w:r>
        <w:t xml:space="preserve"> </w:t>
      </w:r>
      <w:r>
        <w:t>12−</w:t>
      </w:r>
      <w:r>
        <w:t xml:space="preserve"> </w:t>
      </w:r>
      <w:r>
        <w:t>x</w:t>
      </w:r>
      <w:r>
        <w:t xml:space="preserve"> </w:t>
      </w:r>
      <w:r>
        <w:t>I</w:t>
      </w:r>
      <w:r>
        <w:t xml:space="preserve"> </w:t>
      </w:r>
      <w:r>
        <w:t>x</w:t>
      </w:r>
      <w:r>
        <w:t xml:space="preserve"> </w:t>
      </w:r>
      <w:r>
        <w:t>(with</w:t>
      </w:r>
      <w:r>
        <w:t xml:space="preserve"> </w:t>
      </w:r>
      <w:r>
        <w:t>x</w:t>
      </w:r>
      <w:r>
        <w:t xml:space="preserve"> </w:t>
      </w:r>
      <w:r>
        <w:t>= 0, 0.2, 0.4), possessing high ionic conductivities of ≥ 7 mS cm</w:t>
      </w:r>
      <w:r>
        <w:t xml:space="preserve"> </w:t>
      </w:r>
      <w:r>
        <w:t>−1</w:t>
      </w:r>
      <w:r>
        <w:t xml:space="preserve"> </w:t>
      </w:r>
      <w:r>
        <w:t>at room temperature. We show that increasing iodine content alters the phase composition and triggers reversible redox activity in these materials. If implemented as catholytes, this enables very fast sulfur conversion kinetics, ultimately leading to ASSLSBs with exceptional performance. The cells achieve 86% sulfur utilization at a rate of C/2 and at 45°C and offer high‐rate capability by delivering 1175 mAh g</w:t>
      </w:r>
      <w:r>
        <w:t xml:space="preserve"> </w:t>
      </w:r>
      <w:r>
        <w:t>sulfur</w:t>
      </w:r>
      <w:r>
        <w:t xml:space="preserve"> </w:t>
      </w:r>
      <w:r>
        <w:t>−1</w:t>
      </w:r>
      <w:r>
        <w:t xml:space="preserve"> </w:t>
      </w:r>
      <w:r>
        <w:t>at 5C and 590 mAh g</w:t>
      </w:r>
      <w:r>
        <w:t xml:space="preserve"> </w:t>
      </w:r>
      <w:r>
        <w:t>sulfur</w:t>
      </w:r>
      <w:r>
        <w:t xml:space="preserve"> </w:t>
      </w:r>
      <w:r>
        <w:t>−1</w:t>
      </w:r>
      <w:r>
        <w:t xml:space="preserve"> </w:t>
      </w:r>
      <w:r>
        <w:t>at 15C. Furthermore, the synergistic effects of ionic percolation and redox‐activity enable record areal capacities up to 14 mAh cm</w:t>
      </w:r>
      <w:r>
        <w:t xml:space="preserve"> </w:t>
      </w:r>
      <w:r>
        <w:t>−2</w:t>
      </w:r>
      <w:r>
        <w:t xml:space="preserve"> </w:t>
      </w:r>
      <w:r>
        <w:t>with a sulfur loading of 10 mg cm</w:t>
      </w:r>
      <w:r>
        <w:t xml:space="preserve"> </w:t>
      </w:r>
      <w:r>
        <w:t>−2</w:t>
      </w:r>
      <w:r>
        <w:t xml:space="preserve"> </w:t>
      </w:r>
      <w:r>
        <w:t>. Taken together, our findings provide new strategies for designing redox‐active catholytes for application in advanced ASSLSBs and further strengthen the redox‐mediating role of iodine therein.</w:t>
      </w:r>
    </w:p>
    <w:p>
      <w:pPr>
        <w:spacing w:before="120" w:after="120"/>
      </w:pPr>
      <w:r>
        <w:rPr>
          <w:sz w:val="18"/>
        </w:rPr>
        <w:t>——————————————————————————————————————————————————————————————————————</w:t>
      </w:r>
    </w:p>
    <w:p>
      <w:pPr>
        <w:spacing w:before="160" w:after="40" w:line="240" w:lineRule="auto"/>
      </w:pPr>
      <w:r>
        <w:rPr>
          <w:b/>
        </w:rPr>
        <w:t xml:space="preserve">[47] </w:t>
      </w:r>
      <w:hyperlink r:id="rId67">
        <w:r>
          <w:rPr>
            <w:color w:val="1155CC"/>
            <w:u w:val="single"/>
          </w:rPr>
          <w:t>具有多功能物体形状和材料识别能力多功能机器人手</w:t>
        </w:r>
      </w:hyperlink>
    </w:p>
    <w:p>
      <w:pPr>
        <w:spacing w:before="0" w:after="80"/>
      </w:pPr>
      <w:r>
        <w:rPr>
          <w:i/>
          <w:sz w:val="20"/>
        </w:rPr>
        <w:t>EN: Electrostatic Enhanced Dual‐Mode Electronic Skin for Multifunctional Robotic Hands Capable of Object Shape and Material Recognition</w:t>
      </w:r>
    </w:p>
    <w:p>
      <w:pPr>
        <w:spacing w:before="0" w:after="120"/>
      </w:pPr>
      <w:r>
        <w:rPr>
          <w:b/>
        </w:rPr>
        <w:t xml:space="preserve">Source: </w:t>
      </w:r>
      <w:r>
        <w:t>Wiley: Advanced Materials: Table of Contents</w:t>
      </w:r>
      <w:r>
        <w:t xml:space="preserve">    </w:t>
      </w:r>
      <w:r>
        <w:rPr>
          <w:b/>
        </w:rPr>
        <w:t xml:space="preserve">Pub date: </w:t>
      </w:r>
      <w:r>
        <w:t>2026-02-07 09:01:09+00:00</w:t>
      </w:r>
      <w:r>
        <w:t xml:space="preserve">    </w:t>
      </w:r>
      <w:r>
        <w:rPr>
          <w:b/>
        </w:rPr>
        <w:t xml:space="preserve">DOI: </w:t>
      </w:r>
      <w:hyperlink r:id="rId68">
        <w:r>
          <w:rPr>
            <w:color w:val="1155CC"/>
            <w:u w:val="single"/>
          </w:rPr>
          <w:t>10.1002/adma.202521409</w:t>
        </w:r>
      </w:hyperlink>
    </w:p>
    <w:p>
      <w:pPr>
        <w:spacing w:before="0" w:after="120"/>
      </w:pPr>
      <w:r>
        <w:rPr>
          <w:b/>
        </w:rPr>
        <w:t xml:space="preserve">Notes: </w:t>
      </w:r>
      <w:r>
        <w:t>abstract_source=crossref</w:t>
      </w:r>
    </w:p>
    <w:p>
      <w:pPr>
        <w:spacing w:before="0" w:after="80" w:lineRule="auto" w:line="276"/>
      </w:pPr>
      <w:r>
        <w:rPr>
          <w:b/>
        </w:rPr>
        <w:t xml:space="preserve">摘要（ZH）: </w:t>
      </w:r>
      <w:r>
        <w:t>由于日益要求机器人系统在无结构的动态环境中进行智能互动,多式认知已成为一项重要和具有挑战性的任务,在本研究中,我们引入了多功能机器人手,可以区分使用双光电子皮肤(e-skin)的物体的形状和物质特性,能够进行非接触和接触感测,电子皮肤由嵌入生态纤维体的极化扩展聚四氟乙烯电极组成,从而能够通过静电场效应和基于三电效应的接触感测进行非接触感测。</w:t>
      </w:r>
    </w:p>
    <w:p>
      <w:pPr>
        <w:spacing w:before="0" w:after="200" w:lineRule="auto" w:line="276"/>
      </w:pPr>
      <w:r>
        <w:rPr>
          <w:b/>
        </w:rPr>
        <w:t xml:space="preserve">Abstract (EN): </w:t>
      </w:r>
      <w:r>
        <w:t>Owing to the increasing requirement for robotic systems to interact intelligently in unstructured and dynamic environments, multimodal perception has become an essential and challenging task. In this study, we introduce a multifunctional robotic hand that can distinguish the shape and material properties of objects using a dual‐mode electronic skin (e‐skin) capable of non‐contact and contact sensing. The e‐skin is composed of a polarized expanded polytetrafluoroethylene electret embedded in Ecoflex, thus enabling non‐contact sensing via the electrostatic‐field effect and contact sensing based on the triboelectric effect. The embedded electret architecture facilitates a high internal charge density, thereby significantly enhancing the intensity and range of non‐contact sensing, an advantage not achievable using conventional approaches. Integrating the dual‐mode e‐skin into a robotic arm endows it with multifunctional capabilities; furthermore, with the assistance of a long short‐term memory neural network, the robotic hand achieves 100% and 97.35% accuracies in object‐shape and object‐material recognition, respectively. This study demonstrates the potential of the proposed e‐skin as a versatile multimodal sensing interface for robotic platforms, thereby advancing autonomous and intelligent robotic interactions.</w:t>
      </w:r>
    </w:p>
    <w:p>
      <w:pPr>
        <w:spacing w:before="120" w:after="120"/>
      </w:pPr>
      <w:r>
        <w:rPr>
          <w:sz w:val="18"/>
        </w:rPr>
        <w:t>——————————————————————————————————————————————————————————————————————</w:t>
      </w:r>
    </w:p>
    <w:p>
      <w:pPr>
        <w:spacing w:before="160" w:after="40" w:line="240" w:lineRule="auto"/>
      </w:pPr>
      <w:r>
        <w:rPr>
          <w:b/>
        </w:rPr>
        <w:t xml:space="preserve">[48] </w:t>
      </w:r>
      <w:hyperlink r:id="rId69">
        <w:r>
          <w:rPr>
            <w:color w:val="1155CC"/>
            <w:u w:val="single"/>
          </w:rPr>
          <w:t>Perovskite ELDs 的有机激进加速式散射式电荷载荷漏泄</w:t>
        </w:r>
      </w:hyperlink>
    </w:p>
    <w:p>
      <w:pPr>
        <w:spacing w:before="0" w:after="80"/>
      </w:pPr>
      <w:r>
        <w:rPr>
          <w:i/>
          <w:sz w:val="20"/>
        </w:rPr>
        <w:t>EN: Organic Radical Accelerates Charge Carrier Funneling in Quasi‐2D Perovskite LEDs</w:t>
      </w:r>
    </w:p>
    <w:p>
      <w:pPr>
        <w:spacing w:before="0" w:after="120"/>
      </w:pPr>
      <w:r>
        <w:rPr>
          <w:b/>
        </w:rPr>
        <w:t xml:space="preserve">Source: </w:t>
      </w:r>
      <w:r>
        <w:t>Wiley: Advanced Materials: Table of Contents</w:t>
      </w:r>
      <w:r>
        <w:t xml:space="preserve">    </w:t>
      </w:r>
      <w:r>
        <w:rPr>
          <w:b/>
        </w:rPr>
        <w:t xml:space="preserve">Pub date: </w:t>
      </w:r>
      <w:r>
        <w:t>2026-02-07 09:01:54+00:00</w:t>
      </w:r>
      <w:r>
        <w:t xml:space="preserve">    </w:t>
      </w:r>
      <w:r>
        <w:rPr>
          <w:b/>
        </w:rPr>
        <w:t xml:space="preserve">DOI: </w:t>
      </w:r>
      <w:hyperlink r:id="rId70">
        <w:r>
          <w:rPr>
            <w:color w:val="1155CC"/>
            <w:u w:val="single"/>
          </w:rPr>
          <w:t>10.1002/adma.202517839</w:t>
        </w:r>
      </w:hyperlink>
    </w:p>
    <w:p>
      <w:pPr>
        <w:spacing w:before="0" w:after="120"/>
      </w:pPr>
      <w:r>
        <w:rPr>
          <w:b/>
        </w:rPr>
        <w:t xml:space="preserve">Notes: </w:t>
      </w:r>
      <w:r>
        <w:t>abstract_source=crossref</w:t>
      </w:r>
    </w:p>
    <w:p>
      <w:pPr>
        <w:spacing w:before="0" w:after="80" w:lineRule="auto" w:line="276"/>
      </w:pPr>
      <w:r>
        <w:rPr>
          <w:b/>
        </w:rPr>
        <w:t xml:space="preserve">摘要（ZH）: </w:t>
      </w:r>
      <w:r>
        <w:t>ABSTACT Qasi2D金属卤化百草枯(MHP)由于在色纯度、带宽金枪鱼性和稳定性方面的内在优势,已成为发光二极管(PELDs)的有希望的候选对象。在准2D MHP中实现高辐射排放的主要工作原则是向多量井的低频带甘巴晶体(称为充电载荷输气管)进行超快、连续充电转移(CT)过程。具有讽刺意味的是,这种关键过程在具有电子绝缘性质的分子航天员的准2D MHP中本质上受到限制。为了挑战这一限制,我们在此探讨明智设计、稳定、导导导的有机基(5Hpyrido [3,2,2b],2,6二氯苯(2,4,6三氯苯)之二(2,4,6三氯苯)的影响。</w:t>
      </w:r>
    </w:p>
    <w:p>
      <w:pPr>
        <w:spacing w:before="0" w:after="200" w:lineRule="auto" w:line="276"/>
      </w:pPr>
      <w:r>
        <w:rPr>
          <w:b/>
        </w:rPr>
        <w:t xml:space="preserve">Abstract (EN): </w:t>
      </w:r>
      <w:r>
        <w:t>Quasi‐2D metal halide perovskites (MHP) have emerged as promising candidates for light‐emitting diodes (PeLEDs) due to their intrinsic advantages in color purity, bandgap tunability, and stability. The prime working principle realizing high radiative emission in quasi‐2D MHP is the ultrafast, consecutive charge transfer (CT) process toward the low‐bandgap crystallites across multiple quantum wells, called charge carrier funneling. Ironically, such a key process is intrinsically limited in the quasi‐2D MHP by the molecular spacers, which have electronically insulating natures. To challenge this limit, herein, we explore the impact of a judiciously designed, stable, and conductive organic radical, (5H‐pyrido[3,2‐b]indole‐2,6‐dichlorophenyl)bis(2,4,6‐trichlorophenyl)methyl as a molecular additive in the MHP matrix. It is found that the spatially delocalized singly occupied molecular orbital offers an electronic bridge accelerating interfacial CT and the carrier funneling by surface adsorption, thus maximizing radiation recombination yield. As a result, the radical‐incorporating PeLEDs (peaking at ≈ 684 nm) achieve a remarkable external quantum efficiency of 26.8% with an operational half‐lifetime of ≈ 340 min, ranking among the best deep‐red devices reported to date. This work demonstrates that rational radical molecular design offers a powerful route to resolve intrinsic CT limitations in quasi‐2D MHP, unlocking both high efficiency and long‐term stability in next‐generation PeLEDs.</w:t>
      </w:r>
    </w:p>
    <w:p>
      <w:pPr>
        <w:spacing w:before="120" w:after="120"/>
      </w:pPr>
      <w:r>
        <w:rPr>
          <w:sz w:val="18"/>
        </w:rPr>
        <w:t>——————————————————————————————————————————————————————————————————————</w:t>
      </w:r>
    </w:p>
    <w:p>
      <w:pPr>
        <w:spacing w:before="160" w:after="40" w:line="240" w:lineRule="auto"/>
      </w:pPr>
      <w:r>
        <w:rPr>
          <w:b/>
        </w:rPr>
        <w:t xml:space="preserve">[49] </w:t>
      </w:r>
      <w:hyperlink r:id="rId71">
        <w:r>
          <w:rPr>
            <w:color w:val="1155CC"/>
            <w:u w:val="single"/>
          </w:rPr>
          <w:t>使用超光速光学波段的无荷接受装置所启用的敏感短波红外红外红外红外红外红外红外红外红外红外红外红外红外红外红外红外红外红外红外红外红外红外红外红外红外红外红外红外红外红外红外红外红外红外红外红外红外红外红外红外红外红外红外红外 红外红外红外红外红外红外红外红外红</w:t>
        </w:r>
      </w:hyperlink>
    </w:p>
    <w:p>
      <w:pPr>
        <w:spacing w:before="0" w:after="80"/>
      </w:pPr>
      <w:r>
        <w:rPr>
          <w:i/>
          <w:sz w:val="20"/>
        </w:rPr>
        <w:t>EN: Sensitive Shortwave Infrared Organic Photodetectors Enabled by Nonfullerene Acceptor Featuring an Ultralow Optical Bandgap of Less than 1.0 eV</w:t>
      </w:r>
    </w:p>
    <w:p>
      <w:pPr>
        <w:spacing w:before="0" w:after="120"/>
      </w:pPr>
      <w:r>
        <w:rPr>
          <w:b/>
        </w:rPr>
        <w:t xml:space="preserve">Source: </w:t>
      </w:r>
      <w:r>
        <w:t>Wiley: Advanced Materials: Table of Contents</w:t>
      </w:r>
      <w:r>
        <w:t xml:space="preserve">    </w:t>
      </w:r>
      <w:r>
        <w:rPr>
          <w:b/>
        </w:rPr>
        <w:t xml:space="preserve">Pub date: </w:t>
      </w:r>
      <w:r>
        <w:t>2026-02-07 09:05:01+00:00</w:t>
      </w:r>
      <w:r>
        <w:t xml:space="preserve">    </w:t>
      </w:r>
      <w:r>
        <w:rPr>
          <w:b/>
        </w:rPr>
        <w:t xml:space="preserve">DOI: </w:t>
      </w:r>
      <w:hyperlink r:id="rId72">
        <w:r>
          <w:rPr>
            <w:color w:val="1155CC"/>
            <w:u w:val="single"/>
          </w:rPr>
          <w:t>10.1002/adma.202520509</w:t>
        </w:r>
      </w:hyperlink>
    </w:p>
    <w:p>
      <w:pPr>
        <w:spacing w:before="0" w:after="120"/>
      </w:pPr>
      <w:r>
        <w:rPr>
          <w:b/>
        </w:rPr>
        <w:t xml:space="preserve">Notes: </w:t>
      </w:r>
      <w:r>
        <w:t>abstract_source=crossref</w:t>
      </w:r>
    </w:p>
    <w:p>
      <w:pPr>
        <w:spacing w:before="0" w:after="80" w:lineRule="auto" w:line="276"/>
      </w:pPr>
      <w:r>
        <w:rPr>
          <w:b/>
        </w:rPr>
        <w:t xml:space="preserve">摘要（ZH）: </w:t>
      </w:r>
      <w:r>
        <w:t>短波红外线(SWIR) 光导检测器在现代应用,包括夜间监视、生物成像和光学通信中需求很高。 新兴有机半导体以可定制的光谱反应和溶解处理为特点,为SWIR光探测开辟了新的途径。 然而,SWIR有机光检测器(OPD)缺乏超低频带带有机半导体,且反应能力低于1000纳米。 我们在这里报告了一个新的电子浓缩建筑块,即thieno[3'2'2'4:4,5]环球[1,2'b]thieno[2,3 d] 平流器(SNSCS),它展示了强大的电子捐赠能力。 通过应用接受和接受方-接受方和接受方等,我们报告了一个新的电子浓缩建筑块,即thieno[3'2'2'b]thheniotopenta[1,2\ b]thieno[2,3 d]thieno[2,3 d] puroproom, 展示了强大的电子捐赠能力。</w:t>
      </w:r>
    </w:p>
    <w:p>
      <w:pPr>
        <w:spacing w:before="0" w:after="200" w:lineRule="auto" w:line="276"/>
      </w:pPr>
      <w:r>
        <w:rPr>
          <w:b/>
        </w:rPr>
        <w:t xml:space="preserve">Abstract (EN): </w:t>
      </w:r>
      <w:r>
        <w:t>Shortwave infrared (SWIR) photodetectors are in high demand in modern applications, including night surveillance, biological imaging, and optical communication. Emerging organic semiconductors, featuring a tailorable spectral response and solution processability, open new avenues for SWIR light detection. However, SWIR organic photodetectors (OPDs) suffer from a scarcity of ultralow‐bandgap organic semiconductors and low responsivity above 1000 nm. Here, we report a new electron‐rich building block, thieno[3′,2′:4,5]cyclopenta[1,2‐</w:t>
      </w:r>
      <w:r>
        <w:t xml:space="preserve"> </w:t>
      </w:r>
      <w:r>
        <w:t>b</w:t>
      </w:r>
      <w:r>
        <w:t xml:space="preserve"> </w:t>
      </w:r>
      <w:r>
        <w:t>]thieno[2,3‐</w:t>
      </w:r>
      <w:r>
        <w:t xml:space="preserve"> </w:t>
      </w:r>
      <w:r>
        <w:t>d</w:t>
      </w:r>
      <w:r>
        <w:t xml:space="preserve"> </w:t>
      </w:r>
      <w:r>
        <w:t>]pyrrole (SNCS), that exhibits strong electron‐donating ability. By applying acceptor–donor–acceptor and acceptor‐quinoidal‐donor‐quinoidal‐acceptor strategy, we developed two new nonfullerene acceptors: SNCS‐4F and SNCSTT‐4F. The latter, with thieno[3,4‐</w:t>
      </w:r>
      <w:r>
        <w:t xml:space="preserve"> </w:t>
      </w:r>
      <w:r>
        <w:t>b</w:t>
      </w:r>
      <w:r>
        <w:t xml:space="preserve"> </w:t>
      </w:r>
      <w:r>
        <w:t>]thiophene moiety, exhibits strong SWIR absorption up to 1400 nm in thin films. The best‐performing PTB7‐Th:SNCSTT‐4F‐based OPD exhibits a record external quantum efficiency of 50.2%, a responsivity of 0.49 A W</w:t>
      </w:r>
      <w:r>
        <w:t xml:space="preserve"> </w:t>
      </w:r>
      <w:r>
        <w:t>−1</w:t>
      </w:r>
      <w:r>
        <w:t xml:space="preserve"> </w:t>
      </w:r>
      <w:r>
        <w:t>and remarkable specific detectivity of 4.47 × 10</w:t>
      </w:r>
      <w:r>
        <w:rPr>
          <w:vertAlign w:val="subscript"/>
        </w:rPr>
        <w:t>12</w:t>
      </w:r>
      <w:r>
        <w:t>Jones at 1200 nm under zero bias. This is the highest performance among reported SWIR organic photodiodes and is comparable with commercial InGaAs photodetectors. Ultraviolet photoelectron spectra, Mott–Schottky analysis and trap density of states analysis were applied to evaluate the OPDs’ performances. Finally, we demonstrate that the OPDs can detect SWIR light with high sensitivity in photoplethysmography measurements and infrared audio communication applications.</w:t>
      </w:r>
    </w:p>
    <w:p>
      <w:pPr>
        <w:spacing w:before="120" w:after="120"/>
      </w:pPr>
      <w:r>
        <w:rPr>
          <w:sz w:val="18"/>
        </w:rPr>
        <w:t>——————————————————————————————————————————————————————————————————————</w:t>
      </w:r>
    </w:p>
    <w:p>
      <w:pPr>
        <w:spacing w:before="160" w:after="40" w:line="240" w:lineRule="auto"/>
      </w:pPr>
      <w:r>
        <w:rPr>
          <w:b/>
        </w:rPr>
        <w:t xml:space="preserve">[50] </w:t>
      </w:r>
      <w:hyperlink r:id="rId73">
        <w:r>
          <w:rPr>
            <w:color w:val="1155CC"/>
            <w:u w:val="single"/>
          </w:rPr>
          <w:t>通过CXCR4的细胞间通信Driven Mitochondrial传输</w:t>
        </w:r>
      </w:hyperlink>
    </w:p>
    <w:p>
      <w:pPr>
        <w:spacing w:before="0" w:after="80"/>
      </w:pPr>
      <w:r>
        <w:rPr>
          <w:i/>
          <w:sz w:val="20"/>
        </w:rPr>
        <w:t>EN: Intercellular Communication‐Driven Mitochondrial Transfer via CXCR4‐Engineered Macrophages Reprograms Bone Marrow Metabolism for Osteoporosis Therapy</w:t>
      </w:r>
    </w:p>
    <w:p>
      <w:pPr>
        <w:spacing w:before="0" w:after="120"/>
      </w:pPr>
      <w:r>
        <w:rPr>
          <w:b/>
        </w:rPr>
        <w:t xml:space="preserve">Source: </w:t>
      </w:r>
      <w:r>
        <w:t>Wiley: Advanced Materials: Table of Contents</w:t>
      </w:r>
      <w:r>
        <w:t xml:space="preserve">    </w:t>
      </w:r>
      <w:r>
        <w:rPr>
          <w:b/>
        </w:rPr>
        <w:t xml:space="preserve">Pub date: </w:t>
      </w:r>
      <w:r>
        <w:t>2026-02-07 09:06:55+00:00</w:t>
      </w:r>
      <w:r>
        <w:t xml:space="preserve">    </w:t>
      </w:r>
      <w:r>
        <w:rPr>
          <w:b/>
        </w:rPr>
        <w:t xml:space="preserve">DOI: </w:t>
      </w:r>
      <w:hyperlink r:id="rId74">
        <w:r>
          <w:rPr>
            <w:color w:val="1155CC"/>
            <w:u w:val="single"/>
          </w:rPr>
          <w:t>10.1002/adma.202521645</w:t>
        </w:r>
      </w:hyperlink>
    </w:p>
    <w:p>
      <w:pPr>
        <w:spacing w:before="0" w:after="120"/>
      </w:pPr>
      <w:r>
        <w:rPr>
          <w:b/>
        </w:rPr>
        <w:t xml:space="preserve">Notes: </w:t>
      </w:r>
      <w:r>
        <w:t>abstract_source=crossref</w:t>
      </w:r>
    </w:p>
    <w:p>
      <w:pPr>
        <w:spacing w:before="0" w:after="80" w:lineRule="auto" w:line="276"/>
      </w:pPr>
      <w:r>
        <w:rPr>
          <w:b/>
        </w:rPr>
        <w:t xml:space="preserve">摘要（ZH）: </w:t>
      </w:r>
      <w:r>
        <w:t>ABSTACT 骨质疏松症的特点是骨骼形成受损,骨髓软硬化受到骨髓硬化症的干扰,主要是由骨髓中心血管干细胞(BMSCs)中的脊髓膜炎性机能障碍驱动的骨质形成和骨髓硬化症。为了解决这个问题,一个由CXCR4工程大型巨型动物组成的活性脊髓硬化体运载系统系统,配有纳米zyme-功能化mitochondria(CMTBM),该系统结合了骨质定向迁移、反应式氧物种的排泄和通信中介的线粒体转移。CMTBM恢复了线球体呼吸,强化了造成骨质分泌的分化,并缓解了BMSCs的氧化性流行性疾病,从而促进了代谢恢复和再毒平衡。在骨质小鼠体内,CMMTMBMB治疗显著改进了三角骨细胞微生物微生物微生物微生物微生物的微结构,并且促进了骨质学。</w:t>
      </w:r>
    </w:p>
    <w:p>
      <w:pPr>
        <w:spacing w:before="0" w:after="200" w:lineRule="auto" w:line="276"/>
      </w:pPr>
      <w:r>
        <w:rPr>
          <w:b/>
        </w:rPr>
        <w:t xml:space="preserve">Abstract (EN): </w:t>
      </w:r>
      <w:r>
        <w:t>Osteoporosis is characterized by impaired bone formation and disrupted bone marrow homeostasis, largely driven by mitochondrial dysfunction in bone marrow mesenchymal stem cells (BMSCs). To address this, a live mitochondrial delivery system composed of CXCR4‐engineered macrophages loaded with nanozyme‐functionalized mitochondria (CM‐MTBM). This system integrates bone‐targeted migration, reactive oxygen species scavenging, and communication‐mediated mitochondrial transfer. CM‐MTBM restores mitochondrial respiration, enhances osteogenic differentiation, and alleviates oxidative apoptosis in BMSCs, thereby promoting metabolic recovery and redox balance. In osteoporotic mice, CM‐MTBM treatment markedly improved the trabecular bone microarchitecture and promoted osteogenic repair. Single‐cell transcriptomic analysis further revealed the enrichment of osteogenic BMSC subpopulations and functional reprogramming of the bone marrow immune–metabolic microenvironment. Mechanistically, CM‐MTBM activated mitochondrial oxidative metabolism while suppressing inflammation and senescence‐associated signaling, achieving coordinated metabolic and osteogenic activation. Collectively, this work established a communication‐driven mitochondrial transfer paradigm that reframes mitochondrial therapy from passive structural supplementation to communication‐driven metabolic reprogramming, establishing a conceptual and technological framework for precision treatment of metabolic bone disorders.</w:t>
      </w:r>
    </w:p>
    <w:p>
      <w:pPr>
        <w:spacing w:before="120" w:after="120"/>
      </w:pPr>
      <w:r>
        <w:rPr>
          <w:sz w:val="18"/>
        </w:rPr>
        <w:t>——————————————————————————————————————————————————————————————————————</w:t>
      </w:r>
    </w:p>
    <w:p>
      <w:pPr>
        <w:spacing w:before="160" w:after="40" w:line="240" w:lineRule="auto"/>
      </w:pPr>
      <w:r>
        <w:rPr>
          <w:b/>
        </w:rPr>
        <w:t xml:space="preserve">[51] </w:t>
      </w:r>
      <w:hyperlink r:id="rId75">
        <w:r>
          <w:rPr>
            <w:color w:val="1155CC"/>
            <w:u w:val="single"/>
          </w:rPr>
          <w:t>超速垂直有机电化学晶体体,配有Ion-Permeable导导聚体顶电极</w:t>
        </w:r>
      </w:hyperlink>
    </w:p>
    <w:p>
      <w:pPr>
        <w:spacing w:before="0" w:after="80"/>
      </w:pPr>
      <w:r>
        <w:rPr>
          <w:i/>
          <w:sz w:val="20"/>
        </w:rPr>
        <w:t>EN: Ultrafast Vertical Organic Electrochemical Transistors With Ion‐Permeable Conductive Polymer Top Electrodes</w:t>
      </w:r>
    </w:p>
    <w:p>
      <w:pPr>
        <w:spacing w:before="0" w:after="120"/>
      </w:pPr>
      <w:r>
        <w:rPr>
          <w:b/>
        </w:rPr>
        <w:t xml:space="preserve">Source: </w:t>
      </w:r>
      <w:r>
        <w:t>Wiley: Advanced Materials: Table of Contents</w:t>
      </w:r>
      <w:r>
        <w:t xml:space="preserve">    </w:t>
      </w:r>
      <w:r>
        <w:rPr>
          <w:b/>
        </w:rPr>
        <w:t xml:space="preserve">Pub date: </w:t>
      </w:r>
      <w:r>
        <w:t>2026-02-07 09:27:36+00:00</w:t>
      </w:r>
      <w:r>
        <w:t xml:space="preserve">    </w:t>
      </w:r>
      <w:r>
        <w:rPr>
          <w:b/>
        </w:rPr>
        <w:t xml:space="preserve">DOI: </w:t>
      </w:r>
      <w:hyperlink r:id="rId76">
        <w:r>
          <w:rPr>
            <w:color w:val="1155CC"/>
            <w:u w:val="single"/>
          </w:rPr>
          <w:t>10.1002/adma.202518126</w:t>
        </w:r>
      </w:hyperlink>
    </w:p>
    <w:p>
      <w:pPr>
        <w:spacing w:before="0" w:after="120"/>
      </w:pPr>
      <w:r>
        <w:rPr>
          <w:b/>
        </w:rPr>
        <w:t xml:space="preserve">Notes: </w:t>
      </w:r>
      <w:r>
        <w:t>abstract_source=crossref</w:t>
      </w:r>
    </w:p>
    <w:p>
      <w:pPr>
        <w:spacing w:before="0" w:after="80" w:lineRule="auto" w:line="276"/>
      </w:pPr>
      <w:r>
        <w:rPr>
          <w:b/>
        </w:rPr>
        <w:t xml:space="preserve">摘要（ZH）: </w:t>
      </w:r>
      <w:r>
        <w:t>ABSTACT 有机电化学晶体管(有机电化学晶体(OECT))将混合电电子运输与散装电化学喷剂结合起来,以便在水环境中进行高转导和低压操作,使其对生物电子和神经形态计算具有吸引力。垂直电化学晶体(VOECT),其频道长度减至数十纳米,提供了高时密度和紧凑装置足迹,但其性能受到电离子不易金属顶部电极的制约,该极电极将离子注入限制在缓慢的横向扩散路径上。我们在这里表明,电子化学稳定、离子-可渗透导导聚合物,如聚(苯二硫磷),为静电金属顶部电极提供了强大的替代物。</w:t>
      </w:r>
    </w:p>
    <w:p>
      <w:pPr>
        <w:spacing w:before="0" w:after="200" w:lineRule="auto" w:line="276"/>
      </w:pPr>
      <w:r>
        <w:rPr>
          <w:b/>
        </w:rPr>
        <w:t xml:space="preserve">Abstract (EN): </w:t>
      </w:r>
      <w:r>
        <w:t>Organic electrochemical transistors (OECTs) combine mixed ionic‐electronic transport with bulk electrochemical doping to enable high transconductance and low‐voltage operation in aqueous environments, making them attractive for bioelectronics and neuromorphic computing. Vertical OECTs (vOECTs), with channel lengths reduced to tens of nanometers, offer high current densities and compact device footprints, but their performance is fundamentally constrained by ion‐impermeable metal top electrodes that restrict ion injection to slow lateral diffusion pathways. Here, we show that electrochemically stable, ion‐permeable conductive polymers such as poly(benzodifurandione) (PBFDO) offer a powerful alternative to metal top electrodes in vOECTs. By enabling direct vertical ion injection into poly(benzimidazobenzophenanthroline) (BBL) channels, PBFDO yields devices with high current densities (&amp;gt;400 A cm</w:t>
      </w:r>
      <w:r>
        <w:t xml:space="preserve"> </w:t>
      </w:r>
      <w:r>
        <w:t>−2</w:t>
      </w:r>
      <w:r>
        <w:t xml:space="preserve"> </w:t>
      </w:r>
      <w:r>
        <w:t>), large on/off ratios (&amp;gt;10</w:t>
      </w:r>
      <w:r>
        <w:rPr>
          <w:vertAlign w:val="subscript"/>
        </w:rPr>
        <w:t>6</w:t>
      </w:r>
      <w:r>
        <w:t>), and ultrafast switching down to 28 µs, nearly two orders of magnitude faster than equivalent gold‐based vOECTs and among the fastest accumulation‐mode OECTs reported to date. These results establish a new benchmark for OECT speed and underscore the role of ion‐permeable electrodes in overcoming the coupling between electronic and ionic transport in vertical architectures.</w:t>
      </w:r>
    </w:p>
    <w:p>
      <w:pPr>
        <w:spacing w:before="120" w:after="120"/>
      </w:pPr>
      <w:r>
        <w:rPr>
          <w:sz w:val="18"/>
        </w:rPr>
        <w:t>——————————————————————————————————————————————————————————————————————</w:t>
      </w:r>
    </w:p>
    <w:p>
      <w:pPr>
        <w:spacing w:before="160" w:after="40" w:line="240" w:lineRule="auto"/>
      </w:pPr>
      <w:r>
        <w:rPr>
          <w:b/>
        </w:rPr>
        <w:t xml:space="preserve">[52] </w:t>
      </w:r>
      <w:hyperlink r:id="rId77">
        <w:r>
          <w:rPr>
            <w:color w:val="1155CC"/>
            <w:u w:val="single"/>
          </w:rPr>
          <w:t>[ASAP] 双维半导体接口的自控热电源传输过速培养和冷却</w:t>
        </w:r>
      </w:hyperlink>
    </w:p>
    <w:p>
      <w:pPr>
        <w:spacing w:before="0" w:after="80"/>
      </w:pPr>
      <w:r>
        <w:rPr>
          <w:i/>
          <w:sz w:val="20"/>
        </w:rPr>
        <w:t>EN: [ASAP] Spin-Conserved Hot Charge Transfer Exciton Formation and Cooling at the Two-Dimensional Semiconductor Interface</w:t>
      </w:r>
    </w:p>
    <w:p>
      <w:pPr>
        <w:spacing w:before="0" w:after="120"/>
      </w:pPr>
      <w:r>
        <w:rPr>
          <w:b/>
        </w:rPr>
        <w:t xml:space="preserve">Source: </w:t>
      </w:r>
      <w:r>
        <w:t>Journal of the American Chemical Society: Latest Articles (ACS Publications)</w:t>
      </w:r>
      <w:r>
        <w:t xml:space="preserve">    </w:t>
      </w:r>
      <w:r>
        <w:rPr>
          <w:b/>
        </w:rPr>
        <w:t xml:space="preserve">Pub date: </w:t>
      </w:r>
      <w:r>
        <w:t>2026-02-07 14:31:36+00:00</w:t>
      </w:r>
      <w:r>
        <w:t xml:space="preserve">    </w:t>
      </w:r>
      <w:r>
        <w:rPr>
          <w:b/>
        </w:rPr>
        <w:t xml:space="preserve">DOI: </w:t>
      </w:r>
      <w:hyperlink r:id="rId78">
        <w:r>
          <w:rPr>
            <w:color w:val="1155CC"/>
            <w:u w:val="single"/>
          </w:rPr>
          <w:t>10.1021/jacs.5c20527</w:t>
        </w:r>
      </w:hyperlink>
    </w:p>
    <w:p>
      <w:pPr>
        <w:spacing w:before="0" w:after="120"/>
      </w:pPr>
      <w:r>
        <w:rPr>
          <w:b/>
        </w:rPr>
        <w:t xml:space="preserve">Notes: </w:t>
      </w:r>
      <w:r>
        <w:t>abstract_source=pubmed</w:t>
      </w:r>
    </w:p>
    <w:p>
      <w:pPr>
        <w:spacing w:before="0" w:after="80" w:lineRule="auto" w:line="276"/>
      </w:pPr>
      <w:r>
        <w:rPr>
          <w:b/>
        </w:rPr>
        <w:t xml:space="preserve">摘要（ZH）: </w:t>
      </w:r>
      <w:r>
        <w:t>理解 2D 半导体界面的旋转和充电传输(CT) 过程对于光化催化和光电子具有根本和实际重要性。 但是, 实验性地用物种、 时间和能量信息解决跨轴CT动态仍然具有挑战性。 在此, 我们利用旋转自由度来利用旋转解解解超快瞬变光谱仪(TA) 光谱分析, 直接直视2D 界面热层间CT Exciton的形成和冷却。 我们发现一个普遍的两阶段外向突变过程: 初始超快(0. 1 ps) 旋转观测电子注入, 形成一个带热电的分散式热电在接受层, 其次是缓慢的热电层内部冷却 ov 。</w:t>
      </w:r>
    </w:p>
    <w:p>
      <w:pPr>
        <w:spacing w:before="0" w:after="200" w:lineRule="auto" w:line="276"/>
      </w:pPr>
      <w:r>
        <w:rPr>
          <w:b/>
        </w:rPr>
        <w:t xml:space="preserve">Abstract (EN): </w:t>
      </w:r>
      <w:r>
        <w:t>Understanding the spin and charge transfer (CT) process at the 2D semiconductor interface is of both fundamental and practical importance for photocatalysis and optoelectronics. However, experimentally resolving the interfacial CT dynamics with both species, temporal, and energy information remains challenging. Herein, we exploit the spin degree of freedom to directly visualize the formation and cooling of hot interlayer CT excitons at the 2D interface using spin-resolved ultrafast transient absorption (TA) spectroscopy. We reveal a universal two-stage exciton interfacial process: an initial ultrafast (∼0.1 ps) spin-conserved electron injection forming a weakly bound delocalized hot CT exciton with a hot electron in the accepting layer, followed by a slow hot electron intralayer cooling over hundreds of femtoseconds to yield a lowest-energy tightly bound CT exciton with a band-edge electron and hole. The markedly slower cooling relative to the transfer step indicates that the electron and hole at the 2D type II interface can maintain a transient loosely bound and delocalized phase, which can promote the long-range charge separation and light-to-charge conversion. Indeed, spin-resolved TA measurements on ternary heterostructures directly confirm the spin-conserved long-range electron transfer across multiple interfaces. This study establishes a unified picture of spin-dependent interfacial charge transfer and cooling at a 2D semiconductor interface and provides guiding principles in next-generation light-harvesting and photon-to-charge conversion devices.</w:t>
      </w:r>
    </w:p>
    <w:p>
      <w:pPr>
        <w:spacing w:before="120" w:after="120"/>
      </w:pPr>
      <w:r>
        <w:rPr>
          <w:sz w:val="18"/>
        </w:rPr>
        <w:t>——————————————————————————————————————————————————————————————————————</w:t>
      </w:r>
    </w:p>
    <w:p>
      <w:pPr>
        <w:spacing w:before="160" w:after="40" w:line="240" w:lineRule="auto"/>
      </w:pPr>
      <w:r>
        <w:rPr>
          <w:b/>
        </w:rPr>
        <w:t xml:space="preserve">[53] </w:t>
      </w:r>
      <w:hyperlink r:id="rId79">
        <w:r>
          <w:rPr>
            <w:color w:val="1155CC"/>
            <w:u w:val="single"/>
          </w:rPr>
          <w:t>[ASAP]管理来自硝酸盐的高效电化学合成氨合成的基于氢铜催化技术的田径铜催化剂活性氢氟化物的活性氢化合物</w:t>
        </w:r>
      </w:hyperlink>
    </w:p>
    <w:p>
      <w:pPr>
        <w:spacing w:before="0" w:after="80"/>
      </w:pPr>
      <w:r>
        <w:rPr>
          <w:i/>
          <w:sz w:val="20"/>
        </w:rPr>
        <w:t>EN: [ASAP] Managing Active Hydrogen Species on Ternary Copper-Based Catalyst for Efficient Electrochemical Ammonia Synthesis from Nitrate</w:t>
      </w:r>
    </w:p>
    <w:p>
      <w:pPr>
        <w:spacing w:before="0" w:after="120"/>
      </w:pPr>
      <w:r>
        <w:rPr>
          <w:b/>
        </w:rPr>
        <w:t xml:space="preserve">Source: </w:t>
      </w:r>
      <w:r>
        <w:t>Journal of the American Chemical Society: Latest Articles (ACS Publications)</w:t>
      </w:r>
      <w:r>
        <w:t xml:space="preserve">    </w:t>
      </w:r>
      <w:r>
        <w:rPr>
          <w:b/>
        </w:rPr>
        <w:t xml:space="preserve">Pub date: </w:t>
      </w:r>
      <w:r>
        <w:t>2026-02-07 14:32:48+00:00</w:t>
      </w:r>
      <w:r>
        <w:t xml:space="preserve">    </w:t>
      </w:r>
      <w:r>
        <w:rPr>
          <w:b/>
        </w:rPr>
        <w:t xml:space="preserve">DOI: </w:t>
      </w:r>
      <w:hyperlink r:id="rId80">
        <w:r>
          <w:rPr>
            <w:color w:val="1155CC"/>
            <w:u w:val="single"/>
          </w:rPr>
          <w:t>10.1021/jacs.5c21149</w:t>
        </w:r>
      </w:hyperlink>
    </w:p>
    <w:p>
      <w:pPr>
        <w:spacing w:before="0" w:after="120"/>
      </w:pPr>
      <w:r>
        <w:rPr>
          <w:b/>
        </w:rPr>
        <w:t xml:space="preserve">Notes: </w:t>
      </w:r>
      <w:r>
        <w:t>abstract_source=pubmed</w:t>
      </w:r>
    </w:p>
    <w:p>
      <w:pPr>
        <w:spacing w:before="0" w:after="80" w:lineRule="auto" w:line="276"/>
      </w:pPr>
      <w:r>
        <w:rPr>
          <w:b/>
        </w:rPr>
        <w:t xml:space="preserve">摘要（ZH）: </w:t>
      </w:r>
      <w:r>
        <w:t>将电化学硝酸盐减少到氨(NO3RR)作为一种极有希望的增值硝酸盐转换途径,引起了相当大的兴趣,但NO3R的效率往往受到限制,因为活性氢种类(H*)的供应不足,而且由于氢进化反应相互竞争(HER)而优先消费,两者都源于对H* 缺乏精确管理。 特林,我们报告一个合理设计的永久催化剂PtIF@Cu, 以实现对H* 的准确控制和有针对性地利用。 空间分隔的Pt和Cu地点分别是H* 生产和消费的独立中心。</w:t>
      </w:r>
    </w:p>
    <w:p>
      <w:pPr>
        <w:spacing w:before="0" w:after="200" w:lineRule="auto" w:line="276"/>
      </w:pPr>
      <w:r>
        <w:rPr>
          <w:b/>
        </w:rPr>
        <w:t xml:space="preserve">Abstract (EN): </w:t>
      </w:r>
      <w:r>
        <w:t>The electrochemical nitrate reduction to ammonia (NO3RR) has garnered considerable interest as a highly promising route for value-added nitrate conversion. However, the efficiency of NO3RR is often limited by the inadequate supply of active hydrogen species (H*) and their preferential consumption via the competing hydrogen evolution reaction (HER), both of which stem from the lack of precise management of H*. Herein, we report a rationally designed ternary catalyst Pt@ZIF@Cu to achieve precise control and targeted utilization of H*. The spatially separated Pt and Cu sites serve as independent centers for H* generation and consumption, respectively. A ZIF layer is introduced as a hydrogen buffer, facilitating the efficient migration of H* from Pt sites to Cu sites with a reduced energy barrier, which ultimately enhances the NO3RR performance on the Cu surface while simultaneously suppressing HER at the Pt sites. The ternary Pt@ZIF@Cu exhibits superior NO3RR performance with an ammonia yield rate of up to 4.6 mmol h-1 mgcat-1 at -0.8 V (vs RHE) through meticulous H* management. Furthermore, it demonstrates enhanced performance (8.34 mmol h-1 mgcat-1) in a membrane electrode assembly (MEA) under ampere-level current densities, and enables the convenient preparation of high-purity solid ammonium products via Ar-stripping.</w:t>
      </w:r>
    </w:p>
    <w:p>
      <w:pPr>
        <w:spacing w:before="120" w:after="120"/>
      </w:pPr>
      <w:r>
        <w:rPr>
          <w:sz w:val="18"/>
        </w:rPr>
        <w:t>——————————————————————————————————————————————————————————————————————</w:t>
      </w:r>
    </w:p>
    <w:p>
      <w:pPr>
        <w:spacing w:before="160" w:after="40" w:line="240" w:lineRule="auto"/>
      </w:pPr>
      <w:r>
        <w:rPr>
          <w:b/>
        </w:rPr>
        <w:t xml:space="preserve">[54] </w:t>
      </w:r>
      <w:hyperlink r:id="rId81">
        <w:r>
          <w:rPr>
            <w:color w:val="1155CC"/>
            <w:u w:val="single"/>
          </w:rPr>
          <w:t>[ASAP]通过拆解硫化物-跟踪开发基底分散活性探测器,用于特定地点对核子细胞消散进行现场调查</w:t>
        </w:r>
      </w:hyperlink>
    </w:p>
    <w:p>
      <w:pPr>
        <w:spacing w:before="0" w:after="80"/>
      </w:pPr>
      <w:r>
        <w:rPr>
          <w:i/>
          <w:sz w:val="20"/>
        </w:rPr>
        <w:t>EN: [ASAP] Development of Substrate-Directed Activity-Based Probes via Disulfide-Trapping for Site-Specific Interrogation of Nucleosomal Deubiquitination</w:t>
      </w:r>
    </w:p>
    <w:p>
      <w:pPr>
        <w:spacing w:before="0" w:after="120"/>
      </w:pPr>
      <w:r>
        <w:rPr>
          <w:b/>
        </w:rPr>
        <w:t xml:space="preserve">Source: </w:t>
      </w:r>
      <w:r>
        <w:t>Journal of the American Chemical Society: Latest Articles (ACS Publications)</w:t>
      </w:r>
      <w:r>
        <w:t xml:space="preserve">    </w:t>
      </w:r>
      <w:r>
        <w:rPr>
          <w:b/>
        </w:rPr>
        <w:t xml:space="preserve">Pub date: </w:t>
      </w:r>
      <w:r>
        <w:t>2026-02-07 14:33:48+00:00</w:t>
      </w:r>
      <w:r>
        <w:t xml:space="preserve">    </w:t>
      </w:r>
      <w:r>
        <w:rPr>
          <w:b/>
        </w:rPr>
        <w:t xml:space="preserve">DOI: </w:t>
      </w:r>
      <w:hyperlink r:id="rId82">
        <w:r>
          <w:rPr>
            <w:color w:val="1155CC"/>
            <w:u w:val="single"/>
          </w:rPr>
          <w:t>10.1021/jacs.5c20156</w:t>
        </w:r>
      </w:hyperlink>
    </w:p>
    <w:p>
      <w:pPr>
        <w:spacing w:before="0" w:after="120"/>
      </w:pPr>
      <w:r>
        <w:rPr>
          <w:b/>
        </w:rPr>
        <w:t xml:space="preserve">Notes: </w:t>
      </w:r>
      <w:r>
        <w:t>abstract_source=pubmed</w:t>
      </w:r>
    </w:p>
    <w:p>
      <w:pPr>
        <w:spacing w:before="0" w:after="80" w:lineRule="auto" w:line="276"/>
      </w:pPr>
      <w:r>
        <w:rPr>
          <w:b/>
        </w:rPr>
        <w:t xml:space="preserve">摘要（ZH）: </w:t>
      </w:r>
      <w:r>
        <w:t>活性活性无孔虫探测器(Ub-ABPs)在调查无孔虫探测器(DUBBs)方面起了作用,但常规的Ub-ABPs缺乏调查核细胞蛋白DUBs所需的底部特有和特定地点背景线索,而核细胞蛋白聚苯酯的活动受到铬基环境的严格管制。在这里,我们开发了一个使用脱硫跟踪机制的基部定向核细胞显微盘显微盘活性探测器(SD-NucDUB-ABPs),该探测器的特征是:对无源苯丙胺聚胺进行2-2'd-dhiopridine-actived 2-mercapto乙基修改,从而能够通过催化细胞来选择性地共价捕捉到核细胞相互作用的DUBs,同时保持抗水解。我们利用这一战略对H2AK15UbAT核细胞探测器进行了合成,并在活动中使用它。</w:t>
      </w:r>
    </w:p>
    <w:p>
      <w:pPr>
        <w:spacing w:before="0" w:after="200" w:lineRule="auto" w:line="276"/>
      </w:pPr>
      <w:r>
        <w:rPr>
          <w:b/>
        </w:rPr>
        <w:t xml:space="preserve">Abstract (EN): </w:t>
      </w:r>
      <w:r>
        <w:t>Activity-based ubiquitin probes (Ub-ABPs) have been instrumental in interrogating deubiquitinases (DUBs), yet conventional Ub-ABPs lack the substrate-specific and site-specific contextual cues required to investigate nucleosomal DUBs, whose activity is tightly regulated by the chromatin environments. Here, we developed a substrate-directed nucleosomal DUB activity-based probe (SD-NucDUB-ABP) employing a disulfide-trapping mechanism. This probe features a 2,2'-dithiodipyridine-activated 2-mercaptoethyl modification on ubiquitinated histone isopeptide amide, enabling selective covalent capture of nucleosome-interacting DUBs via their catalytic cysteines while remaining resistant to hydrolysis. Using this strategy, we synthesized the H2AK15UbAT nucleosome probe and applied it in the activity-based profiling of DUBs in nuclear lysates of DNA-damaged HeLa cells. Subsequent biochemical analyses confirmed USP3 as a bona fide DUB for H2AK15Ub nucleosomes. Cross-linking mass spectrometry (XL-MS) further delineated the spatial interaction network among USP3, Ub, and the nucleosome, providing mechanistic insights into H2AK15 deubiquitination. Furthermore, we extended this strategy to other nucleosomal ubiquitination sites (H2AK119Ub and H2BK120Ub), capturing their cognate DUBs (USP16 and Ubp10, respectively). The SD-NucDUB-ABP platform thus enables integrated proteomic discovery and mechanistic dissection of nucleosome-specific deubiquitination, providing a versatile chemical tool for epigenetic research at the intersection of chemical biology and chromatin biology.</w:t>
      </w:r>
    </w:p>
    <w:p>
      <w:pPr>
        <w:spacing w:before="120" w:after="120"/>
      </w:pPr>
      <w:r>
        <w:rPr>
          <w:sz w:val="18"/>
        </w:rPr>
        <w:t>——————————————————————————————————————————————————————————————————————</w:t>
      </w:r>
    </w:p>
    <w:p>
      <w:pPr>
        <w:spacing w:before="160" w:after="40" w:line="240" w:lineRule="auto"/>
      </w:pPr>
      <w:r>
        <w:rPr>
          <w:b/>
        </w:rPr>
        <w:t xml:space="preserve">[55] </w:t>
      </w:r>
      <w:hyperlink r:id="rId83">
        <w:r>
          <w:rPr>
            <w:color w:val="1155CC"/>
            <w:u w:val="single"/>
          </w:rPr>
          <w:t>[ASAP] 单流交叉点量导量限制单气流中枢的单气道饱和度</w:t>
        </w:r>
      </w:hyperlink>
    </w:p>
    <w:p>
      <w:pPr>
        <w:spacing w:before="0" w:after="80"/>
      </w:pPr>
      <w:r>
        <w:rPr>
          <w:i/>
          <w:sz w:val="20"/>
        </w:rPr>
        <w:t>EN: [ASAP] Single-Channel Saturation at the Quantum Conductance Limit in Single-Molecule Junctions</w:t>
      </w:r>
    </w:p>
    <w:p>
      <w:pPr>
        <w:spacing w:before="0" w:after="120"/>
      </w:pPr>
      <w:r>
        <w:rPr>
          <w:b/>
        </w:rPr>
        <w:t xml:space="preserve">Source: </w:t>
      </w:r>
      <w:r>
        <w:t>Journal of the American Chemical Society: Latest Articles (ACS Publications)</w:t>
      </w:r>
      <w:r>
        <w:t xml:space="preserve">    </w:t>
      </w:r>
      <w:r>
        <w:rPr>
          <w:b/>
        </w:rPr>
        <w:t xml:space="preserve">Pub date: </w:t>
      </w:r>
      <w:r>
        <w:t>2026-02-07 15:29:58+00:00</w:t>
      </w:r>
      <w:r>
        <w:t xml:space="preserve">    </w:t>
      </w:r>
      <w:r>
        <w:rPr>
          <w:b/>
        </w:rPr>
        <w:t xml:space="preserve">DOI: </w:t>
      </w:r>
      <w:hyperlink r:id="rId84">
        <w:r>
          <w:rPr>
            <w:color w:val="1155CC"/>
            <w:u w:val="single"/>
          </w:rPr>
          <w:t>10.1021/jacs.5c18067</w:t>
        </w:r>
      </w:hyperlink>
    </w:p>
    <w:p>
      <w:pPr>
        <w:spacing w:before="0" w:after="120"/>
      </w:pPr>
      <w:r>
        <w:rPr>
          <w:b/>
        </w:rPr>
        <w:t xml:space="preserve">Notes: </w:t>
      </w:r>
      <w:r>
        <w:t>abstract_source=pubmed</w:t>
      </w:r>
    </w:p>
    <w:p>
      <w:pPr>
        <w:spacing w:before="0" w:after="80" w:lineRule="auto" w:line="276"/>
      </w:pPr>
      <w:r>
        <w:rPr>
          <w:b/>
        </w:rPr>
        <w:t xml:space="preserve">摘要（ZH）: </w:t>
      </w:r>
      <w:r>
        <w:t>通过单一量子信道的电流受到导电量(G0 = 2e2/h  77.5 μS)的根本性限制,该量子只能在完全透明的系统中实现,而不会发生干扰散射。然而,在金属-分子-金属交界处实现这一量子极限长期以来一直受到不同界面内在电子不匹配的阻碍。在这里,我们报告一个长度超过1纳米的碳纳米带单分子连接点,其导电量在环境条件下由单一运输通道饱和驱动,达到G0。这种前所未有的性能来自电场诱发的在两个接触点形成共价C-Au-C债券,形成原子引信界面,将纳米贝子的系统与奥轨道相接合。由此产生的 d- conju。</w:t>
      </w:r>
    </w:p>
    <w:p>
      <w:pPr>
        <w:spacing w:before="0" w:after="200" w:lineRule="auto" w:line="276"/>
      </w:pPr>
      <w:r>
        <w:rPr>
          <w:b/>
        </w:rPr>
        <w:t xml:space="preserve">Abstract (EN): </w:t>
      </w:r>
      <w:r>
        <w:t>Electron transport through a single quantum channel is fundamentally limited by the conductance quantum (G0 = 2e2/h ≈ 77.5 μS), achievable only in fully transparent systems without interfacial scattering. However, realizing this quantum limit in metal-molecule-metal junctions has long been hindered by intrinsic electronic mismatches at heterogeneous interfaces. Here, we report a carbon nanobelt single-molecule junction over 1 nm in length, whose conductance reaches G0, driven by the saturation of a single transport channel under ambient conditions. This unprecedented performance arises from electric-field-induced formation of covalent C-Au-C bonds at both contacts, creating atomically fused interfaces that seamlessly merge the nanobelt's π system with Au d orbitals. The resulting d-π conjugation establishes a single, transparent electronic resonance aligned with the Fermi level, suppressing backscattering and enabling near ideal quantum transport. By eliminating heterogeneous interfacial resistance at the atomic scale, this strategy offers a general blueprint for engineering atomically precise, energy-efficient nanoelectronic and optoelectronic devices.</w:t>
      </w:r>
    </w:p>
    <w:p>
      <w:pPr>
        <w:spacing w:before="120" w:after="120"/>
      </w:pPr>
      <w:r>
        <w:rPr>
          <w:sz w:val="18"/>
        </w:rPr>
        <w:t>——————————————————————————————————————————————————————————————————————</w:t>
      </w:r>
    </w:p>
    <w:p>
      <w:pPr>
        <w:spacing w:before="160" w:after="40" w:line="240" w:lineRule="auto"/>
      </w:pPr>
      <w:r>
        <w:rPr>
          <w:b/>
        </w:rPr>
        <w:t xml:space="preserve">[56] </w:t>
      </w:r>
      <w:hyperlink r:id="rId85">
        <w:r>
          <w:rPr>
            <w:color w:val="1155CC"/>
            <w:u w:val="single"/>
          </w:rPr>
          <w:t>[ASAP] 使用硫化氢盐在生活环境中释放芳香C-H债券的光红氧化物</w:t>
        </w:r>
      </w:hyperlink>
    </w:p>
    <w:p>
      <w:pPr>
        <w:spacing w:before="0" w:after="80"/>
      </w:pPr>
      <w:r>
        <w:rPr>
          <w:i/>
          <w:sz w:val="20"/>
        </w:rPr>
        <w:t>EN: [ASAP] Photoredox Unmasking of Aromatic C–H Bonds in Living Environments Enabled by Thianthrenium Salts</w:t>
      </w:r>
    </w:p>
    <w:p>
      <w:pPr>
        <w:spacing w:before="0" w:after="120"/>
      </w:pPr>
      <w:r>
        <w:rPr>
          <w:b/>
        </w:rPr>
        <w:t xml:space="preserve">Source: </w:t>
      </w:r>
      <w:r>
        <w:t>Journal of the American Chemical Society: Latest Articles (ACS Publications)</w:t>
      </w:r>
      <w:r>
        <w:t xml:space="preserve">    </w:t>
      </w:r>
      <w:r>
        <w:rPr>
          <w:b/>
        </w:rPr>
        <w:t xml:space="preserve">Pub date: </w:t>
      </w:r>
      <w:r>
        <w:t>2026-02-07 15:30:50+00:00</w:t>
      </w:r>
      <w:r>
        <w:t xml:space="preserve">    </w:t>
      </w:r>
      <w:r>
        <w:rPr>
          <w:b/>
        </w:rPr>
        <w:t xml:space="preserve">DOI: </w:t>
      </w:r>
      <w:hyperlink r:id="rId86">
        <w:r>
          <w:rPr>
            <w:color w:val="1155CC"/>
            <w:u w:val="single"/>
          </w:rPr>
          <w:t>10.1021/jacs.6c00530</w:t>
        </w:r>
      </w:hyperlink>
    </w:p>
    <w:p>
      <w:pPr>
        <w:spacing w:before="0" w:after="120"/>
      </w:pPr>
      <w:r>
        <w:rPr>
          <w:b/>
        </w:rPr>
        <w:t xml:space="preserve">Notes: </w:t>
      </w:r>
      <w:r>
        <w:t>abstract_source=pubmed</w:t>
      </w:r>
    </w:p>
    <w:p>
      <w:pPr>
        <w:spacing w:before="0" w:after="80" w:lineRule="auto" w:line="276"/>
      </w:pPr>
      <w:r>
        <w:rPr>
          <w:b/>
        </w:rPr>
        <w:t xml:space="preserve">摘要（ZH）: </w:t>
      </w:r>
      <w:r>
        <w:t>预防毒品战略传统上依赖遮蔽极地生物活性分子的功能组,其保护单元可以通过生物环境中的特定刺激来去除。在这里,我们引入了一种替代的不摄取方法,在可逆地遮盖与硫化亚亚硫基的芳香C-H联系与硫化亚硫基联结的基础上,绕过对异丙氧原子控管的需要。低能光化氧化物激活引发了松动,产生丙烯基,而内生生物吸收剂迅速减少,以恢复原生碳-H联系。除了在生物细胞中确立光红外基化学的可行性外,我们展示了这一战略在调节抗硫化物剂活动时的验证概念应用。</w:t>
      </w:r>
    </w:p>
    <w:p>
      <w:pPr>
        <w:spacing w:before="0" w:after="200" w:lineRule="auto" w:line="276"/>
      </w:pPr>
      <w:r>
        <w:rPr>
          <w:b/>
        </w:rPr>
        <w:t xml:space="preserve">Abstract (EN): </w:t>
      </w:r>
      <w:r>
        <w:t>Prodrug strategies traditionally rely on masking polar functional groups of bioactive molecules with protecting units that can be removed by specific stimuli in biological settings. Here, we introduce an alternative uncaging approach that bypasses the need for heteroatom handles, based on reversible masking of aromatic C-H bonds with thianthrenium groups. Unmasking is triggered by low-energy photoredox activation, which generates aryl radicals that are rapidly reduced by endogenous bioreductants to restore the native C-H bond. Beyond establishing the feasibility of photoredox radical chemistry in living cells, we demonstrate a proof-of-concept application of this strategy for the modulation of activity of antifungal agents.</w:t>
      </w:r>
    </w:p>
    <w:p>
      <w:pPr>
        <w:spacing w:before="120" w:after="120"/>
      </w:pPr>
      <w:r>
        <w:rPr>
          <w:sz w:val="18"/>
        </w:rPr>
        <w:t>——————————————————————————————————————————————————————————————————————</w:t>
      </w:r>
    </w:p>
    <w:p>
      <w:pPr>
        <w:spacing w:before="160" w:after="40" w:line="240" w:lineRule="auto"/>
      </w:pPr>
      <w:r>
        <w:rPr>
          <w:b/>
        </w:rPr>
        <w:t xml:space="preserve">[57] </w:t>
      </w:r>
      <w:hyperlink r:id="rId87">
        <w:r>
          <w:rPr>
            <w:color w:val="1155CC"/>
            <w:u w:val="single"/>
          </w:rPr>
          <w:t>从神经内录音记录中解码假肢运动</w:t>
        </w:r>
      </w:hyperlink>
    </w:p>
    <w:p>
      <w:pPr>
        <w:spacing w:before="0" w:after="80"/>
      </w:pPr>
      <w:r>
        <w:rPr>
          <w:i/>
          <w:sz w:val="20"/>
        </w:rPr>
        <w:t>EN: Decoding phantom limb movements from intraneural recordings</w:t>
      </w:r>
    </w:p>
    <w:p>
      <w:pPr>
        <w:spacing w:before="0" w:after="120"/>
      </w:pPr>
      <w:r>
        <w:rPr>
          <w:b/>
        </w:rPr>
        <w:t xml:space="preserve">Source: </w:t>
      </w:r>
      <w:r>
        <w:t>Nature Communications</w:t>
      </w:r>
      <w:r>
        <w:t xml:space="preserve">    </w:t>
      </w:r>
      <w:r>
        <w:rPr>
          <w:b/>
        </w:rPr>
        <w:t xml:space="preserve">Pub date: </w:t>
      </w:r>
      <w:r>
        <w:t>2026-02-08 00:00:00+00:00</w:t>
      </w:r>
    </w:p>
    <w:p>
      <w:pPr>
        <w:spacing w:before="0" w:after="120"/>
      </w:pPr>
      <w:r>
        <w:rPr>
          <w:b/>
        </w:rPr>
        <w:t xml:space="preserve">Notes: </w:t>
      </w:r>
      <w:r>
        <w:t>abstract_source=nature_html</w:t>
      </w:r>
    </w:p>
    <w:p>
      <w:pPr>
        <w:spacing w:before="0" w:after="80" w:lineRule="auto" w:line="276"/>
      </w:pPr>
      <w:r>
        <w:rPr>
          <w:b/>
        </w:rPr>
        <w:t xml:space="preserve">摘要（ZH）: </w:t>
      </w:r>
      <w:r>
        <w:t>虽然残留神经的直接神经记录为修复术控制提供了一种生物模拟途径,但低信号振幅和神经干涉的挑战的采用程度有限。 内部多通道电极提供了潜在的解决办法,使截肢后失去肌肉肌肉的肌肉发出运动信号。 我们在这里报告了两个截肢神经内截肢截肢者使用跨轴内侧骨外多道多道电解器进行的截肢器内截肢者内部记录。我们发现了与膝、脚踝和脚趾的脉动有关的多单位活动,展示了一种联合和方向特定的调制。</w:t>
      </w:r>
    </w:p>
    <w:p>
      <w:pPr>
        <w:spacing w:before="0" w:after="200" w:lineRule="auto" w:line="276"/>
      </w:pPr>
      <w:r>
        <w:rPr>
          <w:b/>
        </w:rPr>
        <w:t xml:space="preserve">Abstract (EN): </w:t>
      </w:r>
      <w:r>
        <w:t>Limb loss causes severe sensorimotor deficits and often necessitates prosthetic devices, particularly in lower-limb amputees. Although direct neural recording from residual nerves offers a biomimetic route for prosthetic control, low signal amplitudes and challenges in nerve interfacing have limited adoption. Intraneural multichannel electrodes provide a potential solution by enabling access to motor signals from muscles lost after amputation. Here, we report intraneural recordings from two transfemoral amputees using transversal intrafascicular multichannel electrodes implanted in distal branches of the sciatic nerve. We identified multiunit activity associated with volitional phantom movements of the knee, ankle, and toes, exhibiting joint- and direction-specific modulation distributed across electrodes. A Spiking Neural Network–based decoder outperformed conventional methods in predicting attempted movements, with further gains achieved by integrating intraneural and intermuscular signals. Motor and sensory maps showed minimal overlap, indicating early segregation within the sciatic nerve. These findings pave the way for bidirectional, neurally-controlled prosthetic systems.</w:t>
      </w:r>
    </w:p>
    <w:p>
      <w:pPr>
        <w:spacing w:before="120" w:after="120"/>
      </w:pPr>
      <w:r>
        <w:rPr>
          <w:sz w:val="18"/>
        </w:rPr>
        <w:t>——————————————————————————————————————————————————————————————————————</w:t>
      </w:r>
    </w:p>
    <w:p>
      <w:pPr>
        <w:spacing w:before="160" w:after="40" w:line="240" w:lineRule="auto"/>
      </w:pPr>
      <w:r>
        <w:rPr>
          <w:b/>
        </w:rPr>
        <w:t xml:space="preserve">[58] </w:t>
      </w:r>
      <w:hyperlink r:id="rId88">
        <w:r>
          <w:rPr>
            <w:color w:val="1155CC"/>
            <w:u w:val="single"/>
          </w:rPr>
          <w:t>对太阳能光伏光伏-热光伏伏伏变级联系统进行实验研究,集中频谱分割和重塑</w:t>
        </w:r>
      </w:hyperlink>
    </w:p>
    <w:p>
      <w:pPr>
        <w:spacing w:before="0" w:after="80"/>
      </w:pPr>
      <w:r>
        <w:rPr>
          <w:i/>
          <w:sz w:val="20"/>
        </w:rPr>
        <w:t>EN: Experimental investigation of a solar photovoltaic-thermophotovoltaic cascade system with concentrating spectrum splitting and reshaping</w:t>
      </w:r>
    </w:p>
    <w:p>
      <w:pPr>
        <w:spacing w:before="0" w:after="120"/>
      </w:pPr>
      <w:r>
        <w:rPr>
          <w:b/>
        </w:rPr>
        <w:t xml:space="preserve">Source: </w:t>
      </w:r>
      <w:r>
        <w:t>ScienceDirect Publication: Applied Energy</w:t>
      </w:r>
      <w:r>
        <w:t xml:space="preserve">    </w:t>
      </w:r>
      <w:r>
        <w:rPr>
          <w:b/>
        </w:rPr>
        <w:t xml:space="preserve">Pub date: </w:t>
      </w:r>
      <w:r>
        <w:t>2026-02-08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[59] </w:t>
      </w:r>
      <w:hyperlink r:id="rId89">
        <w:r>
          <w:rPr>
            <w:color w:val="1155CC"/>
            <w:u w:val="single"/>
          </w:rPr>
          <w:t>从电网运营商的角度评估区域电网的最大碳减排潜力</w:t>
        </w:r>
      </w:hyperlink>
    </w:p>
    <w:p>
      <w:pPr>
        <w:spacing w:before="0" w:after="80"/>
      </w:pPr>
      <w:r>
        <w:rPr>
          <w:i/>
          <w:sz w:val="20"/>
        </w:rPr>
        <w:t>EN: Assessing the maximum carbon reduction potential of regional power grids from grid operators' perspective</w:t>
      </w:r>
    </w:p>
    <w:p>
      <w:pPr>
        <w:spacing w:before="0" w:after="120"/>
      </w:pPr>
      <w:r>
        <w:rPr>
          <w:b/>
        </w:rPr>
        <w:t xml:space="preserve">Source: </w:t>
      </w:r>
      <w:r>
        <w:t>ScienceDirect Publication: Applied Energy</w:t>
      </w:r>
      <w:r>
        <w:t xml:space="preserve">    </w:t>
      </w:r>
      <w:r>
        <w:rPr>
          <w:b/>
        </w:rPr>
        <w:t xml:space="preserve">Pub date: </w:t>
      </w:r>
      <w:r>
        <w:t>2026-02-08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[60] </w:t>
      </w:r>
      <w:hyperlink r:id="rId90">
        <w:r>
          <w:rPr>
            <w:color w:val="1155CC"/>
            <w:u w:val="single"/>
          </w:rPr>
          <w:t>流行病学染色体组织中 供养人-中间人互动的作用</w:t>
        </w:r>
      </w:hyperlink>
    </w:p>
    <w:p>
      <w:pPr>
        <w:spacing w:before="0" w:after="80"/>
      </w:pPr>
      <w:r>
        <w:rPr>
          <w:i/>
          <w:sz w:val="20"/>
        </w:rPr>
        <w:t>EN: A role for condensin-mediator interaction in mitotic chromosome organization</w:t>
      </w:r>
    </w:p>
    <w:p>
      <w:pPr>
        <w:spacing w:before="0" w:after="120"/>
      </w:pPr>
      <w:r>
        <w:rPr>
          <w:b/>
        </w:rPr>
        <w:t xml:space="preserve">Source: </w:t>
      </w:r>
      <w:r>
        <w:t>Nature Communications</w:t>
      </w:r>
      <w:r>
        <w:t xml:space="preserve">    </w:t>
      </w:r>
      <w:r>
        <w:rPr>
          <w:b/>
        </w:rPr>
        <w:t xml:space="preserve">Pub date: </w:t>
      </w:r>
      <w:r>
        <w:t>2026-02-08 00:00:00+00:00</w:t>
      </w:r>
    </w:p>
    <w:p>
      <w:pPr>
        <w:spacing w:before="0" w:after="120"/>
      </w:pPr>
      <w:r>
        <w:rPr>
          <w:b/>
        </w:rPr>
        <w:t xml:space="preserve">Notes: </w:t>
      </w:r>
      <w:r>
        <w:t>abstract_source=nature_html</w:t>
      </w:r>
    </w:p>
    <w:p>
      <w:pPr>
        <w:spacing w:before="0" w:after="80" w:lineRule="auto" w:line="276"/>
      </w:pPr>
      <w:r>
        <w:rPr>
          <w:b/>
        </w:rPr>
        <w:t xml:space="preserve">摘要（ZH）: </w:t>
      </w:r>
      <w:r>
        <w:t>Condensin 将表层基因组组织成三维(3D)染色体结构,支持在骨质疏松期间准确的染色体分离。然而,这个组织背后的分子机制仍然不清楚。在这里,我们确定了在Cnd1 子凝聚子单元中,Cnd1 和Frict 酵母中的调解人Pmc4子单元,Schizosaccharoomyces pombe之间,以前没有承认的互动。我们定性为cnd1-K658E 的condensin 突变,它扰乱了这种互动,并观察到它妨碍在血质疏松期间形成condensin 介质染色体域,导致染色体分隔缺陷。这种凝聚物管理器互动有助于凝聚物吸收高转基因和电动基因,后一种基因解剖析共振动基因。</w:t>
      </w:r>
    </w:p>
    <w:p>
      <w:pPr>
        <w:spacing w:before="0" w:after="200" w:lineRule="auto" w:line="276"/>
      </w:pPr>
      <w:r>
        <w:rPr>
          <w:b/>
        </w:rPr>
        <w:t xml:space="preserve">Abstract (EN): </w:t>
      </w:r>
      <w:r>
        <w:t>Condensin organizes eukaryotic genomes into three-dimensional (3D) chromosome architectures that support accurate chromosome segregation during mitosis. However, the molecular mechanisms underlying this organization remain unclear. Here, we identify a previously unrecognized interaction between the condensin subunit Cnd1 and the mediator subunit Pmc4 in fission yeast, Schizosaccharomyces pombe. We characterize a condensin mutation, cnd1-K658E, which disrupts this interaction and observe that it impairs the formation of condensin-mediated chromatin domains during mitosis, resulting in chromosome segregation defects. This condensin-mediator interaction facilitates condensin recruitment to highly transcribed genes and mitotically activated genes, the latter of which demarcate condensin-mediated domains. Moreover, 1,6-hexanediol treatment and Pmc4 mediator depletion impair expression of mitotically activated genes, diminish condensin enrichment at those boundary genes, and disrupt domain boundaries, suggesting that mediator contributes to mitotic gene expression and chromosome architecture via phase separation. Together, these results reveal a mechanism by which mitotic gene expression patterns shape condensin-mediated chromosome architecture to ensure faithful chromosome segregation.</w:t>
      </w:r>
    </w:p>
    <w:p>
      <w:pPr>
        <w:spacing w:before="120" w:after="120"/>
      </w:pPr>
      <w:r>
        <w:rPr>
          <w:sz w:val="18"/>
        </w:rPr>
        <w:t>——————————————————————————————————————————————————————————————————————</w:t>
      </w:r>
    </w:p>
    <w:p>
      <w:pPr>
        <w:spacing w:before="160" w:after="40" w:line="240" w:lineRule="auto"/>
      </w:pPr>
      <w:r>
        <w:rPr>
          <w:b/>
        </w:rPr>
        <w:t xml:space="preserve">[61] </w:t>
      </w:r>
      <w:hyperlink r:id="rId91">
        <w:r>
          <w:rPr>
            <w:color w:val="1155CC"/>
            <w:u w:val="single"/>
          </w:rPr>
          <w:t>日头光伏打情景情景生成中极值捕获极端值捕获的Fourier扩散模型</w:t>
        </w:r>
      </w:hyperlink>
    </w:p>
    <w:p>
      <w:pPr>
        <w:spacing w:before="0" w:after="80"/>
      </w:pPr>
      <w:r>
        <w:rPr>
          <w:i/>
          <w:sz w:val="20"/>
        </w:rPr>
        <w:t>EN: GEV distribution-enhanced Fourier diffusion model for extreme value capture in day-ahead photovoltaic scenario generation</w:t>
      </w:r>
    </w:p>
    <w:p>
      <w:pPr>
        <w:spacing w:before="0" w:after="120"/>
      </w:pPr>
      <w:r>
        <w:rPr>
          <w:b/>
        </w:rPr>
        <w:t xml:space="preserve">Source: </w:t>
      </w:r>
      <w:r>
        <w:t>ScienceDirect Publication: Applied Energy</w:t>
      </w:r>
      <w:r>
        <w:t xml:space="preserve">    </w:t>
      </w:r>
      <w:r>
        <w:rPr>
          <w:b/>
        </w:rPr>
        <w:t xml:space="preserve">Pub date: </w:t>
      </w:r>
      <w:r>
        <w:t>2026-02-08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[62] </w:t>
      </w:r>
      <w:hyperlink r:id="rId92">
        <w:r>
          <w:rPr>
            <w:color w:val="1155CC"/>
            <w:u w:val="single"/>
          </w:rPr>
          <w:t>绿色建筑的深强化学习式能源安排,绿色建筑的固定电池和具有不同特性的EV电池</w:t>
        </w:r>
      </w:hyperlink>
    </w:p>
    <w:p>
      <w:pPr>
        <w:spacing w:before="0" w:after="80"/>
      </w:pPr>
      <w:r>
        <w:rPr>
          <w:i/>
          <w:sz w:val="20"/>
        </w:rPr>
        <w:t>EN: Deep reinforcement learning-based energy scheduling for green buildings with stationary and EV batteries of heterogeneous characteristics</w:t>
      </w:r>
    </w:p>
    <w:p>
      <w:pPr>
        <w:spacing w:before="0" w:after="120"/>
      </w:pPr>
      <w:r>
        <w:rPr>
          <w:b/>
        </w:rPr>
        <w:t xml:space="preserve">Source: </w:t>
      </w:r>
      <w:r>
        <w:t>ScienceDirect Publication: Applied Energy</w:t>
      </w:r>
      <w:r>
        <w:t xml:space="preserve">    </w:t>
      </w:r>
      <w:r>
        <w:rPr>
          <w:b/>
        </w:rPr>
        <w:t xml:space="preserve">Pub date: </w:t>
      </w:r>
      <w:r>
        <w:t>2026-02-08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[63] </w:t>
      </w:r>
      <w:hyperlink r:id="rId93">
        <w:r>
          <w:rPr>
            <w:color w:val="1155CC"/>
            <w:u w:val="single"/>
          </w:rPr>
          <w:t>在通往中国碳中和的低碳过渡路径下的煤炭发电资产单位级搁浅资产</w:t>
        </w:r>
      </w:hyperlink>
    </w:p>
    <w:p>
      <w:pPr>
        <w:spacing w:before="0" w:after="80"/>
      </w:pPr>
      <w:r>
        <w:rPr>
          <w:i/>
          <w:sz w:val="20"/>
        </w:rPr>
        <w:t>EN: Unit-level stranded asset of coal power under low-carbon transition pathways toward China's carbon neutrality</w:t>
      </w:r>
    </w:p>
    <w:p>
      <w:pPr>
        <w:spacing w:before="0" w:after="120"/>
      </w:pPr>
      <w:r>
        <w:rPr>
          <w:b/>
        </w:rPr>
        <w:t xml:space="preserve">Source: </w:t>
      </w:r>
      <w:r>
        <w:t>ScienceDirect Publication: Energy Policy</w:t>
      </w:r>
      <w:r>
        <w:t xml:space="preserve">    </w:t>
      </w:r>
      <w:r>
        <w:rPr>
          <w:b/>
        </w:rPr>
        <w:t xml:space="preserve">Pub date: </w:t>
      </w:r>
      <w:r>
        <w:t>2026-02-08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[64] </w:t>
      </w:r>
      <w:hyperlink r:id="rId94">
        <w:r>
          <w:rPr>
            <w:color w:val="1155CC"/>
            <w:u w:val="single"/>
          </w:rPr>
          <w:t>混乱地区的静电特性控制转录因数搜索和先驱活动</w:t>
        </w:r>
      </w:hyperlink>
    </w:p>
    <w:p>
      <w:pPr>
        <w:spacing w:before="0" w:after="80"/>
      </w:pPr>
      <w:r>
        <w:rPr>
          <w:i/>
          <w:sz w:val="20"/>
        </w:rPr>
        <w:t>EN: Electrostatic properties of disordered regions control transcription factor search and pioneer activity</w:t>
      </w:r>
    </w:p>
    <w:p>
      <w:pPr>
        <w:spacing w:before="0" w:after="120"/>
      </w:pPr>
      <w:r>
        <w:rPr>
          <w:b/>
        </w:rPr>
        <w:t xml:space="preserve">Source: </w:t>
      </w:r>
      <w:r>
        <w:t>Nature Communications</w:t>
      </w:r>
      <w:r>
        <w:t xml:space="preserve">    </w:t>
      </w:r>
      <w:r>
        <w:rPr>
          <w:b/>
        </w:rPr>
        <w:t xml:space="preserve">Pub date: </w:t>
      </w:r>
      <w:r>
        <w:t>2026-02-08 00:00:00+00:00</w:t>
      </w:r>
    </w:p>
    <w:p>
      <w:pPr>
        <w:spacing w:before="0" w:after="120"/>
      </w:pPr>
      <w:r>
        <w:rPr>
          <w:b/>
        </w:rPr>
        <w:t xml:space="preserve">Notes: </w:t>
      </w:r>
      <w:r>
        <w:t>abstract_source=nature_html</w:t>
      </w:r>
    </w:p>
    <w:p>
      <w:pPr>
        <w:spacing w:before="0" w:after="80" w:lineRule="auto" w:line="276"/>
      </w:pPr>
      <w:r>
        <w:rPr>
          <w:b/>
        </w:rPr>
        <w:t xml:space="preserve">摘要（ZH）: </w:t>
      </w:r>
      <w:r>
        <w:t>追踪因素(TFs) 搜索并绑定具体的DNA目标点以控制基因表达。 但是,在染色体化基因组中, eukaryaty TF目标搜索的特征很差。 在这里, 我们结合了活体和体外单分子成像, 分离了在索克斯 TFs目标搜索中不同充电的DNA绑定的场域侧翼的作用。 我们证明索克斯2的侧翼区与索克斯17负压侧区相比,明显提高了搜索效率。 与染色素相比, 所涉及的机制对裸体DNA来说是不同的。 在DNA方面, 尽管滑动速度降低,但我们在1D滑动期间加强了索克斯2的目标识别率驱动了对索克斯2的强化搜索。 相反, 我们加强了索克斯2的DNA夹子之间的非特定互动。</w:t>
      </w:r>
    </w:p>
    <w:p>
      <w:pPr>
        <w:spacing w:before="0" w:after="200" w:lineRule="auto" w:line="276"/>
      </w:pPr>
      <w:r>
        <w:rPr>
          <w:b/>
        </w:rPr>
        <w:t xml:space="preserve">Abstract (EN): </w:t>
      </w:r>
      <w:r>
        <w:t>Transcription factors (TFs) search for and bind specific DNA target sites to control gene expression. However, eukaryotic TF target search within the chromatinized genome is poorly characterized. Here, we combine in vivo and in vitro single-molecule imaging to dissect the role of differentially-charged DNA-binding domain flanking regions in the target search of Sox TFs. We demonstrate that the flanking region of Sox2 markedly enhances search efficiency compared to the negatively-charged flanking region of Sox17. The involved mechanisms are distinct for naked DNA compared to chromatin. On DNA, the enhanced search of Sox2 is driven by an increased target recognition rate during 1D sliding, despite reduced sliding speed. Conversely, enhanced nonspecific interactions between the Sox2’s DNA-binding domain flanking region and nucleosomes facilitate binding to compact chromatin and reinforce pioneer activity. These findings provide critical insights into biophysical mechanisms governing TF target search within the chromatinized genome.</w:t>
      </w:r>
    </w:p>
    <w:p>
      <w:pPr>
        <w:spacing w:before="120" w:after="120"/>
      </w:pPr>
      <w:r>
        <w:rPr>
          <w:sz w:val="18"/>
        </w:rPr>
        <w:t>——————————————————————————————————————————————————————————————————————</w:t>
      </w:r>
    </w:p>
    <w:p>
      <w:pPr>
        <w:spacing w:before="160" w:after="40" w:line="240" w:lineRule="auto"/>
      </w:pPr>
      <w:r>
        <w:rPr>
          <w:b/>
        </w:rPr>
        <w:t xml:space="preserve">[65] </w:t>
      </w:r>
      <w:hyperlink r:id="rId95">
        <w:r>
          <w:rPr>
            <w:color w:val="1155CC"/>
            <w:u w:val="single"/>
          </w:rPr>
          <w:t>具有参数估计优化及其在风力预报中应用的新型非线性灰色模型</w:t>
        </w:r>
      </w:hyperlink>
    </w:p>
    <w:p>
      <w:pPr>
        <w:spacing w:before="0" w:after="80"/>
      </w:pPr>
      <w:r>
        <w:rPr>
          <w:i/>
          <w:sz w:val="20"/>
        </w:rPr>
        <w:t>EN: A novel nonlinear grey model with parameter estimation optimization and its application in wind power forecasting</w:t>
      </w:r>
    </w:p>
    <w:p>
      <w:pPr>
        <w:spacing w:before="0" w:after="120"/>
      </w:pPr>
      <w:r>
        <w:rPr>
          <w:b/>
        </w:rPr>
        <w:t xml:space="preserve">Source: </w:t>
      </w:r>
      <w:r>
        <w:t>ScienceDirect Publication: Applied Energy</w:t>
      </w:r>
      <w:r>
        <w:t xml:space="preserve">    </w:t>
      </w:r>
      <w:r>
        <w:rPr>
          <w:b/>
        </w:rPr>
        <w:t xml:space="preserve">Pub date: </w:t>
      </w:r>
      <w:r>
        <w:t>2026-02-08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[66] </w:t>
      </w:r>
      <w:hyperlink r:id="rId96">
        <w:r>
          <w:rPr>
            <w:color w:val="1155CC"/>
            <w:u w:val="single"/>
          </w:rPr>
          <w:t>正确种类的能源:了解韩国对清洁能源的保守支持</w:t>
        </w:r>
      </w:hyperlink>
    </w:p>
    <w:p>
      <w:pPr>
        <w:spacing w:before="0" w:after="80"/>
      </w:pPr>
      <w:r>
        <w:rPr>
          <w:i/>
          <w:sz w:val="20"/>
        </w:rPr>
        <w:t>EN: The right kind of energy: Understanding conservative support for clean energy in South Korea</w:t>
      </w:r>
    </w:p>
    <w:p>
      <w:pPr>
        <w:spacing w:before="0" w:after="120"/>
      </w:pPr>
      <w:r>
        <w:rPr>
          <w:b/>
        </w:rPr>
        <w:t xml:space="preserve">Source: </w:t>
      </w:r>
      <w:r>
        <w:t>ScienceDirect Publication: Energy Policy</w:t>
      </w:r>
      <w:r>
        <w:t xml:space="preserve">    </w:t>
      </w:r>
      <w:r>
        <w:rPr>
          <w:b/>
        </w:rPr>
        <w:t xml:space="preserve">Pub date: </w:t>
      </w:r>
      <w:r>
        <w:t>2026-02-08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[67] </w:t>
      </w:r>
      <w:hyperlink r:id="rId97">
        <w:r>
          <w:rPr>
            <w:color w:val="1155CC"/>
            <w:u w:val="single"/>
          </w:rPr>
          <w:t>采用能源储存:加利福尼亚自发激励方案的证据</w:t>
        </w:r>
      </w:hyperlink>
    </w:p>
    <w:p>
      <w:pPr>
        <w:spacing w:before="0" w:after="80"/>
      </w:pPr>
      <w:r>
        <w:rPr>
          <w:i/>
          <w:sz w:val="20"/>
        </w:rPr>
        <w:t>EN: Energy storage adoption: Evidence from self-generation incentive program in California</w:t>
      </w:r>
    </w:p>
    <w:p>
      <w:pPr>
        <w:spacing w:before="0" w:after="120"/>
      </w:pPr>
      <w:r>
        <w:rPr>
          <w:b/>
        </w:rPr>
        <w:t xml:space="preserve">Source: </w:t>
      </w:r>
      <w:r>
        <w:t>ScienceDirect Publication: Energy Policy</w:t>
      </w:r>
      <w:r>
        <w:t xml:space="preserve">    </w:t>
      </w:r>
      <w:r>
        <w:rPr>
          <w:b/>
        </w:rPr>
        <w:t xml:space="preserve">Pub date: </w:t>
      </w:r>
      <w:r>
        <w:t>2026-02-08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[68] </w:t>
      </w:r>
      <w:hyperlink r:id="rId98">
        <w:r>
          <w:rPr>
            <w:color w:val="1155CC"/>
            <w:u w:val="single"/>
          </w:rPr>
          <w:t>通过热能分析,对一个小型数据中心进行热能和热能分析</w:t>
        </w:r>
      </w:hyperlink>
    </w:p>
    <w:p>
      <w:pPr>
        <w:spacing w:before="0" w:after="80"/>
      </w:pPr>
      <w:r>
        <w:rPr>
          <w:i/>
          <w:sz w:val="20"/>
        </w:rPr>
        <w:t>EN: Transient power unit efficiency prediction of a small data center through thermal and energetic analyses</w:t>
      </w:r>
    </w:p>
    <w:p>
      <w:pPr>
        <w:spacing w:before="0" w:after="120"/>
      </w:pPr>
      <w:r>
        <w:rPr>
          <w:b/>
        </w:rPr>
        <w:t xml:space="preserve">Source: </w:t>
      </w:r>
      <w:r>
        <w:t>ScienceDirect Publication: Applied Energy</w:t>
      </w:r>
      <w:r>
        <w:t xml:space="preserve">    </w:t>
      </w:r>
      <w:r>
        <w:rPr>
          <w:b/>
        </w:rPr>
        <w:t xml:space="preserve">Pub date: </w:t>
      </w:r>
      <w:r>
        <w:t>2026-02-08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[69] </w:t>
      </w:r>
      <w:hyperlink r:id="rId99">
        <w:r>
          <w:rPr>
            <w:color w:val="1155CC"/>
            <w:u w:val="single"/>
          </w:rPr>
          <w:t>工业客户需求响应事件模拟器和风险意识招标工具</w:t>
        </w:r>
      </w:hyperlink>
    </w:p>
    <w:p>
      <w:pPr>
        <w:spacing w:before="0" w:after="80"/>
      </w:pPr>
      <w:r>
        <w:rPr>
          <w:i/>
          <w:sz w:val="20"/>
        </w:rPr>
        <w:t>EN: Demand response event simulator and risk-aware bidding tool for industrial customers</w:t>
      </w:r>
    </w:p>
    <w:p>
      <w:pPr>
        <w:spacing w:before="0" w:after="120"/>
      </w:pPr>
      <w:r>
        <w:rPr>
          <w:b/>
        </w:rPr>
        <w:t xml:space="preserve">Source: </w:t>
      </w:r>
      <w:r>
        <w:t>ScienceDirect Publication: Applied Energy</w:t>
      </w:r>
      <w:r>
        <w:t xml:space="preserve">    </w:t>
      </w:r>
      <w:r>
        <w:rPr>
          <w:b/>
        </w:rPr>
        <w:t xml:space="preserve">Pub date: </w:t>
      </w:r>
      <w:r>
        <w:t>2026-02-08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[70] </w:t>
      </w:r>
      <w:hyperlink r:id="rId100">
        <w:r>
          <w:rPr>
            <w:color w:val="1155CC"/>
            <w:u w:val="single"/>
          </w:rPr>
          <w:t>稳定红氧化物流动电池,通过抑制与草原和碘催化剂的侧面反应,稳定红氧化物流动电池</w:t>
        </w:r>
      </w:hyperlink>
    </w:p>
    <w:p>
      <w:pPr>
        <w:spacing w:before="0" w:after="80"/>
      </w:pPr>
      <w:r>
        <w:rPr>
          <w:i/>
          <w:sz w:val="20"/>
        </w:rPr>
        <w:t>EN: Stable redox flow batteries through suppression of side reactions with lawsone anolyte and iodine catholyte</w:t>
      </w:r>
    </w:p>
    <w:p>
      <w:pPr>
        <w:spacing w:before="0" w:after="120"/>
      </w:pPr>
      <w:r>
        <w:rPr>
          <w:b/>
        </w:rPr>
        <w:t xml:space="preserve">Source: </w:t>
      </w:r>
      <w:r>
        <w:t>ScienceDirect Publication: Applied Energy</w:t>
      </w:r>
      <w:r>
        <w:t xml:space="preserve">    </w:t>
      </w:r>
      <w:r>
        <w:rPr>
          <w:b/>
        </w:rPr>
        <w:t xml:space="preserve">Pub date: </w:t>
      </w:r>
      <w:r>
        <w:t>2026-02-08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[71] </w:t>
      </w:r>
      <w:hyperlink r:id="rId101">
        <w:r>
          <w:rPr>
            <w:color w:val="1155CC"/>
            <w:u w:val="single"/>
          </w:rPr>
          <w:t>[ASAP] 孔道运输之外: 底基发动机Sb2Se3光电杆</w:t>
        </w:r>
      </w:hyperlink>
    </w:p>
    <w:p>
      <w:pPr>
        <w:spacing w:before="0" w:after="80"/>
      </w:pPr>
      <w:r>
        <w:rPr>
          <w:i/>
          <w:sz w:val="20"/>
        </w:rPr>
        <w:t>EN: [ASAP] Beyond Hole Transportation: Substrate-Engineered Sb2Se3 Photocathodes</w:t>
      </w:r>
    </w:p>
    <w:p>
      <w:pPr>
        <w:spacing w:before="0" w:after="120"/>
      </w:pPr>
      <w:r>
        <w:rPr>
          <w:b/>
        </w:rPr>
        <w:t xml:space="preserve">Source: </w:t>
      </w:r>
      <w:r>
        <w:t>ACS Energy Letters: Latest Articles (ACS Publications)</w:t>
      </w:r>
      <w:r>
        <w:t xml:space="preserve">    </w:t>
      </w:r>
      <w:r>
        <w:rPr>
          <w:b/>
        </w:rPr>
        <w:t xml:space="preserve">Pub date: </w:t>
      </w:r>
      <w:r>
        <w:t>2026-02-08 18:09:17+00:00</w:t>
      </w:r>
      <w:r>
        <w:t xml:space="preserve">    </w:t>
      </w:r>
      <w:r>
        <w:rPr>
          <w:b/>
        </w:rPr>
        <w:t xml:space="preserve">DOI: </w:t>
      </w:r>
      <w:hyperlink r:id="rId102">
        <w:r>
          <w:rPr>
            <w:color w:val="1155CC"/>
            <w:u w:val="single"/>
          </w:rPr>
          <w:t>10.1021/acsenergylett.5c04281</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[72] </w:t>
      </w:r>
      <w:hyperlink r:id="rId103">
        <w:r>
          <w:rPr>
            <w:color w:val="1155CC"/>
            <w:u w:val="single"/>
          </w:rPr>
          <w:t>[ASAP]解除电离-Rich氟烯烷催化氢氟化物催化氢-氟烯烃催化氢解聚-Ga光减剂机制</w:t>
        </w:r>
      </w:hyperlink>
    </w:p>
    <w:p>
      <w:pPr>
        <w:spacing w:before="0" w:after="80"/>
      </w:pPr>
      <w:r>
        <w:rPr>
          <w:i/>
          <w:sz w:val="20"/>
        </w:rPr>
        <w:t>EN: [ASAP] Unraveling the Mechanism of a Co(−I)–Ga Photoreductant in the Catalytic Hydrodefluorination of Electron-Rich Fluoroarenes</w:t>
      </w:r>
    </w:p>
    <w:p>
      <w:pPr>
        <w:spacing w:before="0" w:after="120"/>
      </w:pPr>
      <w:r>
        <w:rPr>
          <w:b/>
        </w:rPr>
        <w:t xml:space="preserve">Source: </w:t>
      </w:r>
      <w:r>
        <w:t>Journal of the American Chemical Society: Latest Articles (ACS Publications)</w:t>
      </w:r>
      <w:r>
        <w:t xml:space="preserve">    </w:t>
      </w:r>
      <w:r>
        <w:rPr>
          <w:b/>
        </w:rPr>
        <w:t xml:space="preserve">Pub date: </w:t>
      </w:r>
      <w:r>
        <w:t>2026-02-08 18:22:58+00:00</w:t>
      </w:r>
      <w:r>
        <w:t xml:space="preserve">    </w:t>
      </w:r>
      <w:r>
        <w:rPr>
          <w:b/>
        </w:rPr>
        <w:t xml:space="preserve">DOI: </w:t>
      </w:r>
      <w:hyperlink r:id="rId104">
        <w:r>
          <w:rPr>
            <w:color w:val="1155CC"/>
            <w:u w:val="single"/>
          </w:rPr>
          <w:t>10.1021/jacs.5c16672</w:t>
        </w:r>
      </w:hyperlink>
    </w:p>
    <w:p>
      <w:pPr>
        <w:spacing w:before="0" w:after="120"/>
      </w:pPr>
      <w:r>
        <w:rPr>
          <w:b/>
        </w:rPr>
        <w:t xml:space="preserve">Notes: </w:t>
      </w:r>
      <w:r>
        <w:t>abstract_source=pubmed</w:t>
      </w:r>
    </w:p>
    <w:p>
      <w:pPr>
        <w:spacing w:before="0" w:after="80" w:lineRule="auto" w:line="276"/>
      </w:pPr>
      <w:r>
        <w:rPr>
          <w:b/>
        </w:rPr>
        <w:t xml:space="preserve">摘要（ZH）: </w:t>
      </w:r>
      <w:r>
        <w:t>基于一流过渡金属的强光导导剂非常罕见。 我们报告,在紫外光辐照(390纳米)下,有电离离异异异谱共聚物(-I)-伽复合物,[(H2)CoGa(N(o-(NCH2PiPr2)C6H4)3)]-([2-H2]-,在紫外光照射(390纳米)下,催化高浓缩氟烷的氢氟化物(氢氟),同时存在电离异原子原子基、亚光学亚和1原子H2.H2。H2的H2光分解从[2-H2]到形成“裸露”的Co(-I)物种[2],通过超高速中转吸收光谱法观测到[2]。结合其再活性剖面,[2]提议将光解成一种活光导剂,通过外射线单电子传输减少氟化物。详细的机械学研究表明,具有特性的后导体复合(2-H2)复合体(2x2)为特性。</w:t>
      </w:r>
    </w:p>
    <w:p>
      <w:pPr>
        <w:spacing w:before="0" w:after="200" w:lineRule="auto" w:line="276"/>
      </w:pPr>
      <w:r>
        <w:rPr>
          <w:b/>
        </w:rPr>
        <w:t xml:space="preserve">Abstract (EN): </w:t>
      </w:r>
      <w:r>
        <w:t>Strong photoreductants based on first-row transition metals are rare. We report an anionic heterobimetallic Co(-I)-Ga complex, [(H2)CoGa(N(o-(NCH2PiPr2)C6H4)3)]- ([2-H2]-), that catalyzes the hydrodefluorination of electron-rich fluoroarenes under violet light irradiation (390 nm), in the presence of stoichiometric alkoxide base, substoichiometric crown ether, and 1 atm H2. The photodissociation of H2 from [2-H2]- to form the 'naked' Co(-I) species [2]- was observed by ultrafast transient absorption spectroscopy. In combination with its reactivity profile, [2]- is proposed to be photoexcited to form an active photoreductant that reduces fluoroarenes via outer-sphere single-electron transfer. Detailed mechanistic studies suggest that the resultant Co(0) complex (2ox-H2), which is characterized by EPR spectroscopy, re-enters the catalytic cycle via a putative anionic Co(0) hydride intermediate [2ox-H]-. To the best of our knowledge, this is the first example of a 3d metal photoredox catalyst for C-F bond activation.</w:t>
      </w:r>
    </w:p>
    <w:p>
      <w:pPr>
        <w:spacing w:before="120" w:after="120"/>
      </w:pPr>
      <w:r>
        <w:rPr>
          <w:sz w:val="18"/>
        </w:rPr>
        <w:t>——————————————————————————————————————————————————————————————————————</w:t>
      </w:r>
    </w:p>
    <w:p>
      <w:pPr>
        <w:spacing w:before="160" w:after="40" w:line="240" w:lineRule="auto"/>
      </w:pPr>
      <w:r>
        <w:rPr>
          <w:b/>
        </w:rPr>
        <w:t xml:space="preserve">[73] </w:t>
      </w:r>
      <w:hyperlink r:id="rId105">
        <w:r>
          <w:rPr>
            <w:color w:val="1155CC"/>
            <w:u w:val="single"/>
          </w:rPr>
          <w:t>[ASAP] 装有嵌入式七人环的红宝石衍生物:曲线 -- -- 依赖 -- -- 光物理和半导体特性</w:t>
        </w:r>
      </w:hyperlink>
    </w:p>
    <w:p>
      <w:pPr>
        <w:spacing w:before="0" w:after="80"/>
      </w:pPr>
      <w:r>
        <w:rPr>
          <w:i/>
          <w:sz w:val="20"/>
        </w:rPr>
        <w:t>EN: [ASAP] Fused Rubrene Derivatives with Embedded Seven-Membered Rings: Curvature-Dependent Photophysical and Semiconductor Properties</w:t>
      </w:r>
    </w:p>
    <w:p>
      <w:pPr>
        <w:spacing w:before="0" w:after="120"/>
      </w:pPr>
      <w:r>
        <w:rPr>
          <w:b/>
        </w:rPr>
        <w:t xml:space="preserve">Source: </w:t>
      </w:r>
      <w:r>
        <w:t>Journal of the American Chemical Society: Latest Articles (ACS Publications)</w:t>
      </w:r>
      <w:r>
        <w:t xml:space="preserve">    </w:t>
      </w:r>
      <w:r>
        <w:rPr>
          <w:b/>
        </w:rPr>
        <w:t xml:space="preserve">Pub date: </w:t>
      </w:r>
      <w:r>
        <w:t>2026-02-08 18:40:53+00:00</w:t>
      </w:r>
      <w:r>
        <w:t xml:space="preserve">    </w:t>
      </w:r>
      <w:r>
        <w:rPr>
          <w:b/>
        </w:rPr>
        <w:t xml:space="preserve">DOI: </w:t>
      </w:r>
      <w:hyperlink r:id="rId106">
        <w:r>
          <w:rPr>
            <w:color w:val="1155CC"/>
            <w:u w:val="single"/>
          </w:rPr>
          <w:t>10.1021/jacs.5c22771</w:t>
        </w:r>
      </w:hyperlink>
    </w:p>
    <w:p>
      <w:pPr>
        <w:spacing w:before="0" w:after="120"/>
      </w:pPr>
      <w:r>
        <w:rPr>
          <w:b/>
        </w:rPr>
        <w:t xml:space="preserve">Notes: </w:t>
      </w:r>
      <w:r>
        <w:t>abstract_source=pubmed</w:t>
      </w:r>
    </w:p>
    <w:p>
      <w:pPr>
        <w:spacing w:before="0" w:after="80" w:lineRule="auto" w:line="276"/>
      </w:pPr>
      <w:r>
        <w:rPr>
          <w:b/>
        </w:rPr>
        <w:t xml:space="preserve">摘要（ZH）: </w:t>
      </w:r>
      <w:r>
        <w:t>对含有两个内嵌的七人环的引信润滑剂衍生物的合成和定性进行了描述。由于含有肝脏,在C2h-对称马鞍和D2-对称扭曲结构中,引信润滑剂作为两种可溶解的相容物获得,这些异构体均高度曲线,从1.10°(悬浮)和1.15°(悬浮)的平均平面偏差中判断得出。通过NMR光谱和DFT计算进行的动能研究表明,马鞍异构体比扭曲的异构体在25°C时稳定在11.0 kJ-mol-1,在25°C时比扭曲的异构体更稳定。在环境条件下,这些异构体在高温下运动稳定,但在高温下相互转换,从扭到马鞍异构体的转动性屏障屏障为136.2 kJ-mol-1,温度为25°C。两种异构体的光谱差距都比扭曲的光谱要小。</w:t>
      </w:r>
    </w:p>
    <w:p>
      <w:pPr>
        <w:spacing w:before="0" w:after="200" w:lineRule="auto" w:line="276"/>
      </w:pPr>
      <w:r>
        <w:rPr>
          <w:b/>
        </w:rPr>
        <w:t xml:space="preserve">Abstract (EN): </w:t>
      </w:r>
      <w:r>
        <w:t>The synthesis and characterization of a fused rubrene derivative with two embedded seven-membered rings are described. Owing to the incorporation of heptagons, fused rubrene was obtained as two isolable conformers in the C2h-symmetric saddle and D2-symmetric twisted structures. The isomers were both highly curved, as judged from the mean plane deviation of 1.10 Å (saddle) and 1.15 Å (twist). Kinetic studies using NMR spectroscopy and DFT calculations revealed that the saddle isomer was 11.0 kJ·mol-1 more stable at 25 °C than the twisted isomer. The isomers were kinetically stable under ambient conditions but interconverted at high temperatures with an isomerization barrier of 136.2 kJ·mol-1 at 25 °C from the twist to the saddle isomer. Both isomers displayed narrower optical band gaps than the nonfused rubrene. The two isomers exhibited optical properties that depended on their different molecular curvatures, which are thoroughly addressed in this work. The fused structure also enhanced the photostability compared with that of rubrene. Transient absorption studies suggested fast (τ = 7.2 ps) singlet fission of the twisted isomer in a thin film upon photoirradiation. Single-crystal OFET measurements demonstrated that the hole mobility of the crystalline saddle isomer is comparable to that of representative PAHs employed as organic semiconductors.</w:t>
      </w:r>
    </w:p>
    <w:p>
      <w:pPr>
        <w:spacing w:before="120" w:after="120"/>
      </w:pPr>
      <w:r>
        <w:rPr>
          <w:sz w:val="18"/>
        </w:rPr>
        <w:t>——————————————————————————————————————————————————————————————————————</w:t>
      </w:r>
    </w:p>
    <w:p>
      <w:pPr>
        <w:spacing w:before="160" w:after="40" w:line="240" w:lineRule="auto"/>
      </w:pPr>
      <w:r>
        <w:rPr>
          <w:b/>
        </w:rPr>
        <w:t xml:space="preserve">[74] </w:t>
      </w:r>
      <w:hyperlink r:id="rId107">
        <w:r>
          <w:rPr>
            <w:color w:val="1155CC"/>
            <w:u w:val="single"/>
          </w:rPr>
          <w:t>[ASAP] 高能集能国家能够在钴-硅纳米系统内使用长寿命热电</w:t>
        </w:r>
      </w:hyperlink>
    </w:p>
    <w:p>
      <w:pPr>
        <w:spacing w:before="0" w:after="80"/>
      </w:pPr>
      <w:r>
        <w:rPr>
          <w:i/>
          <w:sz w:val="20"/>
        </w:rPr>
        <w:t>EN: [ASAP] High-Energy Hybridized States Enable Long-Lived Hot Electrons in Cobaloxime-Silicon Nanocrystal System</w:t>
      </w:r>
    </w:p>
    <w:p>
      <w:pPr>
        <w:spacing w:before="0" w:after="120"/>
      </w:pPr>
      <w:r>
        <w:rPr>
          <w:b/>
        </w:rPr>
        <w:t xml:space="preserve">Source: </w:t>
      </w:r>
      <w:r>
        <w:t>Journal of the American Chemical Society: Latest Articles (ACS Publications)</w:t>
      </w:r>
      <w:r>
        <w:t xml:space="preserve">    </w:t>
      </w:r>
      <w:r>
        <w:rPr>
          <w:b/>
        </w:rPr>
        <w:t xml:space="preserve">Pub date: </w:t>
      </w:r>
      <w:r>
        <w:t>2026-02-08 19:19:35+00:00</w:t>
      </w:r>
      <w:r>
        <w:t xml:space="preserve">    </w:t>
      </w:r>
      <w:r>
        <w:rPr>
          <w:b/>
        </w:rPr>
        <w:t xml:space="preserve">DOI: </w:t>
      </w:r>
      <w:hyperlink r:id="rId108">
        <w:r>
          <w:rPr>
            <w:color w:val="1155CC"/>
            <w:u w:val="single"/>
          </w:rPr>
          <w:t>10.1021/jacs.5c19326</w:t>
        </w:r>
      </w:hyperlink>
    </w:p>
    <w:p>
      <w:pPr>
        <w:spacing w:before="0" w:after="120"/>
      </w:pPr>
      <w:r>
        <w:rPr>
          <w:b/>
        </w:rPr>
        <w:t xml:space="preserve">Notes: </w:t>
      </w:r>
      <w:r>
        <w:t>abstract_source=pubmed</w:t>
      </w:r>
    </w:p>
    <w:p>
      <w:pPr>
        <w:spacing w:before="0" w:after="80" w:lineRule="auto" w:line="276"/>
      </w:pPr>
      <w:r>
        <w:rPr>
          <w:b/>
        </w:rPr>
        <w:t xml:space="preserve">摘要（ZH）: </w:t>
      </w:r>
      <w:r>
        <w:t>分子催化剂共交共聚物([Co])和硅纳米晶体(Si NCs)之间实现了强有力的电子联结。Si-vpy-[Co]中的乙烯正丙胺系系系于Si NC表面(Si-vpy-[Co])。Si-vpy-[Co]中的乙烯正丙胺系系系于系统物理特性发生巨大变化的关键,在相应的正丙烯基(fpy)系统(Si-fpy-[Co])中未观察到这些特性——与以前只在暗电化学系统中观察到的强烈电子联结的乙烯相连接。UV-vis吸收光谱显示在Si-vy-[Co]中新的[Co]中心电子状态,而中转吸收分光谱发现在250英尺内出现强的吸收特征,并且至少5海里持续存在。</w:t>
      </w:r>
    </w:p>
    <w:p>
      <w:pPr>
        <w:spacing w:before="0" w:after="200" w:lineRule="auto" w:line="276"/>
      </w:pPr>
      <w:r>
        <w:rPr>
          <w:b/>
        </w:rPr>
        <w:t xml:space="preserve">Abstract (EN): </w:t>
      </w:r>
      <w:r>
        <w:t>Strong electronic coupling is achieved between the molecular catalyst cobaloxime ([Co]) and silicon nanocrystals (Si NCs) bridged by an ethylenepyridine group derived from vinylpyridine (vpy) covalently bound to the Si NC surface (Si-vpy-[Co]). The ethylenepyridine tether in Si-vpy-[Co] is key to dramatic changes to the system's physical properties─which are not observed in the corresponding formylpyridine (fpy) system (Si-fpy-[Co])─consistent with strong electronic coupling previously observed only in dark electrochemical systems. UV-vis absorption spectroscopy reveals new [Co]-centered electronic states in Si-vpy-[Co], and transient absorption spectroscopy finds a strong absorption feature appearing within 250 fs and persisting for at least 5 ns. Astoundingly, spectroelectrochemical measurements reveal that this absorption feature is consistent with both the singly reduced [Co]- and doubly reduced [Co]2- complexes, leading to the conclusion that these long-lived charges are derived from high-energy "hot" electrons residing in [Co]-centered states. Detailed analysis using cyclic voltammetry, spectroelectrochemistry, electron paramagnetic resonance spectroscopy, and density functional theory (DFT) calculations provides insight into the unique electronic structure created in Si-vpy-[Co]. DFT reveals that the new electronic states arise from hybridization between deep Si NC band states and high-energy molecular orbitals of the ethylenepyridine tether and the [Co] catalyst and are facilitated by σ-bonding character at the ethylenepyridine linkage. This study demonstrates that strong electronic coupling achieved through precise molecular chemistry can change the paradigm of otherwise fixed energy levels in hybrid photoelectrochemical systems for artificial photosynthesis and related applications.</w:t>
      </w:r>
    </w:p>
    <w:p>
      <w:pPr>
        <w:spacing w:before="120" w:after="120"/>
      </w:pPr>
      <w:r>
        <w:rPr>
          <w:sz w:val="18"/>
        </w:rPr>
        <w:t>——————————————————————————————————————————————————————————————————————</w:t>
      </w:r>
    </w:p>
    <w:p>
      <w:pPr>
        <w:spacing w:before="160" w:after="40" w:line="240" w:lineRule="auto"/>
      </w:pPr>
      <w:r>
        <w:rPr>
          <w:b/>
        </w:rPr>
        <w:t xml:space="preserve">[75] </w:t>
      </w:r>
      <w:hyperlink r:id="rId109">
        <w:r>
          <w:rPr>
            <w:color w:val="1155CC"/>
            <w:u w:val="single"/>
          </w:rPr>
          <w:t>[ASAP]辅助链接器-具有当地质子的辅助性连接器促进异代元金属-有机框架中的氨电合成</w:t>
        </w:r>
      </w:hyperlink>
    </w:p>
    <w:p>
      <w:pPr>
        <w:spacing w:before="0" w:after="80"/>
      </w:pPr>
      <w:r>
        <w:rPr>
          <w:i/>
          <w:sz w:val="20"/>
        </w:rPr>
        <w:t>EN: [ASAP] Auxiliary Linker-Enabled Local Protonation Boosts the Ammonia Electrosynthesis in Heterometallic Metal–Organic Frameworks</w:t>
      </w:r>
    </w:p>
    <w:p>
      <w:pPr>
        <w:spacing w:before="0" w:after="120"/>
      </w:pPr>
      <w:r>
        <w:rPr>
          <w:b/>
        </w:rPr>
        <w:t xml:space="preserve">Source: </w:t>
      </w:r>
      <w:r>
        <w:t>Journal of the American Chemical Society: Latest Articles (ACS Publications)</w:t>
      </w:r>
      <w:r>
        <w:t xml:space="preserve">    </w:t>
      </w:r>
      <w:r>
        <w:rPr>
          <w:b/>
        </w:rPr>
        <w:t xml:space="preserve">Pub date: </w:t>
      </w:r>
      <w:r>
        <w:t>2026-02-08 19:48:46+00:00</w:t>
      </w:r>
      <w:r>
        <w:t xml:space="preserve">    </w:t>
      </w:r>
      <w:r>
        <w:rPr>
          <w:b/>
        </w:rPr>
        <w:t xml:space="preserve">DOI: </w:t>
      </w:r>
      <w:hyperlink r:id="rId110">
        <w:r>
          <w:rPr>
            <w:color w:val="1155CC"/>
            <w:u w:val="single"/>
          </w:rPr>
          <w:t>10.1021/jacs.5c20755</w:t>
        </w:r>
      </w:hyperlink>
    </w:p>
    <w:p>
      <w:pPr>
        <w:spacing w:before="0" w:after="120"/>
      </w:pPr>
      <w:r>
        <w:rPr>
          <w:b/>
        </w:rPr>
        <w:t xml:space="preserve">Notes: </w:t>
      </w:r>
      <w:r>
        <w:t>abstract_source=pubmed</w:t>
      </w:r>
    </w:p>
    <w:p>
      <w:pPr>
        <w:spacing w:before="0" w:after="80" w:lineRule="auto" w:line="276"/>
      </w:pPr>
      <w:r>
        <w:rPr>
          <w:b/>
        </w:rPr>
        <w:t xml:space="preserve">摘要（ZH）: </w:t>
      </w:r>
      <w:r>
        <w:t>控制本地质子环境是加速质子相混合电子传输反应的有力战略,但在稳定的多式催化剂中实现这一点仍具有挑战性。 我们在此报告了一系列金属-有机框架(MOFs)PCN-800M-L,其精确定位质子继电器靠近催化点,将电催化硝酸还原到氨(NO3RRR)中。 PCN-800M-L系列是按顺序安装催化活性金属场地(M = Ni2+ 或 Co2+)和辅助氮-捐助者连接器(L = L1-L5),形成一个强大的Zr4+框架。辅助连接器在质子变离后,在作为局部质子继电器运行时,可瞬间暴露活跃金属场地。</w:t>
      </w:r>
    </w:p>
    <w:p>
      <w:pPr>
        <w:spacing w:before="0" w:after="200" w:lineRule="auto" w:line="276"/>
      </w:pPr>
      <w:r>
        <w:rPr>
          <w:b/>
        </w:rPr>
        <w:t xml:space="preserve">Abstract (EN): </w:t>
      </w:r>
      <w:r>
        <w:t>Controlling the local proton environment is a powerful strategy for accelerating proton-coupled electron transfer reactions, but realizing this within stable heterogeneous catalysts remains challenging. Herein, we report a series of metal-organic frameworks (MOFs), PCN-800M-L, featuring precisely placed proton relays adjacent to catalytic sites for boosting electrocatalytic nitrate reduction to ammonia (NO3RR). PCN-800M-L series was constructed by sequentially installing catalytically active metal sites (M = Ni2+ or Co2+) and auxiliary nitrogen-donor linkers (L = L1-L5) into a robust Zr4+-based framework. Auxiliary linkers reversibly dissociate upon protonation, transiently exposing active metal sites while functioning as localized proton relays. By systematically varying the metals and linkers, we uncover a volcano-type dependence of NO3RR activity on linker pKa, with the PCN-800Co-L3 achieving the highest turnover frequency (1863 h-1) and Faradaic efficiency (97.9%). This work establishes a molecular-level design principle that harnesses auxiliary linkers as programmable proton sources in MOFs, enabling efficient multielectron electrocatalysis.</w:t>
      </w:r>
    </w:p>
    <w:p>
      <w:pPr>
        <w:spacing w:before="120" w:after="120"/>
      </w:pPr>
      <w:r>
        <w:rPr>
          <w:sz w:val="18"/>
        </w:rPr>
        <w:t>——————————————————————————————————————————————————————————————————————</w:t>
      </w:r>
    </w:p>
    <w:p>
      <w:pPr>
        <w:spacing w:before="160" w:after="40" w:line="240" w:lineRule="auto"/>
      </w:pPr>
      <w:r>
        <w:rPr>
          <w:b/>
        </w:rPr>
        <w:t xml:space="preserve">[76] </w:t>
      </w:r>
      <w:hyperlink r:id="rId111">
        <w:r>
          <w:rPr>
            <w:color w:val="1155CC"/>
            <w:u w:val="single"/>
          </w:rPr>
          <w:t>一个动态的依靠电电的纳米杀菌剂平台,用于可持续的农用化学沉积和交付</w:t>
        </w:r>
      </w:hyperlink>
    </w:p>
    <w:p>
      <w:pPr>
        <w:spacing w:before="0" w:after="80"/>
      </w:pPr>
      <w:r>
        <w:rPr>
          <w:i/>
          <w:sz w:val="20"/>
        </w:rPr>
        <w:t>EN: A dynamic charge-dependent nanofungicide platform for sustainable agrochemical deposition and delivery</w:t>
      </w:r>
    </w:p>
    <w:p>
      <w:pPr>
        <w:spacing w:before="0" w:after="120"/>
      </w:pPr>
      <w:r>
        <w:rPr>
          <w:b/>
        </w:rPr>
        <w:t xml:space="preserve">Source: </w:t>
      </w:r>
      <w:r>
        <w:t>Chem</w:t>
      </w:r>
      <w:r>
        <w:t xml:space="preserve">    </w:t>
      </w:r>
      <w:r>
        <w:rPr>
          <w:b/>
        </w:rPr>
        <w:t xml:space="preserve">Pub date: </w:t>
      </w:r>
      <w:r>
        <w:t>2026-02-09 00:00:00+00:00</w:t>
      </w:r>
    </w:p>
    <w:p>
      <w:pPr>
        <w:spacing w:before="0" w:after="120"/>
      </w:pPr>
      <w:r>
        <w:rPr>
          <w:b/>
        </w:rPr>
        <w:t xml:space="preserve">Notes: </w:t>
      </w:r>
      <w:r>
        <w:t>abstract_source=rss_cell</w:t>
      </w:r>
    </w:p>
    <w:p>
      <w:pPr>
        <w:spacing w:before="0" w:after="80" w:lineRule="auto" w:line="276"/>
      </w:pPr>
      <w:r>
        <w:rPr>
          <w:b/>
        </w:rPr>
        <w:t xml:space="preserve">摘要（ZH）: </w:t>
      </w:r>
      <w:r>
        <w:t>这项工作提出了一个“动态”表面充电纳米杀菌剂平台,该平台利用环境温度作为克服强力表面约束和有限吸收之间权衡的触发因素,通过闪光纳米降水而制造的反向充电和热反应聚合纳米载体能够控制从最初的高表面活性向中度阳性反应的现场过渡,从而便利沉积,从而进一步改善广泛频谱真菌剂的摄入,同时提高沉积和吸收效率,使利用效率最大化,减少可持续农用化学应用的剂量。</w:t>
      </w:r>
    </w:p>
    <w:p>
      <w:pPr>
        <w:spacing w:before="0" w:after="200" w:lineRule="auto" w:line="276"/>
      </w:pPr>
      <w:r>
        <w:rPr>
          <w:b/>
        </w:rPr>
        <w:t xml:space="preserve">Abstract (EN): </w:t>
      </w:r>
      <w:r>
        <w:t>This work presents a “dynamic” surface-charge nanofungicide platform that leverages environmental temperature as the trigger to overcoming the trade-off between strong surface binding and restricted uptake. Oppositely charged and thermo-responsive polymer nanocarriers engineered via flash nanoprecipitation enable controlled in situ transition from initially high surface positivity that facilitates deposition to a moderate positive charge, which further improves uptake of broad-spectrum fungicides. This simultaneous enhancement of deposition and uptake efficiency provide maximizing utilization efficacy, reducing dosages for sustainable agrochemical application.</w:t>
      </w:r>
    </w:p>
    <w:p>
      <w:pPr>
        <w:spacing w:before="120" w:after="120"/>
      </w:pPr>
      <w:r>
        <w:rPr>
          <w:sz w:val="18"/>
        </w:rPr>
        <w:t>——————————————————————————————————————————————————————————————————————</w:t>
      </w:r>
    </w:p>
    <w:p>
      <w:pPr>
        <w:spacing w:before="160" w:after="40" w:line="240" w:lineRule="auto"/>
      </w:pPr>
      <w:r>
        <w:rPr>
          <w:b/>
        </w:rPr>
        <w:t xml:space="preserve">[77] </w:t>
      </w:r>
      <w:hyperlink r:id="rId112">
        <w:r>
          <w:rPr>
            <w:color w:val="1155CC"/>
            <w:u w:val="single"/>
          </w:rPr>
          <w:t>通过环境球球滚动助推安培Amppere级水电解稳定性,设计出梯度氧气空缺</w:t>
        </w:r>
      </w:hyperlink>
    </w:p>
    <w:p>
      <w:pPr>
        <w:spacing w:before="0" w:after="80"/>
      </w:pPr>
      <w:r>
        <w:rPr>
          <w:i/>
          <w:sz w:val="20"/>
        </w:rPr>
        <w:t>EN: Engineered gradient oxygen vacancies by ambient ball-milling boost ampere-level water electrolysis stability</w:t>
      </w:r>
    </w:p>
    <w:p>
      <w:pPr>
        <w:spacing w:before="0" w:after="120"/>
      </w:pPr>
      <w:r>
        <w:rPr>
          <w:b/>
        </w:rPr>
        <w:t xml:space="preserve">Source: </w:t>
      </w:r>
      <w:r>
        <w:t>National Science Review Advance Access</w:t>
      </w:r>
      <w:r>
        <w:t xml:space="preserve">    </w:t>
      </w:r>
      <w:r>
        <w:rPr>
          <w:b/>
        </w:rPr>
        <w:t xml:space="preserve">Pub date: </w:t>
      </w:r>
      <w:r>
        <w:t>2026-02-09 00:00:00+00:00</w:t>
      </w:r>
      <w:r>
        <w:t xml:space="preserve">    </w:t>
      </w:r>
      <w:r>
        <w:rPr>
          <w:b/>
        </w:rPr>
        <w:t xml:space="preserve">DOI: </w:t>
      </w:r>
      <w:hyperlink r:id="rId113">
        <w:r>
          <w:rPr>
            <w:color w:val="1155CC"/>
            <w:u w:val="single"/>
          </w:rPr>
          <w:t>10.1093/nsr/nwag070/8469398</w:t>
        </w:r>
      </w:hyperlink>
    </w:p>
    <w:p>
      <w:pPr>
        <w:spacing w:before="0" w:after="120"/>
      </w:pPr>
      <w:r>
        <w:rPr>
          <w:b/>
        </w:rPr>
        <w:t xml:space="preserve">Notes: </w:t>
      </w:r>
      <w:r>
        <w:t>abstract_source=rss_oup</w:t>
      </w:r>
    </w:p>
    <w:p>
      <w:pPr>
        <w:spacing w:before="0" w:after="80" w:lineRule="auto" w:line="276"/>
      </w:pPr>
      <w:r>
        <w:rPr>
          <w:b/>
        </w:rPr>
        <w:t xml:space="preserve">摘要（ZH）: </w:t>
      </w:r>
      <w:r>
        <w:t>平衡催化剂的活动和稳定性已成为打破安培水平水电解瓶颈的关键方法之一。氧气空缺是催化剂中最重要的活跃结构之一。氧气空缺的复杂结构,如空间分布,深刻地影响催化活动和机制。在这里,我们提出了一个机械化方法,利用受控环境压力制造氧气空缺,并通过调节薄氧的表面解吸和拉蒂扩散过程来调节其在Pr0.5BA0.5COO3的空间分布。我们提出了一个详细的合成机制,将计算结果与实验结果结合起来,概述了原子规模空缺的形成和传播行为。</w:t>
      </w:r>
    </w:p>
    <w:p>
      <w:pPr>
        <w:spacing w:before="0" w:after="200" w:lineRule="auto" w:line="276"/>
      </w:pPr>
      <w:r>
        <w:rPr>
          <w:b/>
        </w:rPr>
        <w:t xml:space="preserve">Abstract (EN): </w:t>
      </w:r>
      <w:r>
        <w:t>Balancing the activity and stability of catalysts has become one of the key approaches to breakthrough the bottleneck of ampere-level water electrolysis. Oxygen vacancy is one of the most important active structures in catalysts. The complex structure of oxygen vacancy, such as the spatial distribution, profoundly affects the catalytic activity and mechanism. Here, we present a mechanochemical method that utilizes controlled environment pressure to create oxygen vacancies and modulate its spatial distribution in Pr0.5Ba0.5CoO3 by regulating the surface desorption and lattice diffusion process of lattice oxygen. Combining computational and experimental results, we proposed a detailed synthesis mechanism that outlines the formation and diffusion behavior of vacancies at the atomic scales. Further electrochemical studies developed two OER descriptors, surface and bulk oxygen vacancy concentrations, suitable for different catalytic mechanisms. Also, the above research further proposed an oxygen vacancy distribution control strategy, which can significantly improve the stability of the catalyst at ampere-level current density and under practical working conditions while maintaining their high intrinsic activity through the switching of catalytic mechanisms. This work offers a mechanochemical method for synthesizing oxygen vacancies and paves the new way for the development of ampere-level industrial electrolytic water catalysts.</w:t>
      </w:r>
    </w:p>
    <w:p>
      <w:pPr>
        <w:spacing w:before="120" w:after="120"/>
      </w:pPr>
      <w:r>
        <w:rPr>
          <w:sz w:val="18"/>
        </w:rPr>
        <w:t>——————————————————————————————————————————————————————————————————————</w:t>
      </w:r>
    </w:p>
    <w:p>
      <w:pPr>
        <w:spacing w:before="160" w:after="40" w:line="240" w:lineRule="auto"/>
      </w:pPr>
      <w:r>
        <w:rPr>
          <w:b/>
        </w:rPr>
        <w:t xml:space="preserve">[78] </w:t>
      </w:r>
      <w:hyperlink r:id="rId114">
        <w:r>
          <w:rPr>
            <w:color w:val="1155CC"/>
            <w:u w:val="single"/>
          </w:rPr>
          <w:t>首次系统实验 2D 绘制线性两极化负射线分布在相对性Compton 散射中的直线性负射射线极度分布图</w:t>
        </w:r>
      </w:hyperlink>
    </w:p>
    <w:p>
      <w:pPr>
        <w:spacing w:before="0" w:after="80"/>
      </w:pPr>
      <w:r>
        <w:rPr>
          <w:i/>
          <w:sz w:val="20"/>
        </w:rPr>
        <w:t>EN: First systematic experimental 2D mapping of linearly polarized γ-ray polarimetric distribution in relativistic Compton scattering</w:t>
      </w:r>
    </w:p>
    <w:p>
      <w:pPr>
        <w:spacing w:before="0" w:after="120"/>
      </w:pPr>
      <w:r>
        <w:rPr>
          <w:b/>
        </w:rPr>
        <w:t xml:space="preserve">Source: </w:t>
      </w:r>
      <w:r>
        <w:t>National Science Review Advance Access</w:t>
      </w:r>
      <w:r>
        <w:t xml:space="preserve">    </w:t>
      </w:r>
      <w:r>
        <w:rPr>
          <w:b/>
        </w:rPr>
        <w:t xml:space="preserve">Pub date: </w:t>
      </w:r>
      <w:r>
        <w:t>2026-02-09 00:00:00+00:00</w:t>
      </w:r>
      <w:r>
        <w:t xml:space="preserve">    </w:t>
      </w:r>
      <w:r>
        <w:rPr>
          <w:b/>
        </w:rPr>
        <w:t xml:space="preserve">DOI: </w:t>
      </w:r>
      <w:hyperlink r:id="rId115">
        <w:r>
          <w:rPr>
            <w:color w:val="1155CC"/>
            <w:u w:val="single"/>
          </w:rPr>
          <w:t>10.1093/nsr/nwag073/8469397</w:t>
        </w:r>
      </w:hyperlink>
    </w:p>
    <w:p>
      <w:pPr>
        <w:spacing w:before="0" w:after="120"/>
      </w:pPr>
      <w:r>
        <w:rPr>
          <w:b/>
        </w:rPr>
        <w:t xml:space="preserve">Notes: </w:t>
      </w:r>
      <w:r>
        <w:t>abstract_source=rss_oup</w:t>
      </w:r>
    </w:p>
    <w:p>
      <w:pPr>
        <w:spacing w:before="0" w:after="80" w:lineRule="auto" w:line="276"/>
      </w:pPr>
      <w:r>
        <w:rPr>
          <w:b/>
        </w:rPr>
        <w:t xml:space="preserve">摘要（ZH）: </w:t>
      </w:r>
      <w:r>
        <w:t>光子与相对电子的相互作用构成一个基本的电磁过程,其极化转移力仍然不完全具有特征。我们报告首次系统测量通过45° 斜向反反Compton散射(ICS) 生成的γ射线空间极化分布,该分布分布在线性极化的0.117 eV光子和3.5GeV电子之间,对强度、极化角和极化度进行了完整的2D绘图。测量显示,在激光极化方向一带的不对称波束分布图像ICS的180°落后观测。中央波束区域显示,DOP接近1.0,而AOP则在45° 时刻吻合,而外围区域则显示复杂的非统一极化分布。</w:t>
      </w:r>
    </w:p>
    <w:p>
      <w:pPr>
        <w:spacing w:before="0" w:after="200" w:lineRule="auto" w:line="276"/>
      </w:pPr>
      <w:r>
        <w:rPr>
          <w:b/>
        </w:rPr>
        <w:t xml:space="preserve">Abstract (EN): </w:t>
      </w:r>
      <w:r>
        <w:t>The interaction of photons with relativistic electrons constitutes a fundamental electromagnetic process whose polarization transfer mechanics remain incompletely characterized. We report the first systematic measurement of spatial polarization distribution for γ rays generated via 45○ slant Inverse Compton Scattering (ICS) between linearly polarized 0.117 eV photons and 3.5 GeV electrons, performing full 2D mapping of intensity, Angle Of Polarization (AOP), and Degree Of Polarization (DOP). Measurements reveal an asymmetric beam profile along the laser’s polarization direction that resembles 180○ backward ICS observations. The central beam region exhibits DOP near 1.0 with AOP rigidly aligned at 45○, while peripheral regions display complex non-uniform polarization distributions. These findings confirm quantum electrodynamics predictions of near-complete polarization transfer along the beam axis in slant geometries, thus establishing slant scattering as a viable alternative to head-on configurations for generating high DOP γ rays.</w:t>
      </w:r>
    </w:p>
    <w:p>
      <w:pPr>
        <w:spacing w:before="120" w:after="120"/>
      </w:pPr>
      <w:r>
        <w:rPr>
          <w:sz w:val="18"/>
        </w:rPr>
        <w:t>——————————————————————————————————————————————————————————————————————</w:t>
      </w:r>
    </w:p>
    <w:p>
      <w:pPr>
        <w:spacing w:before="160" w:after="40" w:line="240" w:lineRule="auto"/>
      </w:pPr>
      <w:r>
        <w:rPr>
          <w:b/>
        </w:rPr>
        <w:t xml:space="preserve">[79] </w:t>
      </w:r>
      <w:hyperlink r:id="rId116">
        <w:r>
          <w:rPr>
            <w:color w:val="1155CC"/>
            <w:u w:val="single"/>
          </w:rPr>
          <w:t>动态观测水蒸气中COOx纳米结构的还原和氧化性氢氧化性氢氧化融化动态观测</w:t>
        </w:r>
      </w:hyperlink>
    </w:p>
    <w:p>
      <w:pPr>
        <w:spacing w:before="0" w:after="80"/>
      </w:pPr>
      <w:r>
        <w:rPr>
          <w:i/>
          <w:sz w:val="20"/>
        </w:rPr>
        <w:t>EN: Dynamic observation of reductive and oxidative hydroxylation of CoOx nanostructures in water vapor</w:t>
      </w:r>
    </w:p>
    <w:p>
      <w:pPr>
        <w:spacing w:before="0" w:after="120"/>
      </w:pPr>
      <w:r>
        <w:rPr>
          <w:b/>
        </w:rPr>
        <w:t xml:space="preserve">Source: </w:t>
      </w:r>
      <w:r>
        <w:t>National Science Review Advance Access</w:t>
      </w:r>
      <w:r>
        <w:t xml:space="preserve">    </w:t>
      </w:r>
      <w:r>
        <w:rPr>
          <w:b/>
        </w:rPr>
        <w:t xml:space="preserve">Pub date: </w:t>
      </w:r>
      <w:r>
        <w:t>2026-02-09 00:00:00+00:00</w:t>
      </w:r>
      <w:r>
        <w:t xml:space="preserve">    </w:t>
      </w:r>
      <w:r>
        <w:rPr>
          <w:b/>
        </w:rPr>
        <w:t xml:space="preserve">DOI: </w:t>
      </w:r>
      <w:hyperlink r:id="rId117">
        <w:r>
          <w:rPr>
            <w:color w:val="1155CC"/>
            <w:u w:val="single"/>
          </w:rPr>
          <w:t>10.1093/nsr/nwag085/8469403</w:t>
        </w:r>
      </w:hyperlink>
    </w:p>
    <w:p>
      <w:pPr>
        <w:spacing w:before="0" w:after="120"/>
      </w:pPr>
      <w:r>
        <w:rPr>
          <w:b/>
        </w:rPr>
        <w:t xml:space="preserve">Notes: </w:t>
      </w:r>
      <w:r>
        <w:t>abstract_source=rss_oup</w:t>
      </w:r>
    </w:p>
    <w:p>
      <w:pPr>
        <w:spacing w:before="0" w:after="80" w:lineRule="auto" w:line="276"/>
      </w:pPr>
      <w:r>
        <w:rPr>
          <w:b/>
        </w:rPr>
        <w:t xml:space="preserve">摘要（ZH）: </w:t>
      </w:r>
      <w:r>
        <w:t>在许多能源化学和催化过程中,水在许多能源化学和催化过程中起着重要作用,然而,对水与水有关的相互作用中水-固化相互作用的原子尺度了解仍然有待进一步探讨。在这里,结合高压扫描隧道显微镜和理论计算,我们已对COO两层氧化和水大气中COO2三层减少两个情况进行了可视化和解释。COO两层很容易被氢氧化成CO(OH)2,即使10-8毫巴H2O也有轻微的共氧化作用。</w:t>
      </w:r>
    </w:p>
    <w:p>
      <w:pPr>
        <w:spacing w:before="0" w:after="200" w:lineRule="auto" w:line="276"/>
      </w:pPr>
      <w:r>
        <w:rPr>
          <w:b/>
        </w:rPr>
        <w:t xml:space="preserve">Abstract (EN): </w:t>
      </w:r>
      <w:r>
        <w:t>Water plays important roles in many energy chemistry and catalysis processes and yet atomic-scale understanding of water-solid interaction in the water-involved interfacial processes still remains further explored. Here, combining high-pressure scanning tunneling microscopy and theoretical calculation we have visualized and elucidated both oxidation of CoO bilayers and reduction of CoO2 trilayers in water atmospheres. CoO bilayers are readily hydroxylated to Co(OH)2 with slight Co oxidation even at 10−8 mbar H2O. At CoO2−x</w:t>
      </w:r>
    </w:p>
    <w:p>
      <w:pPr>
        <w:spacing w:before="120" w:after="120"/>
      </w:pPr>
      <w:r>
        <w:rPr>
          <w:sz w:val="18"/>
        </w:rPr>
        <w:t>——————————————————————————————————————————————————————————————————————</w:t>
      </w:r>
    </w:p>
    <w:p>
      <w:pPr>
        <w:spacing w:before="160" w:after="40" w:line="240" w:lineRule="auto"/>
      </w:pPr>
      <w:r>
        <w:rPr>
          <w:b/>
        </w:rPr>
        <w:t xml:space="preserve">[80] </w:t>
      </w:r>
      <w:hyperlink r:id="rId118">
        <w:r>
          <w:rPr>
            <w:color w:val="1155CC"/>
            <w:u w:val="single"/>
          </w:rPr>
          <w:t>TAWRKY115TAWRKY115通过削弱TAMYB4在共同小麦中共同生物基金中的表达方式,加强冷容忍。</w:t>
        </w:r>
      </w:hyperlink>
    </w:p>
    <w:p>
      <w:pPr>
        <w:spacing w:before="0" w:after="80"/>
      </w:pPr>
      <w:r>
        <w:rPr>
          <w:i/>
          <w:sz w:val="20"/>
        </w:rPr>
        <w:t>EN: TaWRKY115 enhances cold tolerance by weakening the expression of TaMYB4 on CBFs in common wheat</w:t>
      </w:r>
    </w:p>
    <w:p>
      <w:pPr>
        <w:spacing w:before="0" w:after="120"/>
      </w:pPr>
      <w:r>
        <w:rPr>
          <w:b/>
        </w:rPr>
        <w:t xml:space="preserve">Source: </w:t>
      </w:r>
      <w:r>
        <w:t>National Science Review Advance Access</w:t>
      </w:r>
      <w:r>
        <w:t xml:space="preserve">    </w:t>
      </w:r>
      <w:r>
        <w:rPr>
          <w:b/>
        </w:rPr>
        <w:t xml:space="preserve">Pub date: </w:t>
      </w:r>
      <w:r>
        <w:t>2026-02-09 00:00:00+00:00</w:t>
      </w:r>
      <w:r>
        <w:t xml:space="preserve">    </w:t>
      </w:r>
      <w:r>
        <w:rPr>
          <w:b/>
        </w:rPr>
        <w:t xml:space="preserve">DOI: </w:t>
      </w:r>
      <w:hyperlink r:id="rId119">
        <w:r>
          <w:rPr>
            <w:color w:val="1155CC"/>
            <w:u w:val="single"/>
          </w:rPr>
          <w:t>10.1093/nsr/nwag087/8469391</w:t>
        </w:r>
      </w:hyperlink>
    </w:p>
    <w:p>
      <w:pPr>
        <w:spacing w:before="0" w:after="120"/>
      </w:pPr>
      <w:r>
        <w:rPr>
          <w:b/>
        </w:rPr>
        <w:t xml:space="preserve">Notes: </w:t>
      </w:r>
      <w:r>
        <w:t>abstract_source=rss_oup</w:t>
      </w:r>
    </w:p>
    <w:p>
      <w:pPr>
        <w:spacing w:before="0" w:after="80" w:lineRule="auto" w:line="276"/>
      </w:pPr>
      <w:r>
        <w:rPr>
          <w:b/>
        </w:rPr>
        <w:t xml:space="preserve">摘要（ZH）: </w:t>
      </w:r>
      <w:r>
        <w:t>低温是最重要的非生物压力之一,它在全世界造成了小麦生产的严重损失。</w:t>
      </w:r>
    </w:p>
    <w:p>
      <w:pPr>
        <w:spacing w:before="0" w:after="200" w:lineRule="auto" w:line="276"/>
      </w:pPr>
      <w:r>
        <w:rPr>
          <w:b/>
        </w:rPr>
        <w:t xml:space="preserve">Abstract (EN): </w:t>
      </w:r>
      <w:r>
        <w:t>Low temperature as one of the most important abiotic stresses has caused serious wheat production loss worldwide. We identified TaWRKY115</w:t>
      </w:r>
    </w:p>
    <w:p>
      <w:pPr>
        <w:spacing w:before="120" w:after="120"/>
      </w:pPr>
      <w:r>
        <w:rPr>
          <w:sz w:val="18"/>
        </w:rPr>
        <w:t>——————————————————————————————————————————————————————————————————————</w:t>
      </w:r>
    </w:p>
    <w:p>
      <w:pPr>
        <w:spacing w:before="160" w:after="40" w:line="240" w:lineRule="auto"/>
      </w:pPr>
      <w:r>
        <w:rPr>
          <w:b/>
        </w:rPr>
        <w:t xml:space="preserve">[81] </w:t>
      </w:r>
      <w:hyperlink r:id="rId120">
        <w:r>
          <w:rPr>
            <w:color w:val="1155CC"/>
            <w:u w:val="single"/>
          </w:rPr>
          <w:t>2025年中国在科技领域的十大突破</w:t>
        </w:r>
      </w:hyperlink>
    </w:p>
    <w:p>
      <w:pPr>
        <w:spacing w:before="0" w:after="80"/>
      </w:pPr>
      <w:r>
        <w:rPr>
          <w:i/>
          <w:sz w:val="20"/>
        </w:rPr>
        <w:t>EN: China’s top 10 breakthroughs in science and technology in 2025</w:t>
      </w:r>
    </w:p>
    <w:p>
      <w:pPr>
        <w:spacing w:before="0" w:after="120"/>
      </w:pPr>
      <w:r>
        <w:rPr>
          <w:b/>
        </w:rPr>
        <w:t xml:space="preserve">Source: </w:t>
      </w:r>
      <w:r>
        <w:t>National Science Review Advance Access</w:t>
      </w:r>
      <w:r>
        <w:t xml:space="preserve">    </w:t>
      </w:r>
      <w:r>
        <w:rPr>
          <w:b/>
        </w:rPr>
        <w:t xml:space="preserve">Pub date: </w:t>
      </w:r>
      <w:r>
        <w:t>2026-02-09 00:00:00+00:00</w:t>
      </w:r>
      <w:r>
        <w:t xml:space="preserve">    </w:t>
      </w:r>
      <w:r>
        <w:rPr>
          <w:b/>
        </w:rPr>
        <w:t xml:space="preserve">DOI: </w:t>
      </w:r>
      <w:hyperlink r:id="rId121">
        <w:r>
          <w:rPr>
            <w:color w:val="1155CC"/>
            <w:u w:val="single"/>
          </w:rPr>
          <w:t>10.1093/nsr/nwag088/8469392</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[82] </w:t>
      </w:r>
      <w:hyperlink r:id="rId122">
        <w:r>
          <w:rPr>
            <w:color w:val="1155CC"/>
            <w:u w:val="single"/>
          </w:rPr>
          <w:t>Casminer:高通量采矿的深层学习工具和高效的Casminer9的合理设计</w:t>
        </w:r>
      </w:hyperlink>
    </w:p>
    <w:p>
      <w:pPr>
        <w:spacing w:before="0" w:after="80"/>
      </w:pPr>
      <w:r>
        <w:rPr>
          <w:i/>
          <w:sz w:val="20"/>
        </w:rPr>
        <w:t>EN: CasMiner: a deep learning tool for high-throughput mining and rational design of efficient Cas9</w:t>
      </w:r>
    </w:p>
    <w:p>
      <w:pPr>
        <w:spacing w:before="0" w:after="120"/>
      </w:pPr>
      <w:r>
        <w:rPr>
          <w:b/>
        </w:rPr>
        <w:t xml:space="preserve">Source: </w:t>
      </w:r>
      <w:r>
        <w:t>National Science Review Advance Access</w:t>
      </w:r>
      <w:r>
        <w:t xml:space="preserve">    </w:t>
      </w:r>
      <w:r>
        <w:rPr>
          <w:b/>
        </w:rPr>
        <w:t xml:space="preserve">Pub date: </w:t>
      </w:r>
      <w:r>
        <w:t>2026-02-09 00:00:00+00:00</w:t>
      </w:r>
      <w:r>
        <w:t xml:space="preserve">    </w:t>
      </w:r>
      <w:r>
        <w:rPr>
          <w:b/>
        </w:rPr>
        <w:t xml:space="preserve">DOI: </w:t>
      </w:r>
      <w:hyperlink r:id="rId123">
        <w:r>
          <w:rPr>
            <w:color w:val="1155CC"/>
            <w:u w:val="single"/>
          </w:rPr>
          <w:t>10.1093/nsr/nwag090/8469394</w:t>
        </w:r>
      </w:hyperlink>
    </w:p>
    <w:p>
      <w:pPr>
        <w:spacing w:before="0" w:after="120"/>
      </w:pPr>
      <w:r>
        <w:rPr>
          <w:b/>
        </w:rPr>
        <w:t xml:space="preserve">Notes: </w:t>
      </w:r>
      <w:r>
        <w:t>abstract_source=rss_oup</w:t>
      </w:r>
    </w:p>
    <w:p>
      <w:pPr>
        <w:spacing w:before="0" w:after="80" w:lineRule="auto" w:line="276"/>
      </w:pPr>
      <w:r>
        <w:rPr>
          <w:b/>
        </w:rPr>
        <w:t xml:space="preserve">摘要（ZH）: </w:t>
      </w:r>
      <w:r>
        <w:t>CRISPR-Cas系统,特别是Cas9,自成立以来已显示出生命科学应用的巨大潜力,但Cas9工具包的扩展受到采矿和优化按顺序调整战略的制约。在这里,我们开发了Casminer,这是发现和工程新的Cas9蛋白质的深层学习模型,Casminer在预测Cas9方面实现了99.63%的准确性,并从公共数据库中发现了VpCas9。实验验证表明,VpCas9展示了强有力的双层和分层活动。将Casminer和进化分析结合起来,我们设计了三个变异体,其结构的僵硬性和积极性明显提高。</w:t>
      </w:r>
    </w:p>
    <w:p>
      <w:pPr>
        <w:spacing w:before="0" w:after="200" w:lineRule="auto" w:line="276"/>
      </w:pPr>
      <w:r>
        <w:rPr>
          <w:b/>
        </w:rPr>
        <w:t xml:space="preserve">Abstract (EN): </w:t>
      </w:r>
      <w:r>
        <w:t>Since its inception, the CRISPR-Cas system, particularly Cas9, has demonstrated immense potential for life science applications, but expansion of the Cas9 toolkit is constrained by sequence alignment-based strategies for mining and optimization. Here, we developed CasMiner, a deep learning model for discovering and engineering novel Cas9 proteins. CasMiner achieved 99.63% accuracy in predicting Cas9s, and identified VpCas9 from public databases. Experimental validation showed that VpCas9 exhibits robust double-strand cleavage activity. Combining CasMiner and evolutionary analysis, we engineered three mutants with markedly increased structural rigidity and positive charge. In vivo</w:t>
      </w:r>
    </w:p>
    <w:p>
      <w:pPr>
        <w:spacing w:before="120" w:after="120"/>
      </w:pPr>
      <w:r>
        <w:rPr>
          <w:sz w:val="18"/>
        </w:rPr>
        <w:t>——————————————————————————————————————————————————————————————————————</w:t>
      </w:r>
    </w:p>
    <w:p>
      <w:pPr>
        <w:spacing w:before="160" w:after="40" w:line="240" w:lineRule="auto"/>
      </w:pPr>
      <w:r>
        <w:rPr>
          <w:b/>
        </w:rPr>
        <w:t xml:space="preserve">[83] </w:t>
      </w:r>
      <w:hyperlink r:id="rId124">
        <w:r>
          <w:rPr>
            <w:color w:val="1155CC"/>
            <w:u w:val="single"/>
          </w:rPr>
          <w:t>每日简报:电池爆炸的阴暗面</w:t>
        </w:r>
      </w:hyperlink>
    </w:p>
    <w:p>
      <w:pPr>
        <w:spacing w:before="0" w:after="80"/>
      </w:pPr>
      <w:r>
        <w:rPr>
          <w:i/>
          <w:sz w:val="20"/>
        </w:rPr>
        <w:t>EN: Daily briefing: The dark side of the battery boom</w:t>
      </w:r>
    </w:p>
    <w:p>
      <w:pPr>
        <w:spacing w:before="0" w:after="120"/>
      </w:pPr>
      <w:r>
        <w:rPr>
          <w:b/>
        </w:rPr>
        <w:t xml:space="preserve">Source: </w:t>
      </w:r>
      <w:r>
        <w:t>Nature</w:t>
      </w:r>
      <w:r>
        <w:t xml:space="preserve">    </w:t>
      </w:r>
      <w:r>
        <w:rPr>
          <w:b/>
        </w:rPr>
        <w:t xml:space="preserve">Pub date: </w:t>
      </w:r>
      <w:r>
        <w:t>2026-02-09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[84] </w:t>
      </w:r>
      <w:hyperlink r:id="rId125">
        <w:r>
          <w:rPr>
            <w:color w:val="1155CC"/>
            <w:u w:val="single"/>
          </w:rPr>
          <w:t>TiO2 保护层形状的 TiO2 保护层形状光电化CO2 减少光电化学CO2的光电化光电阴极性能</w:t>
        </w:r>
      </w:hyperlink>
    </w:p>
    <w:p>
      <w:pPr>
        <w:spacing w:before="0" w:after="80"/>
      </w:pPr>
      <w:r>
        <w:rPr>
          <w:i/>
          <w:sz w:val="20"/>
        </w:rPr>
        <w:t>EN: TiO2 protective layers shape photocathode performance in photoelectrochemical CO2 reduction</w:t>
      </w:r>
    </w:p>
    <w:p>
      <w:pPr>
        <w:spacing w:before="0" w:after="120"/>
      </w:pPr>
      <w:r>
        <w:rPr>
          <w:b/>
        </w:rPr>
        <w:t xml:space="preserve">Source: </w:t>
      </w:r>
      <w:r>
        <w:t>National Science Review Advance Access</w:t>
      </w:r>
      <w:r>
        <w:t xml:space="preserve">    </w:t>
      </w:r>
      <w:r>
        <w:rPr>
          <w:b/>
        </w:rPr>
        <w:t xml:space="preserve">Pub date: </w:t>
      </w:r>
      <w:r>
        <w:t>2026-02-09 00:00:00+00:00</w:t>
      </w:r>
      <w:r>
        <w:t xml:space="preserve">    </w:t>
      </w:r>
      <w:r>
        <w:rPr>
          <w:b/>
        </w:rPr>
        <w:t xml:space="preserve">DOI: </w:t>
      </w:r>
      <w:hyperlink r:id="rId126">
        <w:r>
          <w:rPr>
            <w:color w:val="1155CC"/>
            <w:u w:val="single"/>
          </w:rPr>
          <w:t>10.1093/nsr/nwag092/8469401</w:t>
        </w:r>
      </w:hyperlink>
    </w:p>
    <w:p>
      <w:pPr>
        <w:spacing w:before="0" w:after="120"/>
      </w:pPr>
      <w:r>
        <w:rPr>
          <w:b/>
        </w:rPr>
        <w:t xml:space="preserve">Notes: </w:t>
      </w:r>
      <w:r>
        <w:t>abstract_source=rss_oup</w:t>
      </w:r>
    </w:p>
    <w:p>
      <w:pPr>
        <w:spacing w:before="0" w:after="80" w:lineRule="auto" w:line="276"/>
      </w:pPr>
      <w:r>
        <w:rPr>
          <w:b/>
        </w:rPr>
        <w:t xml:space="preserve">摘要（ZH）: </w:t>
      </w:r>
      <w:r>
        <w:t>光电化学二氧化碳减少(PEC CO2R)能够直接实现太阳化转换。然而,光电阴极很少具有内在稳定性的光吸收器。在腐蚀环境中,保护层的应用仍然是稳定光电阴极的关键方法。 TiO2是最常用的稳定器,但它对催化性能的影响仍然不甚为人知。 我们在这里考察与Au、 Cu和Bi 古柯分析师结合的TiO2保护的Cu2O光电极, 结合实验和模拟, 以揭示TiO2的过层作用。 我们发现, TiO2深刻地改变了催化选择性,抑制CO和多碳(C2+)路径,而其对Bi、 In和Sn古柯分析师的囚犯生产的影响相对微不足道。</w:t>
      </w:r>
    </w:p>
    <w:p>
      <w:pPr>
        <w:spacing w:before="0" w:after="200" w:lineRule="auto" w:line="276"/>
      </w:pPr>
      <w:r>
        <w:rPr>
          <w:b/>
        </w:rPr>
        <w:t xml:space="preserve">Abstract (EN): </w:t>
      </w:r>
      <w:r>
        <w:t>Photoelectrochemical carbon dioxide reduction (PEC CO2R) enables direct solar-to-chemical conversion. However, few photocathodes are intrinsically stable light absorbers. The application of protective layers remains a critical approach for stabilizing photocathodes in corrosive environments. TiO2 is the most widely adopted stabilizer, yet its influence on catalytic performance remains poorly understood. Here we examine TiO2-protected Cu2O photocathodes integrated with Au, Cu and Bi cocatalysts, combining experiments and simulations to unravel the role of the TiO2 overlayer. We find that TiO2 profoundly alters catalytic selectivity, suppressing CO and multicarbon (C2+) pathways, while its impact on formate production with Bi, In and Sn cocatalysts is comparatively negligible. These results demonstrate that TiO2 is not an inert stabilizer but an active component that reshapes interfacial reaction pathways. This work establishes critical design principles for integrating protective layers with photocathodes to achieve selective and efficient PEC CO2R.</w:t>
      </w:r>
    </w:p>
    <w:p>
      <w:pPr>
        <w:spacing w:before="120" w:after="120"/>
      </w:pPr>
      <w:r>
        <w:rPr>
          <w:sz w:val="18"/>
        </w:rPr>
        <w:t>——————————————————————————————————————————————————————————————————————</w:t>
      </w:r>
    </w:p>
    <w:p>
      <w:pPr>
        <w:spacing w:before="160" w:after="40" w:line="240" w:lineRule="auto"/>
      </w:pPr>
      <w:r>
        <w:rPr>
          <w:b/>
        </w:rPr>
        <w:t xml:space="preserve">[85] </w:t>
      </w:r>
      <w:hyperlink r:id="rId127">
        <w:r>
          <w:rPr>
            <w:color w:val="1155CC"/>
            <w:u w:val="single"/>
          </w:rPr>
          <w:t>咖啡与130 000人学习的大脑衰老缓慢有关</w:t>
        </w:r>
      </w:hyperlink>
    </w:p>
    <w:p>
      <w:pPr>
        <w:spacing w:before="0" w:after="80"/>
      </w:pPr>
      <w:r>
        <w:rPr>
          <w:i/>
          <w:sz w:val="20"/>
        </w:rPr>
        <w:t>EN: Coffee linked to slower brain ageing in study of 130,000 people</w:t>
      </w:r>
    </w:p>
    <w:p>
      <w:pPr>
        <w:spacing w:before="0" w:after="120"/>
      </w:pPr>
      <w:r>
        <w:rPr>
          <w:b/>
        </w:rPr>
        <w:t xml:space="preserve">Source: </w:t>
      </w:r>
      <w:r>
        <w:t>Nature</w:t>
      </w:r>
      <w:r>
        <w:t xml:space="preserve">    </w:t>
      </w:r>
      <w:r>
        <w:rPr>
          <w:b/>
        </w:rPr>
        <w:t xml:space="preserve">Pub date: </w:t>
      </w:r>
      <w:r>
        <w:t>2026-02-09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[86] </w:t>
      </w:r>
      <w:hyperlink r:id="rId128">
        <w:r>
          <w:rPr>
            <w:color w:val="1155CC"/>
            <w:u w:val="single"/>
          </w:rPr>
          <w:t>绿色技术的阴暗面:电动车辆到底要花多少钱?</w:t>
        </w:r>
      </w:hyperlink>
    </w:p>
    <w:p>
      <w:pPr>
        <w:spacing w:before="0" w:after="80"/>
      </w:pPr>
      <w:r>
        <w:rPr>
          <w:i/>
          <w:sz w:val="20"/>
        </w:rPr>
        <w:t>EN: The dark side of green technology: what do electric vehicles really cost?</w:t>
      </w:r>
    </w:p>
    <w:p>
      <w:pPr>
        <w:spacing w:before="0" w:after="120"/>
      </w:pPr>
      <w:r>
        <w:rPr>
          <w:b/>
        </w:rPr>
        <w:t xml:space="preserve">Source: </w:t>
      </w:r>
      <w:r>
        <w:t>Nature</w:t>
      </w:r>
      <w:r>
        <w:t xml:space="preserve">    </w:t>
      </w:r>
      <w:r>
        <w:rPr>
          <w:b/>
        </w:rPr>
        <w:t xml:space="preserve">Pub date: </w:t>
      </w:r>
      <w:r>
        <w:t>2026-02-09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[87] </w:t>
      </w:r>
      <w:hyperlink r:id="rId129">
        <w:r>
          <w:rPr>
            <w:color w:val="1155CC"/>
            <w:u w:val="single"/>
          </w:rPr>
          <w:t>麻疹在世界各地肆虐:你面临风险吗?</w:t>
        </w:r>
      </w:hyperlink>
    </w:p>
    <w:p>
      <w:pPr>
        <w:spacing w:before="0" w:after="80"/>
      </w:pPr>
      <w:r>
        <w:rPr>
          <w:i/>
          <w:sz w:val="20"/>
        </w:rPr>
        <w:t>EN: Measles is raging worldwide: are you at risk?</w:t>
      </w:r>
    </w:p>
    <w:p>
      <w:pPr>
        <w:spacing w:before="0" w:after="120"/>
      </w:pPr>
      <w:r>
        <w:rPr>
          <w:b/>
        </w:rPr>
        <w:t xml:space="preserve">Source: </w:t>
      </w:r>
      <w:r>
        <w:t>Nature</w:t>
      </w:r>
      <w:r>
        <w:t xml:space="preserve">    </w:t>
      </w:r>
      <w:r>
        <w:rPr>
          <w:b/>
        </w:rPr>
        <w:t xml:space="preserve">Pub date: </w:t>
      </w:r>
      <w:r>
        <w:t>2026-02-09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[88] </w:t>
      </w:r>
      <w:hyperlink r:id="rId130">
        <w:r>
          <w:rPr>
            <w:color w:val="1155CC"/>
            <w:u w:val="single"/>
          </w:rPr>
          <w:t>木星被缩小 被压扁</w:t>
        </w:r>
      </w:hyperlink>
    </w:p>
    <w:p>
      <w:pPr>
        <w:spacing w:before="0" w:after="80"/>
      </w:pPr>
      <w:r>
        <w:rPr>
          <w:i/>
          <w:sz w:val="20"/>
        </w:rPr>
        <w:t>EN: Jupiter gets downsized — and squashed</w:t>
      </w:r>
    </w:p>
    <w:p>
      <w:pPr>
        <w:spacing w:before="0" w:after="120"/>
      </w:pPr>
      <w:r>
        <w:rPr>
          <w:b/>
        </w:rPr>
        <w:t xml:space="preserve">Source: </w:t>
      </w:r>
      <w:r>
        <w:t>Nature</w:t>
      </w:r>
      <w:r>
        <w:t xml:space="preserve">    </w:t>
      </w:r>
      <w:r>
        <w:rPr>
          <w:b/>
        </w:rPr>
        <w:t xml:space="preserve">Pub date: </w:t>
      </w:r>
      <w:r>
        <w:t>2026-02-09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[89] </w:t>
      </w:r>
      <w:hyperlink r:id="rId131">
        <w:r>
          <w:rPr>
            <w:color w:val="1155CC"/>
            <w:u w:val="single"/>
          </w:rPr>
          <w:t>物理酸(InsP6)激活HDAC3 前遗传轴以保持肠道屏障功能</w:t>
        </w:r>
      </w:hyperlink>
    </w:p>
    <w:p>
      <w:pPr>
        <w:spacing w:before="0" w:after="80"/>
      </w:pPr>
      <w:r>
        <w:rPr>
          <w:i/>
          <w:sz w:val="20"/>
        </w:rPr>
        <w:t>EN: Phytic acid (InsP6) activates HDAC3 epigenetic axis to maintain intestinal barrier function</w:t>
      </w:r>
    </w:p>
    <w:p>
      <w:pPr>
        <w:spacing w:before="0" w:after="120"/>
      </w:pPr>
      <w:r>
        <w:rPr>
          <w:b/>
        </w:rPr>
        <w:t xml:space="preserve">Source: </w:t>
      </w:r>
      <w:r>
        <w:t>Nature Communications</w:t>
      </w:r>
      <w:r>
        <w:t xml:space="preserve">    </w:t>
      </w:r>
      <w:r>
        <w:rPr>
          <w:b/>
        </w:rPr>
        <w:t xml:space="preserve">Pub date: </w:t>
      </w:r>
      <w:r>
        <w:t>2026-02-09 00:00:00+00:00</w:t>
      </w:r>
    </w:p>
    <w:p>
      <w:pPr>
        <w:spacing w:before="0" w:after="120"/>
      </w:pPr>
      <w:r>
        <w:rPr>
          <w:b/>
        </w:rPr>
        <w:t xml:space="preserve">Notes: </w:t>
      </w:r>
      <w:r>
        <w:t>abstract_source=nature_html</w:t>
      </w:r>
    </w:p>
    <w:p>
      <w:pPr>
        <w:spacing w:before="0" w:after="80" w:lineRule="auto" w:line="276"/>
      </w:pPr>
      <w:r>
        <w:rPr>
          <w:b/>
        </w:rPr>
        <w:t xml:space="preserve">摘要（ZH）: </w:t>
      </w:r>
      <w:r>
        <w:t>HDAC抑制剂在癌症治疗中表现出希望,但泛HDAC抑制剂在48%的病人中造成肠胃问题。了解HDAC激活机制对于治疗癌症以外的各种疾病至关重要。我们的研究显示,在食素饮食中富含异丙烯酸(InsP6或植物酸)的异硫醇聚磷酸多元磷酸酯(IPMK)和异硫酸六基磷酸酯(Inositol Hexikos磷酸酯(InsP6或植物酸),在激活HDAC3的子轴和保持肠道屏障完整性方面发挥着至关重要的作用。IPMK与HDAC3捆绑在一起,驱动InSP6合成器(InsP6合成器有选择地将HDAC3在10纳米的浓度上激活HDAC3,其核心质蛋白质的DAD领域。IPK的删除会减少HDAC3的激活,导致其骨质超发炎和MPM基因记录会损害肠屏障的完整。InP6 produmeme。</w:t>
      </w:r>
    </w:p>
    <w:p>
      <w:pPr>
        <w:spacing w:before="0" w:after="200" w:lineRule="auto" w:line="276"/>
      </w:pPr>
      <w:r>
        <w:rPr>
          <w:b/>
        </w:rPr>
        <w:t xml:space="preserve">Abstract (EN): </w:t>
      </w:r>
      <w:r>
        <w:t>HDAC inhibition shows promise in cancer treatment but pan-HDAC inhibitors cause gastrointestinal issues in 48% of patients. Understanding HDAC activation mechanisms is crucial to treating diverse diseases beyond cancer. Our study reveals that inositol polyphosphate multikinase (IPMK) and inositol hexakisphosphate (InsP6 or phytic acid), enriched in vegan diets, play essential roles in activating the HDAC3 epigenetic axis and maintaining intestinal barrier integrity. IPMK binds to HDAC3 and drives InsP6 synthesis, which selectively activates HDAC3 at a 10 nM concentration by recruiting the DAD domain of its corepressor protein. IPMK deletion diminishes HDAC3 activation, leading to histone hyperacetylation and MMP gene transcription that compromise intestinal barrier integrity. InsP6 treatment is sufficient to rescue these effects. In inflammatory bowel disease, diminished IPMK levels exacerbate intestinal permeability, while oral InsP6 treatment mitigates leaky gut effects by restoring the HDAC3 epigenetic axis, highlighting the clinical significance of the IPMK-HDAC3 pathway and the therapeutic potential of phytic acid.</w:t>
      </w:r>
    </w:p>
    <w:p>
      <w:pPr>
        <w:spacing w:before="120" w:after="120"/>
      </w:pPr>
      <w:r>
        <w:rPr>
          <w:sz w:val="18"/>
        </w:rPr>
        <w:t>——————————————————————————————————————————————————————————————————————</w:t>
      </w:r>
    </w:p>
    <w:p>
      <w:pPr>
        <w:spacing w:before="160" w:after="40" w:line="240" w:lineRule="auto"/>
      </w:pPr>
      <w:r>
        <w:rPr>
          <w:b/>
        </w:rPr>
        <w:t xml:space="preserve">[90] </w:t>
      </w:r>
      <w:hyperlink r:id="rId132">
        <w:r>
          <w:rPr>
            <w:color w:val="1155CC"/>
            <w:u w:val="single"/>
          </w:rPr>
          <w:t>精确建造地表下地下电子泵稳定Pt催化剂,防止燃料电池中氧气引起的降解。</w:t>
        </w:r>
      </w:hyperlink>
    </w:p>
    <w:p>
      <w:pPr>
        <w:spacing w:before="0" w:after="80"/>
      </w:pPr>
      <w:r>
        <w:rPr>
          <w:i/>
          <w:sz w:val="20"/>
        </w:rPr>
        <w:t>EN: Precisely constructing subsurface electron pump stabilizes Pt catalysts against oxygen-induced degradation in fuel cells</w:t>
      </w:r>
    </w:p>
    <w:p>
      <w:pPr>
        <w:spacing w:before="0" w:after="120"/>
      </w:pPr>
      <w:r>
        <w:rPr>
          <w:b/>
        </w:rPr>
        <w:t xml:space="preserve">Source: </w:t>
      </w:r>
      <w:r>
        <w:t>Matter</w:t>
      </w:r>
      <w:r>
        <w:t xml:space="preserve">    </w:t>
      </w:r>
      <w:r>
        <w:rPr>
          <w:b/>
        </w:rPr>
        <w:t xml:space="preserve">Pub date: </w:t>
      </w:r>
      <w:r>
        <w:t>2026-02-09 00:00:00+00:00</w:t>
      </w:r>
    </w:p>
    <w:p>
      <w:pPr>
        <w:spacing w:before="0" w:after="120"/>
      </w:pPr>
      <w:r>
        <w:rPr>
          <w:b/>
        </w:rPr>
        <w:t xml:space="preserve">Notes: </w:t>
      </w:r>
      <w:r>
        <w:t>abstract_source=rss_cell</w:t>
      </w:r>
    </w:p>
    <w:p>
      <w:pPr>
        <w:spacing w:before="0" w:after="80" w:lineRule="auto" w:line="276"/>
      </w:pPr>
      <w:r>
        <w:rPr>
          <w:b/>
        </w:rPr>
        <w:t xml:space="preserve">摘要（ZH）: </w:t>
      </w:r>
      <w:r>
        <w:t>原子层沉降使得能够精确地将原单原子在两端之间注射到Pt纳米粒子的地表下,从而产生不对称的菌株和电子泵效应,从而在不牺牲电化学活性表面积的情况下,有效地从内部抑制不饱和的Pt地点的电化学腐蚀,从而给基于Pt的电催化剂带来长期的燃料电池耐久性。</w:t>
      </w:r>
    </w:p>
    <w:p>
      <w:pPr>
        <w:spacing w:before="0" w:after="200" w:lineRule="auto" w:line="276"/>
      </w:pPr>
      <w:r>
        <w:rPr>
          <w:b/>
        </w:rPr>
        <w:t xml:space="preserve">Abstract (EN): </w:t>
      </w:r>
      <w:r>
        <w:t>Atomic layer deposition enables the precise interstitial doping of boron single atoms into the subsurface of Pt nanoparticles, inducing asymmetric strain and electron pump effect that effectively suppress the electrochemical corrosion of unsaturated Pt sites from the inside-out without sacrificing the electrochemical active surface area, thereby endowing the Pt-based electrocatalyst with long-term fuel cell durability.</w:t>
      </w:r>
    </w:p>
    <w:p>
      <w:pPr>
        <w:spacing w:before="120" w:after="120"/>
      </w:pPr>
      <w:r>
        <w:rPr>
          <w:sz w:val="18"/>
        </w:rPr>
        <w:t>——————————————————————————————————————————————————————————————————————</w:t>
      </w:r>
    </w:p>
    <w:p>
      <w:pPr>
        <w:spacing w:before="160" w:after="40" w:line="240" w:lineRule="auto"/>
      </w:pPr>
      <w:r>
        <w:rPr>
          <w:b/>
        </w:rPr>
        <w:t xml:space="preserve">[91] </w:t>
      </w:r>
      <w:hyperlink r:id="rId133">
        <w:r>
          <w:rPr>
            <w:color w:val="1155CC"/>
            <w:u w:val="single"/>
          </w:rPr>
          <w:t>我的使命是让生活更方便残疾人士社群使用</w:t>
        </w:r>
      </w:hyperlink>
    </w:p>
    <w:p>
      <w:pPr>
        <w:spacing w:before="0" w:after="80"/>
      </w:pPr>
      <w:r>
        <w:rPr>
          <w:i/>
          <w:sz w:val="20"/>
        </w:rPr>
        <w:t>EN: My mission to make life more user friendly for the disability community</w:t>
      </w:r>
    </w:p>
    <w:p>
      <w:pPr>
        <w:spacing w:before="0" w:after="120"/>
      </w:pPr>
      <w:r>
        <w:rPr>
          <w:b/>
        </w:rPr>
        <w:t xml:space="preserve">Source: </w:t>
      </w:r>
      <w:r>
        <w:t>Nature</w:t>
      </w:r>
      <w:r>
        <w:t xml:space="preserve">    </w:t>
      </w:r>
      <w:r>
        <w:rPr>
          <w:b/>
        </w:rPr>
        <w:t xml:space="preserve">Pub date: </w:t>
      </w:r>
      <w:r>
        <w:t>2026-02-09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[92] </w:t>
      </w:r>
      <w:hyperlink r:id="rId134">
        <w:r>
          <w:rPr>
            <w:color w:val="1155CC"/>
            <w:u w:val="single"/>
          </w:rPr>
          <w:t>如何阻止 调查的AI聊天机 威胁 更新社会科学</w:t>
        </w:r>
      </w:hyperlink>
    </w:p>
    <w:p>
      <w:pPr>
        <w:spacing w:before="0" w:after="80"/>
      </w:pPr>
      <w:r>
        <w:rPr>
          <w:i/>
          <w:sz w:val="20"/>
        </w:rPr>
        <w:t>EN: How to stop the survey-taking AI chatbots that threaten to upend social science</w:t>
      </w:r>
    </w:p>
    <w:p>
      <w:pPr>
        <w:spacing w:before="0" w:after="120"/>
      </w:pPr>
      <w:r>
        <w:rPr>
          <w:b/>
        </w:rPr>
        <w:t xml:space="preserve">Source: </w:t>
      </w:r>
      <w:r>
        <w:t>Nature</w:t>
      </w:r>
      <w:r>
        <w:t xml:space="preserve">    </w:t>
      </w:r>
      <w:r>
        <w:rPr>
          <w:b/>
        </w:rPr>
        <w:t xml:space="preserve">Pub date: </w:t>
      </w:r>
      <w:r>
        <w:t>2026-02-09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[93] </w:t>
      </w:r>
      <w:hyperlink r:id="rId135">
        <w:r>
          <w:rPr>
            <w:color w:val="1155CC"/>
            <w:u w:val="single"/>
          </w:rPr>
          <w:t>Van der Waals晶体中放松器电电的阶段工程</w:t>
        </w:r>
      </w:hyperlink>
    </w:p>
    <w:p>
      <w:pPr>
        <w:spacing w:before="0" w:after="80"/>
      </w:pPr>
      <w:r>
        <w:rPr>
          <w:i/>
          <w:sz w:val="20"/>
        </w:rPr>
        <w:t>EN: Phase engineering of relaxor ferroelectricity in van der Waals crystal</w:t>
      </w:r>
    </w:p>
    <w:p>
      <w:pPr>
        <w:spacing w:before="0" w:after="120"/>
      </w:pPr>
      <w:r>
        <w:rPr>
          <w:b/>
        </w:rPr>
        <w:t xml:space="preserve">Source: </w:t>
      </w:r>
      <w:r>
        <w:t>Nature Communications</w:t>
      </w:r>
      <w:r>
        <w:t xml:space="preserve">    </w:t>
      </w:r>
      <w:r>
        <w:rPr>
          <w:b/>
        </w:rPr>
        <w:t xml:space="preserve">Pub date: </w:t>
      </w:r>
      <w:r>
        <w:t>2026-02-09 00:00:00+00:00</w:t>
      </w:r>
    </w:p>
    <w:p>
      <w:pPr>
        <w:spacing w:before="0" w:after="120"/>
      </w:pPr>
      <w:r>
        <w:rPr>
          <w:b/>
        </w:rPr>
        <w:t xml:space="preserve">Notes: </w:t>
      </w:r>
      <w:r>
        <w:t>abstract_source=nature_html</w:t>
      </w:r>
    </w:p>
    <w:p>
      <w:pPr>
        <w:spacing w:before="0" w:after="80" w:lineRule="auto" w:line="276"/>
      </w:pPr>
      <w:r>
        <w:rPr>
          <w:b/>
        </w:rPr>
        <w:t xml:space="preserve">摘要（ZH）: </w:t>
      </w:r>
      <w:r>
        <w:t>二维范德华材料的二维范德华材料的工程工程为发现潜在的铁电特性提供了丰富的景观。精确地控制这些以独特原子安排的减少的维量材料的各个阶段至关重要。在这里,我们通过新颖的阶段工程方法,将CuInP2(S1-xSex)6 晶体与单一和三边阶段的可控制共存合成,实验性地在低维材料中实现松散或铁电化。成份裁剪造了一个中间阶段过渡区,它有利于将铁电演变为较松的铁电,并最终实现超分电。通过无歇斯的极化转换和扩散的阶段来验证放松的铁电特性。</w:t>
      </w:r>
    </w:p>
    <w:p>
      <w:pPr>
        <w:spacing w:before="0" w:after="200" w:lineRule="auto" w:line="276"/>
      </w:pPr>
      <w:r>
        <w:rPr>
          <w:b/>
        </w:rPr>
        <w:t xml:space="preserve">Abstract (EN): </w:t>
      </w:r>
      <w:r>
        <w:t>Phase engineering of two-dimensional van der Waals materials offer a rich landscape to uncover the potential ferroelectric properties. The precisely controlling phases in these reduced dimensional materials with the unique atomic arrangement are crucial. Herein, through a novel phase engineering approach, we synthesize CuInP2(S1-xSex)6 crystal with controllable coexistence of monoclinic and trigonal phases, and experimentally realize relaxor ferroelectricity in low-dimensional materials. Composition tailoring creates an intermediate phase transition region, which facilitates the evolution of ferroelectricity into relaxor ferroelectricity and eventually superparaelectricity. The relaxor ferroelectric properties are verified by the hysteresis-free polarization switching and diffused phase transition. High-resolution transmission electron microscopy reveals that edge dislocations play a critical role in forming locally disordered polar structures. When integrated it into a memristor device, the relaxor crystal with nanodomains demonstrates an increased number of analog resistance states and lower operating voltages compared to conventional ferroelectric crystals. This work establishes a phase engineering strategy to tailor ferroelectric behavior in low-dimensional materials, offering substantial potential for future electronic applications.</w:t>
      </w:r>
    </w:p>
    <w:p>
      <w:pPr>
        <w:spacing w:before="120" w:after="120"/>
      </w:pPr>
      <w:r>
        <w:rPr>
          <w:sz w:val="18"/>
        </w:rPr>
        <w:t>——————————————————————————————————————————————————————————————————————</w:t>
      </w:r>
    </w:p>
    <w:p>
      <w:pPr>
        <w:spacing w:before="160" w:after="40" w:line="240" w:lineRule="auto"/>
      </w:pPr>
      <w:r>
        <w:rPr>
          <w:b/>
        </w:rPr>
        <w:t xml:space="preserve">[94] </w:t>
      </w:r>
      <w:hyperlink r:id="rId136">
        <w:r>
          <w:rPr>
            <w:color w:val="1155CC"/>
            <w:u w:val="single"/>
          </w:rPr>
          <w:t>液-气阶段过渡驱动的无直径无磨损的人工肾脏原型</w:t>
        </w:r>
      </w:hyperlink>
    </w:p>
    <w:p>
      <w:pPr>
        <w:spacing w:before="0" w:after="80"/>
      </w:pPr>
      <w:r>
        <w:rPr>
          <w:i/>
          <w:sz w:val="20"/>
        </w:rPr>
        <w:t>EN: A dialysate-free wearable artificial kidney prototype driven by a liquid–gas phase transition</w:t>
      </w:r>
    </w:p>
    <w:p>
      <w:pPr>
        <w:spacing w:before="0" w:after="120"/>
      </w:pPr>
      <w:r>
        <w:rPr>
          <w:b/>
        </w:rPr>
        <w:t xml:space="preserve">Source: </w:t>
      </w:r>
      <w:r>
        <w:t>Nature Chemical Engineering</w:t>
      </w:r>
      <w:r>
        <w:t xml:space="preserve">    </w:t>
      </w:r>
      <w:r>
        <w:rPr>
          <w:b/>
        </w:rPr>
        <w:t xml:space="preserve">Pub date: </w:t>
      </w:r>
      <w:r>
        <w:t>2026-02-09 00:00:00+00:00</w:t>
      </w:r>
    </w:p>
    <w:p>
      <w:pPr>
        <w:spacing w:before="0" w:after="120"/>
      </w:pPr>
      <w:r>
        <w:rPr>
          <w:b/>
        </w:rPr>
        <w:t xml:space="preserve">Notes: </w:t>
      </w:r>
      <w:r>
        <w:t>abstract_source=nature_html</w:t>
      </w:r>
    </w:p>
    <w:p>
      <w:pPr>
        <w:spacing w:before="0" w:after="80" w:lineRule="auto" w:line="276"/>
      </w:pPr>
      <w:r>
        <w:rPr>
          <w:b/>
        </w:rPr>
        <w:t xml:space="preserve">摘要（ZH）: </w:t>
      </w:r>
      <w:r>
        <w:t>可磨损的人工肾脏因其灵活性和可移动性而成为最终阶段肾脏疾病的一种有希望的治疗替代疗法,因为它具有灵活性和可移动性,有效地清除水和尿毒。 然而,常规的基于血液透析的装置依赖液体液体交换,需要大量拨号以维持透析膜的足够浓度梯度,从而损害可移动性和流动性。 我们在这里开发了一个无拨接的无拨接的可磨损的人工肾脏原型,该原型在蒸汽驱动液体-气相过渡的基础上使用血液净化剂进行水取水,并结合吸附去除尿毒。 该系统实现了约7毫升-1毫升-2的高度清水通量,并在兔子中成功地进行了肾上替代疗法。</w:t>
      </w:r>
    </w:p>
    <w:p>
      <w:pPr>
        <w:spacing w:before="0" w:after="200" w:lineRule="auto" w:line="276"/>
      </w:pPr>
      <w:r>
        <w:rPr>
          <w:b/>
        </w:rPr>
        <w:t xml:space="preserve">Abstract (EN): </w:t>
      </w:r>
      <w:r>
        <w:t>The wearable artificial kidney has emerged as a promising therapeutic alternative for end-stage renal disease due to its flexibility and portability, effectively clearing water and uremic toxins. However, conventional hemodialysis-based devices rely on liquid–liquid exchange and necessitate large quantities of dialysate to sustain a sufficient concentration gradient across the dialysis membrane, compromising portability and mobility. Here we develop a dialysate-free wearable artificial kidney prototype that uses a blood purifier for water removal, based on a vapor-driven liquid–gas phase transition, and integrates adsorption to remove uremic toxins. The system achieves a high water clearance flux of approximately 7 ml min−1 m−2 and successfully performs renal replacement therapy in rabbits with acute renal injury, efficiently removing water, creatinine and β2-microglobulin. With a current weight of less than 3.8 kg and potential for further engineering optimization, this dialysate-free wearable artificial kidney prototype supports the feasibility of practical portable blood purification, opening avenues for flexible and efficient nephropathy treatment.</w:t>
      </w:r>
    </w:p>
    <w:p>
      <w:pPr>
        <w:spacing w:before="120" w:after="120"/>
      </w:pPr>
      <w:r>
        <w:rPr>
          <w:sz w:val="18"/>
        </w:rPr>
        <w:t>——————————————————————————————————————————————————————————————————————</w:t>
      </w:r>
    </w:p>
    <w:p>
      <w:pPr>
        <w:spacing w:before="160" w:after="40" w:line="240" w:lineRule="auto"/>
      </w:pPr>
      <w:r>
        <w:rPr>
          <w:b/>
        </w:rPr>
        <w:t xml:space="preserve">[95] </w:t>
      </w:r>
      <w:hyperlink r:id="rId137">
        <w:r>
          <w:rPr>
            <w:color w:val="1155CC"/>
            <w:u w:val="single"/>
          </w:rPr>
          <w:t>妇女在炉灶干预研究中的作用</w:t>
        </w:r>
      </w:hyperlink>
    </w:p>
    <w:p>
      <w:pPr>
        <w:spacing w:before="0" w:after="80"/>
      </w:pPr>
      <w:r>
        <w:rPr>
          <w:i/>
          <w:sz w:val="20"/>
        </w:rPr>
        <w:t>EN: The roles of women in cookstove intervention studies</w:t>
      </w:r>
    </w:p>
    <w:p>
      <w:pPr>
        <w:spacing w:before="0" w:after="120"/>
      </w:pPr>
      <w:r>
        <w:rPr>
          <w:b/>
        </w:rPr>
        <w:t xml:space="preserve">Source: </w:t>
      </w:r>
      <w:r>
        <w:t>Nature Sustainability</w:t>
      </w:r>
      <w:r>
        <w:t xml:space="preserve">    </w:t>
      </w:r>
      <w:r>
        <w:rPr>
          <w:b/>
        </w:rPr>
        <w:t xml:space="preserve">Pub date: </w:t>
      </w:r>
      <w:r>
        <w:t>2026-02-09 00:00:00+00:00</w:t>
      </w:r>
    </w:p>
    <w:p>
      <w:pPr>
        <w:spacing w:before="0" w:after="120"/>
      </w:pPr>
      <w:r>
        <w:rPr>
          <w:b/>
        </w:rPr>
        <w:t xml:space="preserve">Notes: </w:t>
      </w:r>
      <w:r>
        <w:t>abstract_source=nature_html</w:t>
      </w:r>
    </w:p>
    <w:p>
      <w:pPr>
        <w:spacing w:before="0" w:after="80" w:lineRule="auto" w:line="276"/>
      </w:pPr>
      <w:r>
        <w:rPr>
          <w:b/>
        </w:rPr>
        <w:t xml:space="preserve">摘要（ZH）: </w:t>
      </w:r>
      <w:r>
        <w:t>清洁烹饪燃料干预措施可以大大推进与健康、贫穷、性别平等和(可能)气候变化有关的可持续发展目标。在这里,我们系统地审查烹饪随机控制试验(RCT)中的性别角色,涉及:(1) 健康和接触;(2) 时间、劳动、金融和行为;(3) 气候;(4) 研究活动。我们注重RCT,因为公共卫生奖学金考虑RCT,尽管有局限性,但为指导政策和大规模方案规划提供最高质量的证据。在包括在内的123项研究中,妇女经常成为目标,但随后在时间、劳动、财务甚至健康成果方面得不到承认。对性别规范的认可很少。我们发现,利用世卫组织促进性别平等的类别,37%的妇女成为目标。我们发现,在世卫组织的性别反应类别中,有37%的妇女是女性。</w:t>
      </w:r>
    </w:p>
    <w:p>
      <w:pPr>
        <w:spacing w:before="0" w:after="200" w:lineRule="auto" w:line="276"/>
      </w:pPr>
      <w:r>
        <w:rPr>
          <w:b/>
        </w:rPr>
        <w:t xml:space="preserve">Abstract (EN): </w:t>
      </w:r>
      <w:r>
        <w:t>Clean cooking fuel interventions can substantially advance Sustainable Development Goals related to health, poverty, gender equality and (possibly) climate change. Here we systematically review gender roles within cookstove randomized control trials (RCTs) with respect to (1) health and exposure; (2) time, labour, finance and behaviour; (3) climate; and (4) the research activities. We focus on RCTs because public health scholarship considers RCTs, despite limitations, to provide the highest-quality evidence to guide policy and widescale programming. Across our 123 included studies, women are frequently targeted but then not acknowledged in time, labour, finances and even health outcomes. Acknowledgement of gender norms is scarce. Using WHO gender-responsiveness categories, we find that 37% of studies were gender-unequal or gender-unaware. Women are often monitored only as proxies for their unborn children, our category of gender-unaware but sex-aware (26%). Twenty-nine percent are gender-sensitive, with only 6% gender-specific and two gender-transformative studies. We present recommendations for the field to shift to more gender-sensitive research designs, without which the field risks leaning into existing inequalities and basing future interventions on spuriously gender-neutral premises.</w:t>
      </w:r>
    </w:p>
    <w:p>
      <w:pPr>
        <w:spacing w:before="120" w:after="120"/>
      </w:pPr>
      <w:r>
        <w:rPr>
          <w:sz w:val="18"/>
        </w:rPr>
        <w:t>——————————————————————————————————————————————————————————————————————</w:t>
      </w:r>
    </w:p>
    <w:p>
      <w:pPr>
        <w:spacing w:before="160" w:after="40" w:line="240" w:lineRule="auto"/>
      </w:pPr>
      <w:r>
        <w:rPr>
          <w:b/>
        </w:rPr>
        <w:t xml:space="preserve">[96] </w:t>
      </w:r>
      <w:hyperlink r:id="rId138">
        <w:r>
          <w:rPr>
            <w:color w:val="1155CC"/>
            <w:u w:val="single"/>
          </w:rPr>
          <w:t>van der Waals监禁产生的超清洁单层</w:t>
        </w:r>
      </w:hyperlink>
    </w:p>
    <w:p>
      <w:pPr>
        <w:spacing w:before="0" w:after="80"/>
      </w:pPr>
      <w:r>
        <w:rPr>
          <w:i/>
          <w:sz w:val="20"/>
        </w:rPr>
        <w:t>EN: Ultraclean monolayers from a van der Waals confinement</w:t>
      </w:r>
    </w:p>
    <w:p>
      <w:pPr>
        <w:spacing w:before="0" w:after="120"/>
      </w:pPr>
      <w:r>
        <w:rPr>
          <w:b/>
        </w:rPr>
        <w:t xml:space="preserve">Source: </w:t>
      </w:r>
      <w:r>
        <w:t>Nature Materials</w:t>
      </w:r>
      <w:r>
        <w:t xml:space="preserve">    </w:t>
      </w:r>
      <w:r>
        <w:rPr>
          <w:b/>
        </w:rPr>
        <w:t xml:space="preserve">Pub date: </w:t>
      </w:r>
      <w:r>
        <w:t>2026-02-09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[97] </w:t>
      </w:r>
      <w:hyperlink r:id="rId139">
        <w:r>
          <w:rPr>
            <w:color w:val="1155CC"/>
            <w:u w:val="single"/>
          </w:rPr>
          <w:t>通过纳米封闭对二维过渡金属二氯代二卤化物进行精确的原子合成和同时对二维过渡性金属二卤化物进行异构结构整合</w:t>
        </w:r>
      </w:hyperlink>
    </w:p>
    <w:p>
      <w:pPr>
        <w:spacing w:before="0" w:after="80"/>
      </w:pPr>
      <w:r>
        <w:rPr>
          <w:i/>
          <w:sz w:val="20"/>
        </w:rPr>
        <w:t>EN: Atomically precise synthesis and simultaneous heterostructure integration of 2D transition metal dichalcogenides through nano-confinement</w:t>
      </w:r>
    </w:p>
    <w:p>
      <w:pPr>
        <w:spacing w:before="0" w:after="120"/>
      </w:pPr>
      <w:r>
        <w:rPr>
          <w:b/>
        </w:rPr>
        <w:t xml:space="preserve">Source: </w:t>
      </w:r>
      <w:r>
        <w:t>Nature Materials</w:t>
      </w:r>
      <w:r>
        <w:t xml:space="preserve">    </w:t>
      </w:r>
      <w:r>
        <w:rPr>
          <w:b/>
        </w:rPr>
        <w:t xml:space="preserve">Pub date: </w:t>
      </w:r>
      <w:r>
        <w:t>2026-02-09 00:00:00+00:00</w:t>
      </w:r>
    </w:p>
    <w:p>
      <w:pPr>
        <w:spacing w:before="0" w:after="120"/>
      </w:pPr>
      <w:r>
        <w:rPr>
          <w:b/>
        </w:rPr>
        <w:t xml:space="preserve">Notes: </w:t>
      </w:r>
      <w:r>
        <w:t>abstract_source=nature_html</w:t>
      </w:r>
    </w:p>
    <w:p>
      <w:pPr>
        <w:spacing w:before="0" w:after="80" w:lineRule="auto" w:line="276"/>
      </w:pPr>
      <w:r>
        <w:rPr>
          <w:b/>
        </w:rPr>
        <w:t xml:space="preserve">摘要（ZH）: </w:t>
      </w:r>
      <w:r>
        <w:t>两维(2D)材料,如石墨、过渡性金属二卤素化物(TMDs)和六角亚硝酸盐等,表现出对其原子规模结构敏感的、可以通过范德华(VdW)集成进一步丰富的有趣特性。然而,2D材料的精确合成和清洁整合仍然具有挑战性。在这里,使用石墨或六角二氯氮化物作为VdW顶层,我们创造了纳米封闭环境,引导2DTM(如NbSe2和MOS2)的生长动力学,从而能够精确地形成具有定制形态的TMD单层,从孤立的单层区域到大规模连续的电影和内在结构图案。此外,Janus S-Mo-Se单层通过VdW保护系统与原子精度合成。</w:t>
      </w:r>
    </w:p>
    <w:p>
      <w:pPr>
        <w:spacing w:before="0" w:after="200" w:lineRule="auto" w:line="276"/>
      </w:pPr>
      <w:r>
        <w:rPr>
          <w:b/>
        </w:rPr>
        <w:t xml:space="preserve">Abstract (EN): </w:t>
      </w:r>
      <w:r>
        <w:t>Two-dimensional (2D) materials, such as graphene, transition metal dichalcogenides (TMDs) and hexagonal boron nitride, exhibit intriguing properties that are sensitive to their atomic-scale structures and can be further enriched through van der Waals (vdW) integration. However, the precise synthesis and clean integration of 2D materials remain challenging. Here, using graphene or hexagonal boron nitride as a vdW capping layer, we create a nano-confined environment that directs the growth kinetics of 2D TMDs (such as NbSe2 and MoS2), enabling precise formation of TMD monolayers with tailored morphologies, from isolated monolayer domains to large-scale continuous films and intrinsically patterned rings. Moreover, Janus S–Mo–Se monolayers are synthesized with atomic precision via vdW-protected bottom-plane chalcogen substitution. Importantly, our approach simultaneously produces ultraclean vdW interfaces. This in situ encapsulation reliably preserves air-sensitive materials, as evidenced by the enhanced superconductivity of nano-confined NbSe2 monolayers. Altogether, our study establishes a versatile platform for the controlled synthesis and integration of 2D TMDs for advanced applications.</w:t>
      </w:r>
    </w:p>
    <w:p>
      <w:pPr>
        <w:spacing w:before="120" w:after="120"/>
      </w:pPr>
      <w:r>
        <w:rPr>
          <w:sz w:val="18"/>
        </w:rPr>
        <w:t>——————————————————————————————————————————————————————————————————————</w:t>
      </w:r>
    </w:p>
    <w:p>
      <w:pPr>
        <w:spacing w:before="160" w:after="40" w:line="240" w:lineRule="auto"/>
      </w:pPr>
      <w:r>
        <w:rPr>
          <w:b/>
        </w:rPr>
        <w:t xml:space="preserve">[98] </w:t>
      </w:r>
      <w:hyperlink r:id="rId140">
        <w:r>
          <w:rPr>
            <w:color w:val="1155CC"/>
            <w:u w:val="single"/>
          </w:rPr>
          <w:t>使用太阳能电池的混合分子电线进行电子购物</w:t>
        </w:r>
      </w:hyperlink>
    </w:p>
    <w:p>
      <w:pPr>
        <w:spacing w:before="0" w:after="80"/>
      </w:pPr>
      <w:r>
        <w:rPr>
          <w:i/>
          <w:sz w:val="20"/>
        </w:rPr>
        <w:t>EN: Electron hopping in conjugated molecular wires with application to solar cells</w:t>
      </w:r>
    </w:p>
    <w:p>
      <w:pPr>
        <w:spacing w:before="0" w:after="120"/>
      </w:pPr>
      <w:r>
        <w:rPr>
          <w:b/>
        </w:rPr>
        <w:t xml:space="preserve">Source: </w:t>
      </w:r>
      <w:r>
        <w:t>Nature Chemistry</w:t>
      </w:r>
      <w:r>
        <w:t xml:space="preserve">    </w:t>
      </w:r>
      <w:r>
        <w:rPr>
          <w:b/>
        </w:rPr>
        <w:t xml:space="preserve">Pub date: </w:t>
      </w:r>
      <w:r>
        <w:t>2026-02-09 00:00:00+00:00</w:t>
      </w:r>
    </w:p>
    <w:p>
      <w:pPr>
        <w:spacing w:before="0" w:after="120"/>
      </w:pPr>
      <w:r>
        <w:rPr>
          <w:b/>
        </w:rPr>
        <w:t xml:space="preserve">Notes: </w:t>
      </w:r>
      <w:r>
        <w:t>abstract_source=nature_html</w:t>
      </w:r>
    </w:p>
    <w:p>
      <w:pPr>
        <w:spacing w:before="0" w:after="80" w:lineRule="auto" w:line="276"/>
      </w:pPr>
      <w:r>
        <w:rPr>
          <w:b/>
        </w:rPr>
        <w:t xml:space="preserve">摘要（ZH）: </w:t>
      </w:r>
      <w:r>
        <w:t>分子电线通过分子电线的转移是许多研究领域的基础,从单分子电子到基本生物过程及其在(生物)电动剖析中的应用。 我们在这里报告了一系列1-3纳米长的铁环断裂的分子线,固定在铁氧化铁电极中,这显示出一种电子转移机制,以跳跃为主(值为0.043 1)。 我们表明,电极的性质,即电子捐献者与接受者之间的小能量差距,解释了这些短电线中出乎意料的电传机制。 我们展示了这些固定分子线作为铁的洞解层在锡多洛夫斯基太阳电池中的应用性。 我们展示了使用这些模子的装置的性能改进。</w:t>
      </w:r>
    </w:p>
    <w:p>
      <w:pPr>
        <w:spacing w:before="0" w:after="200" w:lineRule="auto" w:line="276"/>
      </w:pPr>
      <w:r>
        <w:rPr>
          <w:b/>
        </w:rPr>
        <w:t xml:space="preserve">Abstract (EN): </w:t>
      </w:r>
      <w:r>
        <w:t>Electron transfer through molecular wires underpins numerous research fields, ranging from single-molecule electronics to fundamental biological processes and their application in (bio)electrocatalysis. Here we report a series of 1–3-nm-long ferrocene-terminated conjugated molecular wires, anchored to indium tin oxide electrodes, that exhibit an electron transfer mechanism dominated by hopping (with a β value of 0.043 Å−1). We show that the nature of the electrode, namely the small energy gap between the electron donor and acceptor, explains the unexpected electron transfer mechanism in these short wires. We demonstrate the applicability of these anchored molecular wires as the hole-extraction layer in a tin perovskite solar cell. We show improved performance in devices employing these molecular wires compared with the more conventional hole-extraction layers typically used in tin perovskite solar cells. This work not only opens avenues for mechanistic investigations of interfacial electron transfer using molecular wires but also showcases their potential impact in applications such as photovoltaics.</w:t>
      </w:r>
    </w:p>
    <w:p>
      <w:pPr>
        <w:spacing w:before="120" w:after="120"/>
      </w:pPr>
      <w:r>
        <w:rPr>
          <w:sz w:val="18"/>
        </w:rPr>
        <w:t>——————————————————————————————————————————————————————————————————————</w:t>
      </w:r>
    </w:p>
    <w:p>
      <w:pPr>
        <w:spacing w:before="160" w:after="40" w:line="240" w:lineRule="auto"/>
      </w:pPr>
      <w:r>
        <w:rPr>
          <w:b/>
        </w:rPr>
        <w:t xml:space="preserve">[99] </w:t>
      </w:r>
      <w:hyperlink r:id="rId141">
        <w:r>
          <w:rPr>
            <w:color w:val="1155CC"/>
            <w:u w:val="single"/>
          </w:rPr>
          <w:t>在基于膜膜的废水处理中进行智能污染监测</w:t>
        </w:r>
      </w:hyperlink>
    </w:p>
    <w:p>
      <w:pPr>
        <w:spacing w:before="0" w:after="80"/>
      </w:pPr>
      <w:r>
        <w:rPr>
          <w:i/>
          <w:sz w:val="20"/>
        </w:rPr>
        <w:t>EN: Intelligent fouling monitoring in membrane-based wastewater treatment</w:t>
      </w:r>
    </w:p>
    <w:p>
      <w:pPr>
        <w:spacing w:before="0" w:after="120"/>
      </w:pPr>
      <w:r>
        <w:rPr>
          <w:b/>
        </w:rPr>
        <w:t xml:space="preserve">Source: </w:t>
      </w:r>
      <w:r>
        <w:t>Nature Sustainability</w:t>
      </w:r>
      <w:r>
        <w:t xml:space="preserve">    </w:t>
      </w:r>
      <w:r>
        <w:rPr>
          <w:b/>
        </w:rPr>
        <w:t xml:space="preserve">Pub date: </w:t>
      </w:r>
      <w:r>
        <w:t>2026-02-09 00:00:00+00:00</w:t>
      </w:r>
    </w:p>
    <w:p>
      <w:pPr>
        <w:spacing w:before="0" w:after="120"/>
      </w:pPr>
      <w:r>
        <w:rPr>
          <w:b/>
        </w:rPr>
        <w:t xml:space="preserve">Notes: </w:t>
      </w:r>
      <w:r>
        <w:t>abstract_source=nature_html</w:t>
      </w:r>
    </w:p>
    <w:p>
      <w:pPr>
        <w:spacing w:before="0" w:after="80" w:lineRule="auto" w:line="276"/>
      </w:pPr>
      <w:r>
        <w:rPr>
          <w:b/>
        </w:rPr>
        <w:t xml:space="preserve">摘要（ZH）: </w:t>
      </w:r>
      <w:r>
        <w:t>在许多废水处理厂(WWTPs)广泛应用了膜生物反应器(Mmbrane生物反应器),这有助于城市水循环的可持续性,然而,它们往往受到膜污问题的挑战。因此,开发能够监测和提供污染事件预警的工具对于维持MBRs的运行稳定性至关重要。 我们在这里提出了一个光谱感应增强机学习战略,用于预测和提供污染事件的预警,并在长期运行期间在全面的MBR中验证。 具体而言,它与紫外线观察和荧光光光谱指纹相结合,可以敏感地描述负责污染的关键分子结构,建立了一个由知识共同驱动的机器学习模型。</w:t>
      </w:r>
    </w:p>
    <w:p>
      <w:pPr>
        <w:spacing w:before="0" w:after="200" w:lineRule="auto" w:line="276"/>
      </w:pPr>
      <w:r>
        <w:rPr>
          <w:b/>
        </w:rPr>
        <w:t xml:space="preserve">Abstract (EN): </w:t>
      </w:r>
      <w:r>
        <w:t>Membrane bioreactors (MBRs) are widely implemented in many wastewater treatment plants (WWTPs), contributing to a sustainable urban water cycle. However, they are often challenged by the problem of membrane fouling. Developing tools capable of monitoring and providing early warning of fouling events is therefore essential to maintain the operational stability of MBRs. Here we propose a spectral sensing empowered machine learning strategy for prediction and providing early warning of fouling events and validate it in a full-scale MBR during long-term operation. Specifically, integrated with ultraviolet-visible and fluorescence spectral fingerprints that can sensibly profile the key molecular structures responsible for fouling, a data–knowledge codriven machine learning model was established. The model can accurately (R2 &gt; 0.80) predict fouling tendency within the next 5‒7 days, which is superior to purely data-driven learning. Spectral fingerprints contributed 17‒30% of interpretability across models, and process conditions and other membrane/foulant material descriptors explained the rest. By exploring the spectral fingerprints of specific processes, our strategy could also be generalized to various WWTPs, offering an intelligent solution (for example, with the aid of spectral early warning) to achieve stable operation of WWTPs and ultimately contribute to a cleaner environment.</w:t>
      </w:r>
    </w:p>
    <w:p>
      <w:pPr>
        <w:spacing w:before="120" w:after="120"/>
      </w:pPr>
      <w:r>
        <w:rPr>
          <w:sz w:val="18"/>
        </w:rPr>
        <w:t>——————————————————————————————————————————————————————————————————————</w:t>
      </w:r>
    </w:p>
    <w:p>
      <w:pPr>
        <w:spacing w:before="160" w:after="40" w:line="240" w:lineRule="auto"/>
      </w:pPr>
      <w:r>
        <w:rPr>
          <w:b/>
        </w:rPr>
        <w:t xml:space="preserve">[100] </w:t>
      </w:r>
      <w:hyperlink r:id="rId142">
        <w:r>
          <w:rPr>
            <w:color w:val="1155CC"/>
            <w:u w:val="single"/>
          </w:rPr>
          <w:t>校正: 作者校正:通过-催化的铃木-Miyaura交叉连接,对自然的手性柱[5]5]arenes</w:t>
        </w:r>
      </w:hyperlink>
    </w:p>
    <w:p>
      <w:pPr>
        <w:spacing w:before="0" w:after="80"/>
      </w:pPr>
      <w:r>
        <w:rPr>
          <w:i/>
          <w:sz w:val="20"/>
        </w:rPr>
        <w:t>EN: Author Correction: Enantioselective construction of inherently chiral pillar[5]arenes via palladium-catalysed Suzuki–Miyaura cross-coupling</w:t>
      </w:r>
    </w:p>
    <w:p>
      <w:pPr>
        <w:spacing w:before="0" w:after="120"/>
      </w:pPr>
      <w:r>
        <w:rPr>
          <w:b/>
        </w:rPr>
        <w:t xml:space="preserve">Source: </w:t>
      </w:r>
      <w:r>
        <w:t>Nature Communications</w:t>
      </w:r>
      <w:r>
        <w:t xml:space="preserve">    </w:t>
      </w:r>
      <w:r>
        <w:rPr>
          <w:b/>
        </w:rPr>
        <w:t xml:space="preserve">Pub date: </w:t>
      </w:r>
      <w:r>
        <w:t>2026-02-09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[101] </w:t>
      </w:r>
      <w:hyperlink r:id="rId143">
        <w:r>
          <w:rPr>
            <w:color w:val="1155CC"/>
            <w:u w:val="single"/>
          </w:rPr>
          <w:t>作者更正: Cas9 和机器制导设计促成DNA数据存储的随机存取和语义搜索</w:t>
        </w:r>
      </w:hyperlink>
    </w:p>
    <w:p>
      <w:pPr>
        <w:spacing w:before="0" w:after="80"/>
      </w:pPr>
      <w:r>
        <w:rPr>
          <w:i/>
          <w:sz w:val="20"/>
        </w:rPr>
        <w:t>EN: Author Correction: Random access and semantic search in DNA data storage enabled by Cas9 and machine-guided design</w:t>
      </w:r>
    </w:p>
    <w:p>
      <w:pPr>
        <w:spacing w:before="0" w:after="120"/>
      </w:pPr>
      <w:r>
        <w:rPr>
          <w:b/>
        </w:rPr>
        <w:t xml:space="preserve">Source: </w:t>
      </w:r>
      <w:r>
        <w:t>Nature Communications</w:t>
      </w:r>
      <w:r>
        <w:t xml:space="preserve">    </w:t>
      </w:r>
      <w:r>
        <w:rPr>
          <w:b/>
        </w:rPr>
        <w:t xml:space="preserve">Pub date: </w:t>
      </w:r>
      <w:r>
        <w:t>2026-02-09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[102] </w:t>
      </w:r>
      <w:hyperlink r:id="rId144">
        <w:r>
          <w:rPr>
            <w:color w:val="1155CC"/>
            <w:u w:val="single"/>
          </w:rPr>
          <w:t>出版商校正:[Hg3Se2]2-集束驱动器</w:t>
        </w:r>
      </w:hyperlink>
    </w:p>
    <w:p>
      <w:pPr>
        <w:spacing w:before="0" w:after="80"/>
      </w:pPr>
      <w:r>
        <w:rPr>
          <w:i/>
          <w:sz w:val="20"/>
        </w:rPr>
        <w:t>EN: Publisher Correction: [Hg3Se2]2- cluster drives giant optical anisotropy and broad infrared transparency</w:t>
      </w:r>
    </w:p>
    <w:p>
      <w:pPr>
        <w:spacing w:before="0" w:after="120"/>
      </w:pPr>
      <w:r>
        <w:rPr>
          <w:b/>
        </w:rPr>
        <w:t xml:space="preserve">Source: </w:t>
      </w:r>
      <w:r>
        <w:t>Nature Communications</w:t>
      </w:r>
      <w:r>
        <w:t xml:space="preserve">    </w:t>
      </w:r>
      <w:r>
        <w:rPr>
          <w:b/>
        </w:rPr>
        <w:t xml:space="preserve">Pub date: </w:t>
      </w:r>
      <w:r>
        <w:t>2026-02-09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[103] </w:t>
      </w:r>
      <w:hyperlink r:id="rId145">
        <w:r>
          <w:rPr>
            <w:color w:val="1155CC"/>
            <w:u w:val="single"/>
          </w:rPr>
          <w:t>利用不良成像式成像式碳硝化碳光化催化器对5-(氢氧甲基)硫和同步绿色氢气生产进行生物物质衍生5-(氢氧甲基)5-(氢氧甲基)硫和同步绿色氢气高效光变制</w:t>
        </w:r>
      </w:hyperlink>
    </w:p>
    <w:p>
      <w:pPr>
        <w:spacing w:before="0" w:after="80"/>
      </w:pPr>
      <w:r>
        <w:rPr>
          <w:i/>
          <w:sz w:val="20"/>
        </w:rPr>
        <w:t>EN: Efficient Photoreforming of Biomass Derived 5-(Hydroxymethyl)furfural and Simultaneous Green Hydrogen Production by Defective Graphitic Carbon Nitride Photocatalysts</w:t>
      </w:r>
    </w:p>
    <w:p>
      <w:pPr>
        <w:spacing w:before="0" w:after="120"/>
      </w:pPr>
      <w:r>
        <w:rPr>
          <w:b/>
        </w:rPr>
        <w:t xml:space="preserve">Source: </w:t>
      </w:r>
      <w:r>
        <w:t>RSC - Energy Environ. Sci. latest articles</w:t>
      </w:r>
      <w:r>
        <w:t xml:space="preserve">    </w:t>
      </w:r>
      <w:r>
        <w:rPr>
          <w:b/>
        </w:rPr>
        <w:t xml:space="preserve">Pub date: </w:t>
      </w:r>
      <w:r>
        <w:t>2026-02-09 00:00:00+00:00</w:t>
      </w:r>
    </w:p>
    <w:p>
      <w:pPr>
        <w:spacing w:before="0" w:after="120"/>
      </w:pPr>
      <w:r>
        <w:rPr>
          <w:b/>
        </w:rPr>
        <w:t xml:space="preserve">Notes: </w:t>
      </w:r>
      <w:r>
        <w:t>abstract_source=rsc_html</w:t>
      </w:r>
    </w:p>
    <w:p>
      <w:pPr>
        <w:spacing w:before="0" w:after="80" w:lineRule="auto" w:line="276"/>
      </w:pPr>
      <w:r>
        <w:rPr>
          <w:b/>
        </w:rPr>
        <w:t xml:space="preserve">摘要（ZH）: </w:t>
      </w:r>
      <w:r>
        <w:t>利用太阳能和水将生物质衍生的5-氢氧甲基硫磺(HMF)转化为有价值的化学品,同时生产绿色氢,为农业废物的重要来源提供了一个很有希望的回收利用方法。在这里,我们报告通过石墨碳硝酸纳米表的结构工程设计选择性、稳定和高效的HMF光化催化剂。我们装有Pt集聚物的最佳的几层纳米表结构显示了高光化性能,将HMF有选择地光氧化成有价值的2,5-二氟化铀和5-二氟化磷酸,并在10天的光成型过程中以75.52 0.46 微克/golcat-1h-1的高进化率共同生产氢。</w:t>
      </w:r>
    </w:p>
    <w:p>
      <w:pPr>
        <w:spacing w:before="0" w:after="200" w:lineRule="auto" w:line="276"/>
      </w:pPr>
      <w:r>
        <w:rPr>
          <w:b/>
        </w:rPr>
        <w:t xml:space="preserve">Abstract (EN): </w:t>
      </w:r>
      <w:r>
        <w:t>Using solar energy and water to convert biomass-derived 5-hydroxymethylfurfural (HMF) into valuable chemicals, while simultaneously producing green hydrogen, offers a promising recycling approach for a significant source of agricultural waste. Here, we report the design of a selective, stable and efficient HMF photocatalyst by the structural engineering of graphitic carbon nitride nanosheets. Our optimal few-layered nanosheet structure loaded with Pt clusters demonstrates high photocatalytic performance, achieving selective photooxidation of HMF to valuable 2,5-diformylfuran and 5-formyl-2-furancarboxylic acid, and the co-production of hydrogen at a high evolution rate of 75.52 ± 0.46 μmol gcat-1 h-1, over 10 days of photoreforming. Density functional theory and comprehensive physicochemical characterisation reveal a synergistic effect of the Pt and carbon nitride surfaces, with the former enhancing water adsorption and dissociation and the latter providing a high density of COOH, -CO, and -COH adsorption sites for HMF. These insights on the optimal structuring of carbon nitride nanosheets provide a promising direction for the design of efficient photocatalysts for photoreforming with impact on various sustainable chemical recycling approaches.</w:t>
      </w:r>
    </w:p>
    <w:p>
      <w:pPr>
        <w:spacing w:before="120" w:after="120"/>
      </w:pPr>
      <w:r>
        <w:rPr>
          <w:sz w:val="18"/>
        </w:rPr>
        <w:t>——————————————————————————————————————————————————————————————————————</w:t>
      </w:r>
    </w:p>
    <w:p>
      <w:pPr>
        <w:spacing w:before="160" w:after="40" w:line="240" w:lineRule="auto"/>
      </w:pPr>
      <w:r>
        <w:rPr>
          <w:b/>
        </w:rPr>
        <w:t xml:space="preserve">[104] </w:t>
      </w:r>
      <w:hyperlink r:id="rId146">
        <w:r>
          <w:rPr>
            <w:color w:val="1155CC"/>
            <w:u w:val="single"/>
          </w:rPr>
          <w:t>A站点非声光三基NNbO3基陶瓷中的定制钠和氧混合离导</w:t>
        </w:r>
      </w:hyperlink>
    </w:p>
    <w:p>
      <w:pPr>
        <w:spacing w:before="0" w:after="80"/>
      </w:pPr>
      <w:r>
        <w:rPr>
          <w:i/>
          <w:sz w:val="20"/>
        </w:rPr>
        <w:t>EN: Tailoring sodium and oxygen mixed-ion conduction in the A-site non-stoichiometric NaNbO3-based ceramics</w:t>
      </w:r>
    </w:p>
    <w:p>
      <w:pPr>
        <w:spacing w:before="0" w:after="120"/>
      </w:pPr>
      <w:r>
        <w:rPr>
          <w:b/>
        </w:rPr>
        <w:t xml:space="preserve">Source: </w:t>
      </w:r>
      <w:r>
        <w:t>Nature Communications</w:t>
      </w:r>
      <w:r>
        <w:t xml:space="preserve">    </w:t>
      </w:r>
      <w:r>
        <w:rPr>
          <w:b/>
        </w:rPr>
        <w:t xml:space="preserve">Pub date: </w:t>
      </w:r>
      <w:r>
        <w:t>2026-02-09 00:00:00+00:00</w:t>
      </w:r>
    </w:p>
    <w:p>
      <w:pPr>
        <w:spacing w:before="0" w:after="120"/>
      </w:pPr>
      <w:r>
        <w:rPr>
          <w:b/>
        </w:rPr>
        <w:t xml:space="preserve">Notes: </w:t>
      </w:r>
      <w:r>
        <w:t>abstract_source=nature_html</w:t>
      </w:r>
    </w:p>
    <w:p>
      <w:pPr>
        <w:spacing w:before="0" w:after="80" w:lineRule="auto" w:line="276"/>
      </w:pPr>
      <w:r>
        <w:rPr>
          <w:b/>
        </w:rPr>
        <w:t xml:space="preserve">摘要（ZH）: </w:t>
      </w:r>
      <w:r>
        <w:t>精确地定制固态电解层的电子或离心电导特性对于满足电化学能源储存和转换技术的功能要求至关重要。这里,N0.96xCa0.04Nb0.96Zr0.04O3-导体的Na+和O2-离子导体的协同监管是通过非声学比比战略实现的。水晶结构和电气属性分析显示,所有样本都具有Pbma orthorhombic结构特征。随着纳含量的上升,缺陷特征从空缺转向间歇性能源储存和转换技术,NbO6八代体从压缩到正常,然后变成硬化,从而导致纳-O-Na和Na-O-Nb网络的相应间联体扩张。</w:t>
      </w:r>
    </w:p>
    <w:p>
      <w:pPr>
        <w:spacing w:before="0" w:after="200" w:lineRule="auto" w:line="276"/>
      </w:pPr>
      <w:r>
        <w:rPr>
          <w:b/>
        </w:rPr>
        <w:t xml:space="preserve">Abstract (EN): </w:t>
      </w:r>
      <w:r>
        <w:t>Tailoring the electronic or ionic conduction properties of solid-state electrolytes with precision is essential to fulfilling the functional demands of electrochemical energy storage and conversion technologies. Here, the synergistic regulation of Na+ and O2− ions conduction in the Na0.96xCa0.04Nb0.96Zr0.04O3-δ conductor is achieved by the non-stoichiometric ratio strategy. Crystal structure and electrical property analyses reveal that all samples feature a Pbma orthorhombic structure. With rising Na content, the defect characteristics shift from vacancies to interstitials, the NbO6 octahedra experience a change from being compressed to normal and then to being obliquely flattened, which leads to an expansion of the corresponding interstitials in the Na-O-Na and Na-O-Nb networks. By changing the structures of these three types of polyhedron and networks, the conduction channels of Na+ and O2− ions as well as electrons can be effectively regulated. The O2− ions are the main charge carriers for Na-deficient samples, stoichiometric samples feature the mixed O2− ions and intrinsic electrons, while Na⁺ ions become the dominant carriers for Na-excess samples. This work highlights the important role of lattice defects and oxygen octahedral distortions/twisting on the conductivity, offering insights into the design of and Na+/O2− ions migration pathways in solid-state ion conductors.</w:t>
      </w:r>
    </w:p>
    <w:p>
      <w:pPr>
        <w:spacing w:before="120" w:after="120"/>
      </w:pPr>
      <w:r>
        <w:rPr>
          <w:sz w:val="18"/>
        </w:rPr>
        <w:t>——————————————————————————————————————————————————————————————————————</w:t>
      </w:r>
    </w:p>
    <w:p>
      <w:pPr>
        <w:spacing w:before="160" w:after="40" w:line="240" w:lineRule="auto"/>
      </w:pPr>
      <w:r>
        <w:rPr>
          <w:b/>
        </w:rPr>
        <w:t xml:space="preserve">[105] </w:t>
      </w:r>
      <w:hyperlink r:id="rId147">
        <w:r>
          <w:rPr>
            <w:color w:val="1155CC"/>
            <w:u w:val="single"/>
          </w:rPr>
          <w:t>通过交融和混合在共值有机框架中移动电电解地结构,以推进利迁移徙动态</w:t>
        </w:r>
      </w:hyperlink>
    </w:p>
    <w:p>
      <w:pPr>
        <w:spacing w:before="0" w:after="80"/>
      </w:pPr>
      <w:r>
        <w:rPr>
          <w:i/>
          <w:sz w:val="20"/>
        </w:rPr>
        <w:t>EN: Modulating Electron Delocalization Structure in Covalent Organic Frameworks Through Conjugation and Hybridization to Boost Li‐ion Migration Dynamics</w:t>
      </w:r>
    </w:p>
    <w:p>
      <w:pPr>
        <w:spacing w:before="0" w:after="120"/>
      </w:pPr>
      <w:r>
        <w:rPr>
          <w:b/>
        </w:rPr>
        <w:t xml:space="preserve">Source: </w:t>
      </w:r>
      <w:r>
        <w:t>Wiley: Angewandte Chemie International Edition: Table of Contents</w:t>
      </w:r>
      <w:r>
        <w:t xml:space="preserve">    </w:t>
      </w:r>
      <w:r>
        <w:rPr>
          <w:b/>
        </w:rPr>
        <w:t xml:space="preserve">Pub date: </w:t>
      </w:r>
      <w:r>
        <w:t>2026-02-09 05:38:51+00:00</w:t>
      </w:r>
      <w:r>
        <w:t xml:space="preserve">    </w:t>
      </w:r>
      <w:r>
        <w:rPr>
          <w:b/>
        </w:rPr>
        <w:t xml:space="preserve">DOI: </w:t>
      </w:r>
      <w:hyperlink r:id="rId148">
        <w:r>
          <w:rPr>
            <w:color w:val="1155CC"/>
            <w:u w:val="single"/>
          </w:rPr>
          <w:t>10.1002/anie.202525864</w:t>
        </w:r>
      </w:hyperlink>
    </w:p>
    <w:p>
      <w:pPr>
        <w:spacing w:before="0" w:after="120"/>
      </w:pPr>
      <w:r>
        <w:rPr>
          <w:b/>
        </w:rPr>
        <w:t xml:space="preserve">Notes: </w:t>
      </w:r>
      <w:r>
        <w:t>abstract_source=crossref</w:t>
      </w:r>
    </w:p>
    <w:p>
      <w:pPr>
        <w:spacing w:before="0" w:after="80" w:lineRule="auto" w:line="276"/>
      </w:pPr>
      <w:r>
        <w:rPr>
          <w:b/>
        </w:rPr>
        <w:t xml:space="preserve">摘要（ZH）: </w:t>
      </w:r>
      <w:r>
        <w:t>影响锂(Li)脱丁酸增长的内在因素以及李+在聚合电解液中迁移的动能因素在于电解液中的电子云密度分布。本地化电子积累可以触发不均匀的李+沉积,最终导致电池衰竭。为了应对这一关键挑战,将p conjuggation和B-O sp 2的混合化概念创新地纳入共价有机框架(COFs ), 以缓解本地的里+积聚,改善Li+移徙群落。</w:t>
      </w:r>
    </w:p>
    <w:p>
      <w:pPr>
        <w:spacing w:before="0" w:after="200" w:lineRule="auto" w:line="276"/>
      </w:pPr>
      <w:r>
        <w:rPr>
          <w:b/>
        </w:rPr>
        <w:t xml:space="preserve">Abstract (EN): </w:t>
      </w:r>
      <w:r>
        <w:t>The inherent factors influencing the growth of lithium (Li) dendrites and the kinetics of Li</w:t>
      </w:r>
      <w:r>
        <w:t xml:space="preserve"> </w:t>
      </w:r>
      <w:r>
        <w:t>+</w:t>
      </w:r>
      <w:r>
        <w:t xml:space="preserve"> </w:t>
      </w:r>
      <w:r>
        <w:t>migration in polymer electrolytes lie in the electron cloud density distribution in the electrolyte. Localized electrons accumulation can trigger the uneven Li</w:t>
      </w:r>
      <w:r>
        <w:t xml:space="preserve"> </w:t>
      </w:r>
      <w:r>
        <w:t>+</w:t>
      </w:r>
      <w:r>
        <w:t xml:space="preserve"> </w:t>
      </w:r>
      <w:r>
        <w:t>deposition, ultimately leading to battery failure. To address this critical challenge, the concept of p–π conjugation and B–O sp</w:t>
      </w:r>
      <w:r>
        <w:rPr>
          <w:vertAlign w:val="subscript"/>
        </w:rPr>
        <w:t>2</w:t>
      </w:r>
      <w:r>
        <w:t>hybridization is innovatively incorporated into covalent organic frameworks (COFs) to mitigate local interfacial Li</w:t>
      </w:r>
      <w:r>
        <w:t xml:space="preserve"> </w:t>
      </w:r>
      <w:r>
        <w:t>+</w:t>
      </w:r>
      <w:r>
        <w:t xml:space="preserve"> </w:t>
      </w:r>
      <w:r>
        <w:t>accumulation and improve Li</w:t>
      </w:r>
      <w:r>
        <w:t xml:space="preserve"> </w:t>
      </w:r>
      <w:r>
        <w:t>+</w:t>
      </w:r>
      <w:r>
        <w:t xml:space="preserve"> </w:t>
      </w:r>
      <w:r>
        <w:t>migration kinetics in electrolytes by electron delocalization. Furthermore, perfluoroalkyl group with virtues of superior electron regulating capabilities and improved electrochemical‐window, is strategically grafted to better match high‐voltage cathodes. Under the synergistic role of electron regulation, the electrolyte with pπ–sp</w:t>
      </w:r>
      <w:r>
        <w:rPr>
          <w:vertAlign w:val="subscript"/>
        </w:rPr>
        <w:t>2</w:t>
      </w:r>
      <w:r>
        <w:t>‐COF significantly improves overall electrochemical performance of solid‐state batteries. Thus, regulating electron density via p‐π conjugation and B‐O sp</w:t>
      </w:r>
      <w:r>
        <w:rPr>
          <w:vertAlign w:val="subscript"/>
        </w:rPr>
        <w:t>2</w:t>
      </w:r>
      <w:r>
        <w:t>hybridization promises to open new avenues for the development of COFs‐modified polymer electrolytes in solid‐state batteries.</w:t>
      </w:r>
    </w:p>
    <w:p>
      <w:pPr>
        <w:spacing w:before="120" w:after="120"/>
      </w:pPr>
      <w:r>
        <w:rPr>
          <w:sz w:val="18"/>
        </w:rPr>
        <w:t>——————————————————————————————————————————————————————————————————————</w:t>
      </w:r>
    </w:p>
    <w:p>
      <w:pPr>
        <w:spacing w:before="160" w:after="40" w:line="240" w:lineRule="auto"/>
      </w:pPr>
      <w:r>
        <w:rPr>
          <w:b/>
        </w:rPr>
        <w:t xml:space="preserve">[106] </w:t>
      </w:r>
      <w:hyperlink r:id="rId149">
        <w:r>
          <w:rPr>
            <w:color w:val="1155CC"/>
            <w:u w:val="single"/>
          </w:rPr>
          <w:t>甲基非对称干涉强化二极—高性能钾-大电池电解器设计中的二极相互作用</w:t>
        </w:r>
      </w:hyperlink>
    </w:p>
    <w:p>
      <w:pPr>
        <w:spacing w:before="0" w:after="80"/>
      </w:pPr>
      <w:r>
        <w:rPr>
          <w:i/>
          <w:sz w:val="20"/>
        </w:rPr>
        <w:t>EN: Methyl Asymmetric Interference‐Enhanced Dipole–Dipole Interaction for High‐Performance Potassium–Graphite Battery Electrolyte Design</w:t>
      </w:r>
    </w:p>
    <w:p>
      <w:pPr>
        <w:spacing w:before="0" w:after="120"/>
      </w:pPr>
      <w:r>
        <w:rPr>
          <w:b/>
        </w:rPr>
        <w:t xml:space="preserve">Source: </w:t>
      </w:r>
      <w:r>
        <w:t>Wiley: Angewandte Chemie International Edition: Table of Contents</w:t>
      </w:r>
      <w:r>
        <w:t xml:space="preserve">    </w:t>
      </w:r>
      <w:r>
        <w:rPr>
          <w:b/>
        </w:rPr>
        <w:t xml:space="preserve">Pub date: </w:t>
      </w:r>
      <w:r>
        <w:t>2026-02-09 05:42:24+00:00</w:t>
      </w:r>
      <w:r>
        <w:t xml:space="preserve">    </w:t>
      </w:r>
      <w:r>
        <w:rPr>
          <w:b/>
        </w:rPr>
        <w:t xml:space="preserve">DOI: </w:t>
      </w:r>
      <w:hyperlink r:id="rId150">
        <w:r>
          <w:rPr>
            <w:color w:val="1155CC"/>
            <w:u w:val="single"/>
          </w:rPr>
          <w:t>10.1002/anie.202523473</w:t>
        </w:r>
      </w:hyperlink>
    </w:p>
    <w:p>
      <w:pPr>
        <w:spacing w:before="0" w:after="120"/>
      </w:pPr>
      <w:r>
        <w:rPr>
          <w:b/>
        </w:rPr>
        <w:t xml:space="preserve">Notes: </w:t>
      </w:r>
      <w:r>
        <w:t>abstract_source=crossref</w:t>
      </w:r>
    </w:p>
    <w:p>
      <w:pPr>
        <w:spacing w:before="0" w:after="80" w:lineRule="auto" w:line="276"/>
      </w:pPr>
      <w:r>
        <w:rPr>
          <w:b/>
        </w:rPr>
        <w:t xml:space="preserve">摘要（ZH）: </w:t>
      </w:r>
      <w:r>
        <w:t>除锂电池外,ABSTACT Potassium-eqion电池是唯一能够直接使用石墨作为阳极的唯一新的碱性金属电池系统。然而,由于缺乏与石墨阳极相兼容的高电压电解解层,钾-石墨电池的开发受到限制。为了解决这一问题,一个可兼容的石墨高电压电解解解层是根据甲基对称干扰二极-二极相互作用设计的。配制电解解层通过减少K+离子的解溶能量和形成硫富固态电解解解层接口,实现了86.5%的初始库伦比效率。</w:t>
      </w:r>
    </w:p>
    <w:p>
      <w:pPr>
        <w:spacing w:before="0" w:after="200" w:lineRule="auto" w:line="276"/>
      </w:pPr>
      <w:r>
        <w:rPr>
          <w:b/>
        </w:rPr>
        <w:t xml:space="preserve">Abstract (EN): </w:t>
      </w:r>
      <w:r>
        <w:t>Potassium‐ion batteries are the only new alkali metal battery system, apart from lithium‐ion batteries, that can directly use graphite as the anode. However, the development of potassium–graphite batteries has been restricted due to the lack of high‐voltage electrolytes compatible with graphite anodes. To address this issue, a graphite‐compatible high‐voltage electrolyte is designed based on methyl asymmetric interference‐enhanced dipole–dipole interactions. The formulated electrolyte achieves an initial Coulombic efficiency of 86.5% by reducing the desolvation energy of K</w:t>
      </w:r>
      <w:r>
        <w:t xml:space="preserve"> </w:t>
      </w:r>
      <w:r>
        <w:t>+</w:t>
      </w:r>
      <w:r>
        <w:t xml:space="preserve"> </w:t>
      </w:r>
      <w:r>
        <w:t>ions and forming a sulfur‐rich inorganic solid electrolyte interface. At a low current density of 1 µA cm</w:t>
      </w:r>
      <w:r>
        <w:t xml:space="preserve"> </w:t>
      </w:r>
      <w:r>
        <w:t>−2</w:t>
      </w:r>
      <w:r>
        <w:t xml:space="preserve"> </w:t>
      </w:r>
      <w:r>
        <w:t>, the maximum stable electrochemical window of the electrolyte reaches 4.6 V, which is compatible with the currently used Prussian blue analogue cathodes. Notably, the potassium–graphite battery with K</w:t>
      </w:r>
      <w:r>
        <w:t xml:space="preserve"> </w:t>
      </w:r>
      <w:r>
        <w:t>1.92</w:t>
      </w:r>
      <w:r>
        <w:t xml:space="preserve"> </w:t>
      </w:r>
      <w:r>
        <w:t>Fe[Fe(CN)</w:t>
      </w:r>
      <w:r>
        <w:rPr>
          <w:vertAlign w:val="subscript"/>
        </w:rPr>
        <w:t>6</w:t>
      </w:r>
      <w:r>
        <w:t>]</w:t>
      </w:r>
      <w:r>
        <w:t xml:space="preserve"> </w:t>
      </w:r>
      <w:r>
        <w:t>0.94</w:t>
      </w:r>
      <w:r>
        <w:t xml:space="preserve"> </w:t>
      </w:r>
      <w:r>
        <w:t>·0.5H</w:t>
      </w:r>
      <w:r>
        <w:rPr>
          <w:vertAlign w:val="subscript"/>
        </w:rPr>
        <w:t>2</w:t>
      </w:r>
      <w:r>
        <w:t>O as the cathode and untreated graphite as the anode can deliver an energy density of 265.6 Wh kg</w:t>
      </w:r>
      <w:r>
        <w:t xml:space="preserve"> </w:t>
      </w:r>
      <w:r>
        <w:t>−1</w:t>
      </w:r>
      <w:r>
        <w:t xml:space="preserve"> </w:t>
      </w:r>
      <w:r>
        <w:t>(based on the total mass of cathode and anode) with a capacity retention of 81.3% after 600 cycles. When K</w:t>
      </w:r>
      <w:r>
        <w:t xml:space="preserve"> </w:t>
      </w:r>
      <w:r>
        <w:t>1.68</w:t>
      </w:r>
      <w:r>
        <w:t xml:space="preserve"> </w:t>
      </w:r>
      <w:r>
        <w:t>Mn[Fe(CN)</w:t>
      </w:r>
      <w:r>
        <w:rPr>
          <w:vertAlign w:val="subscript"/>
        </w:rPr>
        <w:t>6</w:t>
      </w:r>
      <w:r>
        <w:t>]</w:t>
      </w:r>
      <w:r>
        <w:t xml:space="preserve"> </w:t>
      </w:r>
      <w:r>
        <w:t>0.92</w:t>
      </w:r>
      <w:r>
        <w:t xml:space="preserve"> </w:t>
      </w:r>
      <w:r>
        <w:t>·1.36H</w:t>
      </w:r>
      <w:r>
        <w:rPr>
          <w:vertAlign w:val="subscript"/>
        </w:rPr>
        <w:t>2</w:t>
      </w:r>
      <w:r>
        <w:t>O is used as the cathode, the energy density can reach 306.2 Wh kg</w:t>
      </w:r>
      <w:r>
        <w:t xml:space="preserve"> </w:t>
      </w:r>
      <w:r>
        <w:t>−1</w:t>
      </w:r>
      <w:r>
        <w:t xml:space="preserve"> </w:t>
      </w:r>
      <w:r>
        <w:t>. A five‐stacked pouch full cell with a capacity of ∼24 mAh can rapidly drive a small motor, demonstrating the application potential of the electrolyte.</w:t>
      </w:r>
    </w:p>
    <w:p>
      <w:pPr>
        <w:spacing w:before="120" w:after="120"/>
      </w:pPr>
      <w:r>
        <w:rPr>
          <w:sz w:val="18"/>
        </w:rPr>
        <w:t>——————————————————————————————————————————————————————————————————————</w:t>
      </w:r>
    </w:p>
    <w:p>
      <w:pPr>
        <w:spacing w:before="160" w:after="40" w:line="240" w:lineRule="auto"/>
      </w:pPr>
      <w:r>
        <w:rPr>
          <w:b/>
        </w:rPr>
        <w:t xml:space="preserve">[107] </w:t>
      </w:r>
      <w:hyperlink r:id="rId151">
        <w:r>
          <w:rPr>
            <w:color w:val="1155CC"/>
            <w:u w:val="single"/>
          </w:rPr>
          <w:t>中间库库+/CU0场址防护盾能促进多碳生产,以实现减少二氧化碳的电化学</w:t>
        </w:r>
      </w:hyperlink>
    </w:p>
    <w:p>
      <w:pPr>
        <w:spacing w:before="0" w:after="80"/>
      </w:pPr>
      <w:r>
        <w:rPr>
          <w:i/>
          <w:sz w:val="20"/>
        </w:rPr>
        <w:t>EN: Protective Shield for Interfacial Cu+/Cu0 Sites Enhances Multicarbon Production Toward Electrochemical Reduction of Carbon Dioxide</w:t>
      </w:r>
    </w:p>
    <w:p>
      <w:pPr>
        <w:spacing w:before="0" w:after="120"/>
      </w:pPr>
      <w:r>
        <w:rPr>
          <w:b/>
        </w:rPr>
        <w:t xml:space="preserve">Source: </w:t>
      </w:r>
      <w:r>
        <w:t>Wiley: Angewandte Chemie International Edition: Table of Contents</w:t>
      </w:r>
      <w:r>
        <w:t xml:space="preserve">    </w:t>
      </w:r>
      <w:r>
        <w:rPr>
          <w:b/>
        </w:rPr>
        <w:t xml:space="preserve">Pub date: </w:t>
      </w:r>
      <w:r>
        <w:t>2026-02-09 05:47:16+00:00</w:t>
      </w:r>
      <w:r>
        <w:t xml:space="preserve">    </w:t>
      </w:r>
      <w:r>
        <w:rPr>
          <w:b/>
        </w:rPr>
        <w:t xml:space="preserve">DOI: </w:t>
      </w:r>
      <w:hyperlink r:id="rId152">
        <w:r>
          <w:rPr>
            <w:color w:val="1155CC"/>
            <w:u w:val="single"/>
          </w:rPr>
          <w:t>10.1002/anie.202524602</w:t>
        </w:r>
      </w:hyperlink>
    </w:p>
    <w:p>
      <w:pPr>
        <w:spacing w:before="0" w:after="120"/>
      </w:pPr>
      <w:r>
        <w:rPr>
          <w:b/>
        </w:rPr>
        <w:t xml:space="preserve">Notes: </w:t>
      </w:r>
      <w:r>
        <w:t>abstract_source=crossref</w:t>
      </w:r>
    </w:p>
    <w:p>
      <w:pPr>
        <w:spacing w:before="0" w:after="80" w:lineRule="auto" w:line="276"/>
      </w:pPr>
      <w:r>
        <w:rPr>
          <w:b/>
        </w:rPr>
        <w:t xml:space="preserve">摘要（ZH）: </w:t>
      </w:r>
      <w:r>
        <w:t>Cu + / Cu 0的界面是多碳(C2+ ) 产品的一种有希望的活性场所,其用电化学减少二氧化碳(CO2 RR),而阴极环境通常通过Cu + 减少破坏该场所。在这里,我们通过电化学重建引进了三环酸酸基(BTC),作为稳定 Cu +/ Cu 0 接口的“防护罩”。</w:t>
      </w:r>
    </w:p>
    <w:p>
      <w:pPr>
        <w:spacing w:before="0" w:after="200" w:lineRule="auto" w:line="276"/>
      </w:pPr>
      <w:r>
        <w:rPr>
          <w:b/>
        </w:rPr>
        <w:t xml:space="preserve">Abstract (EN): </w:t>
      </w:r>
      <w:r>
        <w:t>The interface of Cu</w:t>
      </w:r>
      <w:r>
        <w:t xml:space="preserve"> </w:t>
      </w:r>
      <w:r>
        <w:t>+</w:t>
      </w:r>
      <w:r>
        <w:t xml:space="preserve"> </w:t>
      </w:r>
      <w:r>
        <w:t>/Cu</w:t>
      </w:r>
      <w:r>
        <w:rPr>
          <w:vertAlign w:val="subscript"/>
        </w:rPr>
        <w:t>0</w:t>
      </w:r>
      <w:r>
        <w:t>is a promising active site for multi‐carbon (C</w:t>
      </w:r>
      <w:r>
        <w:t xml:space="preserve"> </w:t>
      </w:r>
      <w:r>
        <w:t>2+</w:t>
      </w:r>
      <w:r>
        <w:t xml:space="preserve"> </w:t>
      </w:r>
      <w:r>
        <w:t>) products towards the electrochemical reduction of carbon dioxide (CO</w:t>
      </w:r>
      <w:r>
        <w:rPr>
          <w:vertAlign w:val="subscript"/>
        </w:rPr>
        <w:t>2</w:t>
      </w:r>
      <w:r>
        <w:t>RR), whereas the cathodic environment commonly destroys this site by Cu</w:t>
      </w:r>
      <w:r>
        <w:t xml:space="preserve"> </w:t>
      </w:r>
      <w:r>
        <w:t>+</w:t>
      </w:r>
      <w:r>
        <w:t xml:space="preserve"> </w:t>
      </w:r>
      <w:r>
        <w:t>reduction. Herein, we introduced the acid radical of trimesic acid (BTC) by electrochemical reconstruction as a “protective shield” for the stabilization of the Cu</w:t>
      </w:r>
      <w:r>
        <w:t xml:space="preserve"> </w:t>
      </w:r>
      <w:r>
        <w:t>+</w:t>
      </w:r>
      <w:r>
        <w:t xml:space="preserve"> </w:t>
      </w:r>
      <w:r>
        <w:t>/Cu</w:t>
      </w:r>
      <w:r>
        <w:rPr>
          <w:vertAlign w:val="subscript"/>
        </w:rPr>
        <w:t>0</w:t>
      </w:r>
      <w:r>
        <w:t>interface. The BTC‐stabilized Cu</w:t>
      </w:r>
      <w:r>
        <w:t xml:space="preserve"> </w:t>
      </w:r>
      <w:r>
        <w:t>+</w:t>
      </w:r>
      <w:r>
        <w:t xml:space="preserve"> </w:t>
      </w:r>
      <w:r>
        <w:t>/Cu</w:t>
      </w:r>
      <w:r>
        <w:rPr>
          <w:vertAlign w:val="subscript"/>
        </w:rPr>
        <w:t>0</w:t>
      </w:r>
      <w:r>
        <w:t>interface displayed a Faradaic efficiency (FE) of 86.4 ± 2.4% for C</w:t>
      </w:r>
      <w:r>
        <w:t xml:space="preserve"> </w:t>
      </w:r>
      <w:r>
        <w:t>2+</w:t>
      </w:r>
      <w:r>
        <w:t xml:space="preserve"> </w:t>
      </w:r>
      <w:r>
        <w:t>products at 600 mA cm</w:t>
      </w:r>
      <w:r>
        <w:t xml:space="preserve"> </w:t>
      </w:r>
      <w:r>
        <w:t>−2</w:t>
      </w:r>
      <w:r>
        <w:t xml:space="preserve"> </w:t>
      </w:r>
      <w:r>
        <w:t>towards CO</w:t>
      </w:r>
      <w:r>
        <w:rPr>
          <w:vertAlign w:val="subscript"/>
        </w:rPr>
        <w:t>2</w:t>
      </w:r>
      <w:r>
        <w:t>RR in neutral electrolyte, with the retention of Cu</w:t>
      </w:r>
      <w:r>
        <w:t xml:space="preserve"> </w:t>
      </w:r>
      <w:r>
        <w:t>+</w:t>
      </w:r>
      <w:r>
        <w:t xml:space="preserve"> </w:t>
      </w:r>
      <w:r>
        <w:t>/Cu</w:t>
      </w:r>
      <w:r>
        <w:rPr>
          <w:vertAlign w:val="subscript"/>
        </w:rPr>
        <w:t>0</w:t>
      </w:r>
      <w:r>
        <w:t>interface during the reaction. Such stabilization effect by BTC shield was attributed to the preferential trapping of the *H intermediates and decreased *H‐induced transfer and corrosion for Cu</w:t>
      </w:r>
      <w:r>
        <w:t xml:space="preserve"> </w:t>
      </w:r>
      <w:r>
        <w:t>+</w:t>
      </w:r>
      <w:r>
        <w:t xml:space="preserve"> </w:t>
      </w:r>
      <w:r>
        <w:t>. The BTC‐stabilized Cu</w:t>
      </w:r>
      <w:r>
        <w:t xml:space="preserve"> </w:t>
      </w:r>
      <w:r>
        <w:t>+</w:t>
      </w:r>
      <w:r>
        <w:t xml:space="preserve"> </w:t>
      </w:r>
      <w:r>
        <w:t>/Cu</w:t>
      </w:r>
      <w:r>
        <w:rPr>
          <w:vertAlign w:val="subscript"/>
        </w:rPr>
        <w:t>0</w:t>
      </w:r>
      <w:r>
        <w:t>interface displayed a distinct asymmetry coupling path between *CO and *COH, which lowered the energy barrier of C</w:t>
      </w:r>
      <w:r>
        <w:t xml:space="preserve"> </w:t>
      </w:r>
      <w:r>
        <w:t>2+</w:t>
      </w:r>
      <w:r>
        <w:t xml:space="preserve"> </w:t>
      </w:r>
      <w:r>
        <w:t>production. This work represents a new strategy for the stabilization of interfacial Cu</w:t>
      </w:r>
      <w:r>
        <w:t xml:space="preserve"> </w:t>
      </w:r>
      <w:r>
        <w:t>+</w:t>
      </w:r>
      <w:r>
        <w:t xml:space="preserve"> </w:t>
      </w:r>
      <w:r>
        <w:t>/Cu</w:t>
      </w:r>
      <w:r>
        <w:rPr>
          <w:vertAlign w:val="subscript"/>
        </w:rPr>
        <w:t>0</w:t>
      </w:r>
      <w:r>
        <w:t>sites towards CO</w:t>
      </w:r>
      <w:r>
        <w:rPr>
          <w:vertAlign w:val="subscript"/>
        </w:rPr>
        <w:t>2</w:t>
      </w:r>
      <w:r>
        <w:t>RR.</w:t>
      </w:r>
    </w:p>
    <w:p>
      <w:pPr>
        <w:spacing w:before="120" w:after="120"/>
      </w:pPr>
      <w:r>
        <w:rPr>
          <w:sz w:val="18"/>
        </w:rPr>
        <w:t>——————————————————————————————————————————————————————————————————————</w:t>
      </w:r>
    </w:p>
    <w:p>
      <w:pPr>
        <w:spacing w:before="160" w:after="40" w:line="240" w:lineRule="auto"/>
      </w:pPr>
      <w:r>
        <w:rPr>
          <w:b/>
        </w:rPr>
        <w:t xml:space="preserve">[108] </w:t>
      </w:r>
      <w:hyperlink r:id="rId153">
        <w:r>
          <w:rPr>
            <w:color w:val="1155CC"/>
            <w:u w:val="single"/>
          </w:rPr>
          <w:t>软体高导力添加剂设计无聚合体阴极</w:t>
        </w:r>
      </w:hyperlink>
    </w:p>
    <w:p>
      <w:pPr>
        <w:spacing w:before="0" w:after="80"/>
      </w:pPr>
      <w:r>
        <w:rPr>
          <w:i/>
          <w:sz w:val="20"/>
        </w:rPr>
        <w:t>EN: Machine Learning‐Guided Design of a Flexible Highly Conductive Additive‐Free Polymer Cathode</w:t>
      </w:r>
    </w:p>
    <w:p>
      <w:pPr>
        <w:spacing w:before="0" w:after="120"/>
      </w:pPr>
      <w:r>
        <w:rPr>
          <w:b/>
        </w:rPr>
        <w:t xml:space="preserve">Source: </w:t>
      </w:r>
      <w:r>
        <w:t>Wiley: Angewandte Chemie International Edition: Table of Contents</w:t>
      </w:r>
      <w:r>
        <w:t xml:space="preserve">    </w:t>
      </w:r>
      <w:r>
        <w:rPr>
          <w:b/>
        </w:rPr>
        <w:t xml:space="preserve">Pub date: </w:t>
      </w:r>
      <w:r>
        <w:t>2026-02-09 05:52:43+00:00</w:t>
      </w:r>
      <w:r>
        <w:t xml:space="preserve">    </w:t>
      </w:r>
      <w:r>
        <w:rPr>
          <w:b/>
        </w:rPr>
        <w:t xml:space="preserve">DOI: </w:t>
      </w:r>
      <w:hyperlink r:id="rId154">
        <w:r>
          <w:rPr>
            <w:color w:val="1155CC"/>
            <w:u w:val="single"/>
          </w:rPr>
          <w:t>10.1002/anie.202525729</w:t>
        </w:r>
      </w:hyperlink>
    </w:p>
    <w:p>
      <w:pPr>
        <w:spacing w:before="0" w:after="120"/>
      </w:pPr>
      <w:r>
        <w:rPr>
          <w:b/>
        </w:rPr>
        <w:t xml:space="preserve">Notes: </w:t>
      </w:r>
      <w:r>
        <w:t>abstract_source=crossref</w:t>
      </w:r>
    </w:p>
    <w:p>
      <w:pPr>
        <w:spacing w:before="0" w:after="80" w:lineRule="auto" w:line="276"/>
      </w:pPr>
      <w:r>
        <w:rPr>
          <w:b/>
        </w:rPr>
        <w:t xml:space="preserve">摘要（ZH）: </w:t>
      </w:r>
      <w:r>
        <w:t>有机阴极材料(OCM)是下一代电池中无机对等的有希望的可持续替代品,但其广泛应用在很大程度上受到内在低导电率(低于10-6 S cm-1)和材料溶解的阻碍,广阔的化学勘探空间使最佳有机阴极的发现复杂化。在这项工作中,我们利用了机械学习(ML)的发现过程,在ZINC有机分子数据库中采用了预先训练的变压器模型,产生了几组潜在的高性能OCMs候选产品,包括Isoondigo型重氧化物单元。这种高效筛选的输出激发了PO的设计。</w:t>
      </w:r>
    </w:p>
    <w:p>
      <w:pPr>
        <w:spacing w:before="0" w:after="200" w:lineRule="auto" w:line="276"/>
      </w:pPr>
      <w:r>
        <w:rPr>
          <w:b/>
        </w:rPr>
        <w:t xml:space="preserve">Abstract (EN): </w:t>
      </w:r>
      <w:r>
        <w:t>Organic cathode materials (OCMs) are promising sustainable alternatives to inorganic counterparts for next‐generation batteries, yet their widespread application is largely hindered by intrinsically low electrical conductivity (below 10</w:t>
      </w:r>
      <w:r>
        <w:t xml:space="preserve"> </w:t>
      </w:r>
      <w:r>
        <w:t>−6</w:t>
      </w:r>
      <w:r>
        <w:t xml:space="preserve"> </w:t>
      </w:r>
      <w:r>
        <w:t>S cm</w:t>
      </w:r>
      <w:r>
        <w:t xml:space="preserve"> </w:t>
      </w:r>
      <w:r>
        <w:t>−1</w:t>
      </w:r>
      <w:r>
        <w:t xml:space="preserve"> </w:t>
      </w:r>
      <w:r>
        <w:t>) and material dissolution. The vast chemical space for exploration complicates the discovery of optimal OCMs. In this work, we utilized a machine learning (ML)‐based discovery process with a pretrained transformer model in ZINC organic molecules database, yielding a couple of potential high‐performance OCMs candidates, including isoindigo‐type redox units. The output of such efficient screening inspires the design of poly‐benzodifurandione (PBFO) as a free‐standing cathode material for high‐performance Li‐ion and Na‐ion storage. The flexible PBFO film exhibits a breakthrough conductivity of 5.9×10</w:t>
      </w:r>
      <w:r>
        <w:rPr>
          <w:vertAlign w:val="subscript"/>
        </w:rPr>
        <w:t>2</w:t>
      </w:r>
      <w:r>
        <w:t>S cm</w:t>
      </w:r>
      <w:r>
        <w:t xml:space="preserve"> </w:t>
      </w:r>
      <w:r>
        <w:t>−1</w:t>
      </w:r>
      <w:r>
        <w:t xml:space="preserve"> </w:t>
      </w:r>
      <w:r>
        <w:t>, setting a new benchmark for additive‐free organic cathodes. The neat PBFO cathodes achieve a reversible capacity of 262 mAh g</w:t>
      </w:r>
      <w:r>
        <w:t xml:space="preserve"> </w:t>
      </w:r>
      <w:r>
        <w:t>−1</w:t>
      </w:r>
      <w:r>
        <w:t xml:space="preserve"> </w:t>
      </w:r>
      <w:r>
        <w:t>averaging at 2.5 V versus Li</w:t>
      </w:r>
      <w:r>
        <w:t xml:space="preserve"> </w:t>
      </w:r>
      <w:r>
        <w:t>+</w:t>
      </w:r>
      <w:r>
        <w:t xml:space="preserve"> </w:t>
      </w:r>
      <w:r>
        <w:t>/Li at 25 mA g</w:t>
      </w:r>
      <w:r>
        <w:t xml:space="preserve"> </w:t>
      </w:r>
      <w:r>
        <w:t>−1</w:t>
      </w:r>
      <w:r>
        <w:t xml:space="preserve"> </w:t>
      </w:r>
      <w:r>
        <w:t>, delivering a high electrode‐level energy density of 655 Wh kg</w:t>
      </w:r>
      <w:r>
        <w:t xml:space="preserve"> </w:t>
      </w:r>
      <w:r>
        <w:t>−1</w:t>
      </w:r>
      <w:r>
        <w:t xml:space="preserve"> </w:t>
      </w:r>
      <w:r>
        <w:t>, among the highest reported for OCMs. This work provides the first flexible, high‐conductivity organic cathodes without conductive additives and binders, opening a new direction toward viable organic batteries.</w:t>
      </w:r>
    </w:p>
    <w:p>
      <w:pPr>
        <w:spacing w:before="120" w:after="120"/>
      </w:pPr>
      <w:r>
        <w:rPr>
          <w:sz w:val="18"/>
        </w:rPr>
        <w:t>——————————————————————————————————————————————————————————————————————</w:t>
      </w:r>
    </w:p>
    <w:p>
      <w:pPr>
        <w:spacing w:before="160" w:after="40" w:line="240" w:lineRule="auto"/>
      </w:pPr>
      <w:r>
        <w:rPr>
          <w:b/>
        </w:rPr>
        <w:t xml:space="preserve">[109] </w:t>
      </w:r>
      <w:hyperlink r:id="rId155">
        <w:r>
          <w:rPr>
            <w:color w:val="1155CC"/>
            <w:u w:val="single"/>
          </w:rPr>
          <w:t>过渡金属层氧化物解脱过程中随着磁有序和旋转波动而发生的相关结构变化</w:t>
        </w:r>
      </w:hyperlink>
    </w:p>
    <w:p>
      <w:pPr>
        <w:spacing w:before="0" w:after="80"/>
      </w:pPr>
      <w:r>
        <w:rPr>
          <w:i/>
          <w:sz w:val="20"/>
        </w:rPr>
        <w:t>EN: Correlating Structure Change With Magnetic Ordering and Spin Fluctuation During Delithiation of Transition Metal Layered Oxide</w:t>
      </w:r>
    </w:p>
    <w:p>
      <w:pPr>
        <w:spacing w:before="0" w:after="120"/>
      </w:pPr>
      <w:r>
        <w:rPr>
          <w:b/>
        </w:rPr>
        <w:t xml:space="preserve">Source: </w:t>
      </w:r>
      <w:r>
        <w:t>Wiley: Angewandte Chemie International Edition: Table of Contents</w:t>
      </w:r>
      <w:r>
        <w:t xml:space="preserve">    </w:t>
      </w:r>
      <w:r>
        <w:rPr>
          <w:b/>
        </w:rPr>
        <w:t xml:space="preserve">Pub date: </w:t>
      </w:r>
      <w:r>
        <w:t>2026-02-09 05:55:49+00:00</w:t>
      </w:r>
      <w:r>
        <w:t xml:space="preserve">    </w:t>
      </w:r>
      <w:r>
        <w:rPr>
          <w:b/>
        </w:rPr>
        <w:t xml:space="preserve">DOI: </w:t>
      </w:r>
      <w:hyperlink r:id="rId156">
        <w:r>
          <w:rPr>
            <w:color w:val="1155CC"/>
            <w:u w:val="single"/>
          </w:rPr>
          <w:t>10.1002/anie.202521015</w:t>
        </w:r>
      </w:hyperlink>
    </w:p>
    <w:p>
      <w:pPr>
        <w:spacing w:before="0" w:after="120"/>
      </w:pPr>
      <w:r>
        <w:rPr>
          <w:b/>
        </w:rPr>
        <w:t xml:space="preserve">Notes: </w:t>
      </w:r>
      <w:r>
        <w:t>abstract_source=crossref</w:t>
      </w:r>
    </w:p>
    <w:p>
      <w:pPr>
        <w:spacing w:before="0" w:after="80" w:lineRule="auto" w:line="276"/>
      </w:pPr>
      <w:r>
        <w:rPr>
          <w:b/>
        </w:rPr>
        <w:t xml:space="preserve">摘要（ZH）: </w:t>
      </w:r>
      <w:r>
        <w:t>现有液态电池技术依靠李+插入/电解,加上电在阴极和阳极的增损。尽管已经作出大量努力,研究用李+提取/插入来改变阴极材料的结构变化,但伴随的红氧化工艺引起的磁特性变化在很大程度上被忽视。我们在这里系统地调查在具有代表性的层层氧化物LicoO 2脱光期间的结构演变和磁财产变化,将基于Affrondo 同步器的X射线分解与专用磁性 measu相结合。</w:t>
      </w:r>
    </w:p>
    <w:p>
      <w:pPr>
        <w:spacing w:before="0" w:after="200" w:lineRule="auto" w:line="276"/>
      </w:pPr>
      <w:r>
        <w:rPr>
          <w:b/>
        </w:rPr>
        <w:t xml:space="preserve">Abstract (EN): </w:t>
      </w:r>
      <w:r>
        <w:t>Current Li‐ion battery technology relies on Li</w:t>
      </w:r>
      <w:r>
        <w:t xml:space="preserve"> </w:t>
      </w:r>
      <w:r>
        <w:t>+</w:t>
      </w:r>
      <w:r>
        <w:t xml:space="preserve"> </w:t>
      </w:r>
      <w:r>
        <w:t>insertion/extraction coupled with electron gaining/loss at both cathodes and anodes. Although extensive efforts have been devoted to studying the structure change of cathode materials with Li</w:t>
      </w:r>
      <w:r>
        <w:t xml:space="preserve"> </w:t>
      </w:r>
      <w:r>
        <w:t>+</w:t>
      </w:r>
      <w:r>
        <w:t xml:space="preserve"> </w:t>
      </w:r>
      <w:r>
        <w:t>extraction/insertion, changes in the magnetic properties arising from the accompanying redox processes have been largely overlooked. Here, we systematically investigate both the structure evolution and magnetic‐property changes during the delithiation of the representative layered oxide LiCoO</w:t>
      </w:r>
      <w:r>
        <w:rPr>
          <w:vertAlign w:val="subscript"/>
        </w:rPr>
        <w:t>2</w:t>
      </w:r>
      <w:r>
        <w:t>, by combining the operando synchrotron‐based x‐ray diffraction with dedicated magnetic measurements. We construct a magnetic phase diagram as a function of Li content</w:t>
      </w:r>
      <w:r>
        <w:t xml:space="preserve"> </w:t>
      </w:r>
      <w:r>
        <w:t>x</w:t>
      </w:r>
      <w:r>
        <w:t xml:space="preserve"> </w:t>
      </w:r>
      <w:r>
        <w:t>in Li</w:t>
      </w:r>
      <w:r>
        <w:t xml:space="preserve"> </w:t>
      </w:r>
      <w:r>
        <w:t>x</w:t>
      </w:r>
      <w:r>
        <w:t xml:space="preserve"> </w:t>
      </w:r>
      <w:r>
        <w:t>CoO</w:t>
      </w:r>
      <w:r>
        <w:rPr>
          <w:vertAlign w:val="subscript"/>
        </w:rPr>
        <w:t>2</w:t>
      </w:r>
      <w:r>
        <w:t>, which closely mirrors the corresponding structure evolution diagram. The results reveal a series of complicated magnetic transitions upon Li extraction: paramagnetic → antiferromagnetic → paramagnetic → diamagnetic → paramagnetic. Moreover, the variation in the effective magnetic moment of Co</w:t>
      </w:r>
      <w:r>
        <w:t xml:space="preserve"> </w:t>
      </w:r>
      <w:r>
        <w:t>4+</w:t>
      </w:r>
      <w:r>
        <w:t xml:space="preserve"> </w:t>
      </w:r>
      <w:r>
        <w:t>is strongly correlated with local structural changes within the CoO</w:t>
      </w:r>
      <w:r>
        <w:rPr>
          <w:vertAlign w:val="subscript"/>
        </w:rPr>
        <w:t>6</w:t>
      </w:r>
      <w:r>
        <w:t>octahedra, indicating that the Co</w:t>
      </w:r>
      <w:r>
        <w:t xml:space="preserve"> </w:t>
      </w:r>
      <w:r>
        <w:t>4+</w:t>
      </w:r>
      <w:r>
        <w:t xml:space="preserve"> </w:t>
      </w:r>
      <w:r>
        <w:t>spin‐state fluctuation may play an important role in the structure evolution and electrochemical performance. These findings help close a critical gap in understanding structure‐magnetism coupling during the electrochemical cycling and may inspire the design of new layered oxide cathodes from a spin‐electronics perspective.</w:t>
      </w:r>
    </w:p>
    <w:p>
      <w:pPr>
        <w:spacing w:before="120" w:after="120"/>
      </w:pPr>
      <w:r>
        <w:rPr>
          <w:sz w:val="18"/>
        </w:rPr>
        <w:t>——————————————————————————————————————————————————————————————————————</w:t>
      </w:r>
    </w:p>
    <w:p>
      <w:pPr>
        <w:spacing w:before="160" w:after="40" w:line="240" w:lineRule="auto"/>
      </w:pPr>
      <w:r>
        <w:rPr>
          <w:b/>
        </w:rPr>
        <w:t xml:space="preserve">[110] </w:t>
      </w:r>
      <w:hyperlink r:id="rId157">
        <w:r>
          <w:rPr>
            <w:color w:val="1155CC"/>
            <w:u w:val="single"/>
          </w:rPr>
          <w:t>Echosvision: 声频能源收割和变容器回声成像双重功能超超声平台</w:t>
        </w:r>
      </w:hyperlink>
    </w:p>
    <w:p>
      <w:pPr>
        <w:spacing w:before="0" w:after="80"/>
      </w:pPr>
      <w:r>
        <w:rPr>
          <w:i/>
          <w:sz w:val="20"/>
        </w:rPr>
        <w:t>EN: Echo‐vision: A Dual‐Function Ultrasonic Platform for Acoustic Energy Harvesting and Varifocal Echo Imaging</w:t>
      </w:r>
    </w:p>
    <w:p>
      <w:pPr>
        <w:spacing w:before="0" w:after="120"/>
      </w:pPr>
      <w:r>
        <w:rPr>
          <w:b/>
        </w:rPr>
        <w:t xml:space="preserve">Source: </w:t>
      </w:r>
      <w:r>
        <w:t>Wiley: Advanced Energy Materials: Table of Contents</w:t>
      </w:r>
      <w:r>
        <w:t xml:space="preserve">    </w:t>
      </w:r>
      <w:r>
        <w:rPr>
          <w:b/>
        </w:rPr>
        <w:t xml:space="preserve">Pub date: </w:t>
      </w:r>
      <w:r>
        <w:t>2026-02-09 06:43:48+00:00</w:t>
      </w:r>
      <w:r>
        <w:t xml:space="preserve">    </w:t>
      </w:r>
      <w:r>
        <w:rPr>
          <w:b/>
        </w:rPr>
        <w:t xml:space="preserve">DOI: </w:t>
      </w:r>
      <w:hyperlink r:id="rId158">
        <w:r>
          <w:rPr>
            <w:color w:val="1155CC"/>
            <w:u w:val="single"/>
          </w:rPr>
          <w:t>10.1002/aenm.202506618</w:t>
        </w:r>
      </w:hyperlink>
    </w:p>
    <w:p>
      <w:pPr>
        <w:spacing w:before="0" w:after="120"/>
      </w:pPr>
      <w:r>
        <w:rPr>
          <w:b/>
        </w:rPr>
        <w:t xml:space="preserve">Notes: </w:t>
      </w:r>
      <w:r>
        <w:t>abstract_source=crossref</w:t>
      </w:r>
    </w:p>
    <w:p>
      <w:pPr>
        <w:spacing w:before="0" w:after="80" w:lineRule="auto" w:line="276"/>
      </w:pPr>
      <w:r>
        <w:rPr>
          <w:b/>
        </w:rPr>
        <w:t xml:space="preserve">摘要（ZH）: </w:t>
      </w:r>
      <w:r>
        <w:t>ABSTACT 超声波技术使生物医学和水下应用能够进行成像、探测和通信,但固定焦点的硬结构往往限制多功能集成和深度控制。 常规系统通常在不考虑统一电力捕获和成像的情况下对孔径、覆盖和分辨率进行交换,这里我们展示了Echo-vision的原型,这是一个生物启发的超声波平台,在单一机械可重新配置的设计中统一声学能量采集和变形成像。 移动镜形装置,“回声视图”将一个活性装置、一个可伸缩的元件和一个机械启动的电离子,以实现可控波前工程和双向电能。</w:t>
      </w:r>
    </w:p>
    <w:p>
      <w:pPr>
        <w:spacing w:before="0" w:after="200" w:lineRule="auto" w:line="276"/>
      </w:pPr>
      <w:r>
        <w:rPr>
          <w:b/>
        </w:rPr>
        <w:t xml:space="preserve">Abstract (EN): </w:t>
      </w:r>
      <w:r>
        <w:t>Ultrasonic technologies enable imaging, detection, and communication across biomedical and underwater applications, yet rigid architectures with fixed focusing often limit multifunctional integration and depth‐of‐field control. Conventional systems typically trade off aperture, coverage, and resolution, without considering unified power capture and imaging. Here, we present the prototype of Echo‐vision, a bio‐inspired ultrasonic platform that unifies acoustic energy harvesting and varifocal imaging in a single mechanically reconfigurable design. Mimicking ocular mechanisms, Echo‐vision combines an active device, a stretchable meta‐lens, and a mechanically actuated iris to realize controllable wavefront engineering and bidirectional electro‐acoustic conversion. In the energy harvesting mode, focused ultrasound charged five 1000 µF capacitors to 2.25 V at an average charging rate of 10 µC/s, providing sufficient power to drive micro‐LEDs and micro‐motors. In the echo imaging mode, radial stretching relocates the focal plane from 10 to 20 mm, enabling varifocal imaging at multiple depths. Raster‐scanned reconstructions achieve subwavelength lateral (∼0.8</w:t>
      </w:r>
      <w:r>
        <w:t xml:space="preserve"> </w:t>
      </w:r>
      <w:r>
        <w:t>λ</w:t>
      </w:r>
      <w:r>
        <w:t xml:space="preserve"> </w:t>
      </w:r>
      <w:r>
        <w:t>) and wavelength‐scale axial (1</w:t>
      </w:r>
      <w:r>
        <w:t xml:space="preserve"> </w:t>
      </w:r>
      <w:r>
        <w:t>λ</w:t>
      </w:r>
      <w:r>
        <w:t xml:space="preserve"> </w:t>
      </w:r>
      <w:r>
        <w:t>) resolution. This dual‐function integration paves the way toward self‐powered acoustic systems for underwater exploration, soft‐robotic perception, and intelligent sensing.</w:t>
      </w:r>
    </w:p>
    <w:p>
      <w:pPr>
        <w:spacing w:before="120" w:after="120"/>
      </w:pPr>
      <w:r>
        <w:rPr>
          <w:sz w:val="18"/>
        </w:rPr>
        <w:t>——————————————————————————————————————————————————————————————————————</w:t>
      </w:r>
    </w:p>
    <w:p>
      <w:pPr>
        <w:spacing w:before="160" w:after="40" w:line="240" w:lineRule="auto"/>
      </w:pPr>
      <w:r>
        <w:rPr>
          <w:b/>
        </w:rPr>
        <w:t xml:space="preserve">[111] </w:t>
      </w:r>
      <w:hyperlink r:id="rId159">
        <w:r>
          <w:rPr>
            <w:color w:val="1155CC"/>
            <w:u w:val="single"/>
          </w:rPr>
          <w:t>Ultrafast Fenton 类似反应中直接推动直接污染物转移</w:t>
        </w:r>
      </w:hyperlink>
    </w:p>
    <w:p>
      <w:pPr>
        <w:spacing w:before="0" w:after="80"/>
      </w:pPr>
      <w:r>
        <w:rPr>
          <w:i/>
          <w:sz w:val="20"/>
        </w:rPr>
        <w:t>EN: Photoswitch Mediated Electron Highway Driving Direct Pollutant‐to‐Oxidant Electron Transfer in Ultrafast Fenton‐Like Reactions</w:t>
      </w:r>
    </w:p>
    <w:p>
      <w:pPr>
        <w:spacing w:before="0" w:after="120"/>
      </w:pPr>
      <w:r>
        <w:rPr>
          <w:b/>
        </w:rPr>
        <w:t xml:space="preserve">Source: </w:t>
      </w:r>
      <w:r>
        <w:t>Wiley: Angewandte Chemie International Edition: Table of Contents</w:t>
      </w:r>
      <w:r>
        <w:t xml:space="preserve">    </w:t>
      </w:r>
      <w:r>
        <w:rPr>
          <w:b/>
        </w:rPr>
        <w:t xml:space="preserve">Pub date: </w:t>
      </w:r>
      <w:r>
        <w:t>2026-02-09 06:44:24+00:00</w:t>
      </w:r>
      <w:r>
        <w:t xml:space="preserve">    </w:t>
      </w:r>
      <w:r>
        <w:rPr>
          <w:b/>
        </w:rPr>
        <w:t xml:space="preserve">DOI: </w:t>
      </w:r>
      <w:hyperlink r:id="rId160">
        <w:r>
          <w:rPr>
            <w:color w:val="1155CC"/>
            <w:u w:val="single"/>
          </w:rPr>
          <w:t>10.1002/anie.202521687</w:t>
        </w:r>
      </w:hyperlink>
    </w:p>
    <w:p>
      <w:pPr>
        <w:spacing w:before="0" w:after="120"/>
      </w:pPr>
      <w:r>
        <w:rPr>
          <w:b/>
        </w:rPr>
        <w:t xml:space="preserve">Notes: </w:t>
      </w:r>
      <w:r>
        <w:t>abstract_source=crossref</w:t>
      </w:r>
    </w:p>
    <w:p>
      <w:pPr>
        <w:spacing w:before="0" w:after="80" w:lineRule="auto" w:line="276"/>
      </w:pPr>
      <w:r>
        <w:rPr>
          <w:b/>
        </w:rPr>
        <w:t xml:space="preserve">摘要（ZH）: </w:t>
      </w:r>
      <w:r>
        <w:t>ABSTACT 传统多元光电催化系统,加上氧化剂活化,给环境补救带来了巨大希望,但受到激进清扫和非选择性氧化的限制。在这里,我们引入了一个被忽视的光电中介电子转移机制,通过光活性介质,使污染物能够直接、超快电子从污染物向氧化剂转移,从而绕过活氧物种。在可见光辐照下,我们使用环境友好的双丁二苯氧基丁二烯化物作为模型催化剂,实现了各种电子富集污染物,如硫化苯氧(t 1/2 &amp; lt;2.0 min)前所未有的降解率。这个机制显示了依赖污染物的食氧。</w:t>
      </w:r>
    </w:p>
    <w:p>
      <w:pPr>
        <w:spacing w:before="0" w:after="200" w:lineRule="auto" w:line="276"/>
      </w:pPr>
      <w:r>
        <w:rPr>
          <w:b/>
        </w:rPr>
        <w:t xml:space="preserve">Abstract (EN): </w:t>
      </w:r>
      <w:r>
        <w:t>Traditional heterogeneous photocatalytic systems coupled with oxidant activation hold great promise for environmental remediation but are constrained by radical scavenging and nonselective oxidation. Here, we introduce an overlooked photoswitch‐mediated electron transfer (PSMET) mechanism that circumvents reactive oxygen species by enabling direct, ultrafast electron transfer from pollutants to oxidants through a photoactive mediator. Using environmentally benign bismuth oxyiodide as a model catalyst under visible‐light irradiation, we achieve unprecedented degradation rates for various electron‐rich pollutants such as sulfamethoxazole (t</w:t>
      </w:r>
      <w:r>
        <w:t xml:space="preserve"> </w:t>
      </w:r>
      <w:r>
        <w:t>1/2</w:t>
      </w:r>
      <w:r>
        <w:t xml:space="preserve"> </w:t>
      </w:r>
      <w:r>
        <w:t>&amp;lt;2.0 min). This mechanism exhibits pollutant‐dependent oxidant utilization mode and selective pollutant degradation characteristics. Mechanistic analyses reveal the formation of a high‐potential electron‐transfer pathway activated by photoexcitation, directly coupling pollutant oxidation to oxidant reduction within a single electron‐transfer cycle. Frontier molecular orbital calculations further demonstrate that the narrow bandgap and p‐type semiconductor characteristics selectively facilitate electron extraction from contaminants to oxidants. Remarkably, this PSMET mechanism displays universal applicability with diverse oxidants, maintaining &amp;gt;98% pollutant removals even in complex aqueous matrices and continuous‐flow systems. Furthermore, the mechanism allows precise optical control over reaction initiation and termination, offering unparalleled spatiotemporal regulation for sustainable wastewater treatment. Our findings redefine photocatalytic oxidation paradigms and open new pathways toward energy‐efficient, optically programmable, and environmentally sustainable remediation technologies.</w:t>
      </w:r>
    </w:p>
    <w:p>
      <w:pPr>
        <w:spacing w:before="120" w:after="120"/>
      </w:pPr>
      <w:r>
        <w:rPr>
          <w:sz w:val="18"/>
        </w:rPr>
        <w:t>——————————————————————————————————————————————————————————————————————</w:t>
      </w:r>
    </w:p>
    <w:p>
      <w:pPr>
        <w:spacing w:before="160" w:after="40" w:line="240" w:lineRule="auto"/>
      </w:pPr>
      <w:r>
        <w:rPr>
          <w:b/>
        </w:rPr>
        <w:t xml:space="preserve">[112] </w:t>
      </w:r>
      <w:hyperlink r:id="rId161">
        <w:r>
          <w:rPr>
            <w:color w:val="1155CC"/>
            <w:u w:val="single"/>
          </w:rPr>
          <w:t>近红外光热热对由多氧元甲酸交环器触发的硫酸的聚合化</w:t>
        </w:r>
      </w:hyperlink>
    </w:p>
    <w:p>
      <w:pPr>
        <w:spacing w:before="0" w:after="80"/>
      </w:pPr>
      <w:r>
        <w:rPr>
          <w:i/>
          <w:sz w:val="20"/>
        </w:rPr>
        <w:t>EN: Near‐Infrared Photothermal Polymerization of Thioctic Acid Triggered by Polyoxometalate Crosslinker</w:t>
      </w:r>
    </w:p>
    <w:p>
      <w:pPr>
        <w:spacing w:before="0" w:after="120"/>
      </w:pPr>
      <w:r>
        <w:rPr>
          <w:b/>
        </w:rPr>
        <w:t xml:space="preserve">Source: </w:t>
      </w:r>
      <w:r>
        <w:t>Wiley: Angewandte Chemie International Edition: Table of Contents</w:t>
      </w:r>
      <w:r>
        <w:t xml:space="preserve">    </w:t>
      </w:r>
      <w:r>
        <w:rPr>
          <w:b/>
        </w:rPr>
        <w:t xml:space="preserve">Pub date: </w:t>
      </w:r>
      <w:r>
        <w:t>2026-02-09 06:45:07+00:00</w:t>
      </w:r>
      <w:r>
        <w:t xml:space="preserve">    </w:t>
      </w:r>
      <w:r>
        <w:rPr>
          <w:b/>
        </w:rPr>
        <w:t xml:space="preserve">DOI: </w:t>
      </w:r>
      <w:hyperlink r:id="rId162">
        <w:r>
          <w:rPr>
            <w:color w:val="1155CC"/>
            <w:u w:val="single"/>
          </w:rPr>
          <w:t>10.1002/anie.202523605</w:t>
        </w:r>
      </w:hyperlink>
    </w:p>
    <w:p>
      <w:pPr>
        <w:spacing w:before="0" w:after="120"/>
      </w:pPr>
      <w:r>
        <w:rPr>
          <w:b/>
        </w:rPr>
        <w:t xml:space="preserve">Notes: </w:t>
      </w:r>
      <w:r>
        <w:t>abstract_source=crossref</w:t>
      </w:r>
    </w:p>
    <w:p>
      <w:pPr>
        <w:spacing w:before="0" w:after="80" w:lineRule="auto" w:line="276"/>
      </w:pPr>
      <w:r>
        <w:rPr>
          <w:b/>
        </w:rPr>
        <w:t xml:space="preserve">摘要（ZH）: </w:t>
      </w:r>
      <w:r>
        <w:t>硫酸(TA)的单体转化率和聚合物链的交叉链接程度对材料的性能产生了重大影响,使它们成为重要的研究课题。在此,通过选择一个经过1------------光吸收能力强,作为光热剂和交叉链接剂,将聚氨酯-氨酯-氨酯-酯-酯-酯-酯-酯-酯-酯-酯-酯-酯-酯-磷酸-硫酸(TA)的单体转化率和聚合链-链化程度对材料的性能产生了重大影响,使材料成为重要的研究课题。在此过程中,通过选择一个经过1-----------------苯-苯-苯-苯-苯-苯-苯-苯-苯-苯-苯-苯-苯-苯-酯-苯-苯-苯-苯-苯-苯-苯-苯-苯-苯-苯-苯-苯-苯-苯-苯-苯-</w:t>
      </w:r>
    </w:p>
    <w:p>
      <w:pPr>
        <w:spacing w:before="0" w:after="200" w:lineRule="auto" w:line="276"/>
      </w:pPr>
      <w:r>
        <w:rPr>
          <w:b/>
        </w:rPr>
        <w:t xml:space="preserve">Abstract (EN): </w:t>
      </w:r>
      <w:r>
        <w:t>The monomer conversion rate of thioctic acid (TA) and the cross‐linking degree of polymer chains significantly influence the performance of materials, making them important research topics. Herein, by selecting a reduced polyoxometalate complex modified with 1‐allylpyridinium cations, which exhibits strong near‐infrared (NIR) light absorption capability, as both photothermal agent and cross‐linking agent, the polymerization of TA is successfully achieved under NIR light irradiation. The incorporation of photothermal agents results in their multiple dispersion throughout the polymerization matrix, facilitating uniform internal heat generation and inside‐out thermal diffusion. This mechanism significantly shortens the heat conduction pathway and effectively mitigates the inhomogeneous polymerization typically caused by temperature gradients inherent in conventional heating methods. Moreover, the C─S bonds formed via the reaction between the C═C groups and the disulfide linkages of TA not only suppress depolymerization but also serve as robust anchoring sites within the polymer network. By tuning the monomer composition, TA‐based adhesives and elastomers are successfully fabricated, exhibiting excellent re‐processability through NIR‐triggered remelting or repair. The NIR‐light‐regulated polymerization approach offers distinct advantages, including operational simplicity, rapid response, and spatiotemporal control, thereby presenting a promising strategy for the synthesis of high‐performance TA‐based polymers.</w:t>
      </w:r>
    </w:p>
    <w:p>
      <w:pPr>
        <w:spacing w:before="120" w:after="120"/>
      </w:pPr>
      <w:r>
        <w:rPr>
          <w:sz w:val="18"/>
        </w:rPr>
        <w:t>——————————————————————————————————————————————————————————————————————</w:t>
      </w:r>
    </w:p>
    <w:p>
      <w:pPr>
        <w:spacing w:before="160" w:after="40" w:line="240" w:lineRule="auto"/>
      </w:pPr>
      <w:r>
        <w:rPr>
          <w:b/>
        </w:rPr>
        <w:t xml:space="preserve">[113] </w:t>
      </w:r>
      <w:hyperlink r:id="rId163">
        <w:r>
          <w:rPr>
            <w:color w:val="1155CC"/>
            <w:u w:val="single"/>
          </w:rPr>
          <w:t>硬硬体软体:改进微敏感应器长期性能的蛋白基缓冲层</w:t>
        </w:r>
      </w:hyperlink>
    </w:p>
    <w:p>
      <w:pPr>
        <w:spacing w:before="0" w:after="80"/>
      </w:pPr>
      <w:r>
        <w:rPr>
          <w:i/>
          <w:sz w:val="20"/>
        </w:rPr>
        <w:t>EN: Stiff to Soft: A Protein‐Based Buffer Layer for Improving the Long‐Term Performance of Microneedle Sensors</w:t>
      </w:r>
    </w:p>
    <w:p>
      <w:pPr>
        <w:spacing w:before="0" w:after="120"/>
      </w:pPr>
      <w:r>
        <w:rPr>
          <w:b/>
        </w:rPr>
        <w:t xml:space="preserve">Source: </w:t>
      </w:r>
      <w:r>
        <w:t>Wiley: Advanced Materials: Table of Contents</w:t>
      </w:r>
      <w:r>
        <w:t xml:space="preserve">    </w:t>
      </w:r>
      <w:r>
        <w:rPr>
          <w:b/>
        </w:rPr>
        <w:t xml:space="preserve">Pub date: </w:t>
      </w:r>
      <w:r>
        <w:t>2026-02-09 06:45:36+00:00</w:t>
      </w:r>
      <w:r>
        <w:t xml:space="preserve">    </w:t>
      </w:r>
      <w:r>
        <w:rPr>
          <w:b/>
        </w:rPr>
        <w:t xml:space="preserve">DOI: </w:t>
      </w:r>
      <w:hyperlink r:id="rId164">
        <w:r>
          <w:rPr>
            <w:color w:val="1155CC"/>
            <w:u w:val="single"/>
          </w:rPr>
          <w:t>10.1002/adma.202520745</w:t>
        </w:r>
      </w:hyperlink>
    </w:p>
    <w:p>
      <w:pPr>
        <w:spacing w:before="0" w:after="120"/>
      </w:pPr>
      <w:r>
        <w:rPr>
          <w:b/>
        </w:rPr>
        <w:t xml:space="preserve">Notes: </w:t>
      </w:r>
      <w:r>
        <w:t>abstract_source=crossref</w:t>
      </w:r>
    </w:p>
    <w:p>
      <w:pPr>
        <w:spacing w:before="0" w:after="80" w:lineRule="auto" w:line="276"/>
      </w:pPr>
      <w:r>
        <w:rPr>
          <w:b/>
        </w:rPr>
        <w:t xml:space="preserve">摘要（ZH）: </w:t>
      </w:r>
      <w:r>
        <w:t>ABSTACT 对电解动力进行长期监测对于管理慢性疾病至关重要。常规诊断测试正在稳步向更方便、个性化和精度的逐步发展,而可穿戴的微针感应器则提供了令人信服的替代方法。然而,其长期生物兼容性受到皮肤穿透所需的机械性硬度的阻碍。在这里,我们报告了一个交叉连接-再结合的牛卵血清蛋白(CRNBSA)涂层,涂层经过独特的硬质和软质的转变,将插入能力与组织兼容性调和。对于纳+感官来说,CRBSA是一个功能性缓冲层,具有很高的灵敏度(70.6微克/十年)和稳定性超过14 d。</w:t>
      </w:r>
    </w:p>
    <w:p>
      <w:pPr>
        <w:spacing w:before="0" w:after="200" w:lineRule="auto" w:line="276"/>
      </w:pPr>
      <w:r>
        <w:rPr>
          <w:b/>
        </w:rPr>
        <w:t xml:space="preserve">Abstract (EN): </w:t>
      </w:r>
      <w:r>
        <w:t>Long‐term monitoring of electrolyte dynamics is essential for managing chronic diseases. Conventional diagnostic tests are steadily evolving toward greater convenience, personalization, and accuracy, while wearable microneedle sensors offer a compelling alternative. However, their long‐term biocompatibility is hampered by the mechanical stiffness required to penetrate the skin. Here we report a crosslinking–recombination bovine serum albumin (CR‐BSA) coating that undergoes a unique stiff‐to‐soft transition, reconciling insertion capability with tissue compatibility. For Na</w:t>
      </w:r>
      <w:r>
        <w:t xml:space="preserve"> </w:t>
      </w:r>
      <w:r>
        <w:t>+</w:t>
      </w:r>
      <w:r>
        <w:t xml:space="preserve"> </w:t>
      </w:r>
      <w:r>
        <w:t>sensing, CR‐BSA serves as a functional buffer layer, delivering high sensitivity (70.6 µA/decade) and stability for more than 14 days, while significantly reducing inflammation and fibrosis compared with commercial Nafion coatings. CR‐BSA–coated microneedle sensors achieve reliable continuous monitoring of both acute and chronic hyponatremia and hypernatremia for over five days. This stiff‐to‐soft coating strategy overcomes a central barrier to microneedle sensor integration, advancing the prospects of long‐term, minimally invasive electrolyte monitoring for chronic disease management.</w:t>
      </w:r>
    </w:p>
    <w:p>
      <w:pPr>
        <w:spacing w:before="120" w:after="120"/>
      </w:pPr>
      <w:r>
        <w:rPr>
          <w:sz w:val="18"/>
        </w:rPr>
        <w:t>——————————————————————————————————————————————————————————————————————</w:t>
      </w:r>
    </w:p>
    <w:p>
      <w:pPr>
        <w:spacing w:before="160" w:after="40" w:line="240" w:lineRule="auto"/>
      </w:pPr>
      <w:r>
        <w:rPr>
          <w:b/>
        </w:rPr>
        <w:t xml:space="preserve">[114] </w:t>
      </w:r>
      <w:hyperlink r:id="rId165">
        <w:r>
          <w:rPr>
            <w:color w:val="1155CC"/>
            <w:u w:val="single"/>
          </w:rPr>
          <w:t>Perovskite晶化的现场光光照明:架桥机械透视和装置工程控制</w:t>
        </w:r>
      </w:hyperlink>
    </w:p>
    <w:p>
      <w:pPr>
        <w:spacing w:before="0" w:after="80"/>
      </w:pPr>
      <w:r>
        <w:rPr>
          <w:i/>
          <w:sz w:val="20"/>
        </w:rPr>
        <w:t>EN: In‐Situ Photoluminescence for Perovskite Crystallization: Bridging Mechanistic Insights and Device Engineering Control</w:t>
      </w:r>
    </w:p>
    <w:p>
      <w:pPr>
        <w:spacing w:before="0" w:after="120"/>
      </w:pPr>
      <w:r>
        <w:rPr>
          <w:b/>
        </w:rPr>
        <w:t xml:space="preserve">Source: </w:t>
      </w:r>
      <w:r>
        <w:t>Wiley: Advanced Materials: Table of Contents</w:t>
      </w:r>
      <w:r>
        <w:t xml:space="preserve">    </w:t>
      </w:r>
      <w:r>
        <w:rPr>
          <w:b/>
        </w:rPr>
        <w:t xml:space="preserve">Pub date: </w:t>
      </w:r>
      <w:r>
        <w:t>2026-02-09 06:46:31+00:00</w:t>
      </w:r>
      <w:r>
        <w:t xml:space="preserve">    </w:t>
      </w:r>
      <w:r>
        <w:rPr>
          <w:b/>
        </w:rPr>
        <w:t xml:space="preserve">DOI: </w:t>
      </w:r>
      <w:hyperlink r:id="rId166">
        <w:r>
          <w:rPr>
            <w:color w:val="1155CC"/>
            <w:u w:val="single"/>
          </w:rPr>
          <w:t>10.1002/adma.202518643</w:t>
        </w:r>
      </w:hyperlink>
    </w:p>
    <w:p>
      <w:pPr>
        <w:spacing w:before="0" w:after="120"/>
      </w:pPr>
      <w:r>
        <w:rPr>
          <w:b/>
        </w:rPr>
        <w:t xml:space="preserve">Notes: </w:t>
      </w:r>
      <w:r>
        <w:t>abstract_source=crossref</w:t>
      </w:r>
    </w:p>
    <w:p>
      <w:pPr>
        <w:spacing w:before="0" w:after="80" w:lineRule="auto" w:line="276"/>
      </w:pPr>
      <w:r>
        <w:rPr>
          <w:b/>
        </w:rPr>
        <w:t xml:space="preserve">摘要（ZH）: </w:t>
      </w:r>
      <w:r>
        <w:t>金属卤化物全氟辛基磺酸盐太阳能电池在20年内达到创纪录的27 %, 达到创纪录的27 %, 然而它们的光电性能和运行稳定性仍然对百草枯胶片的核化和晶化高度敏感。 常规鉴定技术只捕捉静态,忽略了管理百草枯胶质的瞬时晶化过程。 光光光光光光谱已经成为一种强大、非侵入性(中度激光照明)的工具,用于实时跟踪核化、晶体生长、阶段转变和金属卤化物全氟化物的缺陷演变。 本审查总结了从单点到多色方形复合体的原生化仪器的最新进展。</w:t>
      </w:r>
    </w:p>
    <w:p>
      <w:pPr>
        <w:spacing w:before="0" w:after="200" w:lineRule="auto" w:line="276"/>
      </w:pPr>
      <w:r>
        <w:rPr>
          <w:b/>
        </w:rPr>
        <w:t xml:space="preserve">Abstract (EN): </w:t>
      </w:r>
      <w:r>
        <w:t>Metal halide perovskite solar cells have reached record efficiencies of over 27% within two decades, yet their photovoltaic performance and operational stability remain highly sensitive to the nucleation and crystallization of perovskite films. Conventional characterization techniques capture only static states, overlooking the transient crystallization processes that govern perovskite film quality. In‐situ photoluminescence (PL) spectroscopy has emerged as a powerful, non‐invasive (under moderate laser illumination) tool for real‐time tracking of nucleation, crystal growth, phase transitions, and defect evolution in metal halide perovskites. This review summarizes recent advances in in‐situ PL instrumentation, ranging from single‐point and multi‐probe configurations to multi‐channel imaging approaches, and highlights the use of in‐situ PL in elucidating crystallization pathways across pure, mixed‐cation, and mixed‐halide perovskites. We further discuss how in‐situ PL reveals the impact of antisolvents, additives, interfacial engineering, and processing conditions on perovskite film formation, and highlight the importance of integrating in‐situ PL with complementary in‐situ and ex‐situ techniques to achieve a comprehensive understanding of perovskite nucleation and crystallization mechanisms. Looking ahead, coupling in‐situ PL with machine learning offers an intelligent route toward predictive process control and closed‐loop optimization, accelerating the scalable manufacturing with high‐quality perovskite films and commercialization of perovskite photovoltaics from lab to fab.</w:t>
      </w:r>
    </w:p>
    <w:p>
      <w:pPr>
        <w:spacing w:before="120" w:after="120"/>
      </w:pPr>
      <w:r>
        <w:rPr>
          <w:sz w:val="18"/>
        </w:rPr>
        <w:t>——————————————————————————————————————————————————————————————————————</w:t>
      </w:r>
    </w:p>
    <w:p>
      <w:pPr>
        <w:spacing w:before="160" w:after="40" w:line="240" w:lineRule="auto"/>
      </w:pPr>
      <w:r>
        <w:rPr>
          <w:b/>
        </w:rPr>
        <w:t xml:space="preserve">[115] </w:t>
      </w:r>
      <w:hyperlink r:id="rId167">
        <w:r>
          <w:rPr>
            <w:color w:val="1155CC"/>
            <w:u w:val="single"/>
          </w:rPr>
          <w:t>稳定无核库(III)综合体中的热电站终端:室内温度准备、特征化和活性</w:t>
        </w:r>
      </w:hyperlink>
    </w:p>
    <w:p>
      <w:pPr>
        <w:spacing w:before="0" w:after="80"/>
      </w:pPr>
      <w:r>
        <w:rPr>
          <w:i/>
          <w:sz w:val="20"/>
        </w:rPr>
        <w:t>EN: Terminal Cyanate in Stabilizing Mononuclear Cu(III) Complex: Room Temperature Preparation, Characterization, and Reactivity</w:t>
      </w:r>
    </w:p>
    <w:p>
      <w:pPr>
        <w:spacing w:before="0" w:after="120"/>
      </w:pPr>
      <w:r>
        <w:rPr>
          <w:b/>
        </w:rPr>
        <w:t xml:space="preserve">Source: </w:t>
      </w:r>
      <w:r>
        <w:t>Wiley: Angewandte Chemie International Edition: Table of Contents</w:t>
      </w:r>
      <w:r>
        <w:t xml:space="preserve">    </w:t>
      </w:r>
      <w:r>
        <w:rPr>
          <w:b/>
        </w:rPr>
        <w:t xml:space="preserve">Pub date: </w:t>
      </w:r>
      <w:r>
        <w:t>2026-02-09 06:46:33+00:00</w:t>
      </w:r>
      <w:r>
        <w:t xml:space="preserve">    </w:t>
      </w:r>
      <w:r>
        <w:rPr>
          <w:b/>
        </w:rPr>
        <w:t xml:space="preserve">DOI: </w:t>
      </w:r>
      <w:hyperlink r:id="rId168">
        <w:r>
          <w:rPr>
            <w:color w:val="1155CC"/>
            <w:u w:val="single"/>
          </w:rPr>
          <w:t>10.1002/anie.202523777</w:t>
        </w:r>
      </w:hyperlink>
    </w:p>
    <w:p>
      <w:pPr>
        <w:spacing w:before="0" w:after="120"/>
      </w:pPr>
      <w:r>
        <w:rPr>
          <w:b/>
        </w:rPr>
        <w:t xml:space="preserve">Notes: </w:t>
      </w:r>
      <w:r>
        <w:t>abstract_source=crossref</w:t>
      </w:r>
    </w:p>
    <w:p>
      <w:pPr>
        <w:spacing w:before="0" w:after="80" w:lineRule="auto" w:line="276"/>
      </w:pPr>
      <w:r>
        <w:rPr>
          <w:b/>
        </w:rPr>
        <w:t xml:space="preserve">摘要（ZH）: </w:t>
      </w:r>
      <w:r>
        <w:t>通过对终端电离离子进行调控,为产生新型的新型延迟过渡性金属氧化物做出了巨大努力,这些金属氧化物通过质联电子传输机制,在激活和发挥C-H债券通过质联电子传输机制的功能方面发挥着关键作用。在这里,我们在环境条件下开发了一种独特的氧化剂,高价金属铬酸盐。高价复合物[(L)Cu III(NCO)] (2, H 2, L  N,N,N (2,6), 2,6丙烯二(NCO)]B 4 N (1) 由一人选举产生。</w:t>
      </w:r>
    </w:p>
    <w:p>
      <w:pPr>
        <w:spacing w:before="0" w:after="200" w:lineRule="auto" w:line="276"/>
      </w:pPr>
      <w:r>
        <w:rPr>
          <w:b/>
        </w:rPr>
        <w:t xml:space="preserve">Abstract (EN): </w:t>
      </w:r>
      <w:r>
        <w:t>Great efforts have been made to generate new types of late transition metal oxidants by tuning terminal ligands. These metal oxidants play a key role to activate and functionalize C─H bond via proton coupled electron transfer (PCET) mechanism. Herein, we have developed a unique oxidant, high valent metal‐cyanate, under ambient conditions. The high valent complex [(L)Cu</w:t>
      </w:r>
      <w:r>
        <w:t xml:space="preserve"> </w:t>
      </w:r>
      <w:r>
        <w:t>III</w:t>
      </w:r>
      <w:r>
        <w:t xml:space="preserve"> </w:t>
      </w:r>
      <w:r>
        <w:t>(NCO)] (</w:t>
      </w:r>
      <w:r>
        <w:rPr>
          <w:vertAlign w:val="subscript"/>
        </w:rPr>
        <w:t>2</w:t>
      </w:r>
      <w:r>
        <w:t>, H</w:t>
      </w:r>
      <w:r>
        <w:rPr>
          <w:vertAlign w:val="subscript"/>
        </w:rPr>
        <w:t>2</w:t>
      </w:r>
      <w:r>
        <w:t>L ═ N,N′‐(2,6‐diisopropylphenyl)‐2,6‐pyridinedicarboxamide) was prepared from [(L)Cu</w:t>
      </w:r>
      <w:r>
        <w:t xml:space="preserve"> </w:t>
      </w:r>
      <w:r>
        <w:t>II</w:t>
      </w:r>
      <w:r>
        <w:t xml:space="preserve"> </w:t>
      </w:r>
      <w:r>
        <w:t>(NCO)]Bu</w:t>
      </w:r>
      <w:r>
        <w:rPr>
          <w:vertAlign w:val="subscript"/>
        </w:rPr>
        <w:t>4</w:t>
      </w:r>
      <w:r>
        <w:t>N (</w:t>
      </w:r>
      <w:r>
        <w:rPr>
          <w:vertAlign w:val="subscript"/>
        </w:rPr>
        <w:t>1</w:t>
      </w:r>
      <w:r>
        <w:t>) by one electron oxidation and both complexes were characterized by x‐ray crystallography and UV–vis,</w:t>
      </w:r>
      <w:r>
        <w:rPr>
          <w:vertAlign w:val="subscript"/>
        </w:rPr>
        <w:t>1</w:t>
      </w:r>
      <w:r>
        <w:t>H/</w:t>
      </w:r>
      <w:r>
        <w:rPr>
          <w:vertAlign w:val="subscript"/>
        </w:rPr>
        <w:t>13</w:t>
      </w:r>
      <w:r>
        <w:t>C NMR, Raman, FT‐IR and EPR spectroscopies, and ESI–MS.</w:t>
      </w:r>
      <w:r>
        <w:rPr>
          <w:vertAlign w:val="subscript"/>
        </w:rPr>
        <w:t>2</w:t>
      </w:r>
      <w:r>
        <w:t>reacted with C─H and O─H bond via hydrogen atom transfer mechanism, as evidenced by kinetic data, product analysis and computational findings, and reaction rates are comparable to some reported reactive metal oxidants. Fascinatingly,</w:t>
      </w:r>
      <w:r>
        <w:rPr>
          <w:vertAlign w:val="subscript"/>
        </w:rPr>
        <w:t>2</w:t>
      </w:r>
      <w:r>
        <w:t>performed direct C─N bond formation by activating C─H bond and cyanate group transfer reactions. We observed solvent dependent reactions of</w:t>
      </w:r>
      <w:r>
        <w:rPr>
          <w:vertAlign w:val="subscript"/>
        </w:rPr>
        <w:t>2</w:t>
      </w:r>
      <w:r>
        <w:t>. Our results found a new class of metal oxidant for strong C─H bond functionalization. We believe that high valent metal‐cyanates could open new avenues for very interesting coordination and bioinspired oxidation chemistry due to electronic, resonating, and ambidentate properties of terminal cyanate ligand with potential two different proton accepting sites (N and O).</w:t>
      </w:r>
    </w:p>
    <w:p>
      <w:pPr>
        <w:spacing w:before="120" w:after="120"/>
      </w:pPr>
      <w:r>
        <w:rPr>
          <w:sz w:val="18"/>
        </w:rPr>
        <w:t>——————————————————————————————————————————————————————————————————————</w:t>
      </w:r>
    </w:p>
    <w:p>
      <w:pPr>
        <w:spacing w:before="160" w:after="40" w:line="240" w:lineRule="auto"/>
      </w:pPr>
      <w:r>
        <w:rPr>
          <w:b/>
        </w:rPr>
        <w:t xml:space="preserve">[116] </w:t>
      </w:r>
      <w:hyperlink r:id="rId169">
        <w:r>
          <w:rPr>
            <w:color w:val="1155CC"/>
            <w:u w:val="single"/>
          </w:rPr>
          <w:t>在有挑战的血液环境中,用于血管修复的注射式磁磁性抗热水凝胶在有挑战的血液环境中的磁控制下交付</w:t>
        </w:r>
      </w:hyperlink>
    </w:p>
    <w:p>
      <w:pPr>
        <w:spacing w:before="0" w:after="80"/>
      </w:pPr>
      <w:r>
        <w:rPr>
          <w:i/>
          <w:sz w:val="20"/>
        </w:rPr>
        <w:t>EN: Magnetically Controlled Delivery of Injectable Magnetoactive Adhesive Hydrogel for Vascular Repair in the Challenging Blood Environment</w:t>
      </w:r>
    </w:p>
    <w:p>
      <w:pPr>
        <w:spacing w:before="0" w:after="120"/>
      </w:pPr>
      <w:r>
        <w:rPr>
          <w:b/>
        </w:rPr>
        <w:t xml:space="preserve">Source: </w:t>
      </w:r>
      <w:r>
        <w:t>Wiley: Advanced Materials: Table of Contents</w:t>
      </w:r>
      <w:r>
        <w:t xml:space="preserve">    </w:t>
      </w:r>
      <w:r>
        <w:rPr>
          <w:b/>
        </w:rPr>
        <w:t xml:space="preserve">Pub date: </w:t>
      </w:r>
      <w:r>
        <w:t>2026-02-09 06:47:14+00:00</w:t>
      </w:r>
      <w:r>
        <w:t xml:space="preserve">    </w:t>
      </w:r>
      <w:r>
        <w:rPr>
          <w:b/>
        </w:rPr>
        <w:t xml:space="preserve">DOI: </w:t>
      </w:r>
      <w:hyperlink r:id="rId170">
        <w:r>
          <w:rPr>
            <w:color w:val="1155CC"/>
            <w:u w:val="single"/>
          </w:rPr>
          <w:t>10.1002/adma.202523024</w:t>
        </w:r>
      </w:hyperlink>
    </w:p>
    <w:p>
      <w:pPr>
        <w:spacing w:before="0" w:after="120"/>
      </w:pPr>
      <w:r>
        <w:rPr>
          <w:b/>
        </w:rPr>
        <w:t xml:space="preserve">Notes: </w:t>
      </w:r>
      <w:r>
        <w:t>abstract_source=crossref</w:t>
      </w:r>
    </w:p>
    <w:p>
      <w:pPr>
        <w:spacing w:before="0" w:after="80" w:lineRule="auto" w:line="276"/>
      </w:pPr>
      <w:r>
        <w:rPr>
          <w:b/>
        </w:rPr>
        <w:t xml:space="preserve">摘要（ZH）: </w:t>
      </w:r>
      <w:r>
        <w:t>在复杂的血液流体和生物血液环境中,ABSTACT修复异常船只仍具有挑战性。目前的做法,如非超重聚合聚合密封剂或容器粘合等,其结果不尽人意。这里,我们展示了在具有挑战性的血液环境中用于血管修复的可喷射磁性粘合水凝胶(iMAH),设计时采用了生物兼容的功能部件,包括超单磁元件、生物振动组织粘合剂和快速交接剂,导导管可移动的iMAH可以磁引向目标地点,在大约2秒内快速交叉连接,并在动态条件下以循环和加压的血液紧守在船只表面。此外,磁振动使目标地理成为目标。</w:t>
      </w:r>
    </w:p>
    <w:p>
      <w:pPr>
        <w:spacing w:before="0" w:after="200" w:lineRule="auto" w:line="276"/>
      </w:pPr>
      <w:r>
        <w:rPr>
          <w:b/>
        </w:rPr>
        <w:t xml:space="preserve">Abstract (EN): </w:t>
      </w:r>
      <w:r>
        <w:t>Repairing abnormal vessels in the complex fluidic and biological environment of blood remains challenging. Current approaches, such as non‐adhesive polymeric sealants or vessel coiling, have unsatisfactory outcomes. Here, we present an injectable magnetoactive adhesive hydrogel (iMAH) for vascular repair in the challenging blood environment. Designed with biocompatible functional components, including the superparamagnetic component, a bio‐inspired tissue adhesive, and quick‐crosslinking agents, the catheter‐deployable iMAH can be magnetically guided to a targeted site, quickly crosslink within approximately 2 s, and strongly adhere to the vessel surface in dynamic conditions with circulating and pressurized blood. Moreover, magnetic actuation enables targeted gel deployment and can drive the iMAH into a narrow and confined space, squeezing out interfacial fluid to facilitate high‐strength tissue adhesion, as systematically investigated in vitro. Magnetically controlled delivery of iMAH for vascular repair has been demonstrated in a large‐animal beagle dog model; branching lumbar arteries from the abdominal aorta, mimicking the opening of a ruptured artery, were successfully embolized under magnetic guidance using a 5‐axis magnetic vascular robot. With these demonstrated features, magnetically controlled delivery of injectable magnetoactive adhesive hydrogel provides a promising solution for vascular repair such as sealing ruptured vessels or embolizing abnormal arteries in the challenging blood environment.</w:t>
      </w:r>
    </w:p>
    <w:p>
      <w:pPr>
        <w:spacing w:before="120" w:after="120"/>
      </w:pPr>
      <w:r>
        <w:rPr>
          <w:sz w:val="18"/>
        </w:rPr>
        <w:t>——————————————————————————————————————————————————————————————————————</w:t>
      </w:r>
    </w:p>
    <w:p>
      <w:pPr>
        <w:spacing w:before="160" w:after="40" w:line="240" w:lineRule="auto"/>
      </w:pPr>
      <w:r>
        <w:rPr>
          <w:b/>
        </w:rPr>
        <w:t xml:space="preserve">[117] </w:t>
      </w:r>
      <w:hyperlink r:id="rId171">
        <w:r>
          <w:rPr>
            <w:color w:val="1155CC"/>
            <w:u w:val="single"/>
          </w:rPr>
          <w:t>生产甲烷时高性能减少二氧化碳2的Si基光电闪光电闪光电极的二层扬迪姆催化器</w:t>
        </w:r>
      </w:hyperlink>
    </w:p>
    <w:p>
      <w:pPr>
        <w:spacing w:before="0" w:after="80"/>
      </w:pPr>
      <w:r>
        <w:rPr>
          <w:i/>
          <w:sz w:val="20"/>
        </w:rPr>
        <w:t>EN: Engineering Bilayer Tandem Catalysts on Si‐Based Photocathodes for High‐performance CO2 Reduction to Produce Methane</w:t>
      </w:r>
    </w:p>
    <w:p>
      <w:pPr>
        <w:spacing w:before="0" w:after="120"/>
      </w:pPr>
      <w:r>
        <w:rPr>
          <w:b/>
        </w:rPr>
        <w:t xml:space="preserve">Source: </w:t>
      </w:r>
      <w:r>
        <w:t>Wiley: Advanced Materials: Table of Contents</w:t>
      </w:r>
      <w:r>
        <w:t xml:space="preserve">    </w:t>
      </w:r>
      <w:r>
        <w:rPr>
          <w:b/>
        </w:rPr>
        <w:t xml:space="preserve">Pub date: </w:t>
      </w:r>
      <w:r>
        <w:t>2026-02-09 06:49:04+00:00</w:t>
      </w:r>
      <w:r>
        <w:t xml:space="preserve">    </w:t>
      </w:r>
      <w:r>
        <w:rPr>
          <w:b/>
        </w:rPr>
        <w:t xml:space="preserve">DOI: </w:t>
      </w:r>
      <w:hyperlink r:id="rId172">
        <w:r>
          <w:rPr>
            <w:color w:val="1155CC"/>
            <w:u w:val="single"/>
          </w:rPr>
          <w:t>10.1002/adma.202518249</w:t>
        </w:r>
      </w:hyperlink>
    </w:p>
    <w:p>
      <w:pPr>
        <w:spacing w:before="0" w:after="120"/>
      </w:pPr>
      <w:r>
        <w:rPr>
          <w:b/>
        </w:rPr>
        <w:t xml:space="preserve">Notes: </w:t>
      </w:r>
      <w:r>
        <w:t>abstract_source=crossref</w:t>
      </w:r>
    </w:p>
    <w:p>
      <w:pPr>
        <w:spacing w:before="0" w:after="80" w:lineRule="auto" w:line="276"/>
      </w:pPr>
      <w:r>
        <w:rPr>
          <w:b/>
        </w:rPr>
        <w:t xml:space="preserve">摘要（ZH）: </w:t>
      </w:r>
      <w:r>
        <w:t>通过光电化(PEC)方法生产甲烷(CH4)等碳氢燃料的碳氢化合物燃料的ABSTACT太阳能二氧化碳减少是供应可持续燃料最有希望的途径之一,然而,光吸收能力有限和运动迟缓限制了碳氢化合物生产的光催化率和选择性。在这里,我们引入了光电电极联动催化剂,目的是增强中间体的受控连续反应,从而选择性地减少二氧化碳。具体来说,当安装在Cu/AgCu双层催化剂上时,带有金字塔结构的Su型西光电极。</w:t>
      </w:r>
    </w:p>
    <w:p>
      <w:pPr>
        <w:spacing w:before="0" w:after="200" w:lineRule="auto" w:line="276"/>
      </w:pPr>
      <w:r>
        <w:rPr>
          <w:b/>
        </w:rPr>
        <w:t xml:space="preserve">Abstract (EN): </w:t>
      </w:r>
      <w:r>
        <w:t>Solar‐powered CO</w:t>
      </w:r>
      <w:r>
        <w:rPr>
          <w:vertAlign w:val="subscript"/>
        </w:rPr>
        <w:t>2</w:t>
      </w:r>
      <w:r>
        <w:t>reduction through photoelectrochemical (PEC) approaches to produce hydrocarbon fuels, such as methane (CH</w:t>
      </w:r>
      <w:r>
        <w:rPr>
          <w:vertAlign w:val="subscript"/>
        </w:rPr>
        <w:t>4</w:t>
      </w:r>
      <w:r>
        <w:t>), is one of the most promising paths for supplying sustainable fuels. However, the limited light absorption capability and sluggish kinetics restrict the photocatalytic rate and selectivity for hydrocarbon production. Here, we introduce tandem catalysts on photocathodes designed to enhance controlled sequential reactions involving intermediates and thus the selectivity of CO</w:t>
      </w:r>
      <w:r>
        <w:rPr>
          <w:vertAlign w:val="subscript"/>
        </w:rPr>
        <w:t>2</w:t>
      </w:r>
      <w:r>
        <w:t>reduction. Specifically, when mounted on Cu/Ag‐Cu bilayer catalysts, the p‐type Si photocathode with a pyramid‐structured surface dramatically improves CO</w:t>
      </w:r>
      <w:r>
        <w:rPr>
          <w:vertAlign w:val="subscript"/>
        </w:rPr>
        <w:t>2</w:t>
      </w:r>
      <w:r>
        <w:t>‐to‐CH</w:t>
      </w:r>
      <w:r>
        <w:rPr>
          <w:vertAlign w:val="subscript"/>
        </w:rPr>
        <w:t>4</w:t>
      </w:r>
      <w:r>
        <w:t>conversion, achieving a selectivity of 60.2 ± 3.4% and a working current density of −32.9 ± 1.9 mA cm</w:t>
      </w:r>
      <w:r>
        <w:t xml:space="preserve"> </w:t>
      </w:r>
      <w:r>
        <w:t>−2</w:t>
      </w:r>
      <w:r>
        <w:t xml:space="preserve"> </w:t>
      </w:r>
      <w:r>
        <w:t>at −1.1 V vs. RHE. As identified by operando Raman and synchrotron‐radiation Fourier transform infrared spectroscopy and Density Functional Theory, the bottom layer of the Cu/Ag‐Cu catalysts comprises Ag and Cu nanoparticles, which catalyse the initial reduction of CO</w:t>
      </w:r>
      <w:r>
        <w:rPr>
          <w:vertAlign w:val="subscript"/>
        </w:rPr>
        <w:t>2</w:t>
      </w:r>
      <w:r>
        <w:t>to form *CO and the creation of *H species dissociated from H</w:t>
      </w:r>
      <w:r>
        <w:rPr>
          <w:vertAlign w:val="subscript"/>
        </w:rPr>
        <w:t>2</w:t>
      </w:r>
      <w:r>
        <w:t>O, respectively. The top Cu layer subsequently enables the protonation of *CO to *CHO, ultimately yielding CH</w:t>
      </w:r>
      <w:r>
        <w:rPr>
          <w:vertAlign w:val="subscript"/>
        </w:rPr>
        <w:t>4</w:t>
      </w:r>
      <w:r>
        <w:t>. This design of tandem catalysts, coupled with a thorough investigation of the reaction mechanisms, offers a powerful approach toward high‐performance and selective pathways for solar‐powered CO</w:t>
      </w:r>
      <w:r>
        <w:rPr>
          <w:vertAlign w:val="subscript"/>
        </w:rPr>
        <w:t>2</w:t>
      </w:r>
      <w:r>
        <w:t>reduction to targeted products.</w:t>
      </w:r>
    </w:p>
    <w:p>
      <w:pPr>
        <w:spacing w:before="120" w:after="120"/>
      </w:pPr>
      <w:r>
        <w:rPr>
          <w:sz w:val="18"/>
        </w:rPr>
        <w:t>——————————————————————————————————————————————————————————————————————</w:t>
      </w:r>
    </w:p>
    <w:p>
      <w:pPr>
        <w:spacing w:before="160" w:after="40" w:line="240" w:lineRule="auto"/>
      </w:pPr>
      <w:r>
        <w:rPr>
          <w:b/>
        </w:rPr>
        <w:t xml:space="preserve">[118] </w:t>
      </w:r>
      <w:hyperlink r:id="rId173">
        <w:r>
          <w:rPr>
            <w:color w:val="1155CC"/>
            <w:u w:val="single"/>
          </w:rPr>
          <w:t>由Rhodium-铝复合体催化的苯酚衍生物磁化</w:t>
        </w:r>
      </w:hyperlink>
    </w:p>
    <w:p>
      <w:pPr>
        <w:spacing w:before="0" w:after="80"/>
      </w:pPr>
      <w:r>
        <w:rPr>
          <w:i/>
          <w:sz w:val="20"/>
        </w:rPr>
        <w:t>EN: Magnesiation of Phenol Derivatives Catalyzed by a Rhodium─Aluminum Complex</w:t>
      </w:r>
    </w:p>
    <w:p>
      <w:pPr>
        <w:spacing w:before="0" w:after="120"/>
      </w:pPr>
      <w:r>
        <w:rPr>
          <w:b/>
        </w:rPr>
        <w:t xml:space="preserve">Source: </w:t>
      </w:r>
      <w:r>
        <w:t>Wiley: Angewandte Chemie International Edition: Table of Contents</w:t>
      </w:r>
      <w:r>
        <w:t xml:space="preserve">    </w:t>
      </w:r>
      <w:r>
        <w:rPr>
          <w:b/>
        </w:rPr>
        <w:t xml:space="preserve">Pub date: </w:t>
      </w:r>
      <w:r>
        <w:t>2026-02-09 06:50:31+00:00</w:t>
      </w:r>
      <w:r>
        <w:t xml:space="preserve">    </w:t>
      </w:r>
      <w:r>
        <w:rPr>
          <w:b/>
        </w:rPr>
        <w:t xml:space="preserve">DOI: </w:t>
      </w:r>
      <w:hyperlink r:id="rId174">
        <w:r>
          <w:rPr>
            <w:color w:val="1155CC"/>
            <w:u w:val="single"/>
          </w:rPr>
          <w:t>10.1002/anie.202518631</w:t>
        </w:r>
      </w:hyperlink>
    </w:p>
    <w:p>
      <w:pPr>
        <w:spacing w:before="0" w:after="120"/>
      </w:pPr>
      <w:r>
        <w:rPr>
          <w:b/>
        </w:rPr>
        <w:t xml:space="preserve">Notes: </w:t>
      </w:r>
      <w:r>
        <w:t>abstract_source=crossref</w:t>
      </w:r>
    </w:p>
    <w:p>
      <w:pPr>
        <w:spacing w:before="0" w:after="80" w:lineRule="auto" w:line="276"/>
      </w:pPr>
      <w:r>
        <w:rPr>
          <w:b/>
        </w:rPr>
        <w:t xml:space="preserve">摘要（ZH）: </w:t>
      </w:r>
      <w:r>
        <w:t>在此我们描述通过C-O 粘合剂激活使用苯酚衍生物通过C-O 粘合剂激活合作催化的苯酚衍生物生成的丙烯丙烯试剂。我们发现,用相应的丙烯氨酸酯来高效制备高浓缩丙烯铵试剂,而扩展的丙烯丙烯丙烯酯试剂则从相应的丙烯醚中获取。这一方法使得能够将广泛的苯酚衍生物有效转化成相应的苯丙胺试剂,从而可以随后与各种电药进行反应,产生多种不同的有机化合物。</w:t>
      </w:r>
    </w:p>
    <w:p>
      <w:pPr>
        <w:spacing w:before="0" w:after="200" w:lineRule="auto" w:line="276"/>
      </w:pPr>
      <w:r>
        <w:rPr>
          <w:b/>
        </w:rPr>
        <w:t xml:space="preserve">Abstract (EN): </w:t>
      </w:r>
      <w:r>
        <w:t>Here we describe the generation of aryl Grignard reagents from phenol derivatives</w:t>
      </w:r>
      <w:r>
        <w:t xml:space="preserve"> </w:t>
      </w:r>
      <w:r>
        <w:t>via</w:t>
      </w:r>
      <w:r>
        <w:t xml:space="preserve"> </w:t>
      </w:r>
      <w:r>
        <w:t>C─O bond activation cooperatively catalyzed by Rh─Al heterobimetallic complexes. We discovered that the electron‐rich arylmagnesium reagents could be efficiently prepared from the corresponding aryl carbamates, whereas the π‐extended arylmagnesium reagents were obtained from the corresponding aryl ethers. This methodology enables the efficient conversion of a broad range of phenol derivatives into the corresponding Grignard reagents, which can subsequently react with various electrophiles to yield a diverse array of organic compounds.</w:t>
      </w:r>
    </w:p>
    <w:p>
      <w:pPr>
        <w:spacing w:before="120" w:after="120"/>
      </w:pPr>
      <w:r>
        <w:rPr>
          <w:sz w:val="18"/>
        </w:rPr>
        <w:t>——————————————————————————————————————————————————————————————————————</w:t>
      </w:r>
    </w:p>
    <w:p>
      <w:pPr>
        <w:spacing w:before="160" w:after="40" w:line="240" w:lineRule="auto"/>
      </w:pPr>
      <w:r>
        <w:rPr>
          <w:b/>
        </w:rPr>
        <w:t xml:space="preserve">[119] </w:t>
      </w:r>
      <w:hyperlink r:id="rId175">
        <w:r>
          <w:rPr>
            <w:color w:val="1155CC"/>
            <w:u w:val="single"/>
          </w:rPr>
          <w:t>使用双合极元表层</w:t>
        </w:r>
      </w:hyperlink>
    </w:p>
    <w:p>
      <w:pPr>
        <w:spacing w:before="0" w:after="80"/>
      </w:pPr>
      <w:r>
        <w:rPr>
          <w:i/>
          <w:sz w:val="20"/>
        </w:rPr>
        <w:t>EN: Arbitrary Total Angular Momentum Vectorial Holography Using Bi‐Layer Metasurfaces</w:t>
      </w:r>
    </w:p>
    <w:p>
      <w:pPr>
        <w:spacing w:before="0" w:after="120"/>
      </w:pPr>
      <w:r>
        <w:rPr>
          <w:b/>
        </w:rPr>
        <w:t xml:space="preserve">Source: </w:t>
      </w:r>
      <w:r>
        <w:t>Wiley: Advanced Materials: Table of Contents</w:t>
      </w:r>
      <w:r>
        <w:t xml:space="preserve">    </w:t>
      </w:r>
      <w:r>
        <w:rPr>
          <w:b/>
        </w:rPr>
        <w:t xml:space="preserve">Pub date: </w:t>
      </w:r>
      <w:r>
        <w:t>2026-02-09 06:50:43+00:00</w:t>
      </w:r>
      <w:r>
        <w:t xml:space="preserve">    </w:t>
      </w:r>
      <w:r>
        <w:rPr>
          <w:b/>
        </w:rPr>
        <w:t xml:space="preserve">DOI: </w:t>
      </w:r>
      <w:hyperlink r:id="rId176">
        <w:r>
          <w:rPr>
            <w:color w:val="1155CC"/>
            <w:u w:val="single"/>
          </w:rPr>
          <w:t>10.1002/adma.202519106</w:t>
        </w:r>
      </w:hyperlink>
    </w:p>
    <w:p>
      <w:pPr>
        <w:spacing w:before="0" w:after="120"/>
      </w:pPr>
      <w:r>
        <w:rPr>
          <w:b/>
        </w:rPr>
        <w:t xml:space="preserve">Notes: </w:t>
      </w:r>
      <w:r>
        <w:t>abstract_source=crossref</w:t>
      </w:r>
    </w:p>
    <w:p>
      <w:pPr>
        <w:spacing w:before="0" w:after="80" w:lineRule="auto" w:line="276"/>
      </w:pPr>
      <w:r>
        <w:rPr>
          <w:b/>
        </w:rPr>
        <w:t xml:space="preserve">摘要（ZH）: </w:t>
      </w:r>
      <w:r>
        <w:t>ABSTACT高级全息学技术日益要求高容量和安全信息处理的高容量和安全性信息处理。在这方面,轨道角动力(OAM)是光多路转换的强大资源,可以进入一组无限制的正方形模式。为利用这一潜力,具有相当控制光学能力的元表层已成为OAM-多式星光学的关键平台。然而,由于单层元表层缺乏手力控制,常规的OAM全息学受到有限的两极分化工程能力的影响。在这里,我们引入了一种双层元表层结构,实现全角动力(TAM)矢量光学,TAM代表圆形母亲的组合。</w:t>
      </w:r>
    </w:p>
    <w:p>
      <w:pPr>
        <w:spacing w:before="0" w:after="200" w:lineRule="auto" w:line="276"/>
      </w:pPr>
      <w:r>
        <w:rPr>
          <w:b/>
        </w:rPr>
        <w:t xml:space="preserve">Abstract (EN): </w:t>
      </w:r>
      <w:r>
        <w:t>Advanced holographic techniques are increasingly demanded for high‐capacity and secure information processing. In this context, orbital angular momentum (OAM) stands out as a powerful resource for optical multiplexing, offering access to an unbounded set of orthogonal modes. To harness this potential, metasurfaces, with their considerable ability to control light, have emerged as key platforms for OAM‐multiplexed holography. Nevertheless, conventional OAM holography suffers from limited polarization engineering capabilities due to the lack of chirality control in single‐layer metasurfaces. Here, we introduce a bi‐layer metasurface architecture that realizes total angular momentum (TAM) vectorial holography, where TAM represents the combination of spin angular momentum (SAM, equivalent to polarization) and OAM of light. In contrast to previous approaches, this scheme enables true polarization–OAM multiplexing, facilitating the independent generation of vectorial holographic images for each orthogonal TAM input state. This concept is validated numerically and experimentally, confirming the feasibility of TAM vectorial holography. The proposed scheme can be easily integrated with other recent holography generation approaches, such as vector beam multiplexing and bidirectional holography, thereby further expanding its multiplexing capability. This work establishes a versatile framework for advanced full‐vectorial holography, showing how metasurfaces can unlock multiplexing strategies for emerging photonic systems.</w:t>
      </w:r>
    </w:p>
    <w:p>
      <w:pPr>
        <w:spacing w:before="120" w:after="120"/>
      </w:pPr>
      <w:r>
        <w:rPr>
          <w:sz w:val="18"/>
        </w:rPr>
        <w:t>——————————————————————————————————————————————————————————————————————</w:t>
      </w:r>
    </w:p>
    <w:p>
      <w:pPr>
        <w:spacing w:before="160" w:after="40" w:line="240" w:lineRule="auto"/>
      </w:pPr>
      <w:r>
        <w:rPr>
          <w:b/>
        </w:rPr>
        <w:t xml:space="preserve">[120] </w:t>
      </w:r>
      <w:hyperlink r:id="rId177">
        <w:r>
          <w:rPr>
            <w:color w:val="1155CC"/>
            <w:u w:val="single"/>
          </w:rPr>
          <w:t>精简的Y6-Analogs 使环境高效能 处理的有机太阳能电池</w:t>
        </w:r>
      </w:hyperlink>
    </w:p>
    <w:p>
      <w:pPr>
        <w:spacing w:before="0" w:after="80"/>
      </w:pPr>
      <w:r>
        <w:rPr>
          <w:i/>
          <w:sz w:val="20"/>
        </w:rPr>
        <w:t>EN: Streamlined Y6‐Analogs Enabling Efficient Ambient‐Air‐Processed Organic Solar Cells</w:t>
      </w:r>
    </w:p>
    <w:p>
      <w:pPr>
        <w:spacing w:before="0" w:after="120"/>
      </w:pPr>
      <w:r>
        <w:rPr>
          <w:b/>
        </w:rPr>
        <w:t xml:space="preserve">Source: </w:t>
      </w:r>
      <w:r>
        <w:t>Wiley: Advanced Energy Materials: Table of Contents</w:t>
      </w:r>
      <w:r>
        <w:t xml:space="preserve">    </w:t>
      </w:r>
      <w:r>
        <w:rPr>
          <w:b/>
        </w:rPr>
        <w:t xml:space="preserve">Pub date: </w:t>
      </w:r>
      <w:r>
        <w:t>2026-02-09 06:52:12+00:00</w:t>
      </w:r>
      <w:r>
        <w:t xml:space="preserve">    </w:t>
      </w:r>
      <w:r>
        <w:rPr>
          <w:b/>
        </w:rPr>
        <w:t xml:space="preserve">DOI: </w:t>
      </w:r>
      <w:hyperlink r:id="rId178">
        <w:r>
          <w:rPr>
            <w:color w:val="1155CC"/>
            <w:u w:val="single"/>
          </w:rPr>
          <w:t>10.1002/aenm.202505110</w:t>
        </w:r>
      </w:hyperlink>
    </w:p>
    <w:p>
      <w:pPr>
        <w:spacing w:before="0" w:after="120"/>
      </w:pPr>
      <w:r>
        <w:rPr>
          <w:b/>
        </w:rPr>
        <w:t xml:space="preserve">Notes: </w:t>
      </w:r>
      <w:r>
        <w:t>abstract_source=crossref</w:t>
      </w:r>
    </w:p>
    <w:p>
      <w:pPr>
        <w:spacing w:before="0" w:after="80" w:lineRule="auto" w:line="276"/>
      </w:pPr>
      <w:r>
        <w:rPr>
          <w:b/>
        </w:rPr>
        <w:t xml:space="preserve">摘要（ZH）: </w:t>
      </w:r>
      <w:r>
        <w:t>在环境处理条件下实现高效率和长期稳定仍然是有机太阳能电池商业化的一个关键障碍。在这里,我们报告了两个新的Y6-ANAlogs-BT(BO) 诉 ET(C12)4F(4F) 和 BT(BO) 诉 ET(C12)4Cl(4Cl) 诉 ET(C12)4Cl(4Cl)-食用丁烯(v) bridged DAD核心,目的是改进材料的可缩缩性,同时保持Y6型接受器的结构优势。 精神学和装置级调查显示,这些MY6衍生物有利于热力稳定的分子包装和有利的晶线方向,即使完全在空气中加工。</w:t>
      </w:r>
    </w:p>
    <w:p>
      <w:pPr>
        <w:spacing w:before="0" w:after="200" w:lineRule="auto" w:line="276"/>
      </w:pPr>
      <w:r>
        <w:rPr>
          <w:b/>
        </w:rPr>
        <w:t xml:space="preserve">Abstract (EN): </w:t>
      </w:r>
      <w:r>
        <w:t>Achieving high efficiency and long‐term stability under ambient processing conditions remains a critical hurdle for the commercialization of organic solar cells (OSCs). Here, we report two new Y6‐analogs—BT(BO)‐</w:t>
      </w:r>
      <w:r>
        <w:t xml:space="preserve"> </w:t>
      </w:r>
      <w:r>
        <w:t>v</w:t>
      </w:r>
      <w:r>
        <w:t xml:space="preserve"> </w:t>
      </w:r>
      <w:r>
        <w:t>‐T(C12)‐4F (4F) and BT(BO)‐</w:t>
      </w:r>
      <w:r>
        <w:t xml:space="preserve"> </w:t>
      </w:r>
      <w:r>
        <w:t>v</w:t>
      </w:r>
      <w:r>
        <w:t xml:space="preserve"> </w:t>
      </w:r>
      <w:r>
        <w:t>‐T(C12)‐4Cl (4Cl)—featuring vinylene (</w:t>
      </w:r>
      <w:r>
        <w:t xml:space="preserve"> </w:t>
      </w:r>
      <w:r>
        <w:t>v</w:t>
      </w:r>
      <w:r>
        <w:t xml:space="preserve"> </w:t>
      </w:r>
      <w:r>
        <w:t>)‐bridged DA′D cores, designed to improve the material's scalability while maintaining the structural advantages of Y6‐type acceptors. Morphological and device‐level investigations reveal that these M‐Y6 derivatives facilitate thermodynamically stable molecular packing and favorable crystalline orientation, even when fully processed in air. Incorporation of 4F into a layer‐by‐layer ternary architecture with D18/L8‐BO via a reproducible air‐processing protocol results in a certified power conversion efficiency (PCE) of 19%, among the highest reported for conventional OSCs fabricated under ambient conditions. Moreover, 4F‐based devices demonstrate exceptional thermal and photostability, retaining over 80% of their initial PCE after extended aging under the ISOS‐L‐1 protocol without encapsulation. These improvements are attributed to the enhanced crystallinity, vertical molecular alignment, and morphological robustness imparted by the 4F acceptor. This study identifies BT(BO)‐</w:t>
      </w:r>
      <w:r>
        <w:t xml:space="preserve"> </w:t>
      </w:r>
      <w:r>
        <w:t>v</w:t>
      </w:r>
      <w:r>
        <w:t xml:space="preserve"> </w:t>
      </w:r>
      <w:r>
        <w:t>‐T(C12)‐4F as a promising air‐processable acceptor for scalable OSCs that combine high efficiency with long‐term operational durability.</w:t>
      </w:r>
    </w:p>
    <w:p>
      <w:pPr>
        <w:spacing w:before="120" w:after="120"/>
      </w:pPr>
      <w:r>
        <w:rPr>
          <w:sz w:val="18"/>
        </w:rPr>
        <w:t>——————————————————————————————————————————————————————————————————————</w:t>
      </w:r>
    </w:p>
    <w:p>
      <w:pPr>
        <w:spacing w:before="160" w:after="40" w:line="240" w:lineRule="auto"/>
      </w:pPr>
      <w:r>
        <w:rPr>
          <w:b/>
        </w:rPr>
        <w:t xml:space="preserve">[121] </w:t>
      </w:r>
      <w:hyperlink r:id="rId179">
        <w:r>
          <w:rPr>
            <w:color w:val="1155CC"/>
            <w:u w:val="single"/>
          </w:rPr>
          <w:t>稳定氰化物长期和高分辨率成像中稳定氰化聚合物的Directrectable 控制控制集会</w:t>
        </w:r>
      </w:hyperlink>
    </w:p>
    <w:p>
      <w:pPr>
        <w:spacing w:before="0" w:after="80"/>
      </w:pPr>
      <w:r>
        <w:rPr>
          <w:i/>
          <w:sz w:val="20"/>
        </w:rPr>
        <w:t>EN: Hydrogen‐Bond Network‐Directed Controllable Assembly of Stable Cyanine J‐Aggregates for Long‐Term and High‐Contrast In Vivo Imaging</w:t>
      </w:r>
    </w:p>
    <w:p>
      <w:pPr>
        <w:spacing w:before="0" w:after="120"/>
      </w:pPr>
      <w:r>
        <w:rPr>
          <w:b/>
        </w:rPr>
        <w:t xml:space="preserve">Source: </w:t>
      </w:r>
      <w:r>
        <w:t>Wiley: Angewandte Chemie International Edition: Table of Contents</w:t>
      </w:r>
      <w:r>
        <w:t xml:space="preserve">    </w:t>
      </w:r>
      <w:r>
        <w:rPr>
          <w:b/>
        </w:rPr>
        <w:t xml:space="preserve">Pub date: </w:t>
      </w:r>
      <w:r>
        <w:t>2026-02-09 06:53:08+00:00</w:t>
      </w:r>
      <w:r>
        <w:t xml:space="preserve">    </w:t>
      </w:r>
      <w:r>
        <w:rPr>
          <w:b/>
        </w:rPr>
        <w:t xml:space="preserve">DOI: </w:t>
      </w:r>
      <w:hyperlink r:id="rId180">
        <w:r>
          <w:rPr>
            <w:color w:val="1155CC"/>
            <w:u w:val="single"/>
          </w:rPr>
          <w:t>10.1002/anie.202524960</w:t>
        </w:r>
      </w:hyperlink>
    </w:p>
    <w:p>
      <w:pPr>
        <w:spacing w:before="0" w:after="120"/>
      </w:pPr>
      <w:r>
        <w:rPr>
          <w:b/>
        </w:rPr>
        <w:t xml:space="preserve">Notes: </w:t>
      </w:r>
      <w:r>
        <w:t>abstract_source=crossref</w:t>
      </w:r>
    </w:p>
    <w:p>
      <w:pPr>
        <w:spacing w:before="0" w:after="80" w:lineRule="auto" w:line="276"/>
      </w:pPr>
      <w:r>
        <w:rPr>
          <w:b/>
        </w:rPr>
        <w:t xml:space="preserve">摘要（ZH）: </w:t>
      </w:r>
      <w:r>
        <w:t>以近红外区域(NIR)小分子染料为基础的ABSTACT光学探测器已成为当代生物医学研究中不可或缺的当代生物医学研究中不可或缺的工具,然而,大多数报告的国家IR小分子探测器仍然受到不稳定、短发动量波长和损害保留能力不足等问题的困扰,这些问题都严重妨碍活性成像的准确性。</w:t>
      </w:r>
    </w:p>
    <w:p>
      <w:pPr>
        <w:spacing w:before="0" w:after="200" w:lineRule="auto" w:line="276"/>
      </w:pPr>
      <w:r>
        <w:rPr>
          <w:b/>
        </w:rPr>
        <w:t xml:space="preserve">Abstract (EN): </w:t>
      </w:r>
      <w:r>
        <w:t>Optical probes based on near‐infrared region (NIR) small‐molecule dyes have emerged as an indispensable tool for contemporary in vivo biomedical research. Nevertheless, the majority of the reported NIR small‐molecule probes are plagued by issues such as poor stability, short excitation wavelength, and inadequate lesion retention ability, all of which significantly hinder accuracy in vivo imaging. Herein, we introduce a strategy to construct ultra‐stable and optically controllable J‐aggregated cyanine (</w:t>
      </w:r>
      <w:r>
        <w:t xml:space="preserve"> </w:t>
      </w:r>
      <w:r>
        <w:t>JCy</w:t>
      </w:r>
      <w:r>
        <w:t xml:space="preserve"> </w:t>
      </w:r>
      <w:r>
        <w:t>) with rapid in vivo self‐assembly ability by incorporating carboxyl groups and adjusting the alkyl chain length of classical heptamethine cyanine dye. Single‐crystal x‐ray diffraction analysis reveals that the strong hydrogen bonds formed by carboxyl groups enable</w:t>
      </w:r>
      <w:r>
        <w:t xml:space="preserve"> </w:t>
      </w:r>
      <w:r>
        <w:t>JCy</w:t>
      </w:r>
      <w:r>
        <w:t xml:space="preserve"> </w:t>
      </w:r>
      <w:r>
        <w:t>dyes to assemble into Z‐shaped dimers and the dimers interlocking “linear supramolecular arrays (LSA)” within the crystal. These LSAs then undergo a tight and ordered J‐aggregation through the electrostatic interactions, C─H⋯O hydrogen bonds and π–π interactions. This unique J‐aggregation mechanism confers</w:t>
      </w:r>
      <w:r>
        <w:t xml:space="preserve"> </w:t>
      </w:r>
      <w:r>
        <w:t>JCy</w:t>
      </w:r>
      <w:r>
        <w:t xml:space="preserve"> </w:t>
      </w:r>
      <w:r>
        <w:t>dyes with carrier‐independent in vivo self‐assembly and superior stability. As a proof‐of‐concept, we selected</w:t>
      </w:r>
      <w:r>
        <w:t xml:space="preserve"> </w:t>
      </w:r>
      <w:r>
        <w:t>JCy‐Bu</w:t>
      </w:r>
      <w:r>
        <w:t xml:space="preserve"> </w:t>
      </w:r>
      <w:r>
        <w:t>, which exhibits low concentration dependence, remarkable resistance to protein interference, and outstanding photochemical stability, for in vivo biological study, and have achieved long‐term, high‐contrast in situ imaging of mouse gastric and tumor tissues.</w:t>
      </w:r>
    </w:p>
    <w:p>
      <w:pPr>
        <w:spacing w:before="120" w:after="120"/>
      </w:pPr>
      <w:r>
        <w:rPr>
          <w:sz w:val="18"/>
        </w:rPr>
        <w:t>——————————————————————————————————————————————————————————————————————</w:t>
      </w:r>
    </w:p>
    <w:p>
      <w:pPr>
        <w:spacing w:before="160" w:after="40" w:line="240" w:lineRule="auto"/>
      </w:pPr>
      <w:r>
        <w:rPr>
          <w:b/>
        </w:rPr>
        <w:t xml:space="preserve">[122] </w:t>
      </w:r>
      <w:hyperlink r:id="rId181">
        <w:r>
          <w:rPr>
            <w:color w:val="1155CC"/>
            <w:u w:val="single"/>
          </w:rPr>
          <w:t>具有温度反馈、热光热和药物组合疗法的无线、生物可救生物的手术后治疗系统</w:t>
        </w:r>
      </w:hyperlink>
    </w:p>
    <w:p>
      <w:pPr>
        <w:spacing w:before="0" w:after="80"/>
      </w:pPr>
      <w:r>
        <w:rPr>
          <w:i/>
          <w:sz w:val="20"/>
        </w:rPr>
        <w:t>EN: A Wireless, Bioresorbable Postoperative Treatment System with Temperature Feedback, Photothermal, and Drug Combination Therapy</w:t>
      </w:r>
    </w:p>
    <w:p>
      <w:pPr>
        <w:spacing w:before="0" w:after="120"/>
      </w:pPr>
      <w:r>
        <w:rPr>
          <w:b/>
        </w:rPr>
        <w:t xml:space="preserve">Source: </w:t>
      </w:r>
      <w:r>
        <w:t>Wiley: Advanced Materials: Table of Contents</w:t>
      </w:r>
      <w:r>
        <w:t xml:space="preserve">    </w:t>
      </w:r>
      <w:r>
        <w:rPr>
          <w:b/>
        </w:rPr>
        <w:t xml:space="preserve">Pub date: </w:t>
      </w:r>
      <w:r>
        <w:t>2026-02-09 06:54:06+00:00</w:t>
      </w:r>
      <w:r>
        <w:t xml:space="preserve">    </w:t>
      </w:r>
      <w:r>
        <w:rPr>
          <w:b/>
        </w:rPr>
        <w:t xml:space="preserve">DOI: </w:t>
      </w:r>
      <w:hyperlink r:id="rId182">
        <w:r>
          <w:rPr>
            <w:color w:val="1155CC"/>
            <w:u w:val="single"/>
          </w:rPr>
          <w:t>10.1002/adma.202522601</w:t>
        </w:r>
      </w:hyperlink>
    </w:p>
    <w:p>
      <w:pPr>
        <w:spacing w:before="0" w:after="120"/>
      </w:pPr>
      <w:r>
        <w:rPr>
          <w:b/>
        </w:rPr>
        <w:t xml:space="preserve">Notes: </w:t>
      </w:r>
      <w:r>
        <w:t>abstract_source=crossref</w:t>
      </w:r>
    </w:p>
    <w:p>
      <w:pPr>
        <w:spacing w:before="0" w:after="80" w:lineRule="auto" w:line="276"/>
      </w:pPr>
      <w:r>
        <w:rPr>
          <w:b/>
        </w:rPr>
        <w:t xml:space="preserve">摘要（ZH）: </w:t>
      </w:r>
      <w:r>
        <w:t>尽管涉及光热疗法和地方化疗的协同混合疗法显示出相当大的希望,但临床翻译方面仍然存在重大障碍,例如温度监测不足和难以整合多种治疗功能。 我们在此报告一个无线、生物可恢复的手术后治疗系统,将温度反馈、光热疗法和需求释放的药物纳入一个可植入的单一平台。 一种不对称的、相互联系的感应感应器(LC)布局能够通过感应连接进行现场实时温度监测,而光热片则提供极热片。</w:t>
      </w:r>
    </w:p>
    <w:p>
      <w:pPr>
        <w:spacing w:before="0" w:after="200" w:lineRule="auto" w:line="276"/>
      </w:pPr>
      <w:r>
        <w:rPr>
          <w:b/>
        </w:rPr>
        <w:t xml:space="preserve">Abstract (EN): </w:t>
      </w:r>
      <w:r>
        <w:t>Postoperative tumor recurrence remains a significant challenge for the long‐term survival of patients. Although synergistic combination therapies involving photothermal therapy and local chemotherapy show considerable promise, critical obstacles remain to clinical translation, such as insufficient temperature monitoring and the difficulty in integrating multiple therapeutic functions. Herein, we report a wireless, bioresorbable postoperative treatment system that integrates temperature feedback, photothermal therapy, and on‐demand drug release within a single implantable platform. An asymmetrically interconnected inductive‐capacitive (LC) sensor layout enables in situ, real‐time temperature monitoring via inductive coupling, while a photothermal patch provides localized heating and controlled drug release. In vitro and in vivo studies, such as the S180 tumor model, demonstrate effective thermal control, stable wireless operation, and enhanced therapeutic efficacy. The device can be implanted after tumor resection surgery to perform its therapeutic functions, and subsequently degrade and be absorbed by the body, providing a multifunctional and clinically compatible strategy for postoperative tumor management.</w:t>
      </w:r>
    </w:p>
    <w:p>
      <w:pPr>
        <w:spacing w:before="120" w:after="120"/>
      </w:pPr>
      <w:r>
        <w:rPr>
          <w:sz w:val="18"/>
        </w:rPr>
        <w:t>——————————————————————————————————————————————————————————————————————</w:t>
      </w:r>
    </w:p>
    <w:p>
      <w:pPr>
        <w:spacing w:before="160" w:after="40" w:line="240" w:lineRule="auto"/>
      </w:pPr>
      <w:r>
        <w:rPr>
          <w:b/>
        </w:rPr>
        <w:t xml:space="preserve">[123] </w:t>
      </w:r>
      <w:hyperlink r:id="rId183">
        <w:r>
          <w:rPr>
            <w:color w:val="1155CC"/>
            <w:u w:val="single"/>
          </w:rPr>
          <w:t>硬性阵列 Governs Fibroblasts 调控 Gingival Immune Homeostacis 的硬性阵列</w:t>
        </w:r>
      </w:hyperlink>
    </w:p>
    <w:p>
      <w:pPr>
        <w:spacing w:before="0" w:after="80"/>
      </w:pPr>
      <w:r>
        <w:rPr>
          <w:i/>
          <w:sz w:val="20"/>
        </w:rPr>
        <w:t>EN: Matrix Stiffness Governs Fibroblasts’ Regulation of Gingival Immune Homeostasis</w:t>
      </w:r>
    </w:p>
    <w:p>
      <w:pPr>
        <w:spacing w:before="0" w:after="120"/>
      </w:pPr>
      <w:r>
        <w:rPr>
          <w:b/>
        </w:rPr>
        <w:t xml:space="preserve">Source: </w:t>
      </w:r>
      <w:r>
        <w:t>Wiley: Advanced Materials: Table of Contents</w:t>
      </w:r>
      <w:r>
        <w:t xml:space="preserve">    </w:t>
      </w:r>
      <w:r>
        <w:rPr>
          <w:b/>
        </w:rPr>
        <w:t xml:space="preserve">Pub date: </w:t>
      </w:r>
      <w:r>
        <w:t>2026-02-09 06:56:08+00:00</w:t>
      </w:r>
      <w:r>
        <w:t xml:space="preserve">    </w:t>
      </w:r>
      <w:r>
        <w:rPr>
          <w:b/>
        </w:rPr>
        <w:t xml:space="preserve">DOI: </w:t>
      </w:r>
      <w:hyperlink r:id="rId184">
        <w:r>
          <w:rPr>
            <w:color w:val="1155CC"/>
            <w:u w:val="single"/>
          </w:rPr>
          <w:t>10.1002/adma.202520717</w:t>
        </w:r>
      </w:hyperlink>
    </w:p>
    <w:p>
      <w:pPr>
        <w:spacing w:before="0" w:after="120"/>
      </w:pPr>
      <w:r>
        <w:rPr>
          <w:b/>
        </w:rPr>
        <w:t xml:space="preserve">Notes: </w:t>
      </w:r>
      <w:r>
        <w:t>abstract_source=crossref</w:t>
      </w:r>
    </w:p>
    <w:p>
      <w:pPr>
        <w:spacing w:before="0" w:after="80" w:lineRule="auto" w:line="276"/>
      </w:pPr>
      <w:r>
        <w:rPr>
          <w:b/>
        </w:rPr>
        <w:t xml:space="preserve">摘要（ZH）: </w:t>
      </w:r>
      <w:r>
        <w:t>ABSTACT 周期性疾病的特点为:腹部结膜组织发炎,腹部外细胞基体退化,但机械提示的作用仍然不为人知,周期性疾病的金形脑内分泌与健康样本相比减少了纤维性相聚体。我们假设,周期性结膜疾病中聚膜内分泌软化会助长周期性结膜纤维肿(GFs)的发炎。老式结膜外细胞基体(ECM)的机械性结扎性凝胶模型已经开发出来,用于调查机械-模模模的交叉跟踪。硬性和软凝胶的凝胶分别与健康和疾病性结膜生物ps的病性特征相匹配。嵌入这些坚硬的凝胶中的人类捐赠者GF 显示,大量抑制了类似热源的受体。</w:t>
      </w:r>
    </w:p>
    <w:p>
      <w:pPr>
        <w:spacing w:before="0" w:after="200" w:lineRule="auto" w:line="276"/>
      </w:pPr>
      <w:r>
        <w:rPr>
          <w:b/>
        </w:rPr>
        <w:t xml:space="preserve">Abstract (EN): </w:t>
      </w:r>
      <w:r>
        <w:t>Periodontal disease is characterized by inflamed gingival tissues and degradation of the gingival extracellular matrix (ECM), yet the role of mechanical cues remains poorly understood. Gingival ECM in periodontal disease showed reduced fibrillar collagen compared to healthy samples. We hypothesized that ECM softening in periodontal disease contributes to inflammation by dysregulating gingival fibroblasts (GFs). A mechanically tunable hydrogel model of the gingival ECM was developed to investigate the mechano‐immune crosstalk. Stiff and soft collagen‐alginate hydrogels matched the rheological properties of healthy and diseased gingival biopsies respectively. Human donor GFs encapsulated in these stiff hydrogels showed significantly suppressed toll‐like receptor‐mediated inflammatory responses compared to those in soft hydrogels. The non‐canonical NFκB pathway and epigenetic nuclear organization directed stiffness‐dependent inflammatory responses of GFs. The direct impact of mechanical cues on immune responses was investigated ex vivo by co‐culture of donor‐derived human GFs with myeloid cells and in human gingival explants. Myeloid progenitors co‐cultured with GFs in stiff hydrogels differentiated into immunomodulatory dendritic cells. Ex vivo crosslinking of human gingival tissue increased stiffness and reduced the production of inflammatory cytokines. Gingival mechano‐immune regulation offers a novel approach to biomaterial‐based treatments for periodontitis.</w:t>
      </w:r>
    </w:p>
    <w:p>
      <w:pPr>
        <w:spacing w:before="120" w:after="120"/>
      </w:pPr>
      <w:r>
        <w:rPr>
          <w:sz w:val="18"/>
        </w:rPr>
        <w:t>——————————————————————————————————————————————————————————————————————</w:t>
      </w:r>
    </w:p>
    <w:p>
      <w:pPr>
        <w:spacing w:before="160" w:after="40" w:line="240" w:lineRule="auto"/>
      </w:pPr>
      <w:r>
        <w:rPr>
          <w:b/>
        </w:rPr>
        <w:t xml:space="preserve">[124] </w:t>
      </w:r>
      <w:hyperlink r:id="rId185">
        <w:r>
          <w:rPr>
            <w:color w:val="1155CC"/>
            <w:u w:val="single"/>
          </w:rPr>
          <w:t>Cu111 Nanolates作为高效尿电合成单一阶段纳米合成器</w:t>
        </w:r>
      </w:hyperlink>
    </w:p>
    <w:p>
      <w:pPr>
        <w:spacing w:before="0" w:after="80"/>
      </w:pPr>
      <w:r>
        <w:rPr>
          <w:i/>
          <w:sz w:val="20"/>
        </w:rPr>
        <w:t>EN: Confined Cu111 Nanolaminates as a Single‐Phase Nanoreactor for Efficient Urea Electrosynthesis</w:t>
      </w:r>
    </w:p>
    <w:p>
      <w:pPr>
        <w:spacing w:before="0" w:after="120"/>
      </w:pPr>
      <w:r>
        <w:rPr>
          <w:b/>
        </w:rPr>
        <w:t xml:space="preserve">Source: </w:t>
      </w:r>
      <w:r>
        <w:t>Wiley: Angewandte Chemie International Edition: Table of Contents</w:t>
      </w:r>
      <w:r>
        <w:t xml:space="preserve">    </w:t>
      </w:r>
      <w:r>
        <w:rPr>
          <w:b/>
        </w:rPr>
        <w:t xml:space="preserve">Pub date: </w:t>
      </w:r>
      <w:r>
        <w:t>2026-02-09 06:56:52+00:00</w:t>
      </w:r>
      <w:r>
        <w:t xml:space="preserve">    </w:t>
      </w:r>
      <w:r>
        <w:rPr>
          <w:b/>
        </w:rPr>
        <w:t xml:space="preserve">DOI: </w:t>
      </w:r>
      <w:hyperlink r:id="rId186">
        <w:r>
          <w:rPr>
            <w:color w:val="1155CC"/>
            <w:u w:val="single"/>
          </w:rPr>
          <w:t>10.1002/anie.2242110</w:t>
        </w:r>
      </w:hyperlink>
    </w:p>
    <w:p>
      <w:pPr>
        <w:spacing w:before="0" w:after="120"/>
      </w:pPr>
      <w:r>
        <w:rPr>
          <w:b/>
        </w:rPr>
        <w:t xml:space="preserve">Notes: </w:t>
      </w:r>
      <w:r>
        <w:t>abstract_source=crossref</w:t>
      </w:r>
    </w:p>
    <w:p>
      <w:pPr>
        <w:spacing w:before="0" w:after="80" w:lineRule="auto" w:line="276"/>
      </w:pPr>
      <w:r>
        <w:rPr>
          <w:b/>
        </w:rPr>
        <w:t xml:space="preserve">摘要（ZH）: </w:t>
      </w:r>
      <w:r>
        <w:t>ABSTACT 现代电气解析系统通常涉及多物种级联系统,对催化剂施加严格要求,以展示多成分和多功能特性,这种复杂性对确定和理解真正活跃阶段的结构和功能性质构成巨大挑战。在此,我们报告Cu 1.94 S/In 2 S 3 3 电子化学重建中Cu 111纳米板的形成情况。合成的Cu 111纳米板是一个单一阶段的共合体。</w:t>
      </w:r>
    </w:p>
    <w:p>
      <w:pPr>
        <w:spacing w:before="0" w:after="200" w:lineRule="auto" w:line="276"/>
      </w:pPr>
      <w:r>
        <w:rPr>
          <w:b/>
        </w:rPr>
        <w:t xml:space="preserve">Abstract (EN): </w:t>
      </w:r>
      <w:r>
        <w:t>Modern electrocatalysis typically involves multi‐species cascade systems, imposing stringent requirements on catalysts to exhibit multi‐component and multifunctional characteristics. Such complexity poses great challenges for identifying and understanding the structural and functional nature of the true active phase. Herein, we report the formation of Cu</w:t>
      </w:r>
      <w:r>
        <w:rPr>
          <w:vertAlign w:val="subscript"/>
        </w:rPr>
        <w:t>111</w:t>
      </w:r>
      <w:r>
        <w:t>nanolaminates confined within the interface of Cu</w:t>
      </w:r>
      <w:r>
        <w:t xml:space="preserve"> </w:t>
      </w:r>
      <w:r>
        <w:t>1.94</w:t>
      </w:r>
      <w:r>
        <w:t xml:space="preserve"> </w:t>
      </w:r>
      <w:r>
        <w:t>S/In</w:t>
      </w:r>
      <w:r>
        <w:rPr>
          <w:vertAlign w:val="subscript"/>
        </w:rPr>
        <w:t>2</w:t>
      </w:r>
      <w:r>
        <w:t>S</w:t>
      </w:r>
      <w:r>
        <w:rPr>
          <w:vertAlign w:val="subscript"/>
        </w:rPr>
        <w:t>3</w:t>
      </w:r>
      <w:r>
        <w:t>heterojunction via in situ electrochemical reconstruction. The synthesized Cu</w:t>
      </w:r>
      <w:r>
        <w:rPr>
          <w:vertAlign w:val="subscript"/>
        </w:rPr>
        <w:t>111</w:t>
      </w:r>
      <w:r>
        <w:t>nanolaminates act as a single‐phase co‐activating nanoreactor to preferentially adsorb carbon dioxide (CO</w:t>
      </w:r>
      <w:r>
        <w:rPr>
          <w:vertAlign w:val="subscript"/>
        </w:rPr>
        <w:t>2</w:t>
      </w:r>
      <w:r>
        <w:t>) and cascade N‐intermediates, enabling C─N coupling for urea synthesis within an ultra‐low and distinct potential window. The optimized Cu</w:t>
      </w:r>
      <w:r>
        <w:t xml:space="preserve"> </w:t>
      </w:r>
      <w:r>
        <w:t>1.94</w:t>
      </w:r>
      <w:r>
        <w:t xml:space="preserve"> </w:t>
      </w:r>
      <w:r>
        <w:t>S/Cu</w:t>
      </w:r>
      <w:r>
        <w:rPr>
          <w:vertAlign w:val="subscript"/>
        </w:rPr>
        <w:t>111</w:t>
      </w:r>
      <w:r>
        <w:t>/In</w:t>
      </w:r>
      <w:r>
        <w:rPr>
          <w:vertAlign w:val="subscript"/>
        </w:rPr>
        <w:t>2</w:t>
      </w:r>
      <w:r>
        <w:t>S</w:t>
      </w:r>
      <w:r>
        <w:rPr>
          <w:vertAlign w:val="subscript"/>
        </w:rPr>
        <w:t>3</w:t>
      </w:r>
      <w:r>
        <w:t>catalyst achieves a urea yield rate of 11823.65 µg h</w:t>
      </w:r>
      <w:r>
        <w:t xml:space="preserve"> </w:t>
      </w:r>
      <w:r>
        <w:t>−1</w:t>
      </w:r>
      <w:r>
        <w:t xml:space="preserve"> </w:t>
      </w:r>
      <w:r>
        <w:t>mg</w:t>
      </w:r>
      <w:r>
        <w:t xml:space="preserve"> </w:t>
      </w:r>
      <w:r>
        <w:t>Cu111</w:t>
      </w:r>
      <w:r>
        <w:t xml:space="preserve"> </w:t>
      </w:r>
      <w:r>
        <w:t>−1</w:t>
      </w:r>
      <w:r>
        <w:t xml:space="preserve"> </w:t>
      </w:r>
      <w:r>
        <w:t>and an exceptionally high Faradaic efficiency of 69.34% at ‐0.35 V versus the reversible hydrogen electrode in a flow cell, surpassing all previously reported transition metal electrocatalysts. In situ spectroscopic analyses and theoretical calculations reveal a favorable reaction pathway and nanoconfined synergy on the Cu</w:t>
      </w:r>
      <w:r>
        <w:rPr>
          <w:vertAlign w:val="subscript"/>
        </w:rPr>
        <w:t>111</w:t>
      </w:r>
      <w:r>
        <w:t>nanolaminates, where CO</w:t>
      </w:r>
      <w:r>
        <w:rPr>
          <w:vertAlign w:val="subscript"/>
        </w:rPr>
        <w:t>2</w:t>
      </w:r>
      <w:r>
        <w:t>is initially anchored and reduced to *CO and cascaded *NO</w:t>
      </w:r>
      <w:r>
        <w:rPr>
          <w:vertAlign w:val="subscript"/>
        </w:rPr>
        <w:t>2</w:t>
      </w:r>
      <w:r>
        <w:t>undergoes C─N coupling to form the key *CONO</w:t>
      </w:r>
      <w:r>
        <w:rPr>
          <w:vertAlign w:val="subscript"/>
        </w:rPr>
        <w:t>2</w:t>
      </w:r>
      <w:r>
        <w:t>intermediate toward urea. This study unveils the true active phase within a complex heterostructure electrocatalyst, which also provides new insights into the rational design of advanced electrocatalysts for other energy and environmental applications.</w:t>
      </w:r>
    </w:p>
    <w:p>
      <w:pPr>
        <w:spacing w:before="120" w:after="120"/>
      </w:pPr>
      <w:r>
        <w:rPr>
          <w:sz w:val="18"/>
        </w:rPr>
        <w:t>——————————————————————————————————————————————————————————————————————</w:t>
      </w:r>
    </w:p>
    <w:p>
      <w:pPr>
        <w:spacing w:before="160" w:after="40" w:line="240" w:lineRule="auto"/>
      </w:pPr>
      <w:r>
        <w:rPr>
          <w:b/>
        </w:rPr>
        <w:t xml:space="preserve">[125] </w:t>
      </w:r>
      <w:hyperlink r:id="rId187">
        <w:r>
          <w:rPr>
            <w:color w:val="1155CC"/>
            <w:u w:val="single"/>
          </w:rPr>
          <w:t>稳定锌阴道多尺度的多尺度间规则:从基本机制到实际应用</w:t>
        </w:r>
      </w:hyperlink>
    </w:p>
    <w:p>
      <w:pPr>
        <w:spacing w:before="0" w:after="80"/>
      </w:pPr>
      <w:r>
        <w:rPr>
          <w:i/>
          <w:sz w:val="20"/>
        </w:rPr>
        <w:t>EN: Multiscale Interfacial Regulation for Stable Zinc Anodes: From Fundamental Mechanisms to Practical Applications</w:t>
      </w:r>
    </w:p>
    <w:p>
      <w:pPr>
        <w:spacing w:before="0" w:after="120"/>
      </w:pPr>
      <w:r>
        <w:rPr>
          <w:b/>
        </w:rPr>
        <w:t xml:space="preserve">Source: </w:t>
      </w:r>
      <w:r>
        <w:t>Wiley: Advanced Energy Materials: Table of Contents</w:t>
      </w:r>
      <w:r>
        <w:t xml:space="preserve">    </w:t>
      </w:r>
      <w:r>
        <w:rPr>
          <w:b/>
        </w:rPr>
        <w:t xml:space="preserve">Pub date: </w:t>
      </w:r>
      <w:r>
        <w:t>2026-02-09 06:57:37+00:00</w:t>
      </w:r>
      <w:r>
        <w:t xml:space="preserve">    </w:t>
      </w:r>
      <w:r>
        <w:rPr>
          <w:b/>
        </w:rPr>
        <w:t xml:space="preserve">DOI: </w:t>
      </w:r>
      <w:hyperlink r:id="rId188">
        <w:r>
          <w:rPr>
            <w:color w:val="1155CC"/>
            <w:u w:val="single"/>
          </w:rPr>
          <w:t>10.1002/aenm.70704</w:t>
        </w:r>
      </w:hyperlink>
    </w:p>
    <w:p>
      <w:pPr>
        <w:spacing w:before="0" w:after="120"/>
      </w:pPr>
      <w:r>
        <w:rPr>
          <w:b/>
        </w:rPr>
        <w:t xml:space="preserve">Notes: </w:t>
      </w:r>
      <w:r>
        <w:t>abstract_source=crossref</w:t>
      </w:r>
    </w:p>
    <w:p>
      <w:pPr>
        <w:spacing w:before="0" w:after="80" w:lineRule="auto" w:line="276"/>
      </w:pPr>
      <w:r>
        <w:rPr>
          <w:b/>
        </w:rPr>
        <w:t xml:space="preserve">摘要（ZH）: </w:t>
      </w:r>
      <w:r>
        <w:t>ABSTACT 水锌电池(AZIBs)由于其内在安全和成本低,是大规模能源贮存的有希望的候选体,但是它们的商业化受到臭名昭著的锌阳极问题的阻碍,包括无节制的剥离性增长和寄生虫的侧面反应;最近,作为一种应对这些挑战的变革性战略,出现了多层次的跨层监管;这一方法通过建造多层结构,优化接口的结合,克服了单层调制的局限性,从而提供了有效的阳极保护;为了促进统一的锌镀锌和抑制侧面反应,本审查全面总结了跨越多物理场、锌矿的多层次战略。</w:t>
      </w:r>
    </w:p>
    <w:p>
      <w:pPr>
        <w:spacing w:before="0" w:after="200" w:lineRule="auto" w:line="276"/>
      </w:pPr>
      <w:r>
        <w:rPr>
          <w:b/>
        </w:rPr>
        <w:t xml:space="preserve">Abstract (EN): </w:t>
      </w:r>
      <w:r>
        <w:t>Aqueous zinc‐ion batteries (AZIBs) are promising candidates for large‐scale energy storage due to their intrinsic safety and low cost. However, their commercialization is hampered by notorious zinc anode issues, including uncontrolled dendrite growth and parasitic side reactions. Multiscale interfacial regulation has recently emerged as a transformative strategy to address these challenges. This approach overcomes the limitations of single‐interface modulation by constructing multilayer structures and optimizing interface coupling, thereby providing effective anode protection. To promote uniform zinc plating and suppress side reactions, this review comprehensively summarizes multiscale strategies that span the optimization of multi‐physical fields, zinc deposition orientation, and electrolyte solvation structures. We systematically present recent advances in applying these multiscale strategies to zinc foil, zinc powder, and host‐based anodes, as well as separators and hydrogel electrolytes, with a focus on their design principles, underlying mechanisms, and scenario‐specific applicability. Furthermore, we elucidate how this technology achieves synergistic optimization of ion transport, deposition behavior, and the interfacial environment through functionally complementary multilayer, Janus, or gradient interfaces, thereby systematically mitigating zinc anode failure. Finally, future research directions and challenges are discussed, emphasizing that a profound mechanistic understanding coupled with rational design is pivotal for unlocking the full potential of next‐generation AZIBs.</w:t>
      </w:r>
    </w:p>
    <w:p>
      <w:pPr>
        <w:spacing w:before="120" w:after="120"/>
      </w:pPr>
      <w:r>
        <w:rPr>
          <w:sz w:val="18"/>
        </w:rPr>
        <w:t>——————————————————————————————————————————————————————————————————————</w:t>
      </w:r>
    </w:p>
    <w:p>
      <w:pPr>
        <w:spacing w:before="160" w:after="40" w:line="240" w:lineRule="auto"/>
      </w:pPr>
      <w:r>
        <w:rPr>
          <w:b/>
        </w:rPr>
        <w:t xml:space="preserve">[126] </w:t>
      </w:r>
      <w:hyperlink r:id="rId189">
        <w:r>
          <w:rPr>
            <w:color w:val="1155CC"/>
            <w:u w:val="single"/>
          </w:rPr>
          <w:t>Terahertz 微氟化物生物医学跟踪分析</w:t>
        </w:r>
      </w:hyperlink>
    </w:p>
    <w:p>
      <w:pPr>
        <w:spacing w:before="0" w:after="80"/>
      </w:pPr>
      <w:r>
        <w:rPr>
          <w:i/>
          <w:sz w:val="20"/>
        </w:rPr>
        <w:t>EN: Lattice Slot Waveguide for Terahertz Microfluidics Biomedical Trace Analysis</w:t>
      </w:r>
    </w:p>
    <w:p>
      <w:pPr>
        <w:spacing w:before="0" w:after="120"/>
      </w:pPr>
      <w:r>
        <w:rPr>
          <w:b/>
        </w:rPr>
        <w:t xml:space="preserve">Source: </w:t>
      </w:r>
      <w:r>
        <w:t>Wiley: Advanced Materials: Table of Contents</w:t>
      </w:r>
      <w:r>
        <w:t xml:space="preserve">    </w:t>
      </w:r>
      <w:r>
        <w:rPr>
          <w:b/>
        </w:rPr>
        <w:t xml:space="preserve">Pub date: </w:t>
      </w:r>
      <w:r>
        <w:t>2026-02-09 06:59:54+00:00</w:t>
      </w:r>
      <w:r>
        <w:t xml:space="preserve">    </w:t>
      </w:r>
      <w:r>
        <w:rPr>
          <w:b/>
        </w:rPr>
        <w:t xml:space="preserve">DOI: </w:t>
      </w:r>
      <w:hyperlink r:id="rId190">
        <w:r>
          <w:rPr>
            <w:color w:val="1155CC"/>
            <w:u w:val="single"/>
          </w:rPr>
          <w:t>10.1002/adma.202521964</w:t>
        </w:r>
      </w:hyperlink>
    </w:p>
    <w:p>
      <w:pPr>
        <w:spacing w:before="0" w:after="120"/>
      </w:pPr>
      <w:r>
        <w:rPr>
          <w:b/>
        </w:rPr>
        <w:t xml:space="preserve">Notes: </w:t>
      </w:r>
      <w:r>
        <w:t>abstract_source=crossref</w:t>
      </w:r>
    </w:p>
    <w:p>
      <w:pPr>
        <w:spacing w:before="0" w:after="80" w:lineRule="auto" w:line="276"/>
      </w:pPr>
      <w:r>
        <w:rPr>
          <w:b/>
        </w:rPr>
        <w:t xml:space="preserve">摘要（ZH）: </w:t>
      </w:r>
      <w:r>
        <w:t>电磁元表层集成微氟化芯片能够建立一个实时、无标签的平台,用抑制水吸收噪音对数量有限的生物医学样本进行体积微量微量分析,然而,常规金属-氨基金属(MIM)的表层元共振器由于通过开放边界的辐射渗漏而表现出内在的有限偏差和敏感性。在这里,以MIM配置为基础的拉蒂槽波导导有效将能量限制在微氟化渠道内并减轻辐射损失。这种被困模式通过协同地展示地表拉蒂共振和导导导导模式在传播常年匹配条件下的共振反应,能够提高敏感度和化度。</w:t>
      </w:r>
    </w:p>
    <w:p>
      <w:pPr>
        <w:spacing w:before="0" w:after="200" w:lineRule="auto" w:line="276"/>
      </w:pPr>
      <w:r>
        <w:rPr>
          <w:b/>
        </w:rPr>
        <w:t xml:space="preserve">Abstract (EN): </w:t>
      </w:r>
      <w:r>
        <w:t>Electromagnetic metasurface integrated microfluidic chips enable a real‐time, label‐free platform for terahertz trace analysis of volume‐limited biomedical samples with suppressed water absorption noise. However, conventional metal‐insulator‐metal (MIM) metasurface resonators exhibit inherently limited Q‐factor and sensitivity due to radiative leakage through open side boundaries. Here, a lattice slot waveguide based on MIM configuration is designed to effectively confine energy within the microfluidic channel and mitigate radiative loss. This trapped mode achieves enhanced sensitivity and Q‐factor through synergistic excitation of surface lattice resonance and guided mode resonance under propagation constant matching conditions. Leveraging this platform, an anisotropic detection strategy incorporating a patterned lattice structure is devised to achieve simultaneous polarization multiplexed responses, exhibiting a figure of merit of 135 in both polarizations. Experimental validation demonstrates a limit of detection of 625 pmol mL</w:t>
      </w:r>
      <w:r>
        <w:t xml:space="preserve"> </w:t>
      </w:r>
      <w:r>
        <w:t>−1</w:t>
      </w:r>
      <w:r>
        <w:t xml:space="preserve"> </w:t>
      </w:r>
      <w:r>
        <w:t>and a Q‐factor of 189 for this polarization multiplexing microfluidic platform. This work offers a unique avenue for enhanced accuracy and efficiency in terahertz biomedical trace analyzing via multidimensional sensing capabilities.</w:t>
      </w:r>
    </w:p>
    <w:p>
      <w:pPr>
        <w:spacing w:before="120" w:after="120"/>
      </w:pPr>
      <w:r>
        <w:rPr>
          <w:sz w:val="18"/>
        </w:rPr>
        <w:t>——————————————————————————————————————————————————————————————————————</w:t>
      </w:r>
    </w:p>
    <w:p>
      <w:pPr>
        <w:spacing w:before="160" w:after="40" w:line="240" w:lineRule="auto"/>
      </w:pPr>
      <w:r>
        <w:rPr>
          <w:b/>
        </w:rPr>
        <w:t xml:space="preserve">[127] </w:t>
      </w:r>
      <w:hyperlink r:id="rId191">
        <w:r>
          <w:rPr>
            <w:color w:val="1155CC"/>
            <w:u w:val="single"/>
          </w:rPr>
          <w:t>在Van Der Waals Fe1+YTe 胶片中结合反热磁性/地磁热干扰</w:t>
        </w:r>
      </w:hyperlink>
    </w:p>
    <w:p>
      <w:pPr>
        <w:spacing w:before="0" w:after="80"/>
      </w:pPr>
      <w:r>
        <w:rPr>
          <w:i/>
          <w:sz w:val="20"/>
        </w:rPr>
        <w:t>EN: Integrating Antiferromagnetic/Ferromagnetic Heterojunction in Van Der Waals Fe1+yTe Film With Gradient Fe Doping</w:t>
      </w:r>
    </w:p>
    <w:p>
      <w:pPr>
        <w:spacing w:before="0" w:after="120"/>
      </w:pPr>
      <w:r>
        <w:rPr>
          <w:b/>
        </w:rPr>
        <w:t xml:space="preserve">Source: </w:t>
      </w:r>
      <w:r>
        <w:t>Wiley: Advanced Materials: Table of Contents</w:t>
      </w:r>
      <w:r>
        <w:t xml:space="preserve">    </w:t>
      </w:r>
      <w:r>
        <w:rPr>
          <w:b/>
        </w:rPr>
        <w:t xml:space="preserve">Pub date: </w:t>
      </w:r>
      <w:r>
        <w:t>2026-02-09 07:01:15+00:00</w:t>
      </w:r>
      <w:r>
        <w:t xml:space="preserve">    </w:t>
      </w:r>
      <w:r>
        <w:rPr>
          <w:b/>
        </w:rPr>
        <w:t xml:space="preserve">DOI: </w:t>
      </w:r>
      <w:hyperlink r:id="rId192">
        <w:r>
          <w:rPr>
            <w:color w:val="1155CC"/>
            <w:u w:val="single"/>
          </w:rPr>
          <w:t>10.1002/adma.202517358</w:t>
        </w:r>
      </w:hyperlink>
    </w:p>
    <w:p>
      <w:pPr>
        <w:spacing w:before="0" w:after="120"/>
      </w:pPr>
      <w:r>
        <w:rPr>
          <w:b/>
        </w:rPr>
        <w:t xml:space="preserve">Notes: </w:t>
      </w:r>
      <w:r>
        <w:t>abstract_source=crossref</w:t>
      </w:r>
    </w:p>
    <w:p>
      <w:pPr>
        <w:spacing w:before="0" w:after="80" w:lineRule="auto" w:line="276"/>
      </w:pPr>
      <w:r>
        <w:rPr>
          <w:b/>
        </w:rPr>
        <w:t xml:space="preserve">摘要（ZH）: </w:t>
      </w:r>
      <w:r>
        <w:t>范德华(VdW)磁铁中的ABSTACT 操纵外转式阻隔结构在开发奇特的低维脊柱物理学和量计算技术创新方面起着重要作用,然而,通过复杂和繁琐的堆叠战略对VdW装置进行工程改造的常规异构结构战略正面临很高的制造成本。 将不同的磁顺序纳入 vdW 系统中的断裂的时间-反向对称,仅采用简化的几何法和独有部件的优势,目前仍然极具挑战性。 在这项工作中,我们提议在双线反热磁(AFM)父电磁中使用磁原子梯度剂量来制造AFM/ferromatic(AFM/feronmatic)(AFM) (AFM) (AFM) 母电磁(ADW) 磁力(AFM/FM) 。</w:t>
      </w:r>
    </w:p>
    <w:p>
      <w:pPr>
        <w:spacing w:before="0" w:after="200" w:lineRule="auto" w:line="276"/>
      </w:pPr>
      <w:r>
        <w:rPr>
          <w:b/>
        </w:rPr>
        <w:t xml:space="preserve">Abstract (EN): </w:t>
      </w:r>
      <w:r>
        <w:t>Manipulating heterojunction architecture in van der Waals (vdW) magnets plays a significant role in developing exotic low‐dimensional spintronic physics and technological innovations in quantum computing. However, the conventional heterostructure strategy to engineer a vdW device through complicated and cumbersome stacking strategies is facing a high fabrication cost. Tailoring broken time‐reversal symmetries to integrate a distinct magnetic order into a vdW system, by only employing a simplified geometry and the advantage of unique components, currently remains highly challenging. In this work we propose the use of a gradient doping of magnetic atoms in bicollinear antiferromagnetic (AFM) parent vdW magnet to fabricate an AFM/ferromagnetic (FM) heterojunction in a single Fe</w:t>
      </w:r>
      <w:r>
        <w:t xml:space="preserve"> </w:t>
      </w:r>
      <w:r>
        <w:t>1+</w:t>
      </w:r>
      <w:r>
        <w:t xml:space="preserve"> </w:t>
      </w:r>
      <w:r>
        <w:t>y</w:t>
      </w:r>
      <w:r>
        <w:t xml:space="preserve"> </w:t>
      </w:r>
      <w:r>
        <w:t>Te film, which enables an exchange bias (EB) effect. We demonstrate the emergence of robust FM order and an EB effect in a vdW Fe</w:t>
      </w:r>
      <w:r>
        <w:t xml:space="preserve"> </w:t>
      </w:r>
      <w:r>
        <w:t>1+y</w:t>
      </w:r>
      <w:r>
        <w:t xml:space="preserve"> </w:t>
      </w:r>
      <w:r>
        <w:t>Te film. This originates from heavy Fe doping in the interfacial layers and the breaking of symmetry in the bicollinear AFM order within the lightly doped layers away from the interface. This work not only opens a new avenue for manipulating AFM/FM heterojunction in a single parent vdW system but also provides new insights into understanding the production of the EB effect on the bicollinear AFM vdW device platform.</w:t>
      </w:r>
    </w:p>
    <w:p>
      <w:pPr>
        <w:spacing w:before="120" w:after="120"/>
      </w:pPr>
      <w:r>
        <w:rPr>
          <w:sz w:val="18"/>
        </w:rPr>
        <w:t>——————————————————————————————————————————————————————————————————————</w:t>
      </w:r>
    </w:p>
    <w:p>
      <w:pPr>
        <w:spacing w:before="160" w:after="40" w:line="240" w:lineRule="auto"/>
      </w:pPr>
      <w:r>
        <w:rPr>
          <w:b/>
        </w:rPr>
        <w:t xml:space="preserve">[128] </w:t>
      </w:r>
      <w:hyperlink r:id="rId193">
        <w:r>
          <w:rPr>
            <w:color w:val="1155CC"/>
            <w:u w:val="single"/>
          </w:rPr>
          <w:t>成份制导和表面调整协同同步增强 Perovskite Ferorite 电解器中氢气进化的铁铁催化器</w:t>
        </w:r>
      </w:hyperlink>
    </w:p>
    <w:p>
      <w:pPr>
        <w:spacing w:before="0" w:after="80"/>
      </w:pPr>
      <w:r>
        <w:rPr>
          <w:i/>
          <w:sz w:val="20"/>
        </w:rPr>
        <w:t>EN: Compositional Tuning and Surface Restructuring Synergistically Enhance Perovskite Ferrite Catalysts for Hydrogen Evolution in a Membrane‐Less Electrolyzer</w:t>
      </w:r>
    </w:p>
    <w:p>
      <w:pPr>
        <w:spacing w:before="0" w:after="120"/>
      </w:pPr>
      <w:r>
        <w:rPr>
          <w:b/>
        </w:rPr>
        <w:t xml:space="preserve">Source: </w:t>
      </w:r>
      <w:r>
        <w:t>Wiley: Advanced Energy Materials: Table of Contents</w:t>
      </w:r>
      <w:r>
        <w:t xml:space="preserve">    </w:t>
      </w:r>
      <w:r>
        <w:rPr>
          <w:b/>
        </w:rPr>
        <w:t xml:space="preserve">Pub date: </w:t>
      </w:r>
      <w:r>
        <w:t>2026-02-09 07:01:30+00:00</w:t>
      </w:r>
      <w:r>
        <w:t xml:space="preserve">    </w:t>
      </w:r>
      <w:r>
        <w:rPr>
          <w:b/>
        </w:rPr>
        <w:t xml:space="preserve">DOI: </w:t>
      </w:r>
      <w:hyperlink r:id="rId194">
        <w:r>
          <w:rPr>
            <w:color w:val="1155CC"/>
            <w:u w:val="single"/>
          </w:rPr>
          <w:t>10.1002/aenm.202505486</w:t>
        </w:r>
      </w:hyperlink>
    </w:p>
    <w:p>
      <w:pPr>
        <w:spacing w:before="0" w:after="120"/>
      </w:pPr>
      <w:r>
        <w:rPr>
          <w:b/>
        </w:rPr>
        <w:t xml:space="preserve">Notes: </w:t>
      </w:r>
      <w:r>
        <w:t>abstract_source=crossref</w:t>
      </w:r>
    </w:p>
    <w:p>
      <w:pPr>
        <w:spacing w:before="0" w:after="80" w:lineRule="auto" w:line="276"/>
      </w:pPr>
      <w:r>
        <w:rPr>
          <w:b/>
        </w:rPr>
        <w:t xml:space="preserve">摘要（ZH）: </w:t>
      </w:r>
      <w:r>
        <w:t>对先进的电解技术而言,平衡氢进化反应电解的稳定性和活动仍然具有挑战性,这项工作采用协同设计战略,通过现场地面重组来应对这一挑战,开发了基于Fe的双千伏丁酯,其透析采用最佳电子结构,在10毫阿/立方厘米的10毫阿/立方厘米2时1米的KOH和184毫伏中325毫伏,在1米的KOH和1米的KOH和1米的184毫伏中,提供了最佳报告。此外,催化剂表现出显著的自我改善稳定性,具体活动增加了1.98倍,在20小时之后,潜力超过300毫瓦。</w:t>
      </w:r>
    </w:p>
    <w:p>
      <w:pPr>
        <w:spacing w:before="0" w:after="200" w:lineRule="auto" w:line="276"/>
      </w:pPr>
      <w:r>
        <w:rPr>
          <w:b/>
        </w:rPr>
        <w:t xml:space="preserve">Abstract (EN): </w:t>
      </w:r>
      <w:r>
        <w:t>Balancing stability and activity of the hydrogen evolution reaction (HER) electrocatalysis remains challenging for advanced electrolysis technologies. This work introduces a synergistic design strategy to tackle the challenge with in situ surface restructuring. Fe‐based double perovskite is developed with an optimal electronic structure for HER catalysis, delivering an overpotential of 325 mV in 0.1</w:t>
      </w:r>
      <w:r>
        <w:t xml:space="preserve"> </w:t>
      </w:r>
      <w:r>
        <w:t>m</w:t>
      </w:r>
      <w:r>
        <w:t xml:space="preserve"> </w:t>
      </w:r>
      <w:r>
        <w:t>KOH and 184 mV in 1</w:t>
      </w:r>
      <w:r>
        <w:t xml:space="preserve"> </w:t>
      </w:r>
      <w:r>
        <w:t>m</w:t>
      </w:r>
      <w:r>
        <w:t xml:space="preserve"> </w:t>
      </w:r>
      <w:r>
        <w:t>KOH at 10 mA/cm</w:t>
      </w:r>
      <w:r>
        <w:rPr>
          <w:vertAlign w:val="subscript"/>
        </w:rPr>
        <w:t>2</w:t>
      </w:r>
      <w:r>
        <w:t>, among the best reported. Additionally, the catalyst exhibited remarkable self‐improving stability, with specific activity increasing 1.98 times at 300 mV overpotential after 20 h, due to the restructuring of an amorphous layer confirmed with transmission electron microscopy. To demonstrate practical utility, the catalyst was integrated into an active flow membraneless electrolyzer (AFME), a promising technology that is currently limited by instability. The device demonstrated outstanding operational stability for 1000 h at 50 mA/cm</w:t>
      </w:r>
      <w:r>
        <w:rPr>
          <w:vertAlign w:val="subscript"/>
        </w:rPr>
        <w:t>2</w:t>
      </w:r>
      <w:r>
        <w:t>, with a minimal decay rate of 0.25 mV/h, establishing a new benchmark for membraneless systems. This work not only presents a powerful strategy for designing self‐improving catalysts but also validates its practical efficacy in next generation electrolyzer technologies, paving the way for cost‐effective green hydrogen production.</w:t>
      </w:r>
    </w:p>
    <w:p>
      <w:pPr>
        <w:spacing w:before="120" w:after="120"/>
      </w:pPr>
      <w:r>
        <w:rPr>
          <w:sz w:val="18"/>
        </w:rPr>
        <w:t>——————————————————————————————————————————————————————————————————————</w:t>
      </w:r>
    </w:p>
    <w:p>
      <w:pPr>
        <w:spacing w:before="160" w:after="40" w:line="240" w:lineRule="auto"/>
      </w:pPr>
      <w:r>
        <w:rPr>
          <w:b/>
        </w:rPr>
        <w:t xml:space="preserve">[129] </w:t>
      </w:r>
      <w:hyperlink r:id="rId195">
        <w:r>
          <w:rPr>
            <w:color w:val="1155CC"/>
            <w:u w:val="single"/>
          </w:rPr>
          <w:t>快速合成 2- 脱氧-2- 全氟烷基汞合金的快速合成</w:t>
        </w:r>
      </w:hyperlink>
    </w:p>
    <w:p>
      <w:pPr>
        <w:spacing w:before="0" w:after="80"/>
      </w:pPr>
      <w:r>
        <w:rPr>
          <w:i/>
          <w:sz w:val="20"/>
        </w:rPr>
        <w:t>EN: Expeditious Synthesis of 2‐Deoxy‐2‐perfluoroalkyl Glycosides</w:t>
      </w:r>
    </w:p>
    <w:p>
      <w:pPr>
        <w:spacing w:before="0" w:after="120"/>
      </w:pPr>
      <w:r>
        <w:rPr>
          <w:b/>
        </w:rPr>
        <w:t xml:space="preserve">Source: </w:t>
      </w:r>
      <w:r>
        <w:t>Wiley: Angewandte Chemie International Edition: Table of Contents</w:t>
      </w:r>
      <w:r>
        <w:t xml:space="preserve">    </w:t>
      </w:r>
      <w:r>
        <w:rPr>
          <w:b/>
        </w:rPr>
        <w:t xml:space="preserve">Pub date: </w:t>
      </w:r>
      <w:r>
        <w:t>2026-02-09 07:03:22+00:00</w:t>
      </w:r>
      <w:r>
        <w:t xml:space="preserve">    </w:t>
      </w:r>
      <w:r>
        <w:rPr>
          <w:b/>
        </w:rPr>
        <w:t xml:space="preserve">DOI: </w:t>
      </w:r>
      <w:hyperlink r:id="rId196">
        <w:r>
          <w:rPr>
            <w:color w:val="1155CC"/>
            <w:u w:val="single"/>
          </w:rPr>
          <w:t>10.1002/anie.1824435</w:t>
        </w:r>
      </w:hyperlink>
    </w:p>
    <w:p>
      <w:pPr>
        <w:spacing w:before="0" w:after="120"/>
      </w:pPr>
      <w:r>
        <w:rPr>
          <w:b/>
        </w:rPr>
        <w:t xml:space="preserve">Notes: </w:t>
      </w:r>
      <w:r>
        <w:t>abstract_source=crossref</w:t>
      </w:r>
    </w:p>
    <w:p>
      <w:pPr>
        <w:spacing w:before="0" w:after="80" w:lineRule="auto" w:line="276"/>
      </w:pPr>
      <w:r>
        <w:rPr>
          <w:b/>
        </w:rPr>
        <w:t xml:space="preserve">摘要（ZH）: </w:t>
      </w:r>
      <w:r>
        <w:t>在以碳水化合物为基础的药物发现中,含氟的替代物被广泛用于加强药用动力学和药用动力学剖面,然而,精确地将C(sp 3)-全氟烷基碱性物质纳入食糖人肉箱的C2位置仍是一项重大的合成挑战。在本研究中,我们报告了一项高效和成本效益高的合成2-deoxy2-全氟烷基化合物的协议,该协议与随时可得的晶体相交。该协议展示了特殊的基质通用性,包括葡萄、银状、弧状、硅酸和甲酸衍生物。更重要的是,这一平台有助于高效地合成多种丙烯衍生物。</w:t>
      </w:r>
    </w:p>
    <w:p>
      <w:pPr>
        <w:spacing w:before="0" w:after="200" w:lineRule="auto" w:line="276"/>
      </w:pPr>
      <w:r>
        <w:rPr>
          <w:b/>
        </w:rPr>
        <w:t xml:space="preserve">Abstract (EN): </w:t>
      </w:r>
      <w:r>
        <w:t>In carbohydrate‐based drug discovery, fluorine‐containing substituents are widely used to enhance pharmacodynamic and pharmacokinetic profiles. However, the precise incorporation of C(sp</w:t>
      </w:r>
      <w:r>
        <w:rPr>
          <w:vertAlign w:val="subscript"/>
        </w:rPr>
        <w:t>3</w:t>
      </w:r>
      <w:r>
        <w:t>)‐perfluoroalkyl moieties at the C2 position of sugar scaffolds remains a significant synthetic challenge. In this study, we report a highly efficient and cost‐effective protocol for the synthesis of 2‐deoxy‐2‐perfluoroalkyl glycosides from readily available glycals. This protocol demonstrates exceptional substrate generality, encompassing glucal, galactal, rhamnal, sialic acid, and arabinofuranose derivatives. More importantly, this platform enables the efficient synthesis of diverse</w:t>
      </w:r>
      <w:r>
        <w:t xml:space="preserve"> </w:t>
      </w:r>
      <w:r>
        <w:t>C</w:t>
      </w:r>
      <w:r>
        <w:t xml:space="preserve"> </w:t>
      </w:r>
      <w:r>
        <w:t>‐,</w:t>
      </w:r>
      <w:r>
        <w:t xml:space="preserve"> </w:t>
      </w:r>
      <w:r>
        <w:t>N</w:t>
      </w:r>
      <w:r>
        <w:t xml:space="preserve"> </w:t>
      </w:r>
      <w:r>
        <w:t>‐, and</w:t>
      </w:r>
      <w:r>
        <w:t xml:space="preserve"> </w:t>
      </w:r>
      <w:r>
        <w:t>O</w:t>
      </w:r>
      <w:r>
        <w:t xml:space="preserve"> </w:t>
      </w:r>
      <w:r>
        <w:t>‐glycosides (over 50 examples) under gold(I)‐catalyzed conditions, including the synthesis of previously inaccessible 2‐deoxy‐2‐CF</w:t>
      </w:r>
      <w:r>
        <w:rPr>
          <w:vertAlign w:val="subscript"/>
        </w:rPr>
        <w:t>3</w:t>
      </w:r>
      <w:r>
        <w:t>‐substituted nucleoside analogues. Additionally, photocatalytically generated 2‐deoxy‐2‐CF</w:t>
      </w:r>
      <w:r>
        <w:rPr>
          <w:vertAlign w:val="subscript"/>
        </w:rPr>
        <w:t>3</w:t>
      </w:r>
      <w:r>
        <w:t>glycosyl anomeric radicals readily undergo Giese‐type additions to alkenes, affording alkylated glycosides, or engage in cross‐coupling with aryl bromides to deliver antidiabetic drug candidates. Preliminary biological evaluations indicate that 2‐deoxy‐2‐CF</w:t>
      </w:r>
      <w:r>
        <w:rPr>
          <w:vertAlign w:val="subscript"/>
        </w:rPr>
        <w:t>3</w:t>
      </w:r>
      <w:r>
        <w:t>‐modified glycosides exhibit enhanced pharmacological properties, underscoring the translational potential of this synthetic technique for advancing carbohydrate‐based therapeutics.</w:t>
      </w:r>
    </w:p>
    <w:p>
      <w:pPr>
        <w:spacing w:before="120" w:after="120"/>
      </w:pPr>
      <w:r>
        <w:rPr>
          <w:sz w:val="18"/>
        </w:rPr>
        <w:t>——————————————————————————————————————————————————————————————————————</w:t>
      </w:r>
    </w:p>
    <w:p>
      <w:pPr>
        <w:spacing w:before="160" w:after="40" w:line="240" w:lineRule="auto"/>
      </w:pPr>
      <w:r>
        <w:rPr>
          <w:b/>
        </w:rPr>
        <w:t xml:space="preserve">[130] </w:t>
      </w:r>
      <w:hyperlink r:id="rId197">
        <w:r>
          <w:rPr>
            <w:color w:val="1155CC"/>
            <w:u w:val="single"/>
          </w:rPr>
          <w:t>优化Peptide Ionable Iable Lipids 高效和低毒性 mRNA 交付,用于 Vivo 首版编辑和蛋白替代疗法</w:t>
        </w:r>
      </w:hyperlink>
    </w:p>
    <w:p>
      <w:pPr>
        <w:spacing w:before="0" w:after="80"/>
      </w:pPr>
      <w:r>
        <w:rPr>
          <w:i/>
          <w:sz w:val="20"/>
        </w:rPr>
        <w:t>EN: Optimizing Peptide Ionizable Lipids Enables Efficient and Low‐Toxicity mRNA Delivery for In Vivo Prime Editing and Protein Replacement Therapy</w:t>
      </w:r>
    </w:p>
    <w:p>
      <w:pPr>
        <w:spacing w:before="0" w:after="120"/>
      </w:pPr>
      <w:r>
        <w:rPr>
          <w:b/>
        </w:rPr>
        <w:t xml:space="preserve">Source: </w:t>
      </w:r>
      <w:r>
        <w:t>Wiley: Advanced Materials: Table of Contents</w:t>
      </w:r>
      <w:r>
        <w:t xml:space="preserve">    </w:t>
      </w:r>
      <w:r>
        <w:rPr>
          <w:b/>
        </w:rPr>
        <w:t xml:space="preserve">Pub date: </w:t>
      </w:r>
      <w:r>
        <w:t>2026-02-09 07:03:43+00:00</w:t>
      </w:r>
      <w:r>
        <w:t xml:space="preserve">    </w:t>
      </w:r>
      <w:r>
        <w:rPr>
          <w:b/>
        </w:rPr>
        <w:t xml:space="preserve">DOI: </w:t>
      </w:r>
      <w:hyperlink r:id="rId198">
        <w:r>
          <w:rPr>
            <w:color w:val="1155CC"/>
            <w:u w:val="single"/>
          </w:rPr>
          <w:t>10.1002/adma.202522552</w:t>
        </w:r>
      </w:hyperlink>
    </w:p>
    <w:p>
      <w:pPr>
        <w:spacing w:before="0" w:after="120"/>
      </w:pPr>
      <w:r>
        <w:rPr>
          <w:b/>
        </w:rPr>
        <w:t xml:space="preserve">Notes: </w:t>
      </w:r>
      <w:r>
        <w:t>abstract_source=crossref</w:t>
      </w:r>
    </w:p>
    <w:p>
      <w:pPr>
        <w:spacing w:before="0" w:after="80" w:lineRule="auto" w:line="276"/>
      </w:pPr>
      <w:r>
        <w:rPr>
          <w:b/>
        </w:rPr>
        <w:t xml:space="preserve">摘要（ZH）: </w:t>
      </w:r>
      <w:r>
        <w:t>APSTACT 高效 mRNA 脂质纳米粒子( LNP) 往往带来潜在的安全风险。 在这里,我们为peptide 离子脂肪( PILs) 建立了一个结构 — — 活动关系框架( 活动关系框架 ), 以便于合理设计安全有效的 mRNANPs 。 PIL 结构由三个模块组成: 构件、 侧链长度和疏水尾巴。 通过系统优化,发现了一个含四个构件和中度侧链长的铅化合物( Dab4 ), 这表明在保持高交付性能的同时将肝毒性降至最低。 利用这一框架,一系列Dab4-- 衍生的PILs, 包括烷基( 尾巴尾)、 酯( 尾尾尾) 和 氢氧化( 尾) 。 这一尾化学脱环被合成。</w:t>
      </w:r>
    </w:p>
    <w:p>
      <w:pPr>
        <w:spacing w:before="0" w:after="200" w:lineRule="auto" w:line="276"/>
      </w:pPr>
      <w:r>
        <w:rPr>
          <w:b/>
        </w:rPr>
        <w:t xml:space="preserve">Abstract (EN): </w:t>
      </w:r>
      <w:r>
        <w:t>Highly efficient mRNA lipid nanoparticle (LNP) often presents potential safety risks. Here, we establish a structure–activity relationship framework for peptide ionizable lipids (PILs) to facilitate the rational design of safe and effective mRNA‐LNPs. The PIL structure comprises three modular components: building block, side‐chain length, and hydrophobic tail. Through systematic optimization, a lead compound (Dab4) with four building blocks and a moderate side chain length was identified, demonstrating minimized hepatotoxicity while maintaining superior delivery performance. Leveraging this framework, a series of Dab4‐derived PILs with three tail types, including alkyl (a‐tail), ester (aat‐tail), and hydroxyl (e‐tail), were synthesized. This tail chemistry determined organ tropism, with B12‐a13Dab4 (a‐tail) showing optimal performance in the liver. The B12‐a13Dab4 LNP exhibited significantly higher hepatic delivery efficiency and markedly improved biosafety compared with the FDA‐approved SM‐102 formulation. Moreover, B12‐a13Dab4 LNP efficiently triggers in vivo prime editing by co‐delivering PE7 mRNA and epegRNA, and achieves significant therapeutic effects in a Hereditary Tyrosinemia Type 1 (HT‐1) model through repeated delivery fumarylacetoacetate hydrolase (FAH) mRNA. This study establishes rational design principles for PILs that strike a balance between efficacy and safety, offering a versatile mRNA‐LNP platform for the advancement of gene editing and protein replacement therapies.</w:t>
      </w:r>
    </w:p>
    <w:p>
      <w:pPr>
        <w:spacing w:before="120" w:after="120"/>
      </w:pPr>
      <w:r>
        <w:rPr>
          <w:sz w:val="18"/>
        </w:rPr>
        <w:t>——————————————————————————————————————————————————————————————————————</w:t>
      </w:r>
    </w:p>
    <w:p>
      <w:pPr>
        <w:spacing w:before="160" w:after="40" w:line="240" w:lineRule="auto"/>
      </w:pPr>
      <w:r>
        <w:rPr>
          <w:b/>
        </w:rPr>
        <w:t xml:space="preserve">[131] </w:t>
      </w:r>
      <w:hyperlink r:id="rId199">
        <w:r>
          <w:rPr>
            <w:color w:val="1155CC"/>
            <w:u w:val="single"/>
          </w:rPr>
          <w:t>第一原则确定异异质催化中的有效场所:关于ZnxCryOzLz用于合成气体转化的案例研究</w:t>
        </w:r>
      </w:hyperlink>
    </w:p>
    <w:p>
      <w:pPr>
        <w:spacing w:before="0" w:after="80"/>
      </w:pPr>
      <w:r>
        <w:rPr>
          <w:i/>
          <w:sz w:val="20"/>
        </w:rPr>
        <w:t>EN: First Principles Identification of Active Sites in Heterogeneous Catalysis: A Case Study on ZnxCryOz for Syngas Conversion</w:t>
      </w:r>
    </w:p>
    <w:p>
      <w:pPr>
        <w:spacing w:before="0" w:after="120"/>
      </w:pPr>
      <w:r>
        <w:rPr>
          <w:b/>
        </w:rPr>
        <w:t xml:space="preserve">Source: </w:t>
      </w:r>
      <w:r>
        <w:t>Wiley: Angewandte Chemie International Edition: Table of Contents</w:t>
      </w:r>
      <w:r>
        <w:t xml:space="preserve">    </w:t>
      </w:r>
      <w:r>
        <w:rPr>
          <w:b/>
        </w:rPr>
        <w:t xml:space="preserve">Pub date: </w:t>
      </w:r>
      <w:r>
        <w:t>2026-02-09 07:04:37+00:00</w:t>
      </w:r>
      <w:r>
        <w:t xml:space="preserve">    </w:t>
      </w:r>
      <w:r>
        <w:rPr>
          <w:b/>
        </w:rPr>
        <w:t xml:space="preserve">DOI: </w:t>
      </w:r>
      <w:hyperlink r:id="rId200">
        <w:r>
          <w:rPr>
            <w:color w:val="1155CC"/>
            <w:u w:val="single"/>
          </w:rPr>
          <w:t>10.1002/anie.202522416</w:t>
        </w:r>
      </w:hyperlink>
    </w:p>
    <w:p>
      <w:pPr>
        <w:spacing w:before="0" w:after="120"/>
      </w:pPr>
      <w:r>
        <w:rPr>
          <w:b/>
        </w:rPr>
        <w:t xml:space="preserve">Notes: </w:t>
      </w:r>
      <w:r>
        <w:t>abstract_source=crossref</w:t>
      </w:r>
    </w:p>
    <w:p>
      <w:pPr>
        <w:spacing w:before="0" w:after="80" w:lineRule="auto" w:line="276"/>
      </w:pPr>
      <w:r>
        <w:rPr>
          <w:b/>
        </w:rPr>
        <w:t xml:space="preserve">摘要（ZH）: </w:t>
      </w:r>
      <w:r>
        <w:t>ABSTACT 发现下一代多式催化剂需要接受在现实条件下活跃场地形成的全部复杂性。 在这里, 我们开发一个强大的机器学习潜力( MLP) 辅助计算框架, 整合现实的准备和反应条件, 以有效跟踪活跃场地的形成和破解结构动态关系。 使用 Zn x Cr y O Z 系统的合成气体转换作为示范, 我们发现这个系统优先与 ZnO 和 ZnCr 2 O 4 条隔离。</w:t>
      </w:r>
    </w:p>
    <w:p>
      <w:pPr>
        <w:spacing w:before="0" w:after="200" w:lineRule="auto" w:line="276"/>
      </w:pPr>
      <w:r>
        <w:rPr>
          <w:b/>
        </w:rPr>
        <w:t xml:space="preserve">Abstract (EN): </w:t>
      </w:r>
      <w:r>
        <w:t>Discovering next‐generation heterogeneous catalysts calls for embracing the full complexity of active site formation under realistic conditions. Here, we develop a robust machine learning potential (MLP)‐aided computational framework that integrates realistic preparation and reaction conditions to effectively track the formation of active sites and decipher structure‐activity relationships. Using syngas conversion over the Zn</w:t>
      </w:r>
      <w:r>
        <w:t xml:space="preserve"> </w:t>
      </w:r>
      <w:r>
        <w:t>x</w:t>
      </w:r>
      <w:r>
        <w:t xml:space="preserve"> </w:t>
      </w:r>
      <w:r>
        <w:t>Cr</w:t>
      </w:r>
      <w:r>
        <w:t xml:space="preserve"> </w:t>
      </w:r>
      <w:r>
        <w:t>y</w:t>
      </w:r>
      <w:r>
        <w:t xml:space="preserve"> </w:t>
      </w:r>
      <w:r>
        <w:t>O</w:t>
      </w:r>
      <w:r>
        <w:t xml:space="preserve"> </w:t>
      </w:r>
      <w:r>
        <w:t>z</w:t>
      </w:r>
      <w:r>
        <w:t xml:space="preserve"> </w:t>
      </w:r>
      <w:r>
        <w:t>system as a demonstration, we identified that the system preferentially segregates into ZnO and ZnCr</w:t>
      </w:r>
      <w:r>
        <w:rPr>
          <w:vertAlign w:val="subscript"/>
        </w:rPr>
        <w:t>2</w:t>
      </w:r>
      <w:r>
        <w:t>O</w:t>
      </w:r>
      <w:r>
        <w:rPr>
          <w:vertAlign w:val="subscript"/>
        </w:rPr>
        <w:t>4</w:t>
      </w:r>
      <w:r>
        <w:t>phases, with ZnO forming a monolayer on ZnCr</w:t>
      </w:r>
      <w:r>
        <w:rPr>
          <w:vertAlign w:val="subscript"/>
        </w:rPr>
        <w:t>2</w:t>
      </w:r>
      <w:r>
        <w:t>O</w:t>
      </w:r>
      <w:r>
        <w:rPr>
          <w:vertAlign w:val="subscript"/>
        </w:rPr>
        <w:t>4</w:t>
      </w:r>
      <w:r>
        <w:t>surfaces under preparation conditions. Under reaction conditions, by deploying CH─O bond dissociation as a descriptor, we found that the ZnO/ZnCr</w:t>
      </w:r>
      <w:r>
        <w:rPr>
          <w:vertAlign w:val="subscript"/>
        </w:rPr>
        <w:t>2</w:t>
      </w:r>
      <w:r>
        <w:t>O</w:t>
      </w:r>
      <w:r>
        <w:rPr>
          <w:vertAlign w:val="subscript"/>
        </w:rPr>
        <w:t>4</w:t>
      </w:r>
      <w:r>
        <w:t>(100) surface is the active surface. Crucially, we pinpoint geometrically linked oxygen vacancy pairs as the true active sites. Full microkinetic analyses conducted on these active sites yield kinetic results that align well with experimental observations. Beyond elucidating the active structure, a model for designing oxide/oxide catalysts to achieve high activity is generalized, opening new pathways for accelerating catalyst discovery across a wide range of reactions.</w:t>
      </w:r>
    </w:p>
    <w:p>
      <w:pPr>
        <w:spacing w:before="120" w:after="120"/>
      </w:pPr>
      <w:r>
        <w:rPr>
          <w:sz w:val="18"/>
        </w:rPr>
        <w:t>——————————————————————————————————————————————————————————————————————</w:t>
      </w:r>
    </w:p>
    <w:p>
      <w:pPr>
        <w:spacing w:before="160" w:after="40" w:line="240" w:lineRule="auto"/>
      </w:pPr>
      <w:r>
        <w:rPr>
          <w:b/>
        </w:rPr>
        <w:t xml:space="preserve">[132] </w:t>
      </w:r>
      <w:hyperlink r:id="rId201">
        <w:r>
          <w:rPr>
            <w:color w:val="1155CC"/>
            <w:u w:val="single"/>
          </w:rPr>
          <w:t>Glycan框架变换:自动化合成加速了19F-BioNMR对Glycan Protein相互作用的研究</w:t>
        </w:r>
      </w:hyperlink>
    </w:p>
    <w:p>
      <w:pPr>
        <w:spacing w:before="0" w:after="80"/>
      </w:pPr>
      <w:r>
        <w:rPr>
          <w:i/>
          <w:sz w:val="20"/>
        </w:rPr>
        <w:t>EN: Fluorinated Glycan Frameshifts: Automated Synthesis Expedites the Study of Glycan‐Protein Interactions by 19F‐BioNMR</w:t>
      </w:r>
    </w:p>
    <w:p>
      <w:pPr>
        <w:spacing w:before="0" w:after="120"/>
      </w:pPr>
      <w:r>
        <w:rPr>
          <w:b/>
        </w:rPr>
        <w:t xml:space="preserve">Source: </w:t>
      </w:r>
      <w:r>
        <w:t>Wiley: Angewandte Chemie International Edition: Table of Contents</w:t>
      </w:r>
      <w:r>
        <w:t xml:space="preserve">    </w:t>
      </w:r>
      <w:r>
        <w:rPr>
          <w:b/>
        </w:rPr>
        <w:t xml:space="preserve">Pub date: </w:t>
      </w:r>
      <w:r>
        <w:t>2026-02-09 07:24:20+00:00</w:t>
      </w:r>
      <w:r>
        <w:t xml:space="preserve">    </w:t>
      </w:r>
      <w:r>
        <w:rPr>
          <w:b/>
        </w:rPr>
        <w:t xml:space="preserve">DOI: </w:t>
      </w:r>
      <w:hyperlink r:id="rId202">
        <w:r>
          <w:rPr>
            <w:color w:val="1155CC"/>
            <w:u w:val="single"/>
          </w:rPr>
          <w:t>10.1002/anie.8014647</w:t>
        </w:r>
      </w:hyperlink>
    </w:p>
    <w:p>
      <w:pPr>
        <w:spacing w:before="0" w:after="120"/>
      </w:pPr>
      <w:r>
        <w:rPr>
          <w:b/>
        </w:rPr>
        <w:t xml:space="preserve">Notes: </w:t>
      </w:r>
      <w:r>
        <w:t>abstract_source=crossref</w:t>
      </w:r>
    </w:p>
    <w:p>
      <w:pPr>
        <w:spacing w:before="0" w:after="80" w:lineRule="auto" w:line="276"/>
      </w:pPr>
      <w:r>
        <w:rPr>
          <w:b/>
        </w:rPr>
        <w:t xml:space="preserve">摘要（ZH）: </w:t>
      </w:r>
      <w:r>
        <w:t>鉴于在结构研究中19种全氟辛烷磺酰氟在结构研究中占有显著地位,氟化甘油轮式在研究碳水化合物蛋白质相互作用方面有着巨大的潜力。为了对这一领域作出贡献,披露了与Klebsiella肺炎O3b抗原有关的选择性C2氟甘油的合成情况,并询问了与Concanavalin A(ConA)列车(ConA)的相互作用情况。利用自动甘油组装(AGA)加快了施工速度,利用C(sp 3)-F联产来控制Manosyl的立体选择性。</w:t>
      </w:r>
    </w:p>
    <w:p>
      <w:pPr>
        <w:spacing w:before="0" w:after="200" w:lineRule="auto" w:line="276"/>
      </w:pPr>
      <w:r>
        <w:rPr>
          <w:b/>
        </w:rPr>
        <w:t xml:space="preserve">Abstract (EN): </w:t>
      </w:r>
      <w:r>
        <w:t>Given the prominence of</w:t>
      </w:r>
      <w:r>
        <w:rPr>
          <w:vertAlign w:val="subscript"/>
        </w:rPr>
        <w:t>19</w:t>
      </w:r>
      <w:r>
        <w:t>F‐bioNMR in structural research, fluorinated glycan frameshifts hold enormous potential in studying carbohydrate‐protein interactions. To contribute to this field, the synthesis of selectively C‐2 fluorinated glycans related to the O3b antigen of</w:t>
      </w:r>
      <w:r>
        <w:t xml:space="preserve"> </w:t>
      </w:r>
      <w:r>
        <w:t>Klebsiella pneumoniae</w:t>
      </w:r>
      <w:r>
        <w:t xml:space="preserve"> </w:t>
      </w:r>
      <w:r>
        <w:t>is disclosed, and their interactions with the lectin Concanavalin A (ConA) are interrogated spectroscopically. Automated glycan assembly (AGA) was employed to expedite construction in which the C(sp</w:t>
      </w:r>
      <w:r>
        <w:rPr>
          <w:vertAlign w:val="subscript"/>
        </w:rPr>
        <w:t>3</w:t>
      </w:r>
      <w:r>
        <w:t>)‐F bond was leveraged to control stereoselectivity of α‐mannosylation. Subsequent</w:t>
      </w:r>
      <w:r>
        <w:rPr>
          <w:vertAlign w:val="subscript"/>
        </w:rPr>
        <w:t>19</w:t>
      </w:r>
      <w:r>
        <w:t>F‐BioNMR analysis of binding to ConA allowed determination of the respective IC</w:t>
      </w:r>
      <w:r>
        <w:rPr>
          <w:vertAlign w:val="subscript"/>
        </w:rPr>
        <w:t>50</w:t>
      </w:r>
      <w:r>
        <w:t>and</w:t>
      </w:r>
      <w:r>
        <w:t xml:space="preserve"> </w:t>
      </w:r>
      <w:r>
        <w:t>K</w:t>
      </w:r>
      <w:r>
        <w:t xml:space="preserve"> </w:t>
      </w:r>
      <w:r>
        <w:t>D</w:t>
      </w:r>
      <w:r>
        <w:t xml:space="preserve"> </w:t>
      </w:r>
      <w:r>
        <w:t>values; this revealed a conspicuous frameshift‐dependency in which one pattern dominated. Collectively, this study advocates for the strategic utilisation of the C(sp</w:t>
      </w:r>
      <w:r>
        <w:rPr>
          <w:vertAlign w:val="subscript"/>
        </w:rPr>
        <w:t>3</w:t>
      </w:r>
      <w:r>
        <w:t>)‐F bond in the design, construction, and analysis of probes to interrogate ubiquitous mannose‐binding lectins with therapeutic relevance.</w:t>
      </w:r>
    </w:p>
    <w:p>
      <w:pPr>
        <w:spacing w:before="120" w:after="120"/>
      </w:pPr>
      <w:r>
        <w:rPr>
          <w:sz w:val="18"/>
        </w:rPr>
        <w:t>——————————————————————————————————————————————————————————————————————</w:t>
      </w:r>
    </w:p>
    <w:p>
      <w:pPr>
        <w:spacing w:before="160" w:after="40" w:line="240" w:lineRule="auto"/>
      </w:pPr>
      <w:r>
        <w:rPr>
          <w:b/>
        </w:rPr>
        <w:t xml:space="preserve">[133] </w:t>
      </w:r>
      <w:hyperlink r:id="rId203">
        <w:r>
          <w:rPr>
            <w:color w:val="1155CC"/>
            <w:u w:val="single"/>
          </w:rPr>
          <w:t>有机荧光体和单熔碳纳诺管之间的远距离依附性能源转让</w:t>
        </w:r>
      </w:hyperlink>
    </w:p>
    <w:p>
      <w:pPr>
        <w:spacing w:before="0" w:after="80"/>
      </w:pPr>
      <w:r>
        <w:rPr>
          <w:i/>
          <w:sz w:val="20"/>
        </w:rPr>
        <w:t>EN: Distance‐Dependent Energy Transfer Between Organic Fluorophores and Single‐Walled Carbon Nanotubes</w:t>
      </w:r>
    </w:p>
    <w:p>
      <w:pPr>
        <w:spacing w:before="0" w:after="120"/>
      </w:pPr>
      <w:r>
        <w:rPr>
          <w:b/>
        </w:rPr>
        <w:t xml:space="preserve">Source: </w:t>
      </w:r>
      <w:r>
        <w:t>Wiley: Angewandte Chemie International Edition: Table of Contents</w:t>
      </w:r>
      <w:r>
        <w:t xml:space="preserve">    </w:t>
      </w:r>
      <w:r>
        <w:rPr>
          <w:b/>
        </w:rPr>
        <w:t xml:space="preserve">Pub date: </w:t>
      </w:r>
      <w:r>
        <w:t>2026-02-09 07:29:39+00:00</w:t>
      </w:r>
      <w:r>
        <w:t xml:space="preserve">    </w:t>
      </w:r>
      <w:r>
        <w:rPr>
          <w:b/>
        </w:rPr>
        <w:t xml:space="preserve">DOI: </w:t>
      </w:r>
      <w:hyperlink r:id="rId204">
        <w:r>
          <w:rPr>
            <w:color w:val="1155CC"/>
            <w:u w:val="single"/>
          </w:rPr>
          <w:t>10.1002/anie.202520411</w:t>
        </w:r>
      </w:hyperlink>
    </w:p>
    <w:p>
      <w:pPr>
        <w:spacing w:before="0" w:after="120"/>
      </w:pPr>
      <w:r>
        <w:rPr>
          <w:b/>
        </w:rPr>
        <w:t xml:space="preserve">Notes: </w:t>
      </w:r>
      <w:r>
        <w:t>abstract_source=crossref</w:t>
      </w:r>
    </w:p>
    <w:p>
      <w:pPr>
        <w:spacing w:before="0" w:after="80" w:lineRule="auto" w:line="276"/>
      </w:pPr>
      <w:r>
        <w:rPr>
          <w:b/>
        </w:rPr>
        <w:t xml:space="preserve">摘要（ZH）: </w:t>
      </w:r>
      <w:r>
        <w:t>ABSTACT 单壁碳纳米管(SWCNTs) 由于其内在的近红外荧光和环境敏感性,是充满希望的光学生物感测平台。 虽然DNASWCNT混合体已经进行了广泛研究,但SWNTs双层DNA(dsNDNA)的结构性安排及其对Exciton-氟化磷相互作用的影响仍然不够明确。 在这里,我们引入了垂直核酸(CNETvNA)的碳纳米体能量转移,其中氟磷位于与SWCNTs之间的一定距离,使用抗生素固定的固定捕获序列与补充的寡核糖核酸混合。 通过系统地将双倍长度从12对到24对基底,我们探索染料-SWCNT互动的距离依赖性。</w:t>
      </w:r>
    </w:p>
    <w:p>
      <w:pPr>
        <w:spacing w:before="0" w:after="200" w:lineRule="auto" w:line="276"/>
      </w:pPr>
      <w:r>
        <w:rPr>
          <w:b/>
        </w:rPr>
        <w:t xml:space="preserve">Abstract (EN): </w:t>
      </w:r>
      <w:r>
        <w:t>Single‐walled carbon nanotubes (SWCNTs) are promising optical biosensing platforms due to their intrinsic near‐infrared fluorescence and environmental sensitivity. While DNA‐SWCNT hybrids have been widely studied, the structural arrangement of double‐stranded DNA (dsDNA) on SWCNTs and its impact on exciton–fluorophore interactions remain insufficiently characterized. Here, we introduce carbon nanotube energy transfer with vertical nucleic acids (CNETvNA), in which fluorophores are positioned at defined distances from SWCNTs using guanine‐defect anchored capture sequences hybridized with complementary oligonucleotides. By systematically varying the duplex length from 12 to 24 base pairs, we probe the distance dependence of dye–SWCNT interactions at the single‐molecule level. Fluorescence lifetime imaging microscopy reveals efficient quenching of ATTO542 and ATTO643 dyes, with lifetime distributions reflecting heterogeneous duplex conformations. Molecular dynamics simulations demonstrate that dsDNA duplexes adopt a predominantly perpendicular orientation relative to the SWCNT axis, with increasing tilt and conformational variability at longer lengths. Combining experimental and computational results, we establish a distance dependence of d</w:t>
      </w:r>
      <w:r>
        <w:t xml:space="preserve"> </w:t>
      </w:r>
      <w:r>
        <w:t>−</w:t>
      </w:r>
      <w:r>
        <w:rPr>
          <w:vertAlign w:val="subscript"/>
        </w:rPr>
        <w:t>5</w:t>
      </w:r>
      <w:r>
        <w:t>with 7.4 ± 0.7 nm for 50% quenching efficiency, consistent with theoretical predictions for point dipole donors and 1D acceptors. These findings provide structural insights into DNA‐SWCNT conjugates and establish CNETvNA as a rational design principle for SWCNT‐based biosensors.</w:t>
      </w:r>
    </w:p>
    <w:p>
      <w:pPr>
        <w:spacing w:before="120" w:after="120"/>
      </w:pPr>
      <w:r>
        <w:rPr>
          <w:sz w:val="18"/>
        </w:rPr>
        <w:t>——————————————————————————————————————————————————————————————————————</w:t>
      </w:r>
    </w:p>
    <w:p>
      <w:pPr>
        <w:spacing w:before="160" w:after="40" w:line="240" w:lineRule="auto"/>
      </w:pPr>
      <w:r>
        <w:rPr>
          <w:b/>
        </w:rPr>
        <w:t xml:space="preserve">[134] </w:t>
      </w:r>
      <w:hyperlink r:id="rId205">
        <w:r>
          <w:rPr>
            <w:color w:val="1155CC"/>
            <w:u w:val="single"/>
          </w:rPr>
          <w:t>高价值-引力拉蒂扩大,以激活全国硫化硅电池的Li2S阴极</w:t>
        </w:r>
      </w:hyperlink>
    </w:p>
    <w:p>
      <w:pPr>
        <w:spacing w:before="0" w:after="80"/>
      </w:pPr>
      <w:r>
        <w:rPr>
          <w:i/>
          <w:sz w:val="20"/>
        </w:rPr>
        <w:t>EN: High‐Valence‐Cation‐Induced Lattice Expansion for Activating Li2S Cathode in All‐Solid‐State Lithium‐Sulfur Batteries</w:t>
      </w:r>
    </w:p>
    <w:p>
      <w:pPr>
        <w:spacing w:before="0" w:after="120"/>
      </w:pPr>
      <w:r>
        <w:rPr>
          <w:b/>
        </w:rPr>
        <w:t xml:space="preserve">Source: </w:t>
      </w:r>
      <w:r>
        <w:t>Wiley: Advanced Materials: Table of Contents</w:t>
      </w:r>
      <w:r>
        <w:t xml:space="preserve">    </w:t>
      </w:r>
      <w:r>
        <w:rPr>
          <w:b/>
        </w:rPr>
        <w:t xml:space="preserve">Pub date: </w:t>
      </w:r>
      <w:r>
        <w:t>2026-02-09 07:31:23+00:00</w:t>
      </w:r>
      <w:r>
        <w:t xml:space="preserve">    </w:t>
      </w:r>
      <w:r>
        <w:rPr>
          <w:b/>
        </w:rPr>
        <w:t xml:space="preserve">DOI: </w:t>
      </w:r>
      <w:hyperlink r:id="rId206">
        <w:r>
          <w:rPr>
            <w:color w:val="1155CC"/>
            <w:u w:val="single"/>
          </w:rPr>
          <w:t>10.1002/adma.72513</w:t>
        </w:r>
      </w:hyperlink>
    </w:p>
    <w:p>
      <w:pPr>
        <w:spacing w:before="0" w:after="120"/>
      </w:pPr>
      <w:r>
        <w:rPr>
          <w:b/>
        </w:rPr>
        <w:t xml:space="preserve">Notes: </w:t>
      </w:r>
      <w:r>
        <w:t>abstract_source=crossref</w:t>
      </w:r>
    </w:p>
    <w:p>
      <w:pPr>
        <w:spacing w:before="0" w:after="80" w:lineRule="auto" w:line="276"/>
      </w:pPr>
      <w:r>
        <w:rPr>
          <w:b/>
        </w:rPr>
        <w:t xml:space="preserve">摘要（ZH）: </w:t>
      </w:r>
      <w:r>
        <w:t>在所有固体硫化锂电池(ASSLSBs)中实际部署硫化锂(Li 2 S)阴极受到其贫弱的内分导力和高活化屏障的挑战。在这里,我们展示了使用Zr 4+替代技术从根本上激活Li 2 S的拉特式工程战略。 引进的Zr 4+扩大拉特式,造成锂空缺,使离子传导性提高两个级。 与此同时,Zr-S轨道混合缩小了电子导电率较高的带宽,并削弱了Li-S债券,以降低电导率。</w:t>
      </w:r>
    </w:p>
    <w:p>
      <w:pPr>
        <w:spacing w:before="0" w:after="200" w:lineRule="auto" w:line="276"/>
      </w:pPr>
      <w:r>
        <w:rPr>
          <w:b/>
        </w:rPr>
        <w:t xml:space="preserve">Abstract (EN): </w:t>
      </w:r>
      <w:r>
        <w:t>The practical deployment of lithium sulfide (Li</w:t>
      </w:r>
      <w:r>
        <w:rPr>
          <w:vertAlign w:val="subscript"/>
        </w:rPr>
        <w:t>2</w:t>
      </w:r>
      <w:r>
        <w:t>S) cathodes in all‐solid‐state lithium‐sulfur batteries (ASSLSBs) is challenged by their poor innate conductivities and high activation barriers. Here, we demonstrate a lattice engineering strategy using Zr</w:t>
      </w:r>
      <w:r>
        <w:t xml:space="preserve"> </w:t>
      </w:r>
      <w:r>
        <w:t>4+</w:t>
      </w:r>
      <w:r>
        <w:t xml:space="preserve"> </w:t>
      </w:r>
      <w:r>
        <w:t>substitution to fundamentally activate Li</w:t>
      </w:r>
      <w:r>
        <w:rPr>
          <w:vertAlign w:val="subscript"/>
        </w:rPr>
        <w:t>2</w:t>
      </w:r>
      <w:r>
        <w:t>S. The introduced Zr</w:t>
      </w:r>
      <w:r>
        <w:rPr>
          <w:vertAlign w:val="subscript"/>
        </w:rPr>
        <w:t>4</w:t>
      </w:r>
      <w:r>
        <w:t>+</w:t>
      </w:r>
      <w:r>
        <w:t xml:space="preserve"> </w:t>
      </w:r>
      <w:r>
        <w:t>expands the lattice, creating lithium vacancies that enhance ionic conductivity by two orders of magnitude. Simultaneously, Zr─S orbital hybridization narrows the bandgap for superior electronic conductivity and weakens Li─S bonds to lower the activation energy. This synergistic effect enables a highly reversible solid‐state sulfur conversion. As a result, our ASSLSB delivers an ultrahigh energy density of 996.2 Wh kg</w:t>
      </w:r>
      <w:r>
        <w:t xml:space="preserve"> </w:t>
      </w:r>
      <w:r>
        <w:t>−1</w:t>
      </w:r>
      <w:r>
        <w:t xml:space="preserve"> </w:t>
      </w:r>
      <w:r>
        <w:t>based on the cathode with a record 65 wt.% electrode‐level Li</w:t>
      </w:r>
      <w:r>
        <w:rPr>
          <w:vertAlign w:val="subscript"/>
        </w:rPr>
        <w:t>2</w:t>
      </w:r>
      <w:r>
        <w:t>S content and maintains stability for over 100 cycles, far exceeding the conventional configuration of ∼40 wt.% loading. This strategy establishes a viable pathway toward practical high‐energy‐density ASSLSBs by fundamentally activating Li</w:t>
      </w:r>
      <w:r>
        <w:rPr>
          <w:vertAlign w:val="subscript"/>
        </w:rPr>
        <w:t>2</w:t>
      </w:r>
      <w:r>
        <w:t>S electrochemistry.</w:t>
      </w:r>
    </w:p>
    <w:p>
      <w:pPr>
        <w:spacing w:before="120" w:after="120"/>
      </w:pPr>
      <w:r>
        <w:rPr>
          <w:sz w:val="18"/>
        </w:rPr>
        <w:t>——————————————————————————————————————————————————————————————————————</w:t>
      </w:r>
    </w:p>
    <w:p>
      <w:pPr>
        <w:spacing w:before="160" w:after="40" w:line="240" w:lineRule="auto"/>
      </w:pPr>
      <w:r>
        <w:rPr>
          <w:b/>
        </w:rPr>
        <w:t xml:space="preserve">[135] </w:t>
      </w:r>
      <w:hyperlink r:id="rId207">
        <w:r>
          <w:rPr>
            <w:color w:val="1155CC"/>
            <w:u w:val="single"/>
          </w:rPr>
          <w:t>加速合成纳菲翁多光膜中二维多尖性恒温聚体推动质子传导性</w:t>
        </w:r>
      </w:hyperlink>
    </w:p>
    <w:p>
      <w:pPr>
        <w:spacing w:before="0" w:after="80"/>
      </w:pPr>
      <w:r>
        <w:rPr>
          <w:i/>
          <w:sz w:val="20"/>
        </w:rPr>
        <w:t>EN: Supramolecular Nanoconfinement‐Accelerated Synthesis of Two‐Dimensional Styrenic Polymers Boosting Proton Conductivity in Nafion‐doped Membranes</w:t>
      </w:r>
    </w:p>
    <w:p>
      <w:pPr>
        <w:spacing w:before="0" w:after="120"/>
      </w:pPr>
      <w:r>
        <w:rPr>
          <w:b/>
        </w:rPr>
        <w:t xml:space="preserve">Source: </w:t>
      </w:r>
      <w:r>
        <w:t>Wiley: Angewandte Chemie International Edition: Table of Contents</w:t>
      </w:r>
      <w:r>
        <w:t xml:space="preserve">    </w:t>
      </w:r>
      <w:r>
        <w:rPr>
          <w:b/>
        </w:rPr>
        <w:t xml:space="preserve">Pub date: </w:t>
      </w:r>
      <w:r>
        <w:t>2026-02-09 07:35:09+00:00</w:t>
      </w:r>
      <w:r>
        <w:t xml:space="preserve">    </w:t>
      </w:r>
      <w:r>
        <w:rPr>
          <w:b/>
        </w:rPr>
        <w:t xml:space="preserve">DOI: </w:t>
      </w:r>
      <w:hyperlink r:id="rId208">
        <w:r>
          <w:rPr>
            <w:color w:val="1155CC"/>
            <w:u w:val="single"/>
          </w:rPr>
          <w:t>10.1002/anie.202525878</w:t>
        </w:r>
      </w:hyperlink>
    </w:p>
    <w:p>
      <w:pPr>
        <w:spacing w:before="0" w:after="120"/>
      </w:pPr>
      <w:r>
        <w:rPr>
          <w:b/>
        </w:rPr>
        <w:t xml:space="preserve">Notes: </w:t>
      </w:r>
      <w:r>
        <w:t>abstract_source=crossref</w:t>
      </w:r>
    </w:p>
    <w:p>
      <w:pPr>
        <w:spacing w:before="0" w:after="80" w:lineRule="auto" w:line="276"/>
      </w:pPr>
      <w:r>
        <w:rPr>
          <w:b/>
        </w:rPr>
        <w:t xml:space="preserve">摘要（ZH）: </w:t>
      </w:r>
      <w:r>
        <w:t>二维(2D)共价聚合物提供了环境稳定性、表面面积和机械抗御力,但功能性、独立的2D聚合物的准备仍具有挑战性。受磷素双层生物的启发,我们为2D共价聚合物合成开发了双层自组战略,配有定制的功能化表面。二维共价共价聚合物单体使用分子内部面对面堆放,产生折叠单体相容,达到接近统一的关键包装参数。这促使 2D 纳米表形成基本水溶液。同时的电静反作用使得自发脱色。在预组织框架内的原地基激进聚合物在纳米合成效应的加速下,结合了纳米合成效应,并加速了前组织框架内的原地基激进聚合物化。</w:t>
      </w:r>
    </w:p>
    <w:p>
      <w:pPr>
        <w:spacing w:before="0" w:after="200" w:lineRule="auto" w:line="276"/>
      </w:pPr>
      <w:r>
        <w:rPr>
          <w:b/>
        </w:rPr>
        <w:t xml:space="preserve">Abstract (EN): </w:t>
      </w:r>
      <w:r>
        <w:t>Two‐dimensional (2D) covalent polymers offer environmental stability, surface area, and mechanical resilience, but preparation of functional, freestanding 2D polymers remains challenging. Inspired by phospholipid bilayers, we developed a bilayer self‐assembly strategy for 2D covalent polymer synthesis with tailored functionalized surface. Ionic amphiphilic styrene monomers employ intramolecular face‐to‐face stacking, inducing a folded monomer conformation that achieves a critical packing parameter near unity. This drives 2D nanosheet formation in basic aqueous solution. Concurrent electrostatic repulsion enabled spontaneous exfoliation. In situ radical polymerization within preorganized framework, accelerated by nanoconfinement effect, converted supramolecular assemblies into covalent bilayer polymers with 95% monomer conversion. Incorporating sulfonic acid‐functionalized 2D polymers (0.66 wt%) into Nafion D2020 membrane enhanced mechanical strength and proton conductivity at room temperature. Fuel cell testing (70°C, 100% RH) demonstrated increased open‐circuit voltage (1.00 V vs. 0.96 V), suppressed hydrogen permeation, elevated peak power density (678.9 vs. 454.6 mW·cm</w:t>
      </w:r>
      <w:r>
        <w:t xml:space="preserve"> </w:t>
      </w:r>
      <w:r>
        <w:t>−2</w:t>
      </w:r>
      <w:r>
        <w:t xml:space="preserve"> </w:t>
      </w:r>
      <w:r>
        <w:t>), and reduced ohmic resistance (25.2 vs. 55.1 mΩ).</w:t>
      </w:r>
    </w:p>
    <w:p>
      <w:pPr>
        <w:spacing w:before="120" w:after="120"/>
      </w:pPr>
      <w:r>
        <w:rPr>
          <w:sz w:val="18"/>
        </w:rPr>
        <w:t>——————————————————————————————————————————————————————————————————————</w:t>
      </w:r>
    </w:p>
    <w:p>
      <w:pPr>
        <w:spacing w:before="160" w:after="40" w:line="240" w:lineRule="auto"/>
      </w:pPr>
      <w:r>
        <w:rPr>
          <w:b/>
        </w:rPr>
        <w:t xml:space="preserve">[136] </w:t>
      </w:r>
      <w:hyperlink r:id="rId209">
        <w:r>
          <w:rPr>
            <w:color w:val="1155CC"/>
            <w:u w:val="single"/>
          </w:rPr>
          <w:t>以锂硫动态元构思为根据的大型曲线的超快编程</w:t>
        </w:r>
      </w:hyperlink>
    </w:p>
    <w:p>
      <w:pPr>
        <w:spacing w:before="0" w:after="80"/>
      </w:pPr>
      <w:r>
        <w:rPr>
          <w:i/>
          <w:sz w:val="20"/>
        </w:rPr>
        <w:t>EN: Ultrafast Programming of Large Curvature Based on Selenium‐Sulfur Dynamic Metathesis</w:t>
      </w:r>
    </w:p>
    <w:p>
      <w:pPr>
        <w:spacing w:before="0" w:after="120"/>
      </w:pPr>
      <w:r>
        <w:rPr>
          <w:b/>
        </w:rPr>
        <w:t xml:space="preserve">Source: </w:t>
      </w:r>
      <w:r>
        <w:t>Wiley: Advanced Materials: Table of Contents</w:t>
      </w:r>
      <w:r>
        <w:t xml:space="preserve">    </w:t>
      </w:r>
      <w:r>
        <w:rPr>
          <w:b/>
        </w:rPr>
        <w:t xml:space="preserve">Pub date: </w:t>
      </w:r>
      <w:r>
        <w:t>2026-02-09 07:49:50+00:00</w:t>
      </w:r>
      <w:r>
        <w:t xml:space="preserve">    </w:t>
      </w:r>
      <w:r>
        <w:rPr>
          <w:b/>
        </w:rPr>
        <w:t xml:space="preserve">DOI: </w:t>
      </w:r>
      <w:hyperlink r:id="rId210">
        <w:r>
          <w:rPr>
            <w:color w:val="1155CC"/>
            <w:u w:val="single"/>
          </w:rPr>
          <w:t>10.1002/adma.202523642</w:t>
        </w:r>
      </w:hyperlink>
    </w:p>
    <w:p>
      <w:pPr>
        <w:spacing w:before="0" w:after="120"/>
      </w:pPr>
      <w:r>
        <w:rPr>
          <w:b/>
        </w:rPr>
        <w:t xml:space="preserve">Notes: </w:t>
      </w:r>
      <w:r>
        <w:t>abstract_source=crossref</w:t>
      </w:r>
    </w:p>
    <w:p>
      <w:pPr>
        <w:spacing w:before="0" w:after="80" w:lineRule="auto" w:line="276"/>
      </w:pPr>
      <w:r>
        <w:rPr>
          <w:b/>
        </w:rPr>
        <w:t xml:space="preserve">摘要（ZH）: </w:t>
      </w:r>
      <w:r>
        <w:t>ABSTACT 构造和整合曲线调节基于 2D 工作表的材料的结构和功能,但实现超快和可缩缩缩的曲线编程仍是一项重大挑战。我们通过将超快应力-脱离性含聚氨酯与超慢应力-脱硫-含溶解性聚氨酯相结合,迅速产生巨大的压力错配。与模块组件和压缩相结合,这种错配使得高压按地、向性地装载并具有极佳的可缩放性。使用这一策略,2D 聚合工作表在紫外辐射的10秒内实现180°弯曲,产生比艺术状态方法更快的15 倍的弯曲率。此外,显示37 倍增力的圆形模块,即圆形模块。</w:t>
      </w:r>
    </w:p>
    <w:p>
      <w:pPr>
        <w:spacing w:before="0" w:after="200" w:lineRule="auto" w:line="276"/>
      </w:pPr>
      <w:r>
        <w:rPr>
          <w:b/>
        </w:rPr>
        <w:t xml:space="preserve">Abstract (EN): </w:t>
      </w:r>
      <w:r>
        <w:t>The construction and integration of curvature govern the structure and function of materials based on 2D sheets, yet achieving ultrafast and scalable curvature programming remains a major challenge. We rapidly generate large stress mismatches by combining an ultrafast stress‐relaxing diselenide‐containing polyurethane with an ultraslow stress‐relaxing disulfide‐containing polyurethane. Coupled with modular components and compression, this mismatch enables localized, directional loading of high stress with excellent scalability. Using this strategy, 2D polymer sheets achieve 180° bending within 10 s of UV irradiation, yielding a curvature‐programming rate 15‐fold faster than state‐of‐the‐art methods. Furthermore, origami modules, which display a 37‐fold enhancement in compressive performance, can be obtained through mass production and assembled into complex 3D architectures. This rapid, high‐curvature programming approach offers efficiency, mechanical robustness, and scalability, advancing the practical deployment of origami‐based metamaterials.</w:t>
      </w:r>
    </w:p>
    <w:p>
      <w:pPr>
        <w:spacing w:before="120" w:after="120"/>
      </w:pPr>
      <w:r>
        <w:rPr>
          <w:sz w:val="18"/>
        </w:rPr>
        <w:t>——————————————————————————————————————————————————————————————————————</w:t>
      </w:r>
    </w:p>
    <w:p>
      <w:pPr>
        <w:spacing w:before="160" w:after="40" w:line="240" w:lineRule="auto"/>
      </w:pPr>
      <w:r>
        <w:rPr>
          <w:b/>
        </w:rPr>
        <w:t xml:space="preserve">[137] </w:t>
      </w:r>
      <w:hyperlink r:id="rId211">
        <w:r>
          <w:rPr>
            <w:color w:val="1155CC"/>
            <w:u w:val="single"/>
          </w:rPr>
          <w:t>Tip 引自 提高自 己浓度梯度 促进可持续电催化内尿合成催化器</w:t>
        </w:r>
      </w:hyperlink>
    </w:p>
    <w:p>
      <w:pPr>
        <w:spacing w:before="0" w:after="80"/>
      </w:pPr>
      <w:r>
        <w:rPr>
          <w:i/>
          <w:sz w:val="20"/>
        </w:rPr>
        <w:t>EN: Tip‐Induced Self‐Enhanced Concentration Gradients Catalyst for Sustainable Electrocatalytic Urea Synthesis</w:t>
      </w:r>
    </w:p>
    <w:p>
      <w:pPr>
        <w:spacing w:before="0" w:after="120"/>
      </w:pPr>
      <w:r>
        <w:rPr>
          <w:b/>
        </w:rPr>
        <w:t xml:space="preserve">Source: </w:t>
      </w:r>
      <w:r>
        <w:t>Wiley: Advanced Materials: Table of Contents</w:t>
      </w:r>
      <w:r>
        <w:t xml:space="preserve">    </w:t>
      </w:r>
      <w:r>
        <w:rPr>
          <w:b/>
        </w:rPr>
        <w:t xml:space="preserve">Pub date: </w:t>
      </w:r>
      <w:r>
        <w:t>2026-02-09 07:52:08+00:00</w:t>
      </w:r>
      <w:r>
        <w:t xml:space="preserve">    </w:t>
      </w:r>
      <w:r>
        <w:rPr>
          <w:b/>
        </w:rPr>
        <w:t xml:space="preserve">DOI: </w:t>
      </w:r>
      <w:hyperlink r:id="rId212">
        <w:r>
          <w:rPr>
            <w:color w:val="1155CC"/>
            <w:u w:val="single"/>
          </w:rPr>
          <w:t>10.1002/adma.202518547</w:t>
        </w:r>
      </w:hyperlink>
    </w:p>
    <w:p>
      <w:pPr>
        <w:spacing w:before="0" w:after="120"/>
      </w:pPr>
      <w:r>
        <w:rPr>
          <w:b/>
        </w:rPr>
        <w:t xml:space="preserve">Notes: </w:t>
      </w:r>
      <w:r>
        <w:t>abstract_source=crossref</w:t>
      </w:r>
    </w:p>
    <w:p>
      <w:pPr>
        <w:spacing w:before="0" w:after="80" w:lineRule="auto" w:line="276"/>
      </w:pPr>
      <w:r>
        <w:rPr>
          <w:b/>
        </w:rPr>
        <w:t xml:space="preserve">摘要（ZH）: </w:t>
      </w:r>
      <w:r>
        <w:t>通过CO2和NO3的CO2和NO3的COSTACT电催化C-N通过CO2和NO3的CO-N联结,是环境条件下可持续尿素合成的一条大有希望的途径,同时应对能源可持续性和环境补救方面的重大挑战,然而,由于C-N联动缓慢,氢进化反应相互竞争,严重限制了能源转换效率,妨碍了其实际实施。在此,我们提议了一项由Tip引发的本地电场战略,产生自增强的浓度梯度,以促进电催化C-N联动。</w:t>
      </w:r>
    </w:p>
    <w:p>
      <w:pPr>
        <w:spacing w:before="0" w:after="200" w:lineRule="auto" w:line="276"/>
      </w:pPr>
      <w:r>
        <w:rPr>
          <w:b/>
        </w:rPr>
        <w:t xml:space="preserve">Abstract (EN): </w:t>
      </w:r>
      <w:r>
        <w:t>Electrocatalytic C─N coupling via the co‐reduction of CO</w:t>
      </w:r>
      <w:r>
        <w:rPr>
          <w:vertAlign w:val="subscript"/>
        </w:rPr>
        <w:t>2</w:t>
      </w:r>
      <w:r>
        <w:t>and NO</w:t>
      </w:r>
      <w:r>
        <w:rPr>
          <w:vertAlign w:val="subscript"/>
        </w:rPr>
        <w:t>3</w:t>
      </w:r>
      <w:r>
        <w:t>−</w:t>
      </w:r>
      <w:r>
        <w:t>represents a promising route for sustainable urea synthesis under ambient conditions, simultaneously addressing critical challenges in energy sustainability and environmental remediation. However, its practical implementation is hindered by sluggish C─N coupling kinetics and the competing hydrogen evolution reaction (HER), which severely restricts energy conversion efficiency. Herein, we propose a tip‐induced local electric field strategy that generates a self‐enhanced concentration gradient to promote electrocatalytic C─N coupling. By constructing densely aligned Co</w:t>
      </w:r>
      <w:r>
        <w:rPr>
          <w:vertAlign w:val="subscript"/>
        </w:rPr>
        <w:t>3</w:t>
      </w:r>
      <w:r>
        <w:t>O</w:t>
      </w:r>
      <w:r>
        <w:rPr>
          <w:vertAlign w:val="subscript"/>
        </w:rPr>
        <w:t>4</w:t>
      </w:r>
      <w:r>
        <w:t>nanoneedles on carbon cloth, an outstanding electrocatalytic performance was achieved, requiring only an ultra‐low potential of −0.60 V versus reversible hydrogen electrode (RHE) while delivering a high urea yield rate of 49.63 umol h</w:t>
      </w:r>
      <w:r>
        <w:t xml:space="preserve"> </w:t>
      </w:r>
      <w:r>
        <w:t>−1</w:t>
      </w:r>
      <w:r>
        <w:t xml:space="preserve"> </w:t>
      </w:r>
      <w:r>
        <w:t>cm</w:t>
      </w:r>
      <w:r>
        <w:t xml:space="preserve"> </w:t>
      </w:r>
      <w:r>
        <w:t>−2</w:t>
      </w:r>
      <w:r>
        <w:t xml:space="preserve"> </w:t>
      </w:r>
      <w:r>
        <w:t>and a Faradic efficiency of 21.37%. Finite element simulations reveal that the nanoscale high‐curvature tip generates an intensified local electric field, enriching potassium ions (K</w:t>
      </w:r>
      <w:r>
        <w:t xml:space="preserve"> </w:t>
      </w:r>
      <w:r>
        <w:t>+</w:t>
      </w:r>
      <w:r>
        <w:t xml:space="preserve"> </w:t>
      </w:r>
      <w:r>
        <w:t>) at the electrode‐electrolyte interface to stabilize key intermediates and direct the reaction pathway toward C─N coupling. Moreover, a series of operando spectroscopic characterizations provide direct evidence for enhanced C─N coupling process under an intensified local electric field. This work offers a generalizable strategy for energy‐efficient C─N coupling, paving the way for sustainable utilization of nitrogen and carbon resources.</w:t>
      </w:r>
    </w:p>
    <w:p>
      <w:pPr>
        <w:spacing w:before="120" w:after="120"/>
      </w:pPr>
      <w:r>
        <w:rPr>
          <w:sz w:val="18"/>
        </w:rPr>
        <w:t>——————————————————————————————————————————————————————————————————————</w:t>
      </w:r>
    </w:p>
    <w:p>
      <w:pPr>
        <w:spacing w:before="160" w:after="40" w:line="240" w:lineRule="auto"/>
      </w:pPr>
      <w:r>
        <w:rPr>
          <w:b/>
        </w:rPr>
        <w:t xml:space="preserve">[138] </w:t>
      </w:r>
      <w:hyperlink r:id="rId213">
        <w:r>
          <w:rPr>
            <w:color w:val="1155CC"/>
            <w:u w:val="single"/>
          </w:rPr>
          <w:t>实现废物硝酸盐和硫化物的节能电化价价</w:t>
        </w:r>
      </w:hyperlink>
    </w:p>
    <w:p>
      <w:pPr>
        <w:spacing w:before="0" w:after="80"/>
      </w:pPr>
      <w:r>
        <w:rPr>
          <w:i/>
          <w:sz w:val="20"/>
        </w:rPr>
        <w:t>EN: Toward Energy Efficient Electrochemical Valorization of Waste Nitrate and Sulfide</w:t>
      </w:r>
    </w:p>
    <w:p>
      <w:pPr>
        <w:spacing w:before="0" w:after="120"/>
      </w:pPr>
      <w:r>
        <w:rPr>
          <w:b/>
        </w:rPr>
        <w:t xml:space="preserve">Source: </w:t>
      </w:r>
      <w:r>
        <w:t>Wiley: Advanced Materials: Table of Contents</w:t>
      </w:r>
      <w:r>
        <w:t xml:space="preserve">    </w:t>
      </w:r>
      <w:r>
        <w:rPr>
          <w:b/>
        </w:rPr>
        <w:t xml:space="preserve">Pub date: </w:t>
      </w:r>
      <w:r>
        <w:t>2026-02-09 07:53:38+00:00</w:t>
      </w:r>
      <w:r>
        <w:t xml:space="preserve">    </w:t>
      </w:r>
      <w:r>
        <w:rPr>
          <w:b/>
        </w:rPr>
        <w:t xml:space="preserve">DOI: </w:t>
      </w:r>
      <w:hyperlink r:id="rId214">
        <w:r>
          <w:rPr>
            <w:color w:val="1155CC"/>
            <w:u w:val="single"/>
          </w:rPr>
          <w:t>10.1002/adma.202517966</w:t>
        </w:r>
      </w:hyperlink>
    </w:p>
    <w:p>
      <w:pPr>
        <w:spacing w:before="0" w:after="120"/>
      </w:pPr>
      <w:r>
        <w:rPr>
          <w:b/>
        </w:rPr>
        <w:t xml:space="preserve">Notes: </w:t>
      </w:r>
      <w:r>
        <w:t>abstract_source=crossref</w:t>
      </w:r>
    </w:p>
    <w:p>
      <w:pPr>
        <w:spacing w:before="0" w:after="80" w:lineRule="auto" w:line="276"/>
      </w:pPr>
      <w:r>
        <w:rPr>
          <w:b/>
        </w:rPr>
        <w:t xml:space="preserve">摘要（ZH）: </w:t>
      </w:r>
      <w:r>
        <w:t>随着可再生电力、电催化废物处理和定量化的成本持续下降,电催化废物处理和定量化作为将废物分子转化为有价值的化学品的可持续途径,日益受到越来越多的关注。 在这里,我们报告了一项节能战略,即将硝硝酸减少(NO 3 R)与硫化氧化反应(SOR)结合,同时对污染物进行补救,并生产增值化学品。我们通过使用一种双分子复合体,将钴聚氯二氯氰胺(CoPc)和铜聚氯二氯丙氰胺(CuPc)结合在碳纳米管上,我们实现了强化的氨(NH 3)生产,与碳纳米管相匹配。</w:t>
      </w:r>
    </w:p>
    <w:p>
      <w:pPr>
        <w:spacing w:before="0" w:after="200" w:lineRule="auto" w:line="276"/>
      </w:pPr>
      <w:r>
        <w:rPr>
          <w:b/>
        </w:rPr>
        <w:t xml:space="preserve">Abstract (EN): </w:t>
      </w:r>
      <w:r>
        <w:t>With the continuously decreasing levelized cost of renewable electricity, electrocatalytic waste treatment and valorizations have attracted increasing attention as sustainable routes for converting waste molecules into valuable chemicals. Here, we report an energy‐efficient strategy that couples nitrate‐reduction (NO</w:t>
      </w:r>
      <w:r>
        <w:rPr>
          <w:vertAlign w:val="subscript"/>
        </w:rPr>
        <w:t>3</w:t>
      </w:r>
      <w:r>
        <w:t>R) with sulfide‐oxidation reaction (SOR) to simultaneously remediate pollutants and produce value‐added chemicals. By utilizing a dual‐catalyst composite in which cobalt polyphthalocyanine (CoPc) and copper polyphthalocyanine (CuPc) are co‐anchored on carbon nanotubes, we achieve enhanced cathodic ammonia (NH</w:t>
      </w:r>
      <w:r>
        <w:rPr>
          <w:vertAlign w:val="subscript"/>
        </w:rPr>
        <w:t>3</w:t>
      </w:r>
      <w:r>
        <w:t>) production that is well matched with efficient anodic thiosulfate formation. This paired NO</w:t>
      </w:r>
      <w:r>
        <w:rPr>
          <w:vertAlign w:val="subscript"/>
        </w:rPr>
        <w:t>3</w:t>
      </w:r>
      <w:r>
        <w:t>R‐SOR system enables the direct synthesis of ammonium thiosulfate, a valuable fertilizer feedstock, via simple mixing of the anolyte and catholyte. Kinetic analysis reveals that the improved NH</w:t>
      </w:r>
      <w:r>
        <w:rPr>
          <w:vertAlign w:val="subscript"/>
        </w:rPr>
        <w:t>3</w:t>
      </w:r>
      <w:r>
        <w:t>production originates from a relay of the</w:t>
      </w:r>
      <w:r>
        <w:t xml:space="preserve"> </w:t>
      </w:r>
      <w:r>
        <w:t>*</w:t>
      </w:r>
      <w:r>
        <w:t xml:space="preserve"> </w:t>
      </w:r>
      <w:r>
        <w:t>NO</w:t>
      </w:r>
      <w:r>
        <w:rPr>
          <w:vertAlign w:val="subscript"/>
        </w:rPr>
        <w:t>2</w:t>
      </w:r>
      <w:r>
        <w:t>from Cu‐ to Co‐sites, allowing both active‐sites to bypass their respective rate‐limiting steps. Based on these insights, we demonstrate an integrated NO</w:t>
      </w:r>
      <w:r>
        <w:rPr>
          <w:vertAlign w:val="subscript"/>
        </w:rPr>
        <w:t>3</w:t>
      </w:r>
      <w:r>
        <w:t>R||SOR system that substantially lowers the required cell voltage compared with conventional NO</w:t>
      </w:r>
      <w:r>
        <w:rPr>
          <w:vertAlign w:val="subscript"/>
        </w:rPr>
        <w:t>3</w:t>
      </w:r>
      <w:r>
        <w:t>R||OER (oxygen evolution reaction) systems, achieving a 64% reduction in energy consumption at 200 mA cm</w:t>
      </w:r>
      <w:r>
        <w:t xml:space="preserve"> </w:t>
      </w:r>
      <w:r>
        <w:t>−2</w:t>
      </w:r>
      <w:r>
        <w:t xml:space="preserve"> </w:t>
      </w:r>
      <w:r>
        <w:t>. Preliminary techno‐economic analysis further suggests a substantial increase in energy‐normalized product value, highlighting a sustainable approach for coupled waste treatment and chemical production.</w:t>
      </w:r>
    </w:p>
    <w:p>
      <w:pPr>
        <w:spacing w:before="120" w:after="120"/>
      </w:pPr>
      <w:r>
        <w:rPr>
          <w:sz w:val="18"/>
        </w:rPr>
        <w:t>——————————————————————————————————————————————————————————————————————</w:t>
      </w:r>
    </w:p>
    <w:p>
      <w:pPr>
        <w:spacing w:before="160" w:after="40" w:line="240" w:lineRule="auto"/>
      </w:pPr>
      <w:r>
        <w:rPr>
          <w:b/>
        </w:rPr>
        <w:t xml:space="preserve">[139] </w:t>
      </w:r>
      <w:hyperlink r:id="rId215">
        <w:r>
          <w:rPr>
            <w:color w:val="1155CC"/>
            <w:u w:val="single"/>
          </w:rPr>
          <w:t>基于极极光极极分光探测和记忆化的光催化Dye/聚氨酯半导体散散装乙基血压结合的Chiropto-Neurortic 设备</w:t>
        </w:r>
      </w:hyperlink>
    </w:p>
    <w:p>
      <w:pPr>
        <w:spacing w:before="0" w:after="80"/>
      </w:pPr>
      <w:r>
        <w:rPr>
          <w:i/>
          <w:sz w:val="20"/>
        </w:rPr>
        <w:t>EN: Chiropto‐Neuromorphic Devices Based on a Photocatalytic Dye/Polymer Semiconductor Bulk Heterojunction for Circularly Polarized Light Detection and Memorization</w:t>
      </w:r>
    </w:p>
    <w:p>
      <w:pPr>
        <w:spacing w:before="0" w:after="120"/>
      </w:pPr>
      <w:r>
        <w:rPr>
          <w:b/>
        </w:rPr>
        <w:t xml:space="preserve">Source: </w:t>
      </w:r>
      <w:r>
        <w:t>Wiley: Advanced Materials: Table of Contents</w:t>
      </w:r>
      <w:r>
        <w:t xml:space="preserve">    </w:t>
      </w:r>
      <w:r>
        <w:rPr>
          <w:b/>
        </w:rPr>
        <w:t xml:space="preserve">Pub date: </w:t>
      </w:r>
      <w:r>
        <w:t>2026-02-09 07:54:29+00:00</w:t>
      </w:r>
      <w:r>
        <w:t xml:space="preserve">    </w:t>
      </w:r>
      <w:r>
        <w:rPr>
          <w:b/>
        </w:rPr>
        <w:t xml:space="preserve">DOI: </w:t>
      </w:r>
      <w:hyperlink r:id="rId216">
        <w:r>
          <w:rPr>
            <w:color w:val="1155CC"/>
            <w:u w:val="single"/>
          </w:rPr>
          <w:t>10.1002/adma.202523436</w:t>
        </w:r>
      </w:hyperlink>
    </w:p>
    <w:p>
      <w:pPr>
        <w:spacing w:before="0" w:after="120"/>
      </w:pPr>
      <w:r>
        <w:rPr>
          <w:b/>
        </w:rPr>
        <w:t xml:space="preserve">Notes: </w:t>
      </w:r>
      <w:r>
        <w:t>abstract_source=crossref</w:t>
      </w:r>
    </w:p>
    <w:p>
      <w:pPr>
        <w:spacing w:before="0" w:after="80" w:lineRule="auto" w:line="276"/>
      </w:pPr>
      <w:r>
        <w:rPr>
          <w:b/>
        </w:rPr>
        <w:t xml:space="preserve">摘要（ZH）: </w:t>
      </w:r>
      <w:r>
        <w:t>ABSTACT 神经突变计算是仿效人类大脑高能效处理工艺的,已成为下一代人工智能的关键技术。将对循环两极光(CPL)的敏感度结合为循环两极光(CPL)为光学数据编码提供了额外程度的自由度,然而实际实施仍然受到物质不稳定和复杂、不可扩缩的制造的限制。这项工作引入了有机神经突变装置,通过极光光诱发电荷转移剂量机制应对这些挑战。该系统使用一种经处理的散装异质连接(BHJ ), 由一手手双克隆双极光染色和一个聚合物半导体(PBTTTNC12)组成, 将CPL传递转化为稳定的非挥发性。</w:t>
      </w:r>
    </w:p>
    <w:p>
      <w:pPr>
        <w:spacing w:before="0" w:after="200" w:lineRule="auto" w:line="276"/>
      </w:pPr>
      <w:r>
        <w:rPr>
          <w:b/>
        </w:rPr>
        <w:t xml:space="preserve">Abstract (EN): </w:t>
      </w:r>
      <w:r>
        <w:t>Neuromorphic computing, which emulates the energy‐efficient processing of the human brain, has emerged as a key technology for next‐generation artificial intelligence. Integrating sensitivity to circularly polarized light (CPL) provides an additional degree of freedom for optical data encoding, yet practical implementation remains limited by material instability and complex, non‐scalable fabrication. This work introduces a chiropto‐neuromorphic device that addresses these challenges through a polarized light‐induced charge transfer doping mechanism. The system employs a solution‐processed bulk heterojunction (BHJ) composed of a chiral boron dipyrromethene (BODIPY) dye and a polymer semiconductor (PBTTT‐C12) to translate CPL handedness into a stable nonvolatile memory state. Chirality‐dependent charge transfer modulates the polymer's doping level, enabling precise control of synaptic weight. The device emulates key biological synaptic functions, including short‐ and long‐term plasticity, paired‐pulse facilitation, and stimulus‐dependent plasticity governed by light number, duration, and intensity, while maintaining distinct chiroptical selectivity. Notably, its energy consumption remains at the picojoule (pJ) level per synaptic event, comparable to biological synapses. By introducing chirality as a new control dimension for synaptic modulation, this study demonstrates a scalable and powerful platform for polarization‐encoded neuromorphic information processing and establishes a foundation for advanced artificial sensory systems capable of handling complex chiral optical signals.</w:t>
      </w:r>
    </w:p>
    <w:p>
      <w:pPr>
        <w:spacing w:before="120" w:after="120"/>
      </w:pPr>
      <w:r>
        <w:rPr>
          <w:sz w:val="18"/>
        </w:rPr>
        <w:t>——————————————————————————————————————————————————————————————————————</w:t>
      </w:r>
    </w:p>
    <w:p>
      <w:pPr>
        <w:spacing w:before="160" w:after="40" w:line="240" w:lineRule="auto"/>
      </w:pPr>
      <w:r>
        <w:rPr>
          <w:b/>
        </w:rPr>
        <w:t xml:space="preserve">[140] </w:t>
      </w:r>
      <w:hyperlink r:id="rId217">
        <w:r>
          <w:rPr>
            <w:color w:val="1155CC"/>
            <w:u w:val="single"/>
          </w:rPr>
          <w:t>由生物启发的等级式纳米动物学家,与异血体相协调的Fe-P-全太平洋合作桥梁-受控电催化有机氧的减少</w:t>
        </w:r>
      </w:hyperlink>
    </w:p>
    <w:p>
      <w:pPr>
        <w:spacing w:before="0" w:after="80"/>
      </w:pPr>
      <w:r>
        <w:rPr>
          <w:i/>
          <w:sz w:val="20"/>
        </w:rPr>
        <w:t>EN: Bio‐Inspired Hierarchical Nanoreactor With Hetero‐Coordinated Fe–P–Co Bridges for Whole‐Pathway‐Regulated Electrocatalytic Oxygen Reduction</w:t>
      </w:r>
    </w:p>
    <w:p>
      <w:pPr>
        <w:spacing w:before="0" w:after="120"/>
      </w:pPr>
      <w:r>
        <w:rPr>
          <w:b/>
        </w:rPr>
        <w:t xml:space="preserve">Source: </w:t>
      </w:r>
      <w:r>
        <w:t>Wiley: Advanced Materials: Table of Contents</w:t>
      </w:r>
      <w:r>
        <w:t xml:space="preserve">    </w:t>
      </w:r>
      <w:r>
        <w:rPr>
          <w:b/>
        </w:rPr>
        <w:t xml:space="preserve">Pub date: </w:t>
      </w:r>
      <w:r>
        <w:t>2026-02-09 07:57:01+00:00</w:t>
      </w:r>
      <w:r>
        <w:t xml:space="preserve">    </w:t>
      </w:r>
      <w:r>
        <w:rPr>
          <w:b/>
        </w:rPr>
        <w:t xml:space="preserve">DOI: </w:t>
      </w:r>
      <w:hyperlink r:id="rId218">
        <w:r>
          <w:rPr>
            <w:color w:val="1155CC"/>
            <w:u w:val="single"/>
          </w:rPr>
          <w:t>10.1002/adma.202522781</w:t>
        </w:r>
      </w:hyperlink>
    </w:p>
    <w:p>
      <w:pPr>
        <w:spacing w:before="0" w:after="120"/>
      </w:pPr>
      <w:r>
        <w:rPr>
          <w:b/>
        </w:rPr>
        <w:t xml:space="preserve">Notes: </w:t>
      </w:r>
      <w:r>
        <w:t>abstract_source=crossref</w:t>
      </w:r>
    </w:p>
    <w:p>
      <w:pPr>
        <w:spacing w:before="0" w:after="80" w:lineRule="auto" w:line="276"/>
      </w:pPr>
      <w:r>
        <w:rPr>
          <w:b/>
        </w:rPr>
        <w:t xml:space="preserve">摘要（ZH）: </w:t>
      </w:r>
      <w:r>
        <w:t>ABSTACT 高效氧减少反应(ORR) 需要协调活性场所的氧吸附、运输和催化。 但大多数研究只涉及一个步骤,忽略了全正路O2监管,从而限制了性能。 在这里,我们报告了一个关于Ndopped碳的Codoped Fe 2 P(Ndopped 碳 ), 其内含一种类似于纳米结构的等级式的纳米结构,其设计目的是在整个电化学循环中调节氧气,其中Fe-P-Co-hetero-通过Fe-N债券固定在碳基质上的协调桥梁引发强大的电子联结和两极化。 等级结构生成了丰富OH的本地电场。</w:t>
      </w:r>
    </w:p>
    <w:p>
      <w:pPr>
        <w:spacing w:before="0" w:after="200" w:lineRule="auto" w:line="276"/>
      </w:pPr>
      <w:r>
        <w:rPr>
          <w:b/>
        </w:rPr>
        <w:t xml:space="preserve">Abstract (EN): </w:t>
      </w:r>
      <w:r>
        <w:t>Efficient oxygen reduction reaction (ORR) requires coordination of oxygen adsorption, transport, and catalysis at active sites. Yet most studies address only one step, overlooking whole‐pathway O</w:t>
      </w:r>
      <w:r>
        <w:rPr>
          <w:vertAlign w:val="subscript"/>
        </w:rPr>
        <w:t>2</w:t>
      </w:r>
      <w:r>
        <w:t>regulation and thus limiting performance. Here, we report a bioinspired Co‐doped Fe</w:t>
      </w:r>
      <w:r>
        <w:rPr>
          <w:vertAlign w:val="subscript"/>
        </w:rPr>
        <w:t>2</w:t>
      </w:r>
      <w:r>
        <w:t>P on N‐doped carbon featuring a hierarchical eucalyptus‐like nanoarchitecture, engineered to regulate oxygen throughout the electrochemical cycle, where Fe–P–Co hetero‐coordinated bridges anchored to the carbon substrate through Fe─N bonds induce strong electronic coupling and polarization. The hierarchical structure generated local electric fields that enriched OH</w:t>
      </w:r>
      <w:r>
        <w:t xml:space="preserve"> </w:t>
      </w:r>
      <w:r>
        <w:t>−</w:t>
      </w:r>
      <w:r>
        <w:t>and O</w:t>
      </w:r>
      <w:r>
        <w:rPr>
          <w:vertAlign w:val="subscript"/>
        </w:rPr>
        <w:t>2</w:t>
      </w:r>
      <w:r>
        <w:t>, while multilevel porosity accelerated oxygen transport. This enabled coordinated optimization of oxygen adsorption, transfer, and active‐site electronic configuration. This nanohybrid achieved a half‐wave potential of 0.938 V vs. RHE, sustained discharge in Al‐air batteries for 373 h, and delivered an energy density of 3487 Wh/kg. Theoretical simulations revealed that Co‐doping shortened Fe─P bonds and tuned the Fe electronic environment, lowering the d‐band center and weakening Fe 3d‐O 2p interactions, which reduced the *OH desorption barrier and accelerated ORR kinetics. In situ Raman spectroscopy revealed that Fe–P–Co bridges served as active centers facilitating *OH release during ORR. These findings indicate that integrating hierarchical architecture, hetero‐coordinated Fe–P–Co bridges, and electronic‐state modulation enables whole‐pathway O</w:t>
      </w:r>
      <w:r>
        <w:rPr>
          <w:vertAlign w:val="subscript"/>
        </w:rPr>
        <w:t>2</w:t>
      </w:r>
      <w:r>
        <w:t>management for efficient oxygen electrocatalysis.</w:t>
      </w:r>
    </w:p>
    <w:p>
      <w:pPr>
        <w:spacing w:before="120" w:after="120"/>
      </w:pPr>
      <w:r>
        <w:rPr>
          <w:sz w:val="18"/>
        </w:rPr>
        <w:t>——————————————————————————————————————————————————————————————————————</w:t>
      </w:r>
    </w:p>
    <w:p>
      <w:pPr>
        <w:spacing w:before="160" w:after="40" w:line="240" w:lineRule="auto"/>
      </w:pPr>
      <w:r>
        <w:rPr>
          <w:b/>
        </w:rPr>
        <w:t xml:space="preserve">[141] </w:t>
      </w:r>
      <w:hyperlink r:id="rId219">
        <w:r>
          <w:rPr>
            <w:color w:val="1155CC"/>
            <w:u w:val="single"/>
          </w:rPr>
          <w:t>热力再生和全缩式拒绝的热力再生和热力再生成型</w:t>
        </w:r>
      </w:hyperlink>
    </w:p>
    <w:p>
      <w:pPr>
        <w:spacing w:before="0" w:after="80"/>
      </w:pPr>
      <w:r>
        <w:rPr>
          <w:i/>
          <w:sz w:val="20"/>
        </w:rPr>
        <w:t>EN: Liver Tissueoid on‐a‐Chip Modeling Liver Regeneration and Allograft Rejection</w:t>
      </w:r>
    </w:p>
    <w:p>
      <w:pPr>
        <w:spacing w:before="0" w:after="120"/>
      </w:pPr>
      <w:r>
        <w:rPr>
          <w:b/>
        </w:rPr>
        <w:t xml:space="preserve">Source: </w:t>
      </w:r>
      <w:r>
        <w:t>Wiley: Advanced Materials: Table of Contents</w:t>
      </w:r>
      <w:r>
        <w:t xml:space="preserve">    </w:t>
      </w:r>
      <w:r>
        <w:rPr>
          <w:b/>
        </w:rPr>
        <w:t xml:space="preserve">Pub date: </w:t>
      </w:r>
      <w:r>
        <w:t>2026-02-09 07:57:58+00:00</w:t>
      </w:r>
      <w:r>
        <w:t xml:space="preserve">    </w:t>
      </w:r>
      <w:r>
        <w:rPr>
          <w:b/>
        </w:rPr>
        <w:t xml:space="preserve">DOI: </w:t>
      </w:r>
      <w:hyperlink r:id="rId220">
        <w:r>
          <w:rPr>
            <w:color w:val="1155CC"/>
            <w:u w:val="single"/>
          </w:rPr>
          <w:t>10.1002/adma.202521178</w:t>
        </w:r>
      </w:hyperlink>
    </w:p>
    <w:p>
      <w:pPr>
        <w:spacing w:before="0" w:after="120"/>
      </w:pPr>
      <w:r>
        <w:rPr>
          <w:b/>
        </w:rPr>
        <w:t xml:space="preserve">Notes: </w:t>
      </w:r>
      <w:r>
        <w:t>abstract_source=crossref</w:t>
      </w:r>
    </w:p>
    <w:p>
      <w:pPr>
        <w:spacing w:before="0" w:after="80" w:lineRule="auto" w:line="276"/>
      </w:pPr>
      <w:r>
        <w:rPr>
          <w:b/>
        </w:rPr>
        <w:t xml:space="preserve">摘要（ZH）: </w:t>
      </w:r>
      <w:r>
        <w:t>缺乏与生理有关的体外体外模型仍然是肝移植研究的一个局限性。有机体芯片技术的进步使得能够在体外生成临床可移植数据。设计了一个血管肝脏组织组织(LToC)模型,复制人类肝脏组织的结构和功能特征,以建模肝脏再生和乳胶排斥。LTOC包括一个微氟化装置,内含捐赠者与人体肝脏血密预产细胞和嵌入纤维剂基体并在动态培养中维持49天的内热门内静脉外科细胞。这个系统用 &amp; gt;95% c 支持自我组装成一个可透视的显微血管网络和类似肝细胞结构。</w:t>
      </w:r>
    </w:p>
    <w:p>
      <w:pPr>
        <w:spacing w:before="0" w:after="200" w:lineRule="auto" w:line="276"/>
      </w:pPr>
      <w:r>
        <w:rPr>
          <w:b/>
        </w:rPr>
        <w:t xml:space="preserve">Abstract (EN): </w:t>
      </w:r>
      <w:r>
        <w:t>The lack of physiologically relevant in vitro models remains a limitation in liver transplantation research. Progress in organ‐on‐a‐chip technologies enables the generation of clinically translatable data in vitro. A vascularized liver tissueoid‐on‐a‐chip (LToC) model is engineered to replicate human liver tissue's structural and functional features for modeling liver regeneration and allograft rejection. The LToC comprises a microfluidic device containing donor‐matched human hepatic progenitor cells and intrahepatic portal vein endothelial cells embedded in a fibrin matrix and maintained in dynamic culture for 49 days. The system supports self‐assembly into a perfusable microvascular network and liver lobule‐like architecture, with &amp;gt;95% cell viability, stable vascular integrity, and active hepatic function (albumin, urea, complement factors, and hepatocyte growth factor secretion). The mature tissueoid includes hepatocytes (CK18</w:t>
      </w:r>
      <w:r>
        <w:t xml:space="preserve"> </w:t>
      </w:r>
      <w:r>
        <w:t>+</w:t>
      </w:r>
      <w:r>
        <w:t xml:space="preserve"> </w:t>
      </w:r>
      <w:r>
        <w:t>, albumin</w:t>
      </w:r>
      <w:r>
        <w:t xml:space="preserve"> </w:t>
      </w:r>
      <w:r>
        <w:t>+</w:t>
      </w:r>
      <w:r>
        <w:t xml:space="preserve"> </w:t>
      </w:r>
      <w:r>
        <w:t>, CYP2D6</w:t>
      </w:r>
      <w:r>
        <w:t xml:space="preserve"> </w:t>
      </w:r>
      <w:r>
        <w:t>+</w:t>
      </w:r>
      <w:r>
        <w:t xml:space="preserve"> </w:t>
      </w:r>
      <w:r>
        <w:t>), cholangiocytes (CK19</w:t>
      </w:r>
      <w:r>
        <w:t xml:space="preserve"> </w:t>
      </w:r>
      <w:r>
        <w:t>+</w:t>
      </w:r>
      <w:r>
        <w:t xml:space="preserve"> </w:t>
      </w:r>
      <w:r>
        <w:t>, EPCAM</w:t>
      </w:r>
      <w:r>
        <w:t xml:space="preserve"> </w:t>
      </w:r>
      <w:r>
        <w:t>+</w:t>
      </w:r>
      <w:r>
        <w:t xml:space="preserve"> </w:t>
      </w:r>
      <w:r>
        <w:t>), Kupffer cells (CD68</w:t>
      </w:r>
      <w:r>
        <w:t xml:space="preserve"> </w:t>
      </w:r>
      <w:r>
        <w:t>+</w:t>
      </w:r>
      <w:r>
        <w:t xml:space="preserve"> </w:t>
      </w:r>
      <w:r>
        <w:t>), stellate cells (PDGFR‐β</w:t>
      </w:r>
      <w:r>
        <w:t xml:space="preserve"> </w:t>
      </w:r>
      <w:r>
        <w:t>+</w:t>
      </w:r>
      <w:r>
        <w:t xml:space="preserve"> </w:t>
      </w:r>
      <w:r>
        <w:t>), and endothelial cells (CD31</w:t>
      </w:r>
      <w:r>
        <w:t xml:space="preserve"> </w:t>
      </w:r>
      <w:r>
        <w:t>+</w:t>
      </w:r>
      <w:r>
        <w:t xml:space="preserve"> </w:t>
      </w:r>
      <w:r>
        <w:t>). Perfusion with allogeneic T cells induces cellular rejection, characterized by decreased viability, endothelial disruption, hepatic marker loss, HLA‐I upregulation, and a proinflammatory cytokine response (IL‐6, TNF‐α, IL‐1β, IFN‐γ, granzyme A and B, and perforin). The LToC provides a physiologically relevant platform for studying immune‐mediated liver injury, tissue regeneration, and allograft rejection, with potential applications in immunosuppressive drug testing and personalized transplant medicine.</w:t>
      </w:r>
    </w:p>
    <w:p>
      <w:pPr>
        <w:spacing w:before="120" w:after="120"/>
      </w:pPr>
      <w:r>
        <w:rPr>
          <w:sz w:val="18"/>
        </w:rPr>
        <w:t>——————————————————————————————————————————————————————————————————————</w:t>
      </w:r>
    </w:p>
    <w:p>
      <w:pPr>
        <w:spacing w:before="160" w:after="40" w:line="240" w:lineRule="auto"/>
      </w:pPr>
      <w:r>
        <w:rPr>
          <w:b/>
        </w:rPr>
        <w:t xml:space="preserve">[142] </w:t>
      </w:r>
      <w:hyperlink r:id="rId221">
        <w:r>
          <w:rPr>
            <w:color w:val="1155CC"/>
            <w:u w:val="single"/>
          </w:rPr>
          <w:t>在哺乳动物前体中进行突袭听听觉的正确理由</w:t>
        </w:r>
      </w:hyperlink>
    </w:p>
    <w:p>
      <w:pPr>
        <w:spacing w:before="0" w:after="80"/>
      </w:pPr>
      <w:r>
        <w:rPr>
          <w:i/>
          <w:sz w:val="20"/>
        </w:rPr>
        <w:t>EN: Sound reasons for tympanic hearing in mammalian precursors</w:t>
      </w:r>
    </w:p>
    <w:p>
      <w:pPr>
        <w:spacing w:before="0" w:after="120"/>
      </w:pPr>
      <w:r>
        <w:rPr>
          <w:b/>
        </w:rPr>
        <w:t xml:space="preserve">Source: </w:t>
      </w:r>
      <w:r>
        <w:t>Proceedings of the National Academy of Sciences: Keyword search for query</w:t>
      </w:r>
      <w:r>
        <w:t xml:space="preserve">    </w:t>
      </w:r>
      <w:r>
        <w:rPr>
          <w:b/>
        </w:rPr>
        <w:t xml:space="preserve">Pub date: </w:t>
      </w:r>
      <w:r>
        <w:t>2026-02-09 08:00:00+00:00</w:t>
      </w:r>
      <w:r>
        <w:t xml:space="preserve">    </w:t>
      </w:r>
      <w:r>
        <w:rPr>
          <w:b/>
        </w:rPr>
        <w:t xml:space="preserve">DOI: </w:t>
      </w:r>
      <w:hyperlink r:id="rId222">
        <w:r>
          <w:rPr>
            <w:color w:val="1155CC"/>
            <w:u w:val="single"/>
          </w:rPr>
          <w:t>10.1073/pnas.2533901123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[143] </w:t>
      </w:r>
      <w:hyperlink r:id="rId223">
        <w:r>
          <w:rPr>
            <w:color w:val="1155CC"/>
            <w:u w:val="single"/>
          </w:rPr>
          <w:t>用于治疗阿尔茨海默氏病的 工程电动抗原受体CD4 T细胞</w:t>
        </w:r>
      </w:hyperlink>
    </w:p>
    <w:p>
      <w:pPr>
        <w:spacing w:before="0" w:after="80"/>
      </w:pPr>
      <w:r>
        <w:rPr>
          <w:i/>
          <w:sz w:val="20"/>
        </w:rPr>
        <w:t>EN: Engineering chimeric antigen receptor CD4 T cells for Alzheimer’s disease</w:t>
      </w:r>
    </w:p>
    <w:p>
      <w:pPr>
        <w:spacing w:before="0" w:after="120"/>
      </w:pPr>
      <w:r>
        <w:rPr>
          <w:b/>
        </w:rPr>
        <w:t xml:space="preserve">Source: </w:t>
      </w:r>
      <w:r>
        <w:t>Proceedings of the National Academy of Sciences: Keyword search for query</w:t>
      </w:r>
      <w:r>
        <w:t xml:space="preserve">    </w:t>
      </w:r>
      <w:r>
        <w:rPr>
          <w:b/>
        </w:rPr>
        <w:t xml:space="preserve">Pub date: </w:t>
      </w:r>
      <w:r>
        <w:t>2026-02-09 08:00:00+00:00</w:t>
      </w:r>
      <w:r>
        <w:t xml:space="preserve">    </w:t>
      </w:r>
      <w:r>
        <w:rPr>
          <w:b/>
        </w:rPr>
        <w:t xml:space="preserve">DOI: </w:t>
      </w:r>
      <w:hyperlink r:id="rId224">
        <w:r>
          <w:rPr>
            <w:color w:val="1155CC"/>
            <w:u w:val="single"/>
          </w:rPr>
          <w:t>10.1073/pnas.2530977123</w:t>
        </w:r>
      </w:hyperlink>
    </w:p>
    <w:p>
      <w:pPr>
        <w:spacing w:before="0" w:after="120"/>
      </w:pPr>
      <w:r>
        <w:rPr>
          <w:b/>
        </w:rPr>
        <w:t xml:space="preserve">Notes: </w:t>
      </w:r>
      <w:r>
        <w:t>abstract_source=pubmed</w:t>
      </w:r>
    </w:p>
    <w:p>
      <w:pPr>
        <w:spacing w:before="0" w:after="80" w:lineRule="auto" w:line="276"/>
      </w:pPr>
      <w:r>
        <w:rPr>
          <w:b/>
        </w:rPr>
        <w:t xml:space="preserve">摘要（ZH）: </w:t>
      </w:r>
      <w:r>
        <w:t>阿尔茨海默氏病(AD)是全世界与年龄有关的痴呆症(AD)的流行原因。目前的护理标准依赖于抗体免疫疗法。 但是,以身体为基础的方法对病人带来风险,而其对认知的影响是微不足道的。 越来越多的证据表明T细胞对自动发病和进化有作用。 与CD8+细胞的细胞毒性影响不同,能够调节炎症的CD4+T细胞在减少AD和老龄化鼠标模型中的病理学和改善认知结果方面显示了希望。 在这里,我们试图利用CD4+T细胞的有益性能,同时绕过对TCR和Peptide-MHC抗原发现的需求,从而提供了一种潜在的普遍治疗方法。 为了实现这一点,我们设计了CD4+T细胞,并配有希美蚂蚁。</w:t>
      </w:r>
    </w:p>
    <w:p>
      <w:pPr>
        <w:spacing w:before="0" w:after="200" w:lineRule="auto" w:line="276"/>
      </w:pPr>
      <w:r>
        <w:rPr>
          <w:b/>
        </w:rPr>
        <w:t xml:space="preserve">Abstract (EN): </w:t>
      </w:r>
      <w:r>
        <w:t>Alzheimer's disease (AD) is the prevailing cause of age-associated dementia worldwide. Current standard of care relies on antibody-based immunotherapy. However, antibody-based approaches carry risks for patients, and their effects on cognition are marginal. Increasing evidence suggests that T cells contribute to AD onset and progression. Unlike the cytotoxic effects of CD8+ cells, CD4+ T cells capable of regulating inflammation show promise in reducing pathology and improving cognitive outcomes in mouse models of AD and in aging. Here, we sought to exploit the beneficial properties of CD4+ T cells while circumventing the need for TCR and peptide-MHC antigen discovery, thereby providing a potential universal therapeutic approach. To achieve this, we engineered CD4+ T cells with chimeric antigen receptors (CARs) targeting fibrillar forms of aggregated amyloid-β. Our findings demonstrate that optimized CAR-T cells can alter amyloid deposition in the dura and reduce parenchymal pathology in the brain. Furthermore, we observed that CAR-T treatment promotes the expansion and recruitment of endogenous CD4+ T cells into the brain parenchyma and leptomeninges. In summary, we established the feasibility of amyloid plaque-specific CAR-T cells as a potential therapeutic avenue for AD. These findings highlight the potential of CD4+ CAR-T therapy not only to modify amyloid pathology but also to reshape the immune landscape of the CNS, paving the way for future development of cellular immunotherapies for neurodegenerative disease.</w:t>
      </w:r>
    </w:p>
    <w:p>
      <w:pPr>
        <w:spacing w:before="120" w:after="120"/>
      </w:pPr>
      <w:r>
        <w:rPr>
          <w:sz w:val="18"/>
        </w:rPr>
        <w:t>——————————————————————————————————————————————————————————————————————</w:t>
      </w:r>
    </w:p>
    <w:p>
      <w:pPr>
        <w:spacing w:before="160" w:after="40" w:line="240" w:lineRule="auto"/>
      </w:pPr>
      <w:r>
        <w:rPr>
          <w:b/>
        </w:rPr>
        <w:t xml:space="preserve">[144] </w:t>
      </w:r>
      <w:hyperlink r:id="rId225">
        <w:r>
          <w:rPr>
            <w:color w:val="1155CC"/>
            <w:u w:val="single"/>
          </w:rPr>
          <w:t>卫星观测造成的全球平平流层甲烷损失</w:t>
        </w:r>
      </w:hyperlink>
    </w:p>
    <w:p>
      <w:pPr>
        <w:spacing w:before="0" w:after="80"/>
      </w:pPr>
      <w:r>
        <w:rPr>
          <w:i/>
          <w:sz w:val="20"/>
        </w:rPr>
        <w:t>EN: Global stratospheric methane loss from satellite observations</w:t>
      </w:r>
    </w:p>
    <w:p>
      <w:pPr>
        <w:spacing w:before="0" w:after="120"/>
      </w:pPr>
      <w:r>
        <w:rPr>
          <w:b/>
        </w:rPr>
        <w:t xml:space="preserve">Source: </w:t>
      </w:r>
      <w:r>
        <w:t>Proceedings of the National Academy of Sciences: Keyword search for query</w:t>
      </w:r>
      <w:r>
        <w:t xml:space="preserve">    </w:t>
      </w:r>
      <w:r>
        <w:rPr>
          <w:b/>
        </w:rPr>
        <w:t xml:space="preserve">Pub date: </w:t>
      </w:r>
      <w:r>
        <w:t>2026-02-09 08:00:00+00:00</w:t>
      </w:r>
      <w:r>
        <w:t xml:space="preserve">    </w:t>
      </w:r>
      <w:r>
        <w:rPr>
          <w:b/>
        </w:rPr>
        <w:t xml:space="preserve">DOI: </w:t>
      </w:r>
      <w:hyperlink r:id="rId226">
        <w:r>
          <w:rPr>
            <w:color w:val="1155CC"/>
            <w:u w:val="single"/>
          </w:rPr>
          <w:t>10.1073/pnas.2529774123</w:t>
        </w:r>
      </w:hyperlink>
    </w:p>
    <w:p>
      <w:pPr>
        <w:spacing w:before="0" w:after="120"/>
      </w:pPr>
      <w:r>
        <w:rPr>
          <w:b/>
        </w:rPr>
        <w:t xml:space="preserve">Notes: </w:t>
      </w:r>
      <w:r>
        <w:t>abstract_source=pubmed</w:t>
      </w:r>
    </w:p>
    <w:p>
      <w:pPr>
        <w:spacing w:before="0" w:after="80" w:lineRule="auto" w:line="276"/>
      </w:pPr>
      <w:r>
        <w:rPr>
          <w:b/>
        </w:rPr>
        <w:t xml:space="preserve">摘要（ZH）: </w:t>
      </w:r>
      <w:r>
        <w:t>平流层CH4化学损失的程度仍然极不确定,先前的估计主要依赖化学气候模型(CCMs),这里我们用对2007-2010年CH4浓度、温度和辐射加热率的卫星测量,提出了基于观测的对平流层CH4损失的估计(LSTR),这些损失来自适合热带热带热带热带人口流动的缺氧表面的CH4 diabat性通量,来自热带热带热带热带人口流动的缺氧表面的CH4 diabic通量(LSTR),其中使用了2007-2010年对CH4浓度、温度和辐射加热率的卫星测量,我们获得了49.8  7.8 Tg/y的LSTR,而再分析估计为38.1 Tg/y,25.7 Tg/y(范围:19.6至35.9 Tg/y)。</w:t>
      </w:r>
    </w:p>
    <w:p>
      <w:pPr>
        <w:spacing w:before="0" w:after="200" w:lineRule="auto" w:line="276"/>
      </w:pPr>
      <w:r>
        <w:rPr>
          <w:b/>
        </w:rPr>
        <w:t xml:space="preserve">Abstract (EN): </w:t>
      </w:r>
      <w:r>
        <w:t>Stratospheric CH4 oxidation represents both an important sink in the global CH4 budget and a major source of stratospheric water vapor and hydrogen radicals, exerting strong influences on global climate and ozone chemistry. Yet, the magnitude of stratospheric CH4 chemical loss remains highly uncertain, with previous estimates largely relying on chemistry-climate models (CCMs). Here, we present an observationally based estimate of stratospheric CH4 loss (LSTR), derived from the CH4 diabatic flux across the isentropic surface fitted to the tropical tropopause, using satellite measurements of CH4 concentration, temperature, and radiative heating rates for 2007-2010. We obtain an LSTR of 49.8 ± 7.8 Tg/y, compared with 38.1 Tg/y estimated from reanalysis, and 25.7 Tg/y (range: 19.6 to 35.9 Tg/y) derived from CCMs, indicating that both reanalysis and CCMs systematically underestimate stratospheric CH4 loss. We show that discrepancies in global CH4 diabatic fluxes from the reanalysis and CCMs, when compared with observations, are mainly driven by biases in CH4 concentrations and further enhanced by errors in temperature and radiative heating. Substituting our observational estimate for the model-based stratospheric loss in the bottom-up global CH4 budget reduces the reported imbalance for the 2000s from 23 to 3 Tg/y, bringing it into close agreement with the 5 Tg/y (range: -4 to 13 Tg/y) imbalance inferred from top-down estimates. These findings highlight the critical role of observational constraints on LSTR in reconciling the global CH4 budget. They also carry important implications for understanding stratospheric water vapor and ozone chemistry.</w:t>
      </w:r>
    </w:p>
    <w:p>
      <w:pPr>
        <w:spacing w:before="120" w:after="120"/>
      </w:pPr>
      <w:r>
        <w:rPr>
          <w:sz w:val="18"/>
        </w:rPr>
        <w:t>——————————————————————————————————————————————————————————————————————</w:t>
      </w:r>
    </w:p>
    <w:p>
      <w:pPr>
        <w:spacing w:before="160" w:after="40" w:line="240" w:lineRule="auto"/>
      </w:pPr>
      <w:r>
        <w:rPr>
          <w:b/>
        </w:rPr>
        <w:t xml:space="preserve">[145] </w:t>
      </w:r>
      <w:hyperlink r:id="rId227">
        <w:r>
          <w:rPr>
            <w:color w:val="1155CC"/>
            <w:u w:val="single"/>
          </w:rPr>
          <w:t>气候变化促使全球放牧系统减少</w:t>
        </w:r>
      </w:hyperlink>
    </w:p>
    <w:p>
      <w:pPr>
        <w:spacing w:before="0" w:after="80"/>
      </w:pPr>
      <w:r>
        <w:rPr>
          <w:i/>
          <w:sz w:val="20"/>
        </w:rPr>
        <w:t>EN: Climate change drives a decline in global grazing systems</w:t>
      </w:r>
    </w:p>
    <w:p>
      <w:pPr>
        <w:spacing w:before="0" w:after="120"/>
      </w:pPr>
      <w:r>
        <w:rPr>
          <w:b/>
        </w:rPr>
        <w:t xml:space="preserve">Source: </w:t>
      </w:r>
      <w:r>
        <w:t>Proceedings of the National Academy of Sciences: Keyword search for query</w:t>
      </w:r>
      <w:r>
        <w:t xml:space="preserve">    </w:t>
      </w:r>
      <w:r>
        <w:rPr>
          <w:b/>
        </w:rPr>
        <w:t xml:space="preserve">Pub date: </w:t>
      </w:r>
      <w:r>
        <w:t>2026-02-09 08:00:00+00:00</w:t>
      </w:r>
      <w:r>
        <w:t xml:space="preserve">    </w:t>
      </w:r>
      <w:r>
        <w:rPr>
          <w:b/>
        </w:rPr>
        <w:t xml:space="preserve">DOI: </w:t>
      </w:r>
      <w:hyperlink r:id="rId228">
        <w:r>
          <w:rPr>
            <w:color w:val="1155CC"/>
            <w:u w:val="single"/>
          </w:rPr>
          <w:t>10.1073/pnas.2534015123</w:t>
        </w:r>
      </w:hyperlink>
    </w:p>
    <w:p>
      <w:pPr>
        <w:spacing w:before="0" w:after="120"/>
      </w:pPr>
      <w:r>
        <w:rPr>
          <w:b/>
        </w:rPr>
        <w:t xml:space="preserve">Notes: </w:t>
      </w:r>
      <w:r>
        <w:t>abstract_source=pubmed</w:t>
      </w:r>
    </w:p>
    <w:p>
      <w:pPr>
        <w:spacing w:before="0" w:after="80" w:lineRule="auto" w:line="276"/>
      </w:pPr>
      <w:r>
        <w:rPr>
          <w:b/>
        </w:rPr>
        <w:t xml:space="preserve">摘要（ZH）: </w:t>
      </w:r>
      <w:r>
        <w:t>牧场系统代表着世界上最广泛的生产系统,对气候变化非常敏感,然而,它们对全球规模的敏感性和易受气候影响的脆弱性仍然不甚了解。在这里,我们运用安全气候空间框架来评估适应放牧的核心气候驱动因素的变化,包括温度、降水、湿度和风速,将如何改变全球草地放牧系统。我们的分析预测,到2100年,适合放牧的气候地区净减少36%至50%,同时进行洲际和洲内放牧适应性转移。这些变化预计将对1.1亿至1.4亿牧民和14亿至16亿牲畜产生不利影响,对非洲的影响尤其严重。</w:t>
      </w:r>
    </w:p>
    <w:p>
      <w:pPr>
        <w:spacing w:before="0" w:after="200" w:lineRule="auto" w:line="276"/>
      </w:pPr>
      <w:r>
        <w:rPr>
          <w:b/>
        </w:rPr>
        <w:t xml:space="preserve">Abstract (EN): </w:t>
      </w:r>
      <w:r>
        <w:t>Grazing systems represent the most extensive production systems in the world and are highly sensitive to climate change. However, their global-scale sensitivity and vulnerability to climate impacts remain poorly understood. Here, we apply the safe climatic space framework to assess how changes in core climatic drivers of grazing suitability, including temperature, precipitation, humidity, and wind speed, will reshape global grassland-based grazing systems. Our analysis projects a net decline of 36 to 50% of areas in climate suitability for grazing by 2100, accompanied by inter- and intracontinental shift of grazing suitability. These changes are expected to negatively affect 110 to 140 million pastoralists and 1.4 to 1.6 billion livestock, with particularly severe impacts in Africa. We further show that 51 to 81% of these impacted populations reside in countries with low income, serious hunger, severe gender inequality, and high political fragility. Our study implies that future climate change will threaten grazing suitability across large portions of Earth, endangering the livelihoods of numerous communities and potentially triggering widespread socioeconomic consequences.</w:t>
      </w:r>
    </w:p>
    <w:p>
      <w:pPr>
        <w:spacing w:before="120" w:after="120"/>
      </w:pPr>
      <w:r>
        <w:rPr>
          <w:sz w:val="18"/>
        </w:rPr>
        <w:t>——————————————————————————————————————————————————————————————————————</w:t>
      </w:r>
    </w:p>
    <w:p>
      <w:pPr>
        <w:spacing w:before="160" w:after="40" w:line="240" w:lineRule="auto"/>
      </w:pPr>
      <w:r>
        <w:rPr>
          <w:b/>
        </w:rPr>
        <w:t xml:space="preserve">[146] </w:t>
      </w:r>
      <w:hyperlink r:id="rId229">
        <w:r>
          <w:rPr>
            <w:color w:val="1155CC"/>
            <w:u w:val="single"/>
          </w:rPr>
          <w:t>通过将蛋白质语言模型表述形式与结构环境相结合,采矿用流质处理翻译后修改地点</w:t>
        </w:r>
      </w:hyperlink>
    </w:p>
    <w:p>
      <w:pPr>
        <w:spacing w:before="0" w:after="80"/>
      </w:pPr>
      <w:r>
        <w:rPr>
          <w:i/>
          <w:sz w:val="20"/>
        </w:rPr>
        <w:t>EN: Mining lysine post-translational modification sites by integrating protein language model representations with structural context</w:t>
      </w:r>
    </w:p>
    <w:p>
      <w:pPr>
        <w:spacing w:before="0" w:after="120"/>
      </w:pPr>
      <w:r>
        <w:rPr>
          <w:b/>
        </w:rPr>
        <w:t xml:space="preserve">Source: </w:t>
      </w:r>
      <w:r>
        <w:t>Proceedings of the National Academy of Sciences: Keyword search for query</w:t>
      </w:r>
      <w:r>
        <w:t xml:space="preserve">    </w:t>
      </w:r>
      <w:r>
        <w:rPr>
          <w:b/>
        </w:rPr>
        <w:t xml:space="preserve">Pub date: </w:t>
      </w:r>
      <w:r>
        <w:t>2026-02-09 08:00:00+00:00</w:t>
      </w:r>
      <w:r>
        <w:t xml:space="preserve">    </w:t>
      </w:r>
      <w:r>
        <w:rPr>
          <w:b/>
        </w:rPr>
        <w:t xml:space="preserve">DOI: </w:t>
      </w:r>
      <w:hyperlink r:id="rId230">
        <w:r>
          <w:rPr>
            <w:color w:val="1155CC"/>
            <w:u w:val="single"/>
          </w:rPr>
          <w:t>10.1073/pnas.2529141123</w:t>
        </w:r>
      </w:hyperlink>
    </w:p>
    <w:p>
      <w:pPr>
        <w:spacing w:before="0" w:after="120"/>
      </w:pPr>
      <w:r>
        <w:rPr>
          <w:b/>
        </w:rPr>
        <w:t xml:space="preserve">Notes: </w:t>
      </w:r>
      <w:r>
        <w:t>abstract_source=pubmed</w:t>
      </w:r>
    </w:p>
    <w:p>
      <w:pPr>
        <w:spacing w:before="0" w:after="80" w:lineRule="auto" w:line="276"/>
      </w:pPr>
      <w:r>
        <w:rPr>
          <w:b/>
        </w:rPr>
        <w:t xml:space="preserve">摘要（ZH）: </w:t>
      </w:r>
      <w:r>
        <w:t>Lysine(Lys/K)残留物是翻译后修改(PTMs)的主要枢纽,因为其-氨基组群具有化学多功能性,因此产生了不同的监管功能。因此,要准确和有效地识别经修改的碱性残留物,就需要计算模型,既能有效捕捉序列和结构信息,又能最大限度地减少具体领域的特点工程。在本研究中,我们提议一个统一的深入学习框架,用于碱性 PTM 站点识别,将蛋白语言模型产生的序列表示与原子三维结构特征相结合。这个框架可以使用共同的模型战略,一致地适用于多种碱性PTM类型。作为一种应用,我们用这个模型来进行预演。</w:t>
      </w:r>
    </w:p>
    <w:p>
      <w:pPr>
        <w:spacing w:before="0" w:after="200" w:lineRule="auto" w:line="276"/>
      </w:pPr>
      <w:r>
        <w:rPr>
          <w:b/>
        </w:rPr>
        <w:t xml:space="preserve">Abstract (EN): </w:t>
      </w:r>
      <w:r>
        <w:t>Lysine (Lys/K) residues serve as major hubs for post-translational modifications (PTMs) owing to the chemical versatility of their ε-amino groups, giving rise to diverse regulatory functions. Accurate and efficient identification of modified lysine residues therefore requires computational models that can effectively capture both sequence and structural information while minimizing domain-specific feature engineering. In this study, we propose a unified deep learning framework for lysine PTM site identification that integrates sequence representations derived from a protein language model with atom-level three-dimensional structural features. This framework can be consistently applied to multiple lysine PTM types using a shared modeling strategy. As an application, we used the model to predict potential PTM site on human C-type lectin domain family 12 member A (hCLEC12A) and evaluated their functional relevance through all-atom molecular dynamics simulations. The simulations indicate that the predicted lysine residues influence the stability and binding behavior of the hCLEC12A-antibody 50C1 complex. Overall, this work presents an integrative computational framework for lysine PTM site mining and functional analysis.</w:t>
      </w:r>
    </w:p>
    <w:p>
      <w:pPr>
        <w:spacing w:before="120" w:after="120"/>
      </w:pPr>
      <w:r>
        <w:rPr>
          <w:sz w:val="18"/>
        </w:rPr>
        <w:t>——————————————————————————————————————————————————————————————————————</w:t>
      </w:r>
    </w:p>
    <w:p>
      <w:pPr>
        <w:spacing w:before="160" w:after="40" w:line="240" w:lineRule="auto"/>
      </w:pPr>
      <w:r>
        <w:rPr>
          <w:b/>
        </w:rPr>
        <w:t xml:space="preserve">[147] </w:t>
      </w:r>
      <w:hyperlink r:id="rId231">
        <w:r>
          <w:rPr>
            <w:color w:val="1155CC"/>
            <w:u w:val="single"/>
          </w:rPr>
          <w:t>倾听单一STIM1角的沉默</w:t>
        </w:r>
      </w:hyperlink>
    </w:p>
    <w:p>
      <w:pPr>
        <w:spacing w:before="0" w:after="80"/>
      </w:pPr>
      <w:r>
        <w:rPr>
          <w:i/>
          <w:sz w:val="20"/>
        </w:rPr>
        <w:t>EN: Listening to the quiescence of single STIM1 dimers</w:t>
      </w:r>
    </w:p>
    <w:p>
      <w:pPr>
        <w:spacing w:before="0" w:after="120"/>
      </w:pPr>
      <w:r>
        <w:rPr>
          <w:b/>
        </w:rPr>
        <w:t xml:space="preserve">Source: </w:t>
      </w:r>
      <w:r>
        <w:t>Proceedings of the National Academy of Sciences: Keyword search for query</w:t>
      </w:r>
      <w:r>
        <w:t xml:space="preserve">    </w:t>
      </w:r>
      <w:r>
        <w:rPr>
          <w:b/>
        </w:rPr>
        <w:t xml:space="preserve">Pub date: </w:t>
      </w:r>
      <w:r>
        <w:t>2026-02-09 08:00:00+00:00</w:t>
      </w:r>
      <w:r>
        <w:t xml:space="preserve">    </w:t>
      </w:r>
      <w:r>
        <w:rPr>
          <w:b/>
        </w:rPr>
        <w:t xml:space="preserve">DOI: </w:t>
      </w:r>
      <w:hyperlink r:id="rId232">
        <w:r>
          <w:rPr>
            <w:color w:val="1155CC"/>
            <w:u w:val="single"/>
          </w:rPr>
          <w:t>10.1073/pnas.2533904123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[148] </w:t>
      </w:r>
      <w:hyperlink r:id="rId233">
        <w:r>
          <w:rPr>
            <w:color w:val="1155CC"/>
            <w:u w:val="single"/>
          </w:rPr>
          <w:t>根据直接力测量推断,在电离液体中进行短程静电筛选</w:t>
        </w:r>
      </w:hyperlink>
    </w:p>
    <w:p>
      <w:pPr>
        <w:spacing w:before="0" w:after="80"/>
      </w:pPr>
      <w:r>
        <w:rPr>
          <w:i/>
          <w:sz w:val="20"/>
        </w:rPr>
        <w:t>EN: Short-range electrostatic screening in ionic liquids as inferred by direct force measurements</w:t>
      </w:r>
    </w:p>
    <w:p>
      <w:pPr>
        <w:spacing w:before="0" w:after="120"/>
      </w:pPr>
      <w:r>
        <w:rPr>
          <w:b/>
        </w:rPr>
        <w:t xml:space="preserve">Source: </w:t>
      </w:r>
      <w:r>
        <w:t>Proceedings of the National Academy of Sciences: Keyword search for query</w:t>
      </w:r>
      <w:r>
        <w:t xml:space="preserve">    </w:t>
      </w:r>
      <w:r>
        <w:rPr>
          <w:b/>
        </w:rPr>
        <w:t xml:space="preserve">Pub date: </w:t>
      </w:r>
      <w:r>
        <w:t>2026-02-09 08:00:00+00:00</w:t>
      </w:r>
      <w:r>
        <w:t xml:space="preserve">    </w:t>
      </w:r>
      <w:r>
        <w:rPr>
          <w:b/>
        </w:rPr>
        <w:t xml:space="preserve">DOI: </w:t>
      </w:r>
      <w:hyperlink r:id="rId234">
        <w:r>
          <w:rPr>
            <w:color w:val="1155CC"/>
            <w:u w:val="single"/>
          </w:rPr>
          <w:t>10.1073/pnas.2517939123</w:t>
        </w:r>
      </w:hyperlink>
    </w:p>
    <w:p>
      <w:pPr>
        <w:spacing w:before="0" w:after="120"/>
      </w:pPr>
      <w:r>
        <w:rPr>
          <w:b/>
        </w:rPr>
        <w:t xml:space="preserve">Notes: </w:t>
      </w:r>
      <w:r>
        <w:t>abstract_source=pubmed</w:t>
      </w:r>
    </w:p>
    <w:p>
      <w:pPr>
        <w:spacing w:before="0" w:after="80" w:lineRule="auto" w:line="276"/>
      </w:pPr>
      <w:r>
        <w:rPr>
          <w:b/>
        </w:rPr>
        <w:t xml:space="preserve">摘要（ZH）: </w:t>
      </w:r>
      <w:r>
        <w:t>以往关于离子液体(ILs)远距离相互作用的实验报告与理论预测和数字模拟相矛盾。为了深入了解与静电筛选实验范围有关的文献差异,并用数量级较大的数量来进行申述,由两个相辅相成的先进地面辅助仪器对缩压 IL 表面的微粒和硅酸盐表面之间的相互作用进行了调查。无论封闭式的地形(跨细胞、球状膨胀)、曲曲的弧形(立方体-毫米)和测量技术(步进法与连续法)的差别如何,都证明了两种一直存在的力系。在小型地表分离中,悬浮力反映IL结构化和分层化,而在表外则显示两种力系。</w:t>
      </w:r>
    </w:p>
    <w:p>
      <w:pPr>
        <w:spacing w:before="0" w:after="200" w:lineRule="auto" w:line="276"/>
      </w:pPr>
      <w:r>
        <w:rPr>
          <w:b/>
        </w:rPr>
        <w:t xml:space="preserve">Abstract (EN): </w:t>
      </w:r>
      <w:r>
        <w:t>Previous experimental reports of long-range interactions in ionic liquids (ILs) stand in contradiction with theoretical predictions and numerical simulations. To provide insights into the literature discrepancies regarding the experimental ranges of electrostatic screening, claimed with orders of magnitude larger, the interactions between pairs of mica and borosilicate surfaces confining ILs are investigated by two complementary advanced Surface Force Apparatuses. Regardless of differences in confinement geometries (crossed-cylinders, sphere-flat), radii of curvature (cm-mm), and measurement techniques (stepwise versus continuous approach), two ever present force regimes are evidenced. At small surface separations, oscillatory forces reflect IL structuration and layering, while outside this gap, the interaction is monotonic repulsive. In both regimes the spatial extent and force magnitude depend critically on motion conditions, as demonstrated by achieving velocities as low as 9 pm/s with equilibration times up to 90 s. At large separations, fast surface displacements generate long-range interactions (over tens of ion size) creating the illusion of anomalous underscreening, whereas increasingly slow ones shrink both magnitude and range of the repulsion with decay-lengths converging ultimately to a screening length consistent with Poisson-Boltzmann theory with finite ion sizes. The transition from apparent long-range to short-range screening unfolds over nearly two orders of magnitude in time, revealing slow relaxation dynamics reminiscent of aging phenomena. These findings definitely resolve a decade-old controversy on force measurements and reveal rich out-of-equilibrium dynamics. The hydrodynamic contribution to the net force is admittedly crucial to be reduced especially when relaxations span decades in time, but approaching thermodynamic equilibrium during measurements proves essential.</w:t>
      </w:r>
    </w:p>
    <w:p>
      <w:pPr>
        <w:spacing w:before="120" w:after="120"/>
      </w:pPr>
      <w:r>
        <w:rPr>
          <w:sz w:val="18"/>
        </w:rPr>
        <w:t>——————————————————————————————————————————————————————————————————————</w:t>
      </w:r>
    </w:p>
    <w:p>
      <w:pPr>
        <w:spacing w:before="160" w:after="40" w:line="240" w:lineRule="auto"/>
      </w:pPr>
      <w:r>
        <w:rPr>
          <w:b/>
        </w:rPr>
        <w:t xml:space="preserve">[149] </w:t>
      </w:r>
      <w:hyperlink r:id="rId235">
        <w:r>
          <w:rPr>
            <w:color w:val="1155CC"/>
            <w:u w:val="single"/>
          </w:rPr>
          <w:t>基于小行星本努样本中的碳和氮同位素的早期太阳系统中氨氨基酸多形成途径</w:t>
        </w:r>
      </w:hyperlink>
    </w:p>
    <w:p>
      <w:pPr>
        <w:spacing w:before="0" w:after="80"/>
      </w:pPr>
      <w:r>
        <w:rPr>
          <w:i/>
          <w:sz w:val="20"/>
        </w:rPr>
        <w:t>EN: Multiple formation pathways for amino acids in the early Solar System based on carbon and nitrogen isotopes in asteroid Bennu samples</w:t>
      </w:r>
    </w:p>
    <w:p>
      <w:pPr>
        <w:spacing w:before="0" w:after="120"/>
      </w:pPr>
      <w:r>
        <w:rPr>
          <w:b/>
        </w:rPr>
        <w:t xml:space="preserve">Source: </w:t>
      </w:r>
      <w:r>
        <w:t>Proceedings of the National Academy of Sciences: Keyword search for query</w:t>
      </w:r>
      <w:r>
        <w:t xml:space="preserve">    </w:t>
      </w:r>
      <w:r>
        <w:rPr>
          <w:b/>
        </w:rPr>
        <w:t xml:space="preserve">Pub date: </w:t>
      </w:r>
      <w:r>
        <w:t>2026-02-09 08:00:00+00:00</w:t>
      </w:r>
      <w:r>
        <w:t xml:space="preserve">    </w:t>
      </w:r>
      <w:r>
        <w:rPr>
          <w:b/>
        </w:rPr>
        <w:t xml:space="preserve">DOI: </w:t>
      </w:r>
      <w:hyperlink r:id="rId236">
        <w:r>
          <w:rPr>
            <w:color w:val="1155CC"/>
            <w:u w:val="single"/>
          </w:rPr>
          <w:t>10.1073/pnas.2517723123</w:t>
        </w:r>
      </w:hyperlink>
    </w:p>
    <w:p>
      <w:pPr>
        <w:spacing w:before="0" w:after="120"/>
      </w:pPr>
      <w:r>
        <w:rPr>
          <w:b/>
        </w:rPr>
        <w:t xml:space="preserve">Notes: </w:t>
      </w:r>
      <w:r>
        <w:t>abstract_source=pubmed</w:t>
      </w:r>
    </w:p>
    <w:p>
      <w:pPr>
        <w:spacing w:before="0" w:after="80" w:lineRule="auto" w:line="276"/>
      </w:pPr>
      <w:r>
        <w:rPr>
          <w:b/>
        </w:rPr>
        <w:t xml:space="preserve">摘要（ZH）: </w:t>
      </w:r>
      <w:r>
        <w:t>美国航天局的OSIRIS-REx飞行任务从碳性的近地小行星本努收集并运到地球的样本中含有与生物前化学有关的有机分子。对地外可溶有机物进行稳定的同位素测量,可对这种分子的形成路径和改变历史提供至关重要的洞察力,这些分子对于了解生命起源具有重要意义。我们利用最先进的技术对本努样本中的氨酸进行比阿摩尔尺度同位素分析,并用碳化流星石Murchison作比较。我们报告了以前未在地外材料中测量的甘油内部分子 13C值;氨酸、藻类和酮的分子平均 13C值。</w:t>
      </w:r>
    </w:p>
    <w:p>
      <w:pPr>
        <w:spacing w:before="0" w:after="200" w:lineRule="auto" w:line="276"/>
      </w:pPr>
      <w:r>
        <w:rPr>
          <w:b/>
        </w:rPr>
        <w:t xml:space="preserve">Abstract (EN): </w:t>
      </w:r>
      <w:r>
        <w:t>Samples collected from the carbonaceous near-Earth asteroid Bennu and delivered to Earth by NASA's OSIRIS-REx mission contain organic molecules relevant to prebiotic chemistry. Stable isotopic measurements of extraterrestrial soluble organic matter provide critical insights into the formation pathways and alteration histories of such molecules, which hold significance for understanding the origins of life. We leverage state-of-the-art techniques for picomolar-scale isotopic analyses of amino acids in samples of Bennu and, for comparison, the carbonaceous meteorite Murchison. We report intramolecular δ13C values for glycine, which have not previously been measured in extraterrestrial materials; molecular-averaged δ13C values for amino acids, aldehydes, and ketones; and δ15N values for glycine, β-alanine, and D/L-glutamic acid. Intramolecular carbon isotope patterns of glycine in Bennu contrast with those in Murchison, suggesting distinct formation pathways. We explore several formation mechanisms and hypothesize that the observed glycine in Murchison formed dominantly by a Strecker-like synthesis under aqueous conditions, whereas the glycine currently found in Bennu may have formed mainly by modified radical-radical reactions in primordial ices at the cold, outer reaches of the early Solar System and retained its isotopic values throughout accretion and multiple episodes of aqueous alteration. This hypothesis is supported by the highly 15N-enriched δ15N values in Bennu amino acids (+170 to 277‰). Differences in the δ15N values of D- and L-glutamic acid (Δ = 87‰) in Bennu affirm published reports of enantiomeric differences in meteoritic amino acids and challenge the assumption of isotopic uniformity between amino acid chiral pairs.</w:t>
      </w:r>
    </w:p>
    <w:p>
      <w:pPr>
        <w:spacing w:before="120" w:after="120"/>
      </w:pPr>
      <w:r>
        <w:rPr>
          <w:sz w:val="18"/>
        </w:rPr>
        <w:t>——————————————————————————————————————————————————————————————————————</w:t>
      </w:r>
    </w:p>
    <w:p>
      <w:pPr>
        <w:spacing w:before="160" w:after="40" w:line="240" w:lineRule="auto"/>
      </w:pPr>
      <w:r>
        <w:rPr>
          <w:b/>
        </w:rPr>
        <w:t xml:space="preserve">[150] </w:t>
      </w:r>
      <w:hyperlink r:id="rId237">
        <w:r>
          <w:rPr>
            <w:color w:val="1155CC"/>
            <w:u w:val="single"/>
          </w:rPr>
          <w:t>来自直肠细菌的甘烃磷酸盐的结构性和机械性多样性</w:t>
        </w:r>
      </w:hyperlink>
    </w:p>
    <w:p>
      <w:pPr>
        <w:spacing w:before="0" w:after="80"/>
      </w:pPr>
      <w:r>
        <w:rPr>
          <w:i/>
          <w:sz w:val="20"/>
        </w:rPr>
        <w:t>EN: Structural and mechanistic diversity of glycogen phosphorylases from gut bacteria</w:t>
      </w:r>
    </w:p>
    <w:p>
      <w:pPr>
        <w:spacing w:before="0" w:after="120"/>
      </w:pPr>
      <w:r>
        <w:rPr>
          <w:b/>
        </w:rPr>
        <w:t xml:space="preserve">Source: </w:t>
      </w:r>
      <w:r>
        <w:t>Proceedings of the National Academy of Sciences: Keyword search for query</w:t>
      </w:r>
      <w:r>
        <w:t xml:space="preserve">    </w:t>
      </w:r>
      <w:r>
        <w:rPr>
          <w:b/>
        </w:rPr>
        <w:t xml:space="preserve">Pub date: </w:t>
      </w:r>
      <w:r>
        <w:t>2026-02-09 08:00:00+00:00</w:t>
      </w:r>
      <w:r>
        <w:t xml:space="preserve">    </w:t>
      </w:r>
      <w:r>
        <w:rPr>
          <w:b/>
        </w:rPr>
        <w:t xml:space="preserve">DOI: </w:t>
      </w:r>
      <w:hyperlink r:id="rId238">
        <w:r>
          <w:rPr>
            <w:color w:val="1155CC"/>
            <w:u w:val="single"/>
          </w:rPr>
          <w:t>10.1073/pnas.2518513123</w:t>
        </w:r>
      </w:hyperlink>
    </w:p>
    <w:p>
      <w:pPr>
        <w:spacing w:before="0" w:after="120"/>
      </w:pPr>
      <w:r>
        <w:rPr>
          <w:b/>
        </w:rPr>
        <w:t xml:space="preserve">Notes: </w:t>
      </w:r>
      <w:r>
        <w:t>abstract_source=pubmed</w:t>
      </w:r>
    </w:p>
    <w:p>
      <w:pPr>
        <w:spacing w:before="0" w:after="80" w:lineRule="auto" w:line="276"/>
      </w:pPr>
      <w:r>
        <w:rPr>
          <w:b/>
        </w:rPr>
        <w:t xml:space="preserve">摘要（ZH）: </w:t>
      </w:r>
      <w:r>
        <w:t>甘烃磷酸酯(GP)在甘烃代谢中发挥着核心作用。虽然对哺乳动物的GP的结构和监管进行了广泛研究,但对哺乳动物的GP的结构和监管仍然进行了广泛的研究,对细菌的GGP内肠胃气管的相应机制仍然不甚了解。在这里,我们调查Escherchia coli(EcGP)、Segatella copri(ScGP)和Dorea longicatena(DlGP)的GP(GP),它们代表了三种GP的植物的植物遗传片,它们使用酶学分析、冷冻-电子显微镜(cryo-EM)和X射线晶体学。我们发现ScGP形成了一种独特的五甲苯,进行亚氧基单一磷(AMP)依赖的组装成二苯并抑制活动,限制其进入催化场。EGPPP在单体、角和四氧器之间的平衡中存在EGP,而AMP则提倡四聚体分离和分解。</w:t>
      </w:r>
    </w:p>
    <w:p>
      <w:pPr>
        <w:spacing w:before="0" w:after="200" w:lineRule="auto" w:line="276"/>
      </w:pPr>
      <w:r>
        <w:rPr>
          <w:b/>
        </w:rPr>
        <w:t xml:space="preserve">Abstract (EN): </w:t>
      </w:r>
      <w:r>
        <w:t>Glycogen phosphorylase (GP) plays a central role in glycogen metabolism. While the structure and regulation of mammalian GPs have been extensively studied, the corresponding mechanisms in gut bacterial GPs remain poorly understood. Here, we investigate GPs from Escherichia coli (EcGP), Segatella copri (ScGP), and Dorea longicatena (DlGP), which represent three phylogenetic clades of GPs, using enzymatic assays, cryo-electron microscopy (cryo-EM), and X-ray crystallography. We find that ScGP forms a unique pentamer that undergoes adenosine monophosphate (AMP)-dependent assembly into a dimer-of-pentamer, which inhibits activity by restricting substrate access to the catalytic site. EcGP exists in equilibrium among monomers, dimers, and tetramers, with AMP promoting tetramer dissociation and enhancing catalytic efficiency. In contrast, DlGP remains predominantly monomeric and is unresponsive to AMP. These findings uncover structural and regulatory diversity among gut bacterial GPs. Notably, the oligomeric states of GPs modulate substrate accessibility and enzyme activation, suggesting a distinct mode of allosteric regulation beyond the canonical T-to-R transition model. Because bacterial GPs contribute to the generation of glucose, their regulation may influence the composition of gut-derived metabolites that affect host glucose homeostasis and insulin sensitivity. Our study provides mechanistic insight into the structural and functional diversity of gut bacterial GPs and lays a foundation for future exploration of microbiome-mediated metabolic interactions.</w:t>
      </w:r>
    </w:p>
    <w:p>
      <w:pPr>
        <w:spacing w:before="120" w:after="120"/>
      </w:pPr>
      <w:r>
        <w:rPr>
          <w:sz w:val="18"/>
        </w:rPr>
        <w:t>——————————————————————————————————————————————————————————————————————</w:t>
      </w:r>
    </w:p>
    <w:p>
      <w:pPr>
        <w:spacing w:before="160" w:after="40" w:line="240" w:lineRule="auto"/>
      </w:pPr>
      <w:r>
        <w:rPr>
          <w:b/>
        </w:rPr>
        <w:t xml:space="preserve">[151] </w:t>
      </w:r>
      <w:hyperlink r:id="rId239">
        <w:r>
          <w:rPr>
            <w:color w:val="1155CC"/>
            <w:u w:val="single"/>
          </w:rPr>
          <w:t>MEK1/2 直肠癌抑制作用的MAPKAPK2- 取决于 MEK1/2</w:t>
        </w:r>
      </w:hyperlink>
    </w:p>
    <w:p>
      <w:pPr>
        <w:spacing w:before="0" w:after="80"/>
      </w:pPr>
      <w:r>
        <w:rPr>
          <w:i/>
          <w:sz w:val="20"/>
        </w:rPr>
        <w:t>EN: Metabolic stress conditions dictate MAPKAPK2-dependent efficiency of MEK1/2 inhibition in colorectal carcinoma</w:t>
      </w:r>
    </w:p>
    <w:p>
      <w:pPr>
        <w:spacing w:before="0" w:after="120"/>
      </w:pPr>
      <w:r>
        <w:rPr>
          <w:b/>
        </w:rPr>
        <w:t xml:space="preserve">Source: </w:t>
      </w:r>
      <w:r>
        <w:t>Proceedings of the National Academy of Sciences: Keyword search for query</w:t>
      </w:r>
      <w:r>
        <w:t xml:space="preserve">    </w:t>
      </w:r>
      <w:r>
        <w:rPr>
          <w:b/>
        </w:rPr>
        <w:t xml:space="preserve">Pub date: </w:t>
      </w:r>
      <w:r>
        <w:t>2026-02-09 08:00:00+00:00</w:t>
      </w:r>
      <w:r>
        <w:t xml:space="preserve">    </w:t>
      </w:r>
      <w:r>
        <w:rPr>
          <w:b/>
        </w:rPr>
        <w:t xml:space="preserve">DOI: </w:t>
      </w:r>
      <w:hyperlink r:id="rId240">
        <w:r>
          <w:rPr>
            <w:color w:val="1155CC"/>
            <w:u w:val="single"/>
          </w:rPr>
          <w:t>10.1073/pnas.2505331123</w:t>
        </w:r>
      </w:hyperlink>
    </w:p>
    <w:p>
      <w:pPr>
        <w:spacing w:before="0" w:after="120"/>
      </w:pPr>
      <w:r>
        <w:rPr>
          <w:b/>
        </w:rPr>
        <w:t xml:space="preserve">Notes: </w:t>
      </w:r>
      <w:r>
        <w:t>abstract_source=pubmed</w:t>
      </w:r>
    </w:p>
    <w:p>
      <w:pPr>
        <w:spacing w:before="0" w:after="80" w:lineRule="auto" w:line="276"/>
      </w:pPr>
      <w:r>
        <w:rPr>
          <w:b/>
        </w:rPr>
        <w:t xml:space="preserve">摘要（ZH）: </w:t>
      </w:r>
      <w:r>
        <w:t>MAPKAPK2 动脉酶调节细胞生存、扩散和死亡,并在与肿瘤生长和进化有关的直肠癌(CRC)中进行上调。然而,它如何结合MEK/ERK等其他信号路径来调节肿瘤的进化仍然难以实现。固态肿瘤经常受到代谢压力,特别是葡萄糖的剥夺。在这里,我们证明 CRC 中的 MAPKAPK2 蛋白质水平在压力条件下调节细胞命运决定,例如葡萄糖剥夺和治疗治疗。虽然 MAPKAPK2 表达是限制其体外生长的一个限制因素,但耗减 MAPKAPK2 或抑制其活动药理学上的限制,为在抑制葡萄糖条件下的CRC细胞提供了生存优势。</w:t>
      </w:r>
    </w:p>
    <w:p>
      <w:pPr>
        <w:spacing w:before="0" w:after="200" w:lineRule="auto" w:line="276"/>
      </w:pPr>
      <w:r>
        <w:rPr>
          <w:b/>
        </w:rPr>
        <w:t xml:space="preserve">Abstract (EN): </w:t>
      </w:r>
      <w:r>
        <w:t>The kinase MAPKAPK2 regulates cell survival, proliferation, and death, and is upregulated in colorectal carcinoma (CRC) where it is associated with tumor growth and progression. However, how it regulates tumor progression in conjunction with other signaling pathways, such as MEK/ERK, remains elusive. Solid tumors are often subjected to metabolic stress, notably glucose deprivation. Here, we demonstrate that MAPKAPK2 protein levels in CRC regulate cell fate decision during stress conditions, such as glucose deprivation and therapeutic treatment. While MAPKAPK2 expression is a limiting factor for CRC growth in vitro, depleting MAPKAPK2 or inhibiting its activity pharmacologically provides a survival advantage to CRC cells under glucose limiting conditions. Subjecting CRC cells to low glucose resulted in an ERK1/2-mediated decline in MAPKAPK2 to promote survival. Additionally, cells with reduced MAPKAPK2 activity were less sensitive to trametinib under glucose limiting conditions. Utilizing transcriptomic profiling, we found that glucose deprivation and MAPKAPK2 depletion activate pathways associated with survival during metabolic stress. This relationship was also observed in CRC patients (TCGA), where tumors with low MAPKAPK2 expression had higher ERK1/2 activation and upregulated stress-induced pathways, leading to poor survival. Finally, MAPKAPK2 modulated growth of CRC organoids, subcutaneous tumors, and patient-derived xenografts (PDX), and reduced MAPKAPK2 levels decreased efficacy of trametinib, in vitro and in vivo. Overall, this study identifies an interrelationship between MEK/ERK and p38/MAPKAPK2 signaling pathways during glucose deprivation to support cell survival and features MAPKAPK2 loss as a possible mechanism leading to reduced efficacy of trametinib-based anticancer therapy and poor patient outcomes in CRC.</w:t>
      </w:r>
    </w:p>
    <w:p>
      <w:pPr>
        <w:spacing w:before="120" w:after="120"/>
      </w:pPr>
      <w:r>
        <w:rPr>
          <w:sz w:val="18"/>
        </w:rPr>
        <w:t>——————————————————————————————————————————————————————————————————————</w:t>
      </w:r>
    </w:p>
    <w:p>
      <w:pPr>
        <w:spacing w:before="160" w:after="40" w:line="240" w:lineRule="auto"/>
      </w:pPr>
      <w:r>
        <w:rPr>
          <w:b/>
        </w:rPr>
        <w:t xml:space="preserve">[152] </w:t>
      </w:r>
      <w:hyperlink r:id="rId241">
        <w:r>
          <w:rPr>
            <w:color w:val="1155CC"/>
            <w:u w:val="single"/>
          </w:rPr>
          <w:t>以主细胞循环检查站蛋白质Rad9A为目标的病毒性蛋白激素强聚氨酯磷酸酶对寄主细胞循环检查站蛋白</w:t>
        </w:r>
      </w:hyperlink>
    </w:p>
    <w:p>
      <w:pPr>
        <w:spacing w:before="0" w:after="80"/>
      </w:pPr>
      <w:r>
        <w:rPr>
          <w:i/>
          <w:sz w:val="20"/>
        </w:rPr>
        <w:t>EN: Parasitic castration by a viral protein tyrosine phosphatase targeting the host cell cycle checkpoint protein Rad9A</w:t>
      </w:r>
    </w:p>
    <w:p>
      <w:pPr>
        <w:spacing w:before="0" w:after="120"/>
      </w:pPr>
      <w:r>
        <w:rPr>
          <w:b/>
        </w:rPr>
        <w:t xml:space="preserve">Source: </w:t>
      </w:r>
      <w:r>
        <w:t>Proceedings of the National Academy of Sciences: Keyword search for query</w:t>
      </w:r>
      <w:r>
        <w:t xml:space="preserve">    </w:t>
      </w:r>
      <w:r>
        <w:rPr>
          <w:b/>
        </w:rPr>
        <w:t xml:space="preserve">Pub date: </w:t>
      </w:r>
      <w:r>
        <w:t>2026-02-09 08:00:00+00:00</w:t>
      </w:r>
      <w:r>
        <w:t xml:space="preserve">    </w:t>
      </w:r>
      <w:r>
        <w:rPr>
          <w:b/>
        </w:rPr>
        <w:t xml:space="preserve">DOI: </w:t>
      </w:r>
      <w:hyperlink r:id="rId242">
        <w:r>
          <w:rPr>
            <w:color w:val="1155CC"/>
            <w:u w:val="single"/>
          </w:rPr>
          <w:t>10.1073/pnas.2524949123</w:t>
        </w:r>
      </w:hyperlink>
    </w:p>
    <w:p>
      <w:pPr>
        <w:spacing w:before="0" w:after="120"/>
      </w:pPr>
      <w:r>
        <w:rPr>
          <w:b/>
        </w:rPr>
        <w:t xml:space="preserve">Notes: </w:t>
      </w:r>
      <w:r>
        <w:t>abstract_source=pubmed</w:t>
      </w:r>
    </w:p>
    <w:p>
      <w:pPr>
        <w:spacing w:before="0" w:after="80" w:lineRule="auto" w:line="276"/>
      </w:pPr>
      <w:r>
        <w:rPr>
          <w:b/>
        </w:rPr>
        <w:t xml:space="preserve">摘要（ZH）: </w:t>
      </w:r>
      <w:r>
        <w:t>寄生虫催眠是一种广泛的战略,寄生虫劫持了生殖资源,但驱动这一现象的关键分子机制仍然不甚为人理解。在这里,我们报告说寄生虫寄生虫的寄生虫寄生虫寄生虫的蛋白白背心癌引发了在寄生虫宿主Plutellaxylotella的幼虫睾丸中以吸附式的催眠为介质。这种现象是由CvBV_22-9(一种经睾丸浓缩的蛋白蛋白质乙酸磷酸酯(PTP))调解的,它由科蒂西亚的牛胸膜病毒(CvBVV_22-9)(一种在寄生虫胸膜病毒中被微脊椎膜病毒编码的内分泌病毒内分泌而成的寄生虫的同族同族体,通过诱导寄生虫子子下垂的肠杆菌寄生虫病、Spodoptera frugiperda.机械学,CvBV_22-9(Civ)结合到细胞循环检查。</w:t>
      </w:r>
    </w:p>
    <w:p>
      <w:pPr>
        <w:spacing w:before="0" w:after="200" w:lineRule="auto" w:line="276"/>
      </w:pPr>
      <w:r>
        <w:rPr>
          <w:b/>
        </w:rPr>
        <w:t xml:space="preserve">Abstract (EN): </w:t>
      </w:r>
      <w:r>
        <w:t>Parasitic castration is a widespread strategy where parasites hijack host reproductive resources, yet the key molecular mechanisms driving this phenomenon remain poorly understood. Here, we reported that parasitization by the parasitic wasp Cotesia vestalis triggers apoptosis-mediated castration in the larval testes of its lepidopteran host, Plutella xylotella. Such a phenomenon was mediated by CvBV_22-9, a testis-enriched protein tyrosine phosphatase (PTP) encoded by Cotesia vestalis bracovirus (CvBV), a domesticated virus endogenized in the wasp. Similarly, a homolog of CvBV_22-9, encoded by the Microplitis manilae bracovirus, is involved in testis castration by inducing apoptosis in parasitized fall armyworm, Spodoptera frugiperda. Mechanistically, CvBV_22-9 binds to a cell cycle checkpoint protein, Rad9A, but does not alter its tyrosine phosphorylation level. Crucially, CRISPR-Cas9 knockout of Rad9A causes embryonic lethality and severe testis defects. Validation in Drosophila melanogaster shows that testis-specific expression of CvBV_22-9 or Rad9A knockdown induces apoptosis, while combined targeting synergistically enhances this effect, suggesting a conserved function of both proteins in insects. Our study uncovers a regulatory mechanism where a parasitoid wasp deploys a domesticated viral PTP that functions as a pseudophosphatase to induce Rad9A-mediated apoptosis and disrupt host testis development and spermatogenesis. This mechanism highlights a sophisticated strategy of host exploitation by parasitoid wasps, providing insights for the biocontrol of lepidopteran pests.</w:t>
      </w:r>
    </w:p>
    <w:p>
      <w:pPr>
        <w:spacing w:before="120" w:after="120"/>
      </w:pPr>
      <w:r>
        <w:rPr>
          <w:sz w:val="18"/>
        </w:rPr>
        <w:t>——————————————————————————————————————————————————————————————————————</w:t>
      </w:r>
    </w:p>
    <w:p>
      <w:pPr>
        <w:spacing w:before="160" w:after="40" w:line="240" w:lineRule="auto"/>
      </w:pPr>
      <w:r>
        <w:rPr>
          <w:b/>
        </w:rPr>
        <w:t xml:space="preserve">[153] </w:t>
      </w:r>
      <w:hyperlink r:id="rId243">
        <w:r>
          <w:rPr>
            <w:color w:val="1155CC"/>
            <w:u w:val="single"/>
          </w:rPr>
          <w:t>EgeptiAedes Aepypyptod公司对避免脂肪酸的允许性依赖专门的节节肢动物跨国激进党渠道</w:t>
        </w:r>
      </w:hyperlink>
    </w:p>
    <w:p>
      <w:pPr>
        <w:spacing w:before="0" w:after="80"/>
      </w:pPr>
      <w:r>
        <w:rPr>
          <w:i/>
          <w:sz w:val="20"/>
        </w:rPr>
        <w:t>EN: Gustatory avoidance of fatty acids by Aedes aegypti depends on an arthropod-specific TRP channel</w:t>
      </w:r>
    </w:p>
    <w:p>
      <w:pPr>
        <w:spacing w:before="0" w:after="120"/>
      </w:pPr>
      <w:r>
        <w:rPr>
          <w:b/>
        </w:rPr>
        <w:t xml:space="preserve">Source: </w:t>
      </w:r>
      <w:r>
        <w:t>Proceedings of the National Academy of Sciences: Keyword search for query</w:t>
      </w:r>
      <w:r>
        <w:t xml:space="preserve">    </w:t>
      </w:r>
      <w:r>
        <w:rPr>
          <w:b/>
        </w:rPr>
        <w:t xml:space="preserve">Pub date: </w:t>
      </w:r>
      <w:r>
        <w:t>2026-02-09 08:00:00+00:00</w:t>
      </w:r>
      <w:r>
        <w:t xml:space="preserve">    </w:t>
      </w:r>
      <w:r>
        <w:rPr>
          <w:b/>
        </w:rPr>
        <w:t xml:space="preserve">DOI: </w:t>
      </w:r>
      <w:hyperlink r:id="rId244">
        <w:r>
          <w:rPr>
            <w:color w:val="1155CC"/>
            <w:u w:val="single"/>
          </w:rPr>
          <w:t>10.1073/pnas.2522818123</w:t>
        </w:r>
      </w:hyperlink>
    </w:p>
    <w:p>
      <w:pPr>
        <w:spacing w:before="0" w:after="120"/>
      </w:pPr>
      <w:r>
        <w:rPr>
          <w:b/>
        </w:rPr>
        <w:t xml:space="preserve">Notes: </w:t>
      </w:r>
      <w:r>
        <w:t>abstract_source=pubmed</w:t>
      </w:r>
    </w:p>
    <w:p>
      <w:pPr>
        <w:spacing w:before="0" w:after="80" w:lineRule="auto" w:line="276"/>
      </w:pPr>
      <w:r>
        <w:rPr>
          <w:b/>
        </w:rPr>
        <w:t xml:space="preserve">摘要（ZH）: </w:t>
      </w:r>
      <w:r>
        <w:t>Aedes Aegypti等蚊子疾病病媒在决定是否消费血食或飞走之前,先先使用其品味感,但控制蚊子的悬念决定的分子机制基本上不为人所知。TRP(TRP) 短暂受体(TRP) 频道Painless1 (Pain1) 是参加Ae. Ae. Aegypti 的令人感兴趣的候选对象,因为疼痛1 记录在GRNs(GRNs) 中检测到。Drosophilla同族(pain) 也表现在GRNs, 需要用于感知异性- 异性相色素。在这里,我们首先关注Drosophia 疼痛,这在多个GRN 类中广泛表现。我们证明,疼痛消除了对低脂肪的腐蚀性吸引力。</w:t>
      </w:r>
    </w:p>
    <w:p>
      <w:pPr>
        <w:spacing w:before="0" w:after="200" w:lineRule="auto" w:line="276"/>
      </w:pPr>
      <w:r>
        <w:rPr>
          <w:b/>
        </w:rPr>
        <w:t xml:space="preserve">Abstract (EN): </w:t>
      </w:r>
      <w:r>
        <w:t>Mosquito-disease vectors, such as Aedes aegypti, use their sense of taste before deciding whether to consume a blood meal, or fly away. However, the molecular mechanisms controlling gustatory decisions in mosquitoes are largely unknown. The transient receptor potential (TRP) channel, Painless1 (Pain1), is an intriguing candidate for participating in Ae. aegypti taste since pain1 transcripts are detected in gustatory receptor neurons (GRNs). The Drosophila homolog, painless (pain) is also expressed in GRNs, where it is required for sensing allyl-isothiocyanate. Here, to identify additional gustatory roles for pain homologs, we first focused on Drosophila pain, which is widely expressed in multiple GRN classes. We demonstrated that pain mutations eliminated gustatory attraction to low fatty acids levels, repulsion to high levels, and fatty acid-induced action potentials. The attraction and repulsion depended on pain expression in different GRN classes. In contrast to Drosophila, when Aedes contacts fatty acids, they induce gustatory rejection only. Aedes pain1 is expressed in taste organs, and is required for gustatory avoidance of fatty acids, and for fatty acid-induced action potentials. Given that Pain homologs are found in insects but not vertebrates, Pain1 represents an intriguing target for developing repellents to diminish biting, and transmission of infectious agents by mosquito disease vectors.</w:t>
      </w:r>
    </w:p>
    <w:p>
      <w:pPr>
        <w:spacing w:before="120" w:after="120"/>
      </w:pPr>
      <w:r>
        <w:rPr>
          <w:sz w:val="18"/>
        </w:rPr>
        <w:t>——————————————————————————————————————————————————————————————————————</w:t>
      </w:r>
    </w:p>
    <w:p>
      <w:pPr>
        <w:spacing w:before="160" w:after="40" w:line="240" w:lineRule="auto"/>
      </w:pPr>
      <w:r>
        <w:rPr>
          <w:b/>
        </w:rPr>
        <w:t xml:space="preserve">[154] </w:t>
      </w:r>
      <w:hyperlink r:id="rId245">
        <w:r>
          <w:rPr>
            <w:color w:val="1155CC"/>
            <w:u w:val="single"/>
          </w:rPr>
          <w:t>c-Cbl/Cbl-b对立物体抑制EGFR 普遍性并维持EGFR 磷酸化,以加强角膜再入住院。</w:t>
        </w:r>
      </w:hyperlink>
    </w:p>
    <w:p>
      <w:pPr>
        <w:spacing w:before="0" w:after="80"/>
      </w:pPr>
      <w:r>
        <w:rPr>
          <w:i/>
          <w:sz w:val="20"/>
        </w:rPr>
        <w:t>EN: A c-Cbl/Cbl-b antagonist inhibits EGFR ubiquitylation and sustains EGFR phosphorylation to enhance corneal re-epithelialization</w:t>
      </w:r>
    </w:p>
    <w:p>
      <w:pPr>
        <w:spacing w:before="0" w:after="120"/>
      </w:pPr>
      <w:r>
        <w:rPr>
          <w:b/>
        </w:rPr>
        <w:t xml:space="preserve">Source: </w:t>
      </w:r>
      <w:r>
        <w:t>Proceedings of the National Academy of Sciences: Keyword search for query</w:t>
      </w:r>
      <w:r>
        <w:t xml:space="preserve">    </w:t>
      </w:r>
      <w:r>
        <w:rPr>
          <w:b/>
        </w:rPr>
        <w:t xml:space="preserve">Pub date: </w:t>
      </w:r>
      <w:r>
        <w:t>2026-02-09 08:00:00+00:00</w:t>
      </w:r>
      <w:r>
        <w:t xml:space="preserve">    </w:t>
      </w:r>
      <w:r>
        <w:rPr>
          <w:b/>
        </w:rPr>
        <w:t xml:space="preserve">DOI: </w:t>
      </w:r>
      <w:hyperlink r:id="rId246">
        <w:r>
          <w:rPr>
            <w:color w:val="1155CC"/>
            <w:u w:val="single"/>
          </w:rPr>
          <w:t>10.1073/pnas.2518857123</w:t>
        </w:r>
      </w:hyperlink>
    </w:p>
    <w:p>
      <w:pPr>
        <w:spacing w:before="0" w:after="120"/>
      </w:pPr>
      <w:r>
        <w:rPr>
          <w:b/>
        </w:rPr>
        <w:t xml:space="preserve">Notes: </w:t>
      </w:r>
      <w:r>
        <w:t>abstract_source=pubmed</w:t>
      </w:r>
    </w:p>
    <w:p>
      <w:pPr>
        <w:spacing w:before="0" w:after="80" w:lineRule="auto" w:line="276"/>
      </w:pPr>
      <w:r>
        <w:rPr>
          <w:b/>
        </w:rPr>
        <w:t xml:space="preserve">摘要（ZH）: </w:t>
      </w:r>
      <w:r>
        <w:t>尽管实验室数据表明EGFR活动加速了小鼠和兔子的玉米再入住院,但EGF临床对受损的角状肾上腺炎的治疗效果有限,原因是在持续生长系数管理后出现了减弱的信号。我们假设抑制受体不适应会延长受体活动,并增强组织的主体保持。我们先前已经将E3 紫外线菌(c-Cbl)确定为一种直角状腺素(c-Cbl),因此,我们推测抑制受体不适应会延长受体活动,并会增强组织的主体。</w:t>
      </w:r>
    </w:p>
    <w:p>
      <w:pPr>
        <w:spacing w:before="0" w:after="200" w:lineRule="auto" w:line="276"/>
      </w:pPr>
      <w:r>
        <w:rPr>
          <w:b/>
        </w:rPr>
        <w:t xml:space="preserve">Abstract (EN): </w:t>
      </w:r>
      <w:r>
        <w:t>Growth factor receptor signaling is a critical component of tissue growth, homeostasis, and wound healing. However, receptor desensitization limits the use of exogenous growth factors as a restorative agent therapeutically. An example of this is the epidermal growth factor receptor (EGFR) in the corneal epithelium. Despite laboratory data indicating that EGFR activity accelerates corneal re-epithelialization in mice and rabbits, the clinical administration of EGF to damaged corneal epithelium has limited impact due to the attenuated signaling that occurs following sustained growth factor administration. We hypothesized that inhibition of receptor desensitization would prolong receptor activity and enhance tissue homeostasis. Having previously identified the E3 ubiquitin ligase, c-Cbl, as a key negative regulator of EGFR signaling in the corneal epithelium, we have developed a class of small molecule inhibitors of EGFR binding to CBL family proteins using virtual screening with experimental validation. Through multiple rounds of structural optimization, we have identified compound 3-120. This compound was designed to compete with phosphotyrosine 1045 of the EGFR for binding to c-Cbl. Compound 3-120 binds to c-Cbl with an ~10-fold higher affinity than phosphoEGFR, reduces EGFR ubiquitylation by 40%, and increases the magnitude of ligand-stimulated EGFR phosphorylation by 30 to 40%. Ultimately, this compound can enhance the restoration of corneal epithelial debridement wounds. Thus, compound 3-120 is an antagonist that specifically disrupts EGFR ubiquitylation to sustain receptor signaling.</w:t>
      </w:r>
    </w:p>
    <w:p>
      <w:pPr>
        <w:spacing w:before="120" w:after="120"/>
      </w:pPr>
      <w:r>
        <w:rPr>
          <w:sz w:val="18"/>
        </w:rPr>
        <w:t>——————————————————————————————————————————————————————————————————————</w:t>
      </w:r>
    </w:p>
    <w:p>
      <w:pPr>
        <w:spacing w:before="160" w:after="40" w:line="240" w:lineRule="auto"/>
      </w:pPr>
      <w:r>
        <w:rPr>
          <w:b/>
        </w:rPr>
        <w:t xml:space="preserve">[155] </w:t>
      </w:r>
      <w:hyperlink r:id="rId247">
        <w:r>
          <w:rPr>
            <w:color w:val="1155CC"/>
            <w:u w:val="single"/>
          </w:rPr>
          <w:t>全球鱼类和水产养殖贸易流动的营养公平</w:t>
        </w:r>
      </w:hyperlink>
    </w:p>
    <w:p>
      <w:pPr>
        <w:spacing w:before="0" w:after="80"/>
      </w:pPr>
      <w:r>
        <w:rPr>
          <w:i/>
          <w:sz w:val="20"/>
        </w:rPr>
        <w:t>EN: Global nutritional equity of fishmeal and aquaculture trade flows</w:t>
      </w:r>
    </w:p>
    <w:p>
      <w:pPr>
        <w:spacing w:before="0" w:after="120"/>
      </w:pPr>
      <w:r>
        <w:rPr>
          <w:b/>
        </w:rPr>
        <w:t xml:space="preserve">Source: </w:t>
      </w:r>
      <w:r>
        <w:t>Proceedings of the National Academy of Sciences: Keyword search for query</w:t>
      </w:r>
      <w:r>
        <w:t xml:space="preserve">    </w:t>
      </w:r>
      <w:r>
        <w:rPr>
          <w:b/>
        </w:rPr>
        <w:t xml:space="preserve">Pub date: </w:t>
      </w:r>
      <w:r>
        <w:t>2026-02-09 08:00:00+00:00</w:t>
      </w:r>
      <w:r>
        <w:t xml:space="preserve">    </w:t>
      </w:r>
      <w:r>
        <w:rPr>
          <w:b/>
        </w:rPr>
        <w:t xml:space="preserve">DOI: </w:t>
      </w:r>
      <w:hyperlink r:id="rId248">
        <w:r>
          <w:rPr>
            <w:color w:val="1155CC"/>
            <w:u w:val="single"/>
          </w:rPr>
          <w:t>10.1073/pnas.2506699123</w:t>
        </w:r>
      </w:hyperlink>
    </w:p>
    <w:p>
      <w:pPr>
        <w:spacing w:before="0" w:after="120"/>
      </w:pPr>
      <w:r>
        <w:rPr>
          <w:b/>
        </w:rPr>
        <w:t xml:space="preserve">Notes: </w:t>
      </w:r>
      <w:r>
        <w:t>abstract_source=pubmed</w:t>
      </w:r>
    </w:p>
    <w:p>
      <w:pPr>
        <w:spacing w:before="0" w:after="80" w:lineRule="auto" w:line="276"/>
      </w:pPr>
      <w:r>
        <w:rPr>
          <w:b/>
        </w:rPr>
        <w:t xml:space="preserve">摘要（ZH）: </w:t>
      </w:r>
      <w:r>
        <w:t>水产养殖是单一增长最快的食品部门,是实现可持续发展的关键目标(例如,SDG 2:零饥饿)的核心所在,将2015年至2019年国际水产食品贸易中 &gt; 2 800个水生物种的养分构成与 &gt; 200万鱼类和养殖鱼类交易联系起来,我们审视了水产养殖的营养流动和分配公平情况,发现水产养殖平均为近25万人提供了充足的摄入量,覆盖14个关键营养物质,为27亿人提供了维生素B12等几种营养物质,其中绝大多数营养物质(76.8%)是国内保留,有助于生产国的营养安全。</w:t>
      </w:r>
    </w:p>
    <w:p>
      <w:pPr>
        <w:spacing w:before="0" w:after="200" w:lineRule="auto" w:line="276"/>
      </w:pPr>
      <w:r>
        <w:rPr>
          <w:b/>
        </w:rPr>
        <w:t xml:space="preserve">Abstract (EN): </w:t>
      </w:r>
      <w:r>
        <w:t>Aquaculture, the single fastest growing food sector, is central to achieving key Sustainable Development Goals (e.g., SDG 2: Zero Hunger). Linking the nutrient composition of &gt;2,800 aquatic species with &gt;2 million fishmeal and farmed fish transactions in international aquatic food trade between 2015 and 2019, we examined aquaculture's nutritional flows and distributional equity. We found that aquaculture provided adequate intakes for nearly a quarter of a million individuals, on average, across 14 key nutrients, and for up to 2.7 billion individuals for several nutrients, such as Vitamin B12. The vast majority of these nutrients (76.8%) were domestically retained, contributing to the nutritional security of producer countries. With most internationally traded nutrients originating from nutritionally vulnerable countries (57.7% for fishmeal and 66.3% for farmed aquatic foods), rethinking existing distribution policies with nutrition as the primary objective may help unlock the full potential of aquaculture to eliminate hunger and malnutrition.</w:t>
      </w:r>
    </w:p>
    <w:p>
      <w:pPr>
        <w:spacing w:before="120" w:after="120"/>
      </w:pPr>
      <w:r>
        <w:rPr>
          <w:sz w:val="18"/>
        </w:rPr>
        <w:t>——————————————————————————————————————————————————————————————————————</w:t>
      </w:r>
    </w:p>
    <w:p>
      <w:pPr>
        <w:spacing w:before="160" w:after="40" w:line="240" w:lineRule="auto"/>
      </w:pPr>
      <w:r>
        <w:rPr>
          <w:b/>
        </w:rPr>
        <w:t xml:space="preserve">[156] </w:t>
      </w:r>
      <w:hyperlink r:id="rId249">
        <w:r>
          <w:rPr>
            <w:color w:val="1155CC"/>
            <w:u w:val="single"/>
          </w:rPr>
          <w:t>Beta 逮捕一号是肺血管音调的关键调控者</w:t>
        </w:r>
      </w:hyperlink>
    </w:p>
    <w:p>
      <w:pPr>
        <w:spacing w:before="0" w:after="80"/>
      </w:pPr>
      <w:r>
        <w:rPr>
          <w:i/>
          <w:sz w:val="20"/>
        </w:rPr>
        <w:t>EN: Beta arrestin 1 is a key regulator of pulmonary vascular tone</w:t>
      </w:r>
    </w:p>
    <w:p>
      <w:pPr>
        <w:spacing w:before="0" w:after="120"/>
      </w:pPr>
      <w:r>
        <w:rPr>
          <w:b/>
        </w:rPr>
        <w:t xml:space="preserve">Source: </w:t>
      </w:r>
      <w:r>
        <w:t>Proceedings of the National Academy of Sciences: Keyword search for query</w:t>
      </w:r>
      <w:r>
        <w:t xml:space="preserve">    </w:t>
      </w:r>
      <w:r>
        <w:rPr>
          <w:b/>
        </w:rPr>
        <w:t xml:space="preserve">Pub date: </w:t>
      </w:r>
      <w:r>
        <w:t>2026-02-09 08:00:00+00:00</w:t>
      </w:r>
      <w:r>
        <w:t xml:space="preserve">    </w:t>
      </w:r>
      <w:r>
        <w:rPr>
          <w:b/>
        </w:rPr>
        <w:t xml:space="preserve">DOI: </w:t>
      </w:r>
      <w:hyperlink r:id="rId250">
        <w:r>
          <w:rPr>
            <w:color w:val="1155CC"/>
            <w:u w:val="single"/>
          </w:rPr>
          <w:t>10.1073/pnas.2512602123</w:t>
        </w:r>
      </w:hyperlink>
    </w:p>
    <w:p>
      <w:pPr>
        <w:spacing w:before="0" w:after="120"/>
      </w:pPr>
      <w:r>
        <w:rPr>
          <w:b/>
        </w:rPr>
        <w:t xml:space="preserve">Notes: </w:t>
      </w:r>
      <w:r>
        <w:t>abstract_source=pubmed</w:t>
      </w:r>
    </w:p>
    <w:p>
      <w:pPr>
        <w:spacing w:before="0" w:after="80" w:lineRule="auto" w:line="276"/>
      </w:pPr>
      <w:r>
        <w:rPr>
          <w:b/>
        </w:rPr>
        <w:t xml:space="preserve">摘要（ZH）: </w:t>
      </w:r>
      <w:r>
        <w:t>肺动脉高血压(PAH)是一种严重的紊乱,在这种紊乱中,血管音调的提高是关键标志之一。由于已显示乙氨(bArrs)可调节空气道的平稳肌肉音调,我们调查了肺血管血管血管血管中BAR1的功能。我们在此报告,BAR1对保持正常肺动脉音至关重要。具体地说,BAR1-/老鼠肺动脉的肺动脉,由于受损害的溶溶溶性guanylyl环流酶(sGC)活动而减少的无依赖的血管松动,该活动由依赖肝的GC活性器BAY58-2667所恢复。我们发现BAR1是 sGC和 sGC heme 脉动酶细胞脉冲b5再通风酶(Cyb5r3)的紧要伙伴。表明,BAR1对于使 sGC对NO产生敏化作用至关重要。最后,小鼠要么是无根的。</w:t>
      </w:r>
    </w:p>
    <w:p>
      <w:pPr>
        <w:spacing w:before="0" w:after="200" w:lineRule="auto" w:line="276"/>
      </w:pPr>
      <w:r>
        <w:rPr>
          <w:b/>
        </w:rPr>
        <w:t xml:space="preserve">Abstract (EN): </w:t>
      </w:r>
      <w:r>
        <w:t>Pulmonary arterial hypertension (PAH) is a serious disorder, in which increased vascular tone is one of the critical hallmarks. Since beta arrestins (bArrs) have been shown to regulate smooth muscle tone in the airways, we investigated the function of bArr1 in the pulmonary vasculature. Here, we report that bArr1 is essential for maintaining normal pulmonary arterial tone. Specifically, pulmonary arteries from bArr1-/- mice exhibited reduced NO-dependent vasorelaxation due to impaired soluble guanylyl cyclase (sGC) activity, which was restored by the heme-independent sGC activator BAY58-2667. We identified bArr1 as a binding partner of sGC and the sGC heme reductase cytochrome b5 reductase (Cyb5r3), indicating that bArr1 is vital for sensitizing sGC to NO. Finally, mice with either ubiquitous or smooth muscle-specific bArr1 deficiency developed pulmonary hypertension (PH). These findings highlight the important role of bArr1 in regulating pulmonary vascular tone and propose it as a potential therapeutic target for the treatment of PH.</w:t>
      </w:r>
    </w:p>
    <w:p>
      <w:pPr>
        <w:spacing w:before="120" w:after="120"/>
      </w:pPr>
      <w:r>
        <w:rPr>
          <w:sz w:val="18"/>
        </w:rPr>
        <w:t>——————————————————————————————————————————————————————————————————————</w:t>
      </w:r>
    </w:p>
    <w:p>
      <w:pPr>
        <w:spacing w:before="160" w:after="40" w:line="240" w:lineRule="auto"/>
      </w:pPr>
      <w:r>
        <w:rPr>
          <w:b/>
        </w:rPr>
        <w:t xml:space="preserve">[157] </w:t>
      </w:r>
      <w:hyperlink r:id="rId251">
        <w:r>
          <w:rPr>
            <w:color w:val="1155CC"/>
            <w:u w:val="single"/>
          </w:rPr>
          <w:t>由气候驱动的欧亚草原生物量生产减少与第一个千年期游牧移徙同时发生</w:t>
        </w:r>
      </w:hyperlink>
    </w:p>
    <w:p>
      <w:pPr>
        <w:spacing w:before="0" w:after="80"/>
      </w:pPr>
      <w:r>
        <w:rPr>
          <w:i/>
          <w:sz w:val="20"/>
        </w:rPr>
        <w:t>EN: Climate-driven reduction in biomass production of the Eurasian steppe coincides with nomadic migration during the first millennium CE</w:t>
      </w:r>
    </w:p>
    <w:p>
      <w:pPr>
        <w:spacing w:before="0" w:after="120"/>
      </w:pPr>
      <w:r>
        <w:rPr>
          <w:b/>
        </w:rPr>
        <w:t xml:space="preserve">Source: </w:t>
      </w:r>
      <w:r>
        <w:t>Proceedings of the National Academy of Sciences: Keyword search for query</w:t>
      </w:r>
      <w:r>
        <w:t xml:space="preserve">    </w:t>
      </w:r>
      <w:r>
        <w:rPr>
          <w:b/>
        </w:rPr>
        <w:t xml:space="preserve">Pub date: </w:t>
      </w:r>
      <w:r>
        <w:t>2026-02-09 08:00:00+00:00</w:t>
      </w:r>
      <w:r>
        <w:t xml:space="preserve">    </w:t>
      </w:r>
      <w:r>
        <w:rPr>
          <w:b/>
        </w:rPr>
        <w:t xml:space="preserve">DOI: </w:t>
      </w:r>
      <w:hyperlink r:id="rId252">
        <w:r>
          <w:rPr>
            <w:color w:val="1155CC"/>
            <w:u w:val="single"/>
          </w:rPr>
          <w:t>10.1073/pnas.2513573123</w:t>
        </w:r>
      </w:hyperlink>
    </w:p>
    <w:p>
      <w:pPr>
        <w:spacing w:before="0" w:after="120"/>
      </w:pPr>
      <w:r>
        <w:rPr>
          <w:b/>
        </w:rPr>
        <w:t xml:space="preserve">Notes: </w:t>
      </w:r>
      <w:r>
        <w:t>abstract_source=pubmed</w:t>
      </w:r>
    </w:p>
    <w:p>
      <w:pPr>
        <w:spacing w:before="0" w:after="80" w:lineRule="auto" w:line="276"/>
      </w:pPr>
      <w:r>
        <w:rPr>
          <w:b/>
        </w:rPr>
        <w:t xml:space="preserve">摘要（ZH）: </w:t>
      </w:r>
      <w:r>
        <w:t>虽然今天人们普遍接受,气候和其他环境因素在不同时空尺度上影响过去的人类社会,但直接关联难以确定,不应与因果关系混为一谈。 在这里,我们使用欧洲内部多千年纪年数的树环宽网络将净初级生产力(NPP)的年度变化重建到200个BCE。 我们的研究结果显示,在70-100年代、360-380年代和470-560年代左右的NPP下降事件很可能导致游牧民从中国西北部和蒙古的家园向西和向南移徙。尽管气候引起的低NPP长期的多十年期是农业和畜牧业维持系统的临界点,但游牧民从中国北部和蒙古的家园向西和向南移徙可能也是造成游牧民人口向西和向南移徙的原因。</w:t>
      </w:r>
    </w:p>
    <w:p>
      <w:pPr>
        <w:spacing w:before="0" w:after="200" w:lineRule="auto" w:line="276"/>
      </w:pPr>
      <w:r>
        <w:rPr>
          <w:b/>
        </w:rPr>
        <w:t xml:space="preserve">Abstract (EN): </w:t>
      </w:r>
      <w:r>
        <w:t>Although it is generally accepted today that climate and other environmental factors affected past human societies at different spatiotemporal scales, direct linkages are difficult to determine, and correlation should not be confused with causation. Here, we use a tree-ring width network of multimillennial chronologies from inner Eurasia to reconstruct annual changes in Net Primary Productivity (NPP) back to 200 BCE. Our findings reveal that episodes of reduced NPP around the 70s-100s, 360s-380s, and 470s-560s CE likely contributed to the westward and southward migration of nomadic people from their homelands in northwestern China and Mongolia. Although prolonged multidecadal periods of climate-induced low NPP served as tipping points for agricultural and pastoral subsistence systems, the inherent mobility of nomadic communities not only enabled them to adapt to adverse environmental conditions but also facilitated a widespread dispersal of ethnic groups.</w:t>
      </w:r>
    </w:p>
    <w:p>
      <w:pPr>
        <w:spacing w:before="120" w:after="120"/>
      </w:pPr>
      <w:r>
        <w:rPr>
          <w:sz w:val="18"/>
        </w:rPr>
        <w:t>——————————————————————————————————————————————————————————————————————</w:t>
      </w:r>
    </w:p>
    <w:p>
      <w:pPr>
        <w:spacing w:before="160" w:after="40" w:line="240" w:lineRule="auto"/>
      </w:pPr>
      <w:r>
        <w:rPr>
          <w:b/>
        </w:rPr>
        <w:t xml:space="preserve">[158] </w:t>
      </w:r>
      <w:hyperlink r:id="rId253">
        <w:r>
          <w:rPr>
            <w:color w:val="1155CC"/>
            <w:u w:val="single"/>
          </w:rPr>
          <w:t>Csp3-Csp3 通过酶板状激进-激进联结形成债券</w:t>
        </w:r>
      </w:hyperlink>
    </w:p>
    <w:p>
      <w:pPr>
        <w:spacing w:before="0" w:after="80"/>
      </w:pPr>
      <w:r>
        <w:rPr>
          <w:i/>
          <w:sz w:val="20"/>
        </w:rPr>
        <w:t>EN: Photoenzymatic Csp3–Csp3 bond formation via enzyme-templated radical–radical coupling</w:t>
      </w:r>
    </w:p>
    <w:p>
      <w:pPr>
        <w:spacing w:before="0" w:after="120"/>
      </w:pPr>
      <w:r>
        <w:rPr>
          <w:b/>
        </w:rPr>
        <w:t xml:space="preserve">Source: </w:t>
      </w:r>
      <w:r>
        <w:t>Proceedings of the National Academy of Sciences: Keyword search for query</w:t>
      </w:r>
      <w:r>
        <w:t xml:space="preserve">    </w:t>
      </w:r>
      <w:r>
        <w:rPr>
          <w:b/>
        </w:rPr>
        <w:t xml:space="preserve">Pub date: </w:t>
      </w:r>
      <w:r>
        <w:t>2026-02-09 08:00:00+00:00</w:t>
      </w:r>
      <w:r>
        <w:t xml:space="preserve">    </w:t>
      </w:r>
      <w:r>
        <w:rPr>
          <w:b/>
        </w:rPr>
        <w:t xml:space="preserve">DOI: </w:t>
      </w:r>
      <w:hyperlink r:id="rId254">
        <w:r>
          <w:rPr>
            <w:color w:val="1155CC"/>
            <w:u w:val="single"/>
          </w:rPr>
          <w:t>10.1073/pnas.2529018123</w:t>
        </w:r>
      </w:hyperlink>
    </w:p>
    <w:p>
      <w:pPr>
        <w:spacing w:before="0" w:after="120"/>
      </w:pPr>
      <w:r>
        <w:rPr>
          <w:b/>
        </w:rPr>
        <w:t xml:space="preserve">Notes: </w:t>
      </w:r>
      <w:r>
        <w:t>abstract_source=pubmed</w:t>
      </w:r>
    </w:p>
    <w:p>
      <w:pPr>
        <w:spacing w:before="0" w:after="80" w:lineRule="auto" w:line="276"/>
      </w:pPr>
      <w:r>
        <w:rPr>
          <w:b/>
        </w:rPr>
        <w:t xml:space="preserve">摘要（ZH）: </w:t>
      </w:r>
      <w:r>
        <w:t>交叉结合是现代化学合成中必不可少的反应,能够迅速从简单的前体中制造复杂的分子。过渡性金属催化剂在这些变异中受到重视,因为其反应性和选择性可以通过明智地选择金属和离心体加以调适。虽然酶通过蛋白质工程提供类似的调试机会,但对交叉结合的应用仍然有限,因为自然依赖分子复杂性的替代模式。这里,我们报告使用一种设计出来的依赖液态的液态单氧基酶-光性酶,将烷基卤化物和苯并基碳oxyli酸相互调和。酶通过利用浮质共体的红氧化多变性,实现了这一发展。</w:t>
      </w:r>
    </w:p>
    <w:p>
      <w:pPr>
        <w:spacing w:before="0" w:after="200" w:lineRule="auto" w:line="276"/>
      </w:pPr>
      <w:r>
        <w:rPr>
          <w:b/>
        </w:rPr>
        <w:t xml:space="preserve">Abstract (EN): </w:t>
      </w:r>
      <w:r>
        <w:t>Cross-couplings are essential reactions in modern chemical synthesis, enabling the rapid construction of complex molecules from simple precursors. Transition metal catalysts are prized for these transformations because their reactivity and selectivity can be tuned via judicious selection of the metal and ligand. Although enzymes offer analogous opportunities for tuning via protein engineering, their application to cross-coupling remains limited, as nature relies on alternative paradigms for building molecular complexity. Here, we report the cross-coupling of alkyl halides and benzylic carboxylic acids using an engineered flavin-dependent lactate monooxygenase-a photoenzyme. The enzyme achieves this feat by exploiting the redox versatility of the flavin cofactor. Stoichiometric experiments, ultrafast spectroscopy, and computational studies support a mechanism in which photoexcited flavin quinone initiates the reaction via oxidative decarboxylation to generate a benzylic radical. The resulting flavin semiquinone can reduce the alkyl halide to form a second organic radical within the protein active site, which rapidly engages in C(sp3)-C(sp3) bond formation. A variant was engineered to control the stereochemical outcome of this radical-radical coupling event, highlighting the ability of the protein to alter the energetic barrier for a mechanistic step that is traditionally understood to be near barrierless. This work demonstrates that the scope for nonnative reaction mechanisms in biocatalysis far exceeds previously established bounds and has potential to solve a variety of reactivity challenges in cross-coupling chemistry.</w:t>
      </w:r>
    </w:p>
    <w:p>
      <w:pPr>
        <w:spacing w:before="120" w:after="120"/>
      </w:pPr>
      <w:r>
        <w:rPr>
          <w:sz w:val="18"/>
        </w:rPr>
        <w:t>——————————————————————————————————————————————————————————————————————</w:t>
      </w:r>
    </w:p>
    <w:p>
      <w:pPr>
        <w:spacing w:before="160" w:after="40" w:line="240" w:lineRule="auto"/>
      </w:pPr>
      <w:r>
        <w:rPr>
          <w:b/>
        </w:rPr>
        <w:t xml:space="preserve">[159] </w:t>
      </w:r>
      <w:hyperlink r:id="rId255">
        <w:r>
          <w:rPr>
            <w:color w:val="1155CC"/>
            <w:u w:val="single"/>
          </w:rPr>
          <w:t>野生热带骆驼对MEERS-COV的脱污抗体反应</w:t>
        </w:r>
      </w:hyperlink>
    </w:p>
    <w:p>
      <w:pPr>
        <w:spacing w:before="0" w:after="80"/>
      </w:pPr>
      <w:r>
        <w:rPr>
          <w:i/>
          <w:sz w:val="20"/>
        </w:rPr>
        <w:t>EN: Decoding antibody response to MERS-CoV in wild dromedary camels</w:t>
      </w:r>
    </w:p>
    <w:p>
      <w:pPr>
        <w:spacing w:before="0" w:after="120"/>
      </w:pPr>
      <w:r>
        <w:rPr>
          <w:b/>
        </w:rPr>
        <w:t xml:space="preserve">Source: </w:t>
      </w:r>
      <w:r>
        <w:t>Proceedings of the National Academy of Sciences: Keyword search for query</w:t>
      </w:r>
      <w:r>
        <w:t xml:space="preserve">    </w:t>
      </w:r>
      <w:r>
        <w:rPr>
          <w:b/>
        </w:rPr>
        <w:t xml:space="preserve">Pub date: </w:t>
      </w:r>
      <w:r>
        <w:t>2026-02-09 08:00:00+00:00</w:t>
      </w:r>
      <w:r>
        <w:t xml:space="preserve">    </w:t>
      </w:r>
      <w:r>
        <w:rPr>
          <w:b/>
        </w:rPr>
        <w:t xml:space="preserve">DOI: </w:t>
      </w:r>
      <w:hyperlink r:id="rId256">
        <w:r>
          <w:rPr>
            <w:color w:val="1155CC"/>
            <w:u w:val="single"/>
          </w:rPr>
          <w:t>10.1073/pnas.2513716123</w:t>
        </w:r>
      </w:hyperlink>
    </w:p>
    <w:p>
      <w:pPr>
        <w:spacing w:before="0" w:after="120"/>
      </w:pPr>
      <w:r>
        <w:rPr>
          <w:b/>
        </w:rPr>
        <w:t xml:space="preserve">Notes: </w:t>
      </w:r>
      <w:r>
        <w:t>abstract_source=pubmed</w:t>
      </w:r>
    </w:p>
    <w:p>
      <w:pPr>
        <w:spacing w:before="0" w:after="80" w:lineRule="auto" w:line="276"/>
      </w:pPr>
      <w:r>
        <w:rPr>
          <w:b/>
        </w:rPr>
        <w:t xml:space="preserve">摘要（ZH）: </w:t>
      </w:r>
      <w:r>
        <w:t>阿拉伯半岛和非洲野生沿海骆驼数十年来一直存在抗体,以抗中东呼吸综合症科罗纳病毒(MERS-COV),先是人类的动物外溢,然而,这些抗体的威力、特性和结构特征仍然不太为人所知。这里,我们描述的是突尼斯(MERS-COV流行地区)自然感染的野生沿海骆驼的抗体反应。九只骆驼的等离子体的抗体表现出变化不定的中和活动,通常随着年龄的增长而增加,而且基本上具有自动化性质,从一个单只骆驼(D17)的周边血液单核细胞(PBMCs)衍生的VHH抗体图书馆中,我们发现了34个独特的序列,以前为 u。</w:t>
      </w:r>
    </w:p>
    <w:p>
      <w:pPr>
        <w:spacing w:before="0" w:after="200" w:lineRule="auto" w:line="276"/>
      </w:pPr>
      <w:r>
        <w:rPr>
          <w:b/>
        </w:rPr>
        <w:t xml:space="preserve">Abstract (EN): </w:t>
      </w:r>
      <w:r>
        <w:t>Wild dromedary camels in the Arabian Peninsula and Africa have harbored antibodies against Middle East Respiratory Syndrome Coronavirus (MERS-CoV) for decades, predating zoonotic spillover to humans. However, the potency, specificity, and structural characteristics of these antibodies remain poorly understood. Here, we characterize the antibody responses of naturally infected wild dromedary camels in Tunisia, a MERS-CoV-endemic region. Plasma antibodies from nine camels exhibited variable neutralizing activity, generally increasing with age, and were largely autologous, with minimal cross-reactivity to SARS-CoV-1 or SARS-CoV-2. From a VHH antibody library derived from the peripheral blood mononuclear cells (PBMCs) of a single camel (D17), we identified 34 unique sequences with previously unreported germline origins and unusually long complementarity-determining region 3 (CDR3) sequences. Eight representative VHHs, expressed as human Fc fusions, displayed high-affinity binding to the MERS-CoV receptor-binding domain (RBD) and broad neutralization to RBD mutants (IC50: 1.05 to 9.55 ng/mL). Crystal structural analysis revealed distinct neutralization mechanisms: VHH-227 fully blocked DPP4 binding, achieving complete neutralization, while VHH-T71, with partial neutralization (~80%), targeted the RBD core subdomain. This study provides comprehensive characterization of wild dromedary antibody responses, identifying novel nanobodies (Nbs) with broad and potent neutralization to naturally occurring RBD mutants. These findings offer insights into camel immunity and highlight promising candidates for MERS-CoV prophylactic and therapeutic development.</w:t>
      </w:r>
    </w:p>
    <w:p>
      <w:pPr>
        <w:spacing w:before="120" w:after="120"/>
      </w:pPr>
      <w:r>
        <w:rPr>
          <w:sz w:val="18"/>
        </w:rPr>
        <w:t>——————————————————————————————————————————————————————————————————————</w:t>
      </w:r>
    </w:p>
    <w:p>
      <w:pPr>
        <w:spacing w:before="160" w:after="40" w:line="240" w:lineRule="auto"/>
      </w:pPr>
      <w:r>
        <w:rPr>
          <w:b/>
        </w:rPr>
        <w:t xml:space="preserve">[160] </w:t>
      </w:r>
      <w:hyperlink r:id="rId257">
        <w:r>
          <w:rPr>
            <w:color w:val="1155CC"/>
            <w:u w:val="single"/>
          </w:rPr>
          <w:t>由甲型病毒原型NSP2蛋白质在黄热蚊Aedes Aeepti对RNA静默的对抗</w:t>
        </w:r>
      </w:hyperlink>
    </w:p>
    <w:p>
      <w:pPr>
        <w:spacing w:before="0" w:after="80"/>
      </w:pPr>
      <w:r>
        <w:rPr>
          <w:i/>
          <w:sz w:val="20"/>
        </w:rPr>
        <w:t>EN: Antagonism of RNA silencing in the yellow fever mosquito, Aedes aegypti, by the nsP2 protein of the prototype alphavirus</w:t>
      </w:r>
    </w:p>
    <w:p>
      <w:pPr>
        <w:spacing w:before="0" w:after="120"/>
      </w:pPr>
      <w:r>
        <w:rPr>
          <w:b/>
        </w:rPr>
        <w:t xml:space="preserve">Source: </w:t>
      </w:r>
      <w:r>
        <w:t>Proceedings of the National Academy of Sciences: Keyword search for query</w:t>
      </w:r>
      <w:r>
        <w:t xml:space="preserve">    </w:t>
      </w:r>
      <w:r>
        <w:rPr>
          <w:b/>
        </w:rPr>
        <w:t xml:space="preserve">Pub date: </w:t>
      </w:r>
      <w:r>
        <w:t>2026-02-09 08:00:00+00:00</w:t>
      </w:r>
      <w:r>
        <w:t xml:space="preserve">    </w:t>
      </w:r>
      <w:r>
        <w:rPr>
          <w:b/>
        </w:rPr>
        <w:t xml:space="preserve">DOI: </w:t>
      </w:r>
      <w:hyperlink r:id="rId258">
        <w:r>
          <w:rPr>
            <w:color w:val="1155CC"/>
            <w:u w:val="single"/>
          </w:rPr>
          <w:t>10.1073/pnas.2521417123</w:t>
        </w:r>
      </w:hyperlink>
    </w:p>
    <w:p>
      <w:pPr>
        <w:spacing w:before="0" w:after="120"/>
      </w:pPr>
      <w:r>
        <w:rPr>
          <w:b/>
        </w:rPr>
        <w:t xml:space="preserve">Notes: </w:t>
      </w:r>
      <w:r>
        <w:t>abstract_source=pubmed</w:t>
      </w:r>
    </w:p>
    <w:p>
      <w:pPr>
        <w:spacing w:before="0" w:after="80" w:lineRule="auto" w:line="276"/>
      </w:pPr>
      <w:r>
        <w:rPr>
          <w:b/>
        </w:rPr>
        <w:t xml:space="preserve">摘要（ZH）: </w:t>
      </w:r>
      <w:r>
        <w:t>尽管抗病毒RNA干扰(RNAi)途径十分强劲,但阿尔法病毒仍然在蚊虫病媒中造成持久性感染,这表明它们采用各种机制来对抗宿主免疫。我们证明,Sindbis病毒(SINV)原型甲型病毒(SINV)的nsp2蛋白质是Aedes egypti蚊子中RNA静默病毒病毒病毒的病毒抑制剂。我们利用SINV变异(2V)防止在nsP2-nsP3交叉口发生分裂,我们表明,适当的蛋白解处理释放成熟的NSP2是使用完好的RNAi路径在蚊子中有效病毒复制的关键。2V变异体的复制缺陷在Dicer-2(Dcr-2)无基因蚊子中被拯救,或者通过表达成熟的nsP2蛋白。生物化学分析显示,再结合ncomantsP2直接结合了双链。</w:t>
      </w:r>
    </w:p>
    <w:p>
      <w:pPr>
        <w:spacing w:before="0" w:after="200" w:lineRule="auto" w:line="276"/>
      </w:pPr>
      <w:r>
        <w:rPr>
          <w:b/>
        </w:rPr>
        <w:t xml:space="preserve">Abstract (EN): </w:t>
      </w:r>
      <w:r>
        <w:t>Alphaviruses establish persistent infections in mosquito vectors despite robust antiviral RNA interference (RNAi) pathways, suggesting that they employ mechanisms to counteract host immunity. We demonstrate that the nsP2 protein of Sindbis virus (SINV), the prototype alphavirus, functions as a viral suppressor of RNA silencing in Aedes aegypti mosquitoes. Using a SINV mutant (2V) that prevents cleavage at the nsP2-nsP3 junction, we show that proper proteolytic processing to release mature nsP2 is essential for efficient viral replication in mosquitoes with intact RNAi pathways. Replication defects in the 2V mutant were rescued in Dicer-2 (Dcr-2) null mutant mosquitoes or by expressing the mature nsP2 protein. Biochemical assays revealed that recombinant nsP2 directly binds double-stranded RNA and inhibits Dicer-mediated processing into small interfering RNAs (siRNAs). Furthermore, mosquitoes infected with the 2V mutant exhibited higher ratios of virus-derived siRNAs per viral RNA compared to wild-type infections, confirming that mature nsP2 suppresses the RNAi response. Our findings provide compelling evidence that nsP2 antagonizes RNA silencing in mosquito vectors, representing a critical adaptation that facilitates alphavirus replication.</w:t>
      </w:r>
    </w:p>
    <w:p>
      <w:pPr>
        <w:spacing w:before="120" w:after="120"/>
      </w:pPr>
      <w:r>
        <w:rPr>
          <w:sz w:val="18"/>
        </w:rPr>
        <w:t>——————————————————————————————————————————————————————————————————————</w:t>
      </w:r>
    </w:p>
    <w:p>
      <w:pPr>
        <w:spacing w:before="160" w:after="40" w:line="240" w:lineRule="auto"/>
      </w:pPr>
      <w:r>
        <w:rPr>
          <w:b/>
        </w:rPr>
        <w:t xml:space="preserve">[161] </w:t>
      </w:r>
      <w:hyperlink r:id="rId259">
        <w:r>
          <w:rPr>
            <w:color w:val="1155CC"/>
            <w:u w:val="single"/>
          </w:rPr>
          <w:t>社会信息在判断痛苦、替代痛苦和认知努力方面创造自我实现的预言</w:t>
        </w:r>
      </w:hyperlink>
    </w:p>
    <w:p>
      <w:pPr>
        <w:spacing w:before="0" w:after="80"/>
      </w:pPr>
      <w:r>
        <w:rPr>
          <w:i/>
          <w:sz w:val="20"/>
        </w:rPr>
        <w:t>EN: Social information creates self-fulfilling prophecies in judgments of pain, vicarious pain, and cognitive effort</w:t>
      </w:r>
    </w:p>
    <w:p>
      <w:pPr>
        <w:spacing w:before="0" w:after="120"/>
      </w:pPr>
      <w:r>
        <w:rPr>
          <w:b/>
        </w:rPr>
        <w:t xml:space="preserve">Source: </w:t>
      </w:r>
      <w:r>
        <w:t>Proceedings of the National Academy of Sciences: Keyword search for query</w:t>
      </w:r>
      <w:r>
        <w:t xml:space="preserve">    </w:t>
      </w:r>
      <w:r>
        <w:rPr>
          <w:b/>
        </w:rPr>
        <w:t xml:space="preserve">Pub date: </w:t>
      </w:r>
      <w:r>
        <w:t>2026-02-09 08:00:00+00:00</w:t>
      </w:r>
      <w:r>
        <w:t xml:space="preserve">    </w:t>
      </w:r>
      <w:r>
        <w:rPr>
          <w:b/>
        </w:rPr>
        <w:t xml:space="preserve">DOI: </w:t>
      </w:r>
      <w:hyperlink r:id="rId260">
        <w:r>
          <w:rPr>
            <w:color w:val="1155CC"/>
            <w:u w:val="single"/>
          </w:rPr>
          <w:t>10.1073/pnas.2513856123</w:t>
        </w:r>
      </w:hyperlink>
    </w:p>
    <w:p>
      <w:pPr>
        <w:spacing w:before="0" w:after="120"/>
      </w:pPr>
      <w:r>
        <w:rPr>
          <w:b/>
        </w:rPr>
        <w:t xml:space="preserve">Notes: </w:t>
      </w:r>
      <w:r>
        <w:t>abstract_source=pubmed</w:t>
      </w:r>
    </w:p>
    <w:p>
      <w:pPr>
        <w:spacing w:before="0" w:after="80" w:lineRule="auto" w:line="276"/>
      </w:pPr>
      <w:r>
        <w:rPr>
          <w:b/>
        </w:rPr>
        <w:t xml:space="preserve">摘要（ZH）: </w:t>
      </w:r>
      <w:r>
        <w:t>然而,在每次刺激措施之前,参与者都看到一种社会信号,表面上显示其他10个参与者的评级,但事实上是随机到一个高或低平均值的反常水平,而与下列因素无关。</w:t>
      </w:r>
    </w:p>
    <w:p>
      <w:pPr>
        <w:spacing w:before="0" w:after="200" w:lineRule="auto" w:line="276"/>
      </w:pPr>
      <w:r>
        <w:rPr>
          <w:b/>
        </w:rPr>
        <w:t xml:space="preserve">Abstract (EN): </w:t>
      </w:r>
      <w:r>
        <w:t>Expectations can shape perception and potentially lead to self-fulfilling prophecies such as placebo effects that persist or grow over time. Nonetheless, whether and how unreinforced and unconditioned social cues (i.e., suggestions about future experiences that have not been reinforced with reward or punishment) can create and sustain such effects is unknown. We conducted a set of experiments in which participants (N = 111) experienced stimuli eliciting somatic pain (heat), vicarious pain (videos of others in pain), and cognitive effort (a mental-rotation task), at three intensity levels each. Before each stimulus, participants viewed a social cue that ostensibly indicated ratings from 10 other participants but was in fact randomized to a high or low mean aversiveness level independent of actual stimulus intensity. Across all tasks, participants' expectations and experience ratings shifted in line with the cues, with high-aversive cues leading to higher perceived aversiveness. Computational modeling and behavioral analysis revealed lower learning rates for prediction errors inconsistent with the trial's cue value (e.g., better than expected for high-aversive cues) and higher learning rates for prediction errors consistent with the cue value (e.g., worse than expected for high-aversive cues). These findings reveal a confirmation bias in learning: people update more when outcomes align with expectations. Combined with expectation effects on perception, this bias helps sustain social cue effects. Together, these mechanisms show how social information can shape perception and learning, giving rise to self-fulfilling prophecies.</w:t>
      </w:r>
    </w:p>
    <w:p>
      <w:pPr>
        <w:spacing w:before="120" w:after="120"/>
      </w:pPr>
      <w:r>
        <w:rPr>
          <w:sz w:val="18"/>
        </w:rPr>
        <w:t>——————————————————————————————————————————————————————————————————————</w:t>
      </w:r>
    </w:p>
    <w:p>
      <w:pPr>
        <w:spacing w:before="160" w:after="40" w:line="240" w:lineRule="auto"/>
      </w:pPr>
      <w:r>
        <w:rPr>
          <w:b/>
        </w:rPr>
        <w:t xml:space="preserve">[162] </w:t>
      </w:r>
      <w:hyperlink r:id="rId261">
        <w:r>
          <w:rPr>
            <w:color w:val="1155CC"/>
            <w:u w:val="single"/>
          </w:rPr>
          <w:t>Covoretinopathy:COVID-19由VEGF引起的依赖视网膜病</w:t>
        </w:r>
      </w:hyperlink>
    </w:p>
    <w:p>
      <w:pPr>
        <w:spacing w:before="0" w:after="80"/>
      </w:pPr>
      <w:r>
        <w:rPr>
          <w:i/>
          <w:sz w:val="20"/>
        </w:rPr>
        <w:t>EN: Coviretinopathy: COVID-19-induced VEGF-dependent retinopathy</w:t>
      </w:r>
    </w:p>
    <w:p>
      <w:pPr>
        <w:spacing w:before="0" w:after="120"/>
      </w:pPr>
      <w:r>
        <w:rPr>
          <w:b/>
        </w:rPr>
        <w:t xml:space="preserve">Source: </w:t>
      </w:r>
      <w:r>
        <w:t>Proceedings of the National Academy of Sciences: Keyword search for query</w:t>
      </w:r>
      <w:r>
        <w:t xml:space="preserve">    </w:t>
      </w:r>
      <w:r>
        <w:rPr>
          <w:b/>
        </w:rPr>
        <w:t xml:space="preserve">Pub date: </w:t>
      </w:r>
      <w:r>
        <w:t>2026-02-09 08:00:00+00:00</w:t>
      </w:r>
      <w:r>
        <w:t xml:space="preserve">    </w:t>
      </w:r>
      <w:r>
        <w:rPr>
          <w:b/>
        </w:rPr>
        <w:t xml:space="preserve">DOI: </w:t>
      </w:r>
      <w:hyperlink r:id="rId262">
        <w:r>
          <w:rPr>
            <w:color w:val="1155CC"/>
            <w:u w:val="single"/>
          </w:rPr>
          <w:t>10.1073/pnas.2516405123</w:t>
        </w:r>
      </w:hyperlink>
    </w:p>
    <w:p>
      <w:pPr>
        <w:spacing w:before="0" w:after="120"/>
      </w:pPr>
      <w:r>
        <w:rPr>
          <w:b/>
        </w:rPr>
        <w:t xml:space="preserve">Notes: </w:t>
      </w:r>
      <w:r>
        <w:t>abstract_source=pubmed</w:t>
      </w:r>
    </w:p>
    <w:p>
      <w:pPr>
        <w:spacing w:before="0" w:after="80" w:lineRule="auto" w:line="276"/>
      </w:pPr>
      <w:r>
        <w:rPr>
          <w:b/>
        </w:rPr>
        <w:t xml:space="preserve">摘要（ZH）: </w:t>
      </w:r>
      <w:r>
        <w:t>COVID-19与人体视网膜疾病发病率高有关,但是,作为COVID-19相关视网膜病症基础的细胞和分子机制仍然不得而知。我们在这里采用了鼠标COVID-19模型来调查SARS-COV-2感染和视网膜病症发育之间的因果关系。我们的数据表明,COVID-19引起的肺部缺氧引发了视网膜和血浆系统缺氧,并显著提高了VEGF的表达水平。高VEGF水平改变了视网膜的血管结构和功能,导致新血管化、血管解体和漏泄增加。我们使用了一种共生体病症术语来准确描述视网膜中COVID-19引起的这些病变。因此,VEGF被一个螺栓阻住。</w:t>
      </w:r>
    </w:p>
    <w:p>
      <w:pPr>
        <w:spacing w:before="0" w:after="200" w:lineRule="auto" w:line="276"/>
      </w:pPr>
      <w:r>
        <w:rPr>
          <w:b/>
        </w:rPr>
        <w:t xml:space="preserve">Abstract (EN): </w:t>
      </w:r>
      <w:r>
        <w:t>COVID-19 has been associated with high prevalences of retinal diseases in humans. However, cellular and molecular mechanisms that underlie the COVID-19-associated retinopathy remains unknown. Here, we deployed a mouse COVID-19 model to investigate the causative link between SARS-CoV-2 infection and retinopathy development. Our data showed that COVID-19-induced pulmonary hypoxia triggered systemic hypoxia and markedly augmented VEGF expression levels in the retina and plasma. High VEGF levels altered vascular structures and functions in the retina, resulting in neovascularization, vascular disorganization, and increased leakiness. We deployed a terminology of coviretinopathy to accurately describe these COVID-19-induced pathological changes in the retina. Consequently, blocking VEGF by a specific neutralizing antibody (VEGF blockade) completely ablated the COVID-19-associated vascular changes in the retina. Together, these findings provide mechanistic insights into the COVID-19-associated retinopathy and propose a therapeutic paradigm for effective treatment of coviretinopathy.</w:t>
      </w:r>
    </w:p>
    <w:p>
      <w:pPr>
        <w:spacing w:before="120" w:after="120"/>
      </w:pPr>
      <w:r>
        <w:rPr>
          <w:sz w:val="18"/>
        </w:rPr>
        <w:t>——————————————————————————————————————————————————————————————————————</w:t>
      </w:r>
    </w:p>
    <w:p>
      <w:pPr>
        <w:spacing w:before="160" w:after="40" w:line="240" w:lineRule="auto"/>
      </w:pPr>
      <w:r>
        <w:rPr>
          <w:b/>
        </w:rPr>
        <w:t xml:space="preserve">[163] </w:t>
      </w:r>
      <w:hyperlink r:id="rId263">
        <w:r>
          <w:rPr>
            <w:color w:val="1155CC"/>
            <w:u w:val="single"/>
          </w:rPr>
          <w:t>2D Mxene的选选电静电组装成单晶体金属氧化物,用于增强光学催化</w:t>
        </w:r>
      </w:hyperlink>
    </w:p>
    <w:p>
      <w:pPr>
        <w:spacing w:before="0" w:after="80"/>
      </w:pPr>
      <w:r>
        <w:rPr>
          <w:i/>
          <w:sz w:val="20"/>
        </w:rPr>
        <w:t>EN: Facet‐Selective Electrostatic Assembling of 2D Mxene onto Anisotropic Single‐Crystal Metal Oxides for Enhanced Photocatalysis</w:t>
      </w:r>
    </w:p>
    <w:p>
      <w:pPr>
        <w:spacing w:before="0" w:after="120"/>
      </w:pPr>
      <w:r>
        <w:rPr>
          <w:b/>
        </w:rPr>
        <w:t xml:space="preserve">Source: </w:t>
      </w:r>
      <w:r>
        <w:t>Wiley: Advanced Materials: Table of Contents</w:t>
      </w:r>
      <w:r>
        <w:t xml:space="preserve">    </w:t>
      </w:r>
      <w:r>
        <w:rPr>
          <w:b/>
        </w:rPr>
        <w:t xml:space="preserve">Pub date: </w:t>
      </w:r>
      <w:r>
        <w:t>2026-02-09 08:01:00+00:00</w:t>
      </w:r>
      <w:r>
        <w:t xml:space="preserve">    </w:t>
      </w:r>
      <w:r>
        <w:rPr>
          <w:b/>
        </w:rPr>
        <w:t xml:space="preserve">DOI: </w:t>
      </w:r>
      <w:hyperlink r:id="rId264">
        <w:r>
          <w:rPr>
            <w:color w:val="1155CC"/>
            <w:u w:val="single"/>
          </w:rPr>
          <w:t>10.1002/adma.202519087</w:t>
        </w:r>
      </w:hyperlink>
    </w:p>
    <w:p>
      <w:pPr>
        <w:spacing w:before="0" w:after="120"/>
      </w:pPr>
      <w:r>
        <w:rPr>
          <w:b/>
        </w:rPr>
        <w:t xml:space="preserve">Notes: </w:t>
      </w:r>
      <w:r>
        <w:t>abstract_source=crossref</w:t>
      </w:r>
    </w:p>
    <w:p>
      <w:pPr>
        <w:spacing w:before="0" w:after="80" w:lineRule="auto" w:line="276"/>
      </w:pPr>
      <w:r>
        <w:rPr>
          <w:b/>
        </w:rPr>
        <w:t xml:space="preserve">摘要（ZH）: </w:t>
      </w:r>
      <w:r>
        <w:t>设计具有纳米级精度的复合光化催化系统至关重要。常规的表面选择性光化光化定位成功地利用了球形共振成像,但将合成前二维(2D)材料直接沉积到特定方面仍极具挑战性。这项工作显示了将2D过渡性金属碳化物(MXenes)精确沉积到厌异性单晶体半导金属氧化物中的静电组装战略。通过精确控制溶液pH,我们调整了MXenes的表面充电量和金属氧化物的不同晶体面,从而得以通过静电吸引进行选择性沉积。负电荷M4/3</w:t>
      </w:r>
    </w:p>
    <w:p>
      <w:pPr>
        <w:spacing w:before="0" w:after="200" w:lineRule="auto" w:line="276"/>
      </w:pPr>
      <w:r>
        <w:rPr>
          <w:b/>
        </w:rPr>
        <w:t xml:space="preserve">Abstract (EN): </w:t>
      </w:r>
      <w:r>
        <w:t>Designing composite photocatalytic systems with nanoscale precision is crucial. While conventional facet‐selective photo‐deposition successfully utilizes spherical co‐catalysts, the directed deposition of pre‐synthesized two‐dimensional (2D) materials onto specific facets remains extremely challenging. This work demonstrates an electrostatic assembly strategy for the precise deposition of 2D transition metal carbides (MXenes) onto anisotropic single‐crystal semiconducting metal oxides. By precisely controlling the solution pH, we modulated the surface charge of the MXenes and the distinct crystallographic facets of the metal oxides, enabling selective deposition driven by electrostatic attraction. Negatively charged Mo</w:t>
      </w:r>
      <w:r>
        <w:t xml:space="preserve"> </w:t>
      </w:r>
      <w:r>
        <w:t>4/3</w:t>
      </w:r>
      <w:r>
        <w:t xml:space="preserve"> </w:t>
      </w:r>
      <w:r>
        <w:t>C MXenes were selectively deposited on the electron‐rich (101) surface of TiO</w:t>
      </w:r>
      <w:r>
        <w:rPr>
          <w:vertAlign w:val="subscript"/>
        </w:rPr>
        <w:t>2</w:t>
      </w:r>
      <w:r>
        <w:t>at pH 3, the (100) surface of Cu</w:t>
      </w:r>
      <w:r>
        <w:rPr>
          <w:vertAlign w:val="subscript"/>
        </w:rPr>
        <w:t>2</w:t>
      </w:r>
      <w:r>
        <w:t>O exposed at pH 11, and the (010) surface of BiVO</w:t>
      </w:r>
      <w:r>
        <w:rPr>
          <w:vertAlign w:val="subscript"/>
        </w:rPr>
        <w:t>4</w:t>
      </w:r>
      <w:r>
        <w:t>at pH 1.5. The high facet selectivity was confirmed through a combination of advanced techniques, including electron microscopy, electron spectroscopy, and synchrotron‐based spectromicroscopy. This selective interfacial engineering promotes spatially separated charge carrier migration toward distinct facets, while Schottky barriers form at the MXenes/oxides interfaces. The MXenes act as efficient reduction co‐catalysts, facilitating the rapid consumption of electrons, thereby enhancing photocatalytic hydrogen evolution. This work establishes a generalizable, non‐photolytic method for integrating challenging 2D co‐catalysts with facet‐engineered semiconductors for designing composite photocatalysts.</w:t>
      </w:r>
    </w:p>
    <w:p>
      <w:pPr>
        <w:spacing w:before="120" w:after="120"/>
      </w:pPr>
      <w:r>
        <w:rPr>
          <w:sz w:val="18"/>
        </w:rPr>
        <w:t>——————————————————————————————————————————————————————————————————————</w:t>
      </w:r>
    </w:p>
    <w:p>
      <w:pPr>
        <w:spacing w:before="160" w:after="40" w:line="240" w:lineRule="auto"/>
      </w:pPr>
      <w:r>
        <w:rPr>
          <w:b/>
        </w:rPr>
        <w:t xml:space="preserve">[164] </w:t>
      </w:r>
      <w:hyperlink r:id="rId265">
        <w:r>
          <w:rPr>
            <w:color w:val="1155CC"/>
            <w:u w:val="single"/>
          </w:rPr>
          <w:t>[ASAP]空间再分配使酸性CO2电解中稳定的乙烯合成得以实现</w:t>
        </w:r>
      </w:hyperlink>
    </w:p>
    <w:p>
      <w:pPr>
        <w:spacing w:before="0" w:after="80"/>
      </w:pPr>
      <w:r>
        <w:rPr>
          <w:i/>
          <w:sz w:val="20"/>
        </w:rPr>
        <w:t>EN: [ASAP] Spatial Ion Redistribution Enables Stable Ethylene Synthesis in Acidic CO2 Electrolysis</w:t>
      </w:r>
    </w:p>
    <w:p>
      <w:pPr>
        <w:spacing w:before="0" w:after="120"/>
      </w:pPr>
      <w:r>
        <w:rPr>
          <w:b/>
        </w:rPr>
        <w:t xml:space="preserve">Source: </w:t>
      </w:r>
      <w:r>
        <w:t>Journal of the American Chemical Society: Latest Articles (ACS Publications)</w:t>
      </w:r>
      <w:r>
        <w:t xml:space="preserve">    </w:t>
      </w:r>
      <w:r>
        <w:rPr>
          <w:b/>
        </w:rPr>
        <w:t xml:space="preserve">Pub date: </w:t>
      </w:r>
      <w:r>
        <w:t>2026-02-09 09:19:24+00:00</w:t>
      </w:r>
      <w:r>
        <w:t xml:space="preserve">    </w:t>
      </w:r>
      <w:r>
        <w:rPr>
          <w:b/>
        </w:rPr>
        <w:t xml:space="preserve">DOI: </w:t>
      </w:r>
      <w:hyperlink r:id="rId266">
        <w:r>
          <w:rPr>
            <w:color w:val="1155CC"/>
            <w:u w:val="single"/>
          </w:rPr>
          <w:t>10.1021/jacs.5c18575</w:t>
        </w:r>
      </w:hyperlink>
    </w:p>
    <w:p>
      <w:pPr>
        <w:spacing w:before="0" w:after="120"/>
      </w:pPr>
      <w:r>
        <w:rPr>
          <w:b/>
        </w:rPr>
        <w:t xml:space="preserve">Notes: </w:t>
      </w:r>
      <w:r>
        <w:t>abstract_source=pubmed</w:t>
      </w:r>
    </w:p>
    <w:p>
      <w:pPr>
        <w:spacing w:before="0" w:after="80" w:lineRule="auto" w:line="276"/>
      </w:pPr>
      <w:r>
        <w:rPr>
          <w:b/>
        </w:rPr>
        <w:t xml:space="preserve">摘要（ZH）: </w:t>
      </w:r>
      <w:r>
        <w:t>在酸性条件下减少电动催化CO2(eCO2R)会减少碳交叉和能源损失,但选择性的多碳合成由于氢的进化相互竞争,仍然具有挑战性。常规努力操纵电化学双层以丰富碱性化合物,但在工业相关的当前密度达到不耐烦的极限,损害选择性和稳定性。在这里,我们引入离子多孔层(IGPO),它超越纳米测量限制,形成一个体积离子管理区,将催化质表面与散装电解导动力脱钩。我们的等级结构包括多孔碳纳米岩(PCNs)和库催化剂的聚合三氮纳米岩层。理论模型显示这种设计取代了K+concentratio。</w:t>
      </w:r>
    </w:p>
    <w:p>
      <w:pPr>
        <w:spacing w:before="0" w:after="200" w:lineRule="auto" w:line="276"/>
      </w:pPr>
      <w:r>
        <w:rPr>
          <w:b/>
        </w:rPr>
        <w:t xml:space="preserve">Abstract (EN): </w:t>
      </w:r>
      <w:r>
        <w:t>Electrocatalytic CO2 reduction (eCO2R) under acidic conditions mitigates carbon crossover and energy losses, yet selective multicarbon synthesis remains challenging due to competing hydrogen evolution. Conventional efforts manipulate the electrochemical double layer to enrich alkali cations but reach steric limits at industrially relevant current densities, compromising selectivity and stability. Here, we introduce an ion-gated porous overlayer (IGPO) that extends beyond nanometric constraints, creating a volumetric ion-management zone decoupling catalytic surfaces from bulk electrolyte dynamics. Our hierarchical architecture comprises porous carbon nanocages (PCNs) and polymeric triazine nanocage layers on the Cu catalyst. Theoretical modeling reveals this design displaces K+ concentration peaks from the catalyst to outer PCN surfaces while attenuating H3O+ across the porous network. Protonated triazine groups enforce the Donnan exclusion of H3O+ and retard OH- egress, sustaining locally alkaline microenvironments. Incorporating single-atom nickel sites enables in situ CO generation, enhancing multicarbon formation through tandem catalysis. The optimized electrode achieves 61.1% Faradaic efficiency for ethylene and 86.2% for total C2+ products at 400 mA cm-2 under acidic conditions, with stable operation exceeding 220 h. This ion-gated strategy provides a generalizable framework for overcoming selectivity-stability trade-offs, advancing carbon-neutral chemical manufacturing.</w:t>
      </w:r>
    </w:p>
    <w:p>
      <w:pPr>
        <w:spacing w:before="120" w:after="120"/>
      </w:pPr>
      <w:r>
        <w:rPr>
          <w:sz w:val="18"/>
        </w:rPr>
        <w:t>——————————————————————————————————————————————————————————————————————</w:t>
      </w:r>
    </w:p>
    <w:p>
      <w:pPr>
        <w:spacing w:before="160" w:after="40" w:line="240" w:lineRule="auto"/>
      </w:pPr>
      <w:r>
        <w:rPr>
          <w:b/>
        </w:rPr>
        <w:t xml:space="preserve">[165] </w:t>
      </w:r>
      <w:hyperlink r:id="rId267">
        <w:r>
          <w:rPr>
            <w:color w:val="1155CC"/>
            <w:u w:val="single"/>
          </w:rPr>
          <w:t>[ASAP]电电双层充电,优化电催化器设计和性能的新框架</w:t>
        </w:r>
      </w:hyperlink>
    </w:p>
    <w:p>
      <w:pPr>
        <w:spacing w:before="0" w:after="80"/>
      </w:pPr>
      <w:r>
        <w:rPr>
          <w:i/>
          <w:sz w:val="20"/>
        </w:rPr>
        <w:t>EN: [ASAP] Electric Double Layer Charging, a New Framework for Optimizing Electrocatalyst Design and Performance</w:t>
      </w:r>
    </w:p>
    <w:p>
      <w:pPr>
        <w:spacing w:before="0" w:after="120"/>
      </w:pPr>
      <w:r>
        <w:rPr>
          <w:b/>
        </w:rPr>
        <w:t xml:space="preserve">Source: </w:t>
      </w:r>
      <w:r>
        <w:t>ACS Energy Letters: Latest Articles (ACS Publications)</w:t>
      </w:r>
      <w:r>
        <w:t xml:space="preserve">    </w:t>
      </w:r>
      <w:r>
        <w:rPr>
          <w:b/>
        </w:rPr>
        <w:t xml:space="preserve">Pub date: </w:t>
      </w:r>
      <w:r>
        <w:t>2026-02-09 09:52:26+00:00</w:t>
      </w:r>
      <w:r>
        <w:t xml:space="preserve">    </w:t>
      </w:r>
      <w:r>
        <w:rPr>
          <w:b/>
        </w:rPr>
        <w:t xml:space="preserve">DOI: </w:t>
      </w:r>
      <w:hyperlink r:id="rId268">
        <w:r>
          <w:rPr>
            <w:color w:val="1155CC"/>
            <w:u w:val="single"/>
          </w:rPr>
          <w:t>10.1021/acsenergylett.5c04144</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[166] </w:t>
      </w:r>
      <w:hyperlink r:id="rId269">
        <w:r>
          <w:rPr>
            <w:color w:val="1155CC"/>
            <w:u w:val="single"/>
          </w:rPr>
          <w:t>[ASAP]用非对数值相互作用来控制电池中的化学反应</w:t>
        </w:r>
      </w:hyperlink>
    </w:p>
    <w:p>
      <w:pPr>
        <w:spacing w:before="0" w:after="80"/>
      </w:pPr>
      <w:r>
        <w:rPr>
          <w:i/>
          <w:sz w:val="20"/>
        </w:rPr>
        <w:t>EN: [ASAP] Taming Chemical Reactions in Batteries by Noncovalent Interactions</w:t>
      </w:r>
    </w:p>
    <w:p>
      <w:pPr>
        <w:spacing w:before="0" w:after="120"/>
      </w:pPr>
      <w:r>
        <w:rPr>
          <w:b/>
        </w:rPr>
        <w:t xml:space="preserve">Source: </w:t>
      </w:r>
      <w:r>
        <w:t>ACS Energy Letters: Latest Articles (ACS Publications)</w:t>
      </w:r>
      <w:r>
        <w:t xml:space="preserve">    </w:t>
      </w:r>
      <w:r>
        <w:rPr>
          <w:b/>
        </w:rPr>
        <w:t xml:space="preserve">Pub date: </w:t>
      </w:r>
      <w:r>
        <w:t>2026-02-09 09:53:25+00:00</w:t>
      </w:r>
      <w:r>
        <w:t xml:space="preserve">    </w:t>
      </w:r>
      <w:r>
        <w:rPr>
          <w:b/>
        </w:rPr>
        <w:t xml:space="preserve">DOI: </w:t>
      </w:r>
      <w:hyperlink r:id="rId270">
        <w:r>
          <w:rPr>
            <w:color w:val="1155CC"/>
            <w:u w:val="single"/>
          </w:rPr>
          <w:t>10.1021/acsenergylett.5c04024</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[167] </w:t>
      </w:r>
      <w:hyperlink r:id="rId271">
        <w:r>
          <w:rPr>
            <w:color w:val="1155CC"/>
            <w:u w:val="single"/>
          </w:rPr>
          <w:t>[ASAP] 早期纤维素中毒检测</w:t>
        </w:r>
      </w:hyperlink>
    </w:p>
    <w:p>
      <w:pPr>
        <w:spacing w:before="0" w:after="80"/>
      </w:pPr>
      <w:r>
        <w:rPr>
          <w:i/>
          <w:sz w:val="20"/>
        </w:rPr>
        <w:t>EN: [ASAP] Early Ferroptosis Detection Targeting Lipid Hydrogen Abstraction</w:t>
      </w:r>
    </w:p>
    <w:p>
      <w:pPr>
        <w:spacing w:before="0" w:after="120"/>
      </w:pPr>
      <w:r>
        <w:rPr>
          <w:b/>
        </w:rPr>
        <w:t xml:space="preserve">Source: </w:t>
      </w:r>
      <w:r>
        <w:t>Journal of the American Chemical Society: Latest Articles (ACS Publications)</w:t>
      </w:r>
      <w:r>
        <w:t xml:space="preserve">    </w:t>
      </w:r>
      <w:r>
        <w:rPr>
          <w:b/>
        </w:rPr>
        <w:t xml:space="preserve">Pub date: </w:t>
      </w:r>
      <w:r>
        <w:t>2026-02-09 11:34:50+00:00</w:t>
      </w:r>
      <w:r>
        <w:t xml:space="preserve">    </w:t>
      </w:r>
      <w:r>
        <w:rPr>
          <w:b/>
        </w:rPr>
        <w:t xml:space="preserve">DOI: </w:t>
      </w:r>
      <w:hyperlink r:id="rId272">
        <w:r>
          <w:rPr>
            <w:color w:val="1155CC"/>
            <w:u w:val="single"/>
          </w:rPr>
          <w:t>10.1021/jacs.5c17084</w:t>
        </w:r>
      </w:hyperlink>
    </w:p>
    <w:p>
      <w:pPr>
        <w:spacing w:before="0" w:after="120"/>
      </w:pPr>
      <w:r>
        <w:rPr>
          <w:b/>
        </w:rPr>
        <w:t xml:space="preserve">Notes: </w:t>
      </w:r>
      <w:r>
        <w:t>abstract_source=pubmed</w:t>
      </w:r>
    </w:p>
    <w:p>
      <w:pPr>
        <w:spacing w:before="0" w:after="80" w:lineRule="auto" w:line="276"/>
      </w:pPr>
      <w:r>
        <w:rPr>
          <w:b/>
        </w:rPr>
        <w:t xml:space="preserve">摘要（ZH）: </w:t>
      </w:r>
      <w:r>
        <w:t>Ferroptosis 是一种受Fe2+依赖和脂脂过氧化的受管制细胞死亡,早期发现对诊断和及时干预至关重要。液氢提取是“脂过氧化-纤维化”级联的起始步骤,也是早期检测铁质病的理想目标。我们开发了第一批脂性H-吸附作用的含氟诱导探针,即红色LHA585,深红LHA675,近红LHA930。设计的关键是使用4-苯-3-甲基布-2-乙基,这是多元饱和性脂肪的近似物,专门检测与铁质化有关的高氧化性激进。值得注意的是,LHA585在一种Vitro OGD/R模型中比目前的金标准探针早8小时,突出其超级值。</w:t>
      </w:r>
    </w:p>
    <w:p>
      <w:pPr>
        <w:spacing w:before="0" w:after="200" w:lineRule="auto" w:line="276"/>
      </w:pPr>
      <w:r>
        <w:rPr>
          <w:b/>
        </w:rPr>
        <w:t xml:space="preserve">Abstract (EN): </w:t>
      </w:r>
      <w:r>
        <w:t>Ferroptosis is an Fe2+-dependent and lipid peroxidation-mediated regulated cell death. Its early detection is critical for diagnosis and timely intervention. Lipid hydrogen abstraction is the initiation step of the "lipid peroxidation-ferroptosis" cascade and an ideal target for early detection of ferroptosis. We developed the first set of fluorogenic probes for lipid H-abstraction, i.e., LHA585 for red, LHA675 for deep-red, and LHA930 for near-infrared. The key to their design is the use of 4-phenyl-3-methylbut-2-enyl, a close mimic of the polyunsaturated lipid, to specifically detect the highly oxidative radicals involved in ferroptosis. Notably, LHA585 yielded a fluorescence turn-on ca. 8 h earlier than the current gold-standard probe in an in vitro OGD/R model, highlighting its superiority for early detection of ferroptosis. While LHA585/675 is intended for in vitro studies, LHA930 was feasible for in vivo ferroptosis detection. Collectively, these findings establish LHAs as a robust advance for ferroptosis sensing, enabling in-depth mechanistic studies of lipid-peroxidation-driven cell death.</w:t>
      </w:r>
    </w:p>
    <w:p>
      <w:pPr>
        <w:spacing w:before="120" w:after="120"/>
      </w:pPr>
      <w:r>
        <w:rPr>
          <w:sz w:val="18"/>
        </w:rPr>
        <w:t>——————————————————————————————————————————————————————————————————————</w:t>
      </w:r>
    </w:p>
    <w:p>
      <w:pPr>
        <w:spacing w:before="160" w:after="40" w:line="240" w:lineRule="auto"/>
      </w:pPr>
      <w:r>
        <w:rPr>
          <w:b/>
        </w:rPr>
        <w:t xml:space="preserve">[168] </w:t>
      </w:r>
      <w:hyperlink r:id="rId273">
        <w:r>
          <w:rPr>
            <w:color w:val="1155CC"/>
            <w:u w:val="single"/>
          </w:rPr>
          <w:t>通过对齐-诱导振动离地化,在大不常态聚烯芬纤维中施压性热导热</w:t>
        </w:r>
      </w:hyperlink>
    </w:p>
    <w:p>
      <w:pPr>
        <w:spacing w:before="0" w:after="80"/>
      </w:pPr>
      <w:r>
        <w:rPr>
          <w:i/>
          <w:sz w:val="20"/>
        </w:rPr>
        <w:t>EN: Strain‐Tunable Thermal Conductivity in Largely Amorphous Polyolefin Fibers via Alignment‐Induced Vibrational Delocalization</w:t>
      </w:r>
    </w:p>
    <w:p>
      <w:pPr>
        <w:spacing w:before="0" w:after="120"/>
      </w:pPr>
      <w:r>
        <w:rPr>
          <w:b/>
        </w:rPr>
        <w:t xml:space="preserve">Source: </w:t>
      </w:r>
      <w:r>
        <w:t>Wiley: Advanced Materials: Table of Contents</w:t>
      </w:r>
      <w:r>
        <w:t xml:space="preserve">    </w:t>
      </w:r>
      <w:r>
        <w:rPr>
          <w:b/>
        </w:rPr>
        <w:t xml:space="preserve">Pub date: </w:t>
      </w:r>
      <w:r>
        <w:t>2026-02-09 12:25:45+00:00</w:t>
      </w:r>
      <w:r>
        <w:t xml:space="preserve">    </w:t>
      </w:r>
      <w:r>
        <w:rPr>
          <w:b/>
        </w:rPr>
        <w:t xml:space="preserve">DOI: </w:t>
      </w:r>
      <w:hyperlink r:id="rId274">
        <w:r>
          <w:rPr>
            <w:color w:val="1155CC"/>
            <w:u w:val="single"/>
          </w:rPr>
          <w:t>10.1002/adma.202520371</w:t>
        </w:r>
      </w:hyperlink>
    </w:p>
    <w:p>
      <w:pPr>
        <w:spacing w:before="0" w:after="120"/>
      </w:pPr>
      <w:r>
        <w:rPr>
          <w:b/>
        </w:rPr>
        <w:t xml:space="preserve">Notes: </w:t>
      </w:r>
      <w:r>
        <w:t>abstract_source=crossref</w:t>
      </w:r>
    </w:p>
    <w:p>
      <w:pPr>
        <w:spacing w:before="0" w:after="80" w:lineRule="auto" w:line="276"/>
      </w:pPr>
      <w:r>
        <w:rPr>
          <w:b/>
        </w:rPr>
        <w:t xml:space="preserve">摘要（ZH）: </w:t>
      </w:r>
      <w:r>
        <w:t>ABSTACT 发展快速、可逆和可再循环的热开关对于推进适应性热管理至关重要。 在这里,我们展示了一种基于基本上不固定的单质合金(OBC)纤维的有线热开关,实现连续开关比率超过2千个周期,以及低于0.22 s 的极短响应时间。 我们使用Raman光谱镜,量化振动脱位,增加菌株,并展示其与观察到的热传导变化的直接关联。 我们显示,与以往将传播热载体主要与晶体领域联系起来的假设不同,在不固定的系统中的对齐可以使控制运输的类似模式成为可能。 据我们所知,这项工作是第一个实验性强的。</w:t>
      </w:r>
    </w:p>
    <w:p>
      <w:pPr>
        <w:spacing w:before="0" w:after="200" w:lineRule="auto" w:line="276"/>
      </w:pPr>
      <w:r>
        <w:rPr>
          <w:b/>
        </w:rPr>
        <w:t xml:space="preserve">Abstract (EN): </w:t>
      </w:r>
      <w:r>
        <w:t>Developing fast, reversible, and recyclable thermal switches is essential to advance adaptive thermal management. Here, we present a strain‐tunable thermal switch based on largely amorphous olefin block copolymer (OBC) fibers, achieving a continuous switching ratio above 2 over 1000 cycles, as well as very short response times below 0.22 s. Using Raman spectroscopy, we quantify vibrational delocalization with increasing strain and demonstrate its direct connection to the observed thermal conductivity changes. We show that unlike prior assumptions linking propagating heat carriers primarily to crystalline domains, alignment in amorphous systems can enable phonon‐like modes that dominate transport. To our best knowledge, this work is the first to experimentally probe vibrational delocalization using Raman spectroscopy and to demonstrate that alignment alone can govern the dominant carrier in disordered polymers. These findings establish design strategies for fatigue‐resistant, high‐performance, and recyclable polymer thermal switches for advanced thermal energy transport applications.</w:t>
      </w:r>
    </w:p>
    <w:p>
      <w:pPr>
        <w:spacing w:before="120" w:after="120"/>
      </w:pPr>
      <w:r>
        <w:rPr>
          <w:sz w:val="18"/>
        </w:rPr>
        <w:t>——————————————————————————————————————————————————————————————————————</w:t>
      </w:r>
    </w:p>
    <w:p>
      <w:pPr>
        <w:spacing w:before="160" w:after="40" w:line="240" w:lineRule="auto"/>
      </w:pPr>
      <w:r>
        <w:rPr>
          <w:b/>
        </w:rPr>
        <w:t xml:space="preserve">[169] </w:t>
      </w:r>
      <w:hyperlink r:id="rId275">
        <w:r>
          <w:rPr>
            <w:color w:val="1155CC"/>
            <w:u w:val="single"/>
          </w:rPr>
          <w:t>机械化学科尔贝-施密特反应:Catechol盒式盒式盒式反应为可再生可塑化剂提供了建筑构件。</w:t>
        </w:r>
      </w:hyperlink>
    </w:p>
    <w:p>
      <w:pPr>
        <w:spacing w:before="0" w:after="80"/>
      </w:pPr>
      <w:r>
        <w:rPr>
          <w:i/>
          <w:sz w:val="20"/>
        </w:rPr>
        <w:t>EN: A Mechanochemical Kolbe–Schmitt Reaction: Catechol Carboxylation Provides Building Blocks for Renewable Plasticizers</w:t>
      </w:r>
    </w:p>
    <w:p>
      <w:pPr>
        <w:spacing w:before="0" w:after="120"/>
      </w:pPr>
      <w:r>
        <w:rPr>
          <w:b/>
        </w:rPr>
        <w:t xml:space="preserve">Source: </w:t>
      </w:r>
      <w:r>
        <w:t>Wiley: Angewandte Chemie International Edition: Table of Contents</w:t>
      </w:r>
      <w:r>
        <w:t xml:space="preserve">    </w:t>
      </w:r>
      <w:r>
        <w:rPr>
          <w:b/>
        </w:rPr>
        <w:t xml:space="preserve">Pub date: </w:t>
      </w:r>
      <w:r>
        <w:t>2026-02-09 12:26:19+00:00</w:t>
      </w:r>
      <w:r>
        <w:t xml:space="preserve">    </w:t>
      </w:r>
      <w:r>
        <w:rPr>
          <w:b/>
        </w:rPr>
        <w:t xml:space="preserve">DOI: </w:t>
      </w:r>
      <w:hyperlink r:id="rId276">
        <w:r>
          <w:rPr>
            <w:color w:val="1155CC"/>
            <w:u w:val="single"/>
          </w:rPr>
          <w:t>10.1002/anie.202519827</w:t>
        </w:r>
      </w:hyperlink>
    </w:p>
    <w:p>
      <w:pPr>
        <w:spacing w:before="0" w:after="120"/>
      </w:pPr>
      <w:r>
        <w:rPr>
          <w:b/>
        </w:rPr>
        <w:t xml:space="preserve">Notes: </w:t>
      </w:r>
      <w:r>
        <w:t>abstract_source=crossref</w:t>
      </w:r>
    </w:p>
    <w:p>
      <w:pPr>
        <w:spacing w:before="0" w:after="80" w:lineRule="auto" w:line="276"/>
      </w:pPr>
      <w:r>
        <w:rPr>
          <w:b/>
        </w:rPr>
        <w:t xml:space="preserve">摘要（ZH）: </w:t>
      </w:r>
      <w:r>
        <w:t>Catechol(ABSTRACT Catechol)是一个重要的气相平台分子,可以从生物量中衍生出来,用机械化学科尔贝-施密特的碳酸钠与CO2混合反应碳化物,提供了单子和二碳基催化催化物衍生物的混合物。 虽然古典协议要求严酷的反应条件,涉及高温和/或CO2压力,但开发了一种温和的球磨制方法。 这是首个机械化学科尔贝-施密特反应,以低CO2压力和室温回活动为主,由基于单体和二碳基酸反应物的个体化单体和二碳基酸反应产物组成,一个没有的图书馆。</w:t>
      </w:r>
    </w:p>
    <w:p>
      <w:pPr>
        <w:spacing w:before="0" w:after="200" w:lineRule="auto" w:line="276"/>
      </w:pPr>
      <w:r>
        <w:rPr>
          <w:b/>
        </w:rPr>
        <w:t xml:space="preserve">Abstract (EN): </w:t>
      </w:r>
      <w:r>
        <w:t>Catechol, an important aromatic platform molecule which can be derived from biomass, was carboxylated by mechanochemical Kolbe–Schmitt reaction of disodium catecholate with CO</w:t>
      </w:r>
      <w:r>
        <w:rPr>
          <w:vertAlign w:val="subscript"/>
        </w:rPr>
        <w:t>2</w:t>
      </w:r>
      <w:r>
        <w:t>, providing a mixture of mono‐ and dicarboxylated catechol derivatives. While classical protocols require harsh reaction conditions, involving a high temperature and/or CO</w:t>
      </w:r>
      <w:r>
        <w:rPr>
          <w:vertAlign w:val="subscript"/>
        </w:rPr>
        <w:t>2</w:t>
      </w:r>
      <w:r>
        <w:t>pressure, a mild ball milling method was developed. This represents the first mechanochemical Kolbe–Schmitt reaction featuring a low CO</w:t>
      </w:r>
      <w:r>
        <w:rPr>
          <w:vertAlign w:val="subscript"/>
        </w:rPr>
        <w:t>2</w:t>
      </w:r>
      <w:r>
        <w:t>pressure and reactivity at room temperature. From the individual catechol‐based mono‐ and dicarboxylic acid reaction products, a library of novel renewable plasticizers was synthesized through esterification of the carboxylic acid functionalities and</w:t>
      </w:r>
      <w:r>
        <w:t xml:space="preserve"> </w:t>
      </w:r>
      <w:r>
        <w:t>O</w:t>
      </w:r>
      <w:r>
        <w:t xml:space="preserve"> </w:t>
      </w:r>
      <w:r>
        <w:t>‐acylation of the phenolic hydroxy groups. The resulting esters were evaluated in poly(vinylchloride) (PVC) and poly(lactic acid) (PLA), revealing plasticizing efficiencies competitive to benchmark commercial plasticizers. These efficiencies were maintained when the best performing ester substitution pattern was installed on the ball mill‐derived mixture of mono‐ and dicarboxylated catechols, making resource intensive separation (e.g. chromatographic separation) of these</w:t>
      </w:r>
      <w:r>
        <w:t xml:space="preserve"> </w:t>
      </w:r>
      <w:r>
        <w:t>ortho</w:t>
      </w:r>
      <w:r>
        <w:t xml:space="preserve"> </w:t>
      </w:r>
      <w:r>
        <w:t>‐dihydroxybenzene(di)carboxylic acids redundant.</w:t>
      </w:r>
    </w:p>
    <w:p>
      <w:pPr>
        <w:spacing w:before="120" w:after="120"/>
      </w:pPr>
      <w:r>
        <w:rPr>
          <w:sz w:val="18"/>
        </w:rPr>
        <w:t>——————————————————————————————————————————————————————————————————————</w:t>
      </w:r>
    </w:p>
    <w:p>
      <w:pPr>
        <w:spacing w:before="160" w:after="40" w:line="240" w:lineRule="auto"/>
      </w:pPr>
      <w:r>
        <w:rPr>
          <w:b/>
        </w:rPr>
        <w:t xml:space="preserve">[170] </w:t>
      </w:r>
      <w:hyperlink r:id="rId277">
        <w:r>
          <w:rPr>
            <w:color w:val="1155CC"/>
            <w:u w:val="single"/>
          </w:rPr>
          <w:t>可溶性半导导铅-硫酸盐协调聚合体与长烷合金链</w:t>
        </w:r>
      </w:hyperlink>
    </w:p>
    <w:p>
      <w:pPr>
        <w:spacing w:before="0" w:after="80"/>
      </w:pPr>
      <w:r>
        <w:rPr>
          <w:i/>
          <w:sz w:val="20"/>
        </w:rPr>
        <w:t>EN: Meltable Semiconductive Lead–Thiolate Coordination Polymers with Long Alkyl Chains</w:t>
      </w:r>
    </w:p>
    <w:p>
      <w:pPr>
        <w:spacing w:before="0" w:after="120"/>
      </w:pPr>
      <w:r>
        <w:rPr>
          <w:b/>
        </w:rPr>
        <w:t xml:space="preserve">Source: </w:t>
      </w:r>
      <w:r>
        <w:t>Wiley: Angewandte Chemie International Edition: Table of Contents</w:t>
      </w:r>
      <w:r>
        <w:t xml:space="preserve">    </w:t>
      </w:r>
      <w:r>
        <w:rPr>
          <w:b/>
        </w:rPr>
        <w:t xml:space="preserve">Pub date: </w:t>
      </w:r>
      <w:r>
        <w:t>2026-02-09 12:27:17+00:00</w:t>
      </w:r>
      <w:r>
        <w:t xml:space="preserve">    </w:t>
      </w:r>
      <w:r>
        <w:rPr>
          <w:b/>
        </w:rPr>
        <w:t xml:space="preserve">DOI: </w:t>
      </w:r>
      <w:hyperlink r:id="rId278">
        <w:r>
          <w:rPr>
            <w:color w:val="1155CC"/>
            <w:u w:val="single"/>
          </w:rPr>
          <w:t>10.1002/anie.202518379</w:t>
        </w:r>
      </w:hyperlink>
    </w:p>
    <w:p>
      <w:pPr>
        <w:spacing w:before="0" w:after="120"/>
      </w:pPr>
      <w:r>
        <w:rPr>
          <w:b/>
        </w:rPr>
        <w:t xml:space="preserve">Notes: </w:t>
      </w:r>
      <w:r>
        <w:t>abstract_source=crossref</w:t>
      </w:r>
    </w:p>
    <w:p>
      <w:pPr>
        <w:spacing w:before="0" w:after="80" w:lineRule="auto" w:line="276"/>
      </w:pPr>
      <w:r>
        <w:rPr>
          <w:b/>
        </w:rPr>
        <w:t xml:space="preserve">摘要（ZH）: </w:t>
      </w:r>
      <w:r>
        <w:t>ABSTACT 熔化有机无机混合半导体因其熔化的加工潜力而具有吸引力。尽管对可熔化的半导体金属卤化金属过气剂进行了广泛研究,但可熔化的半导体聚合物(CPs)仍然稀缺,尽管其结构设计性极佳,其光电子特性具有金枪鱼特性。我们报告有一个新的组合,即[Pb(SPHOC 6) 2]n(KGF}34(C6);HSPHOC 。</w:t>
      </w:r>
    </w:p>
    <w:p>
      <w:pPr>
        <w:spacing w:before="0" w:after="200" w:lineRule="auto" w:line="276"/>
      </w:pPr>
      <w:r>
        <w:rPr>
          <w:b/>
        </w:rPr>
        <w:t xml:space="preserve">Abstract (EN): </w:t>
      </w:r>
      <w:r>
        <w:t>Meltable organic–inorganic hybrid semiconductors are attractive for their potential for melt‐based processing. Although meltable semiconducting metal halide perovskites have been extensively studied, meltable semiconducting coordination polymers (CPs) remain scarce, despite their excellent structural designability and the tunability of their optoelectronic properties. We report a new family of meltable semiconductive Pb(II) benzenethiolate CPs bearing long alkyl chains, formulated as [Pb(SPhOC</w:t>
      </w:r>
      <w:r>
        <w:rPr>
          <w:vertAlign w:val="subscript"/>
        </w:rPr>
        <w:t>6</w:t>
      </w:r>
      <w:r>
        <w:t>)</w:t>
      </w:r>
      <w:r>
        <w:rPr>
          <w:vertAlign w:val="subscript"/>
        </w:rPr>
        <w:t>2</w:t>
      </w:r>
      <w:r>
        <w:t>]</w:t>
      </w:r>
      <w:r>
        <w:t xml:space="preserve"> </w:t>
      </w:r>
      <w:r>
        <w:t>n</w:t>
      </w:r>
      <w:r>
        <w:t xml:space="preserve"> </w:t>
      </w:r>
      <w:r>
        <w:t>(</w:t>
      </w:r>
      <w:r>
        <w:t xml:space="preserve"> </w:t>
      </w:r>
      <w:r>
        <w:t>KGF‐34(C6)</w:t>
      </w:r>
      <w:r>
        <w:t xml:space="preserve"> </w:t>
      </w:r>
      <w:r>
        <w:t>; HSPhOC</w:t>
      </w:r>
      <w:r>
        <w:rPr>
          <w:vertAlign w:val="subscript"/>
        </w:rPr>
        <w:t>6</w:t>
      </w:r>
      <w:r>
        <w:t>= 4‐hexyloxybenzenethiol). For comparison, we also synthesized the classical analogue [Pb(SC</w:t>
      </w:r>
      <w:r>
        <w:rPr>
          <w:vertAlign w:val="subscript"/>
        </w:rPr>
        <w:t>6</w:t>
      </w:r>
      <w:r>
        <w:t>)</w:t>
      </w:r>
      <w:r>
        <w:rPr>
          <w:vertAlign w:val="subscript"/>
        </w:rPr>
        <w:t>2</w:t>
      </w:r>
      <w:r>
        <w:t>]</w:t>
      </w:r>
      <w:r>
        <w:t xml:space="preserve"> </w:t>
      </w:r>
      <w:r>
        <w:t>n</w:t>
      </w:r>
      <w:r>
        <w:t xml:space="preserve"> </w:t>
      </w:r>
      <w:r>
        <w:t>(</w:t>
      </w:r>
      <w:r>
        <w:t xml:space="preserve"> </w:t>
      </w:r>
      <w:r>
        <w:t>KGF‐59(C6)</w:t>
      </w:r>
      <w:r>
        <w:t xml:space="preserve"> </w:t>
      </w:r>
      <w:r>
        <w:t>; HSC</w:t>
      </w:r>
      <w:r>
        <w:rPr>
          <w:vertAlign w:val="subscript"/>
        </w:rPr>
        <w:t>6</w:t>
      </w:r>
      <w:r>
        <w:t>= 1‐hexanethiol). Single‐crystal X‐ray diffraction analyses revealed that both</w:t>
      </w:r>
      <w:r>
        <w:t xml:space="preserve"> </w:t>
      </w:r>
      <w:r>
        <w:t>KGF‐34(C6)</w:t>
      </w:r>
      <w:r>
        <w:t xml:space="preserve"> </w:t>
      </w:r>
      <w:r>
        <w:t>and</w:t>
      </w:r>
      <w:r>
        <w:t xml:space="preserve"> </w:t>
      </w:r>
      <w:r>
        <w:t>KGF‐59(C6)</w:t>
      </w:r>
      <w:r>
        <w:t xml:space="preserve"> </w:t>
      </w:r>
      <w:r>
        <w:t>adopt 2D architectures, albeit with distinct inorganic (–Pb–S–)</w:t>
      </w:r>
      <w:r>
        <w:t xml:space="preserve"> </w:t>
      </w:r>
      <w:r>
        <w:t>n</w:t>
      </w:r>
      <w:r>
        <w:t xml:space="preserve"> </w:t>
      </w:r>
      <w:r>
        <w:t>networks. A comprehensive characterization of the semiconducting properties, combined with first‐principles calculations, revealed that</w:t>
      </w:r>
      <w:r>
        <w:t xml:space="preserve"> </w:t>
      </w:r>
      <w:r>
        <w:t>KGF‐34(C6)</w:t>
      </w:r>
      <w:r>
        <w:t xml:space="preserve"> </w:t>
      </w:r>
      <w:r>
        <w:t>exhibits significantly higher photoconductivity, a narrower band gap, and a larger band dispersion than</w:t>
      </w:r>
      <w:r>
        <w:t xml:space="preserve"> </w:t>
      </w:r>
      <w:r>
        <w:t>KGF‐59(C6)</w:t>
      </w:r>
      <w:r>
        <w:t xml:space="preserve"> </w:t>
      </w:r>
      <w:r>
        <w:t>, attributable to differences in their inorganic (–Pb–S–)</w:t>
      </w:r>
      <w:r>
        <w:t xml:space="preserve"> </w:t>
      </w:r>
      <w:r>
        <w:t>n</w:t>
      </w:r>
      <w:r>
        <w:t xml:space="preserve"> </w:t>
      </w:r>
      <w:r>
        <w:t>network structures. Furthermore, both</w:t>
      </w:r>
      <w:r>
        <w:t xml:space="preserve"> </w:t>
      </w:r>
      <w:r>
        <w:t>KGF‐34(C6)</w:t>
      </w:r>
      <w:r>
        <w:t xml:space="preserve"> </w:t>
      </w:r>
      <w:r>
        <w:t>and</w:t>
      </w:r>
      <w:r>
        <w:t xml:space="preserve"> </w:t>
      </w:r>
      <w:r>
        <w:t>KGF‐59(C6)</w:t>
      </w:r>
      <w:r>
        <w:t xml:space="preserve"> </w:t>
      </w:r>
      <w:r>
        <w:t>exhibit multiple phase transitions, including melting and liquid crystalline formation, enabling the fabrication of optoelectronic devices via melt processing. Notably, this is the first report of meltable semiconducting CPs comprising benzenethiol‐derived ligands. These findings offer a rational design strategy for developing melt‐processable semiconductive materials based on metal–benzenethiolate CPs.</w:t>
      </w:r>
    </w:p>
    <w:p>
      <w:pPr>
        <w:spacing w:before="120" w:after="120"/>
      </w:pPr>
      <w:r>
        <w:rPr>
          <w:sz w:val="18"/>
        </w:rPr>
        <w:t>——————————————————————————————————————————————————————————————————————</w:t>
      </w:r>
    </w:p>
    <w:p>
      <w:pPr>
        <w:spacing w:before="160" w:after="40" w:line="240" w:lineRule="auto"/>
      </w:pPr>
      <w:r>
        <w:rPr>
          <w:b/>
        </w:rPr>
        <w:t xml:space="preserve">[171] </w:t>
      </w:r>
      <w:hyperlink r:id="rId279">
        <w:r>
          <w:rPr>
            <w:color w:val="1155CC"/>
            <w:u w:val="single"/>
          </w:rPr>
          <w:t>绿色合木墨水工程和高性能溶液和焦焦焦热 Perovskite太阳能舱的地方固化控制</w:t>
        </w:r>
      </w:hyperlink>
    </w:p>
    <w:p>
      <w:pPr>
        <w:spacing w:before="0" w:after="80"/>
      </w:pPr>
      <w:r>
        <w:rPr>
          <w:i/>
          <w:sz w:val="20"/>
        </w:rPr>
        <w:t>EN: Greener Colloidal Ink Engineering and Local Solidification Control for High‐Performance Slot‐Die Coated Perovskite Solar Modules</w:t>
      </w:r>
    </w:p>
    <w:p>
      <w:pPr>
        <w:spacing w:before="0" w:after="120"/>
      </w:pPr>
      <w:r>
        <w:rPr>
          <w:b/>
        </w:rPr>
        <w:t xml:space="preserve">Source: </w:t>
      </w:r>
      <w:r>
        <w:t>Wiley: Advanced Energy Materials: Table of Contents</w:t>
      </w:r>
      <w:r>
        <w:t xml:space="preserve">    </w:t>
      </w:r>
      <w:r>
        <w:rPr>
          <w:b/>
        </w:rPr>
        <w:t xml:space="preserve">Pub date: </w:t>
      </w:r>
      <w:r>
        <w:t>2026-02-09 12:31:40+00:00</w:t>
      </w:r>
      <w:r>
        <w:t xml:space="preserve">    </w:t>
      </w:r>
      <w:r>
        <w:rPr>
          <w:b/>
        </w:rPr>
        <w:t xml:space="preserve">DOI: </w:t>
      </w:r>
      <w:hyperlink r:id="rId280">
        <w:r>
          <w:rPr>
            <w:color w:val="1155CC"/>
            <w:u w:val="single"/>
          </w:rPr>
          <w:t>10.1002/aenm.202504928</w:t>
        </w:r>
      </w:hyperlink>
    </w:p>
    <w:p>
      <w:pPr>
        <w:spacing w:before="0" w:after="120"/>
      </w:pPr>
      <w:r>
        <w:rPr>
          <w:b/>
        </w:rPr>
        <w:t xml:space="preserve">Notes: </w:t>
      </w:r>
      <w:r>
        <w:t>abstract_source=crossref</w:t>
      </w:r>
    </w:p>
    <w:p>
      <w:pPr>
        <w:spacing w:before="0" w:after="80" w:lineRule="auto" w:line="276"/>
      </w:pPr>
      <w:r>
        <w:rPr>
          <w:b/>
        </w:rPr>
        <w:t xml:space="preserve">摘要（ZH）: </w:t>
      </w:r>
      <w:r>
        <w:t>Perovskite太阳能电池已成为下一代光伏发电的主要候选产品;然而,将实验室规模效率转化为工业生产仍然受到关键挑战的限制,如实现高质量胶片和处理溶剂毒性等。为了克服这些限制,我们通过将异丁二烯(Iodo)作为环境可持续添加剂纳入基于DMSOZ(Iodo)的系统,将它作为一种环境可持续的添加剂纳入DMSOZ(Iodoodo)系统,从而能够通过脱衣衣涂料进行可扩展的胶片制造。发现,基于Iodo的添加剂可以提高湿性,有助于形成更大的椰子粒子,并通过溶剂蒸发动力学使控制固化。具体而言,将异丁二烯的调制成体尺寸也包括在内。</w:t>
      </w:r>
    </w:p>
    <w:p>
      <w:pPr>
        <w:spacing w:before="0" w:after="200" w:lineRule="auto" w:line="276"/>
      </w:pPr>
      <w:r>
        <w:rPr>
          <w:b/>
        </w:rPr>
        <w:t xml:space="preserve">Abstract (EN): </w:t>
      </w:r>
      <w:r>
        <w:t>Perovskite solar cells (PSCs) have emerged as leading candidates for next‐generation photovoltaics; however, translating laboratory‐scale efficiencies to industrial production remains limited by key challenges such as achieving high‐quality film and addressing solvent toxicity. To overcome these limitations, we formulate colloidal ink by incorporating iodobenzene (Iodo) as an environmentally sustainable additive into a DMSO‐based system, enabling scalable film fabrication via slot‐die coating. It is found that Iodo‐based additives enhance wettability, facilitate the formation of larger colloidal particles, and enable controlled solidification through solvent evaporation kinetics. Specifically, the inclusion of Iodo modulates colloidal size and evaporation behavior, which in turn reduces the effective nucleation barrier and promotes directional grain growth. This leads to the formation of dense, uniform films with improved crystallinity and minimal defects. Devices fabricated using Iodo‐based ink achieved an efficiency of up to 22.3% (the highest reported efficiency in a highly toxic DMF‐free system), encapsulated devices retaining 85% of their initial value after 1200 h of maximum power point tracking (MPPT) and 77% after 8400 h (unencapsulated devices stored in the dark), demonstrating excellent operational and long‐term stability. Furthermore, the DMF‐free, DMSO‐based ink shows excellent scalability, achieving efficiencies of 21% and 19.5% for 2.7 and 31.50 cm</w:t>
      </w:r>
      <w:r>
        <w:rPr>
          <w:vertAlign w:val="subscript"/>
        </w:rPr>
        <w:t>2</w:t>
      </w:r>
      <w:r>
        <w:t>modules, respectively.</w:t>
      </w:r>
    </w:p>
    <w:p>
      <w:pPr>
        <w:spacing w:before="120" w:after="120"/>
      </w:pPr>
      <w:r>
        <w:rPr>
          <w:sz w:val="18"/>
        </w:rPr>
        <w:t>——————————————————————————————————————————————————————————————————————</w:t>
      </w:r>
    </w:p>
    <w:p>
      <w:pPr>
        <w:spacing w:before="160" w:after="40" w:line="240" w:lineRule="auto"/>
      </w:pPr>
      <w:r>
        <w:rPr>
          <w:b/>
        </w:rPr>
        <w:t xml:space="preserve">[172] </w:t>
      </w:r>
      <w:hyperlink r:id="rId281">
        <w:r>
          <w:rPr>
            <w:color w:val="1155CC"/>
            <w:u w:val="single"/>
          </w:rPr>
          <w:t>用于稳定藻碱锌电池的电流动力学</w:t>
        </w:r>
      </w:hyperlink>
    </w:p>
    <w:p>
      <w:pPr>
        <w:spacing w:before="0" w:after="80"/>
      </w:pPr>
      <w:r>
        <w:rPr>
          <w:i/>
          <w:sz w:val="20"/>
        </w:rPr>
        <w:t>EN: Asymmetric Electrolytes Govern Tetrahydroxozincate Dynamics for Stable Alkaline Zinc Batteries</w:t>
      </w:r>
    </w:p>
    <w:p>
      <w:pPr>
        <w:spacing w:before="0" w:after="120"/>
      </w:pPr>
      <w:r>
        <w:rPr>
          <w:b/>
        </w:rPr>
        <w:t xml:space="preserve">Source: </w:t>
      </w:r>
      <w:r>
        <w:t>Wiley: Angewandte Chemie International Edition: Table of Contents</w:t>
      </w:r>
      <w:r>
        <w:t xml:space="preserve">    </w:t>
      </w:r>
      <w:r>
        <w:rPr>
          <w:b/>
        </w:rPr>
        <w:t xml:space="preserve">Pub date: </w:t>
      </w:r>
      <w:r>
        <w:t>2026-02-09 12:37:14+00:00</w:t>
      </w:r>
      <w:r>
        <w:t xml:space="preserve">    </w:t>
      </w:r>
      <w:r>
        <w:rPr>
          <w:b/>
        </w:rPr>
        <w:t xml:space="preserve">DOI: </w:t>
      </w:r>
      <w:hyperlink r:id="rId282">
        <w:r>
          <w:rPr>
            <w:color w:val="1155CC"/>
            <w:u w:val="single"/>
          </w:rPr>
          <w:t>10.1002/anie.202524438</w:t>
        </w:r>
      </w:hyperlink>
    </w:p>
    <w:p>
      <w:pPr>
        <w:spacing w:before="0" w:after="120"/>
      </w:pPr>
      <w:r>
        <w:rPr>
          <w:b/>
        </w:rPr>
        <w:t xml:space="preserve">Notes: </w:t>
      </w:r>
      <w:r>
        <w:t>abstract_source=crossref</w:t>
      </w:r>
    </w:p>
    <w:p>
      <w:pPr>
        <w:spacing w:before="0" w:after="80" w:lineRule="auto" w:line="276"/>
      </w:pPr>
      <w:r>
        <w:rPr>
          <w:b/>
        </w:rPr>
        <w:t xml:space="preserve">摘要（ZH）: </w:t>
      </w:r>
      <w:r>
        <w:t>ABSTACT 绿色电化学能源储存对于碳中和至关重要,碱锌电池由于其固有的安全性、低成本和高能量密度,提供了令人信服的解决办法;然而,其性能受到寄生反应的限制,包括腐蚀、气体进化和由于四氢氧化辛酸[Zn(OH)4-2-]中间体效率低的分解而导致Zn/ZnO变异运动缓慢的Zn/ZnO变异。</w:t>
      </w:r>
    </w:p>
    <w:p>
      <w:pPr>
        <w:spacing w:before="0" w:after="200" w:lineRule="auto" w:line="276"/>
      </w:pPr>
      <w:r>
        <w:rPr>
          <w:b/>
        </w:rPr>
        <w:t xml:space="preserve">Abstract (EN): </w:t>
      </w:r>
      <w:r>
        <w:t>Green electrochemical energy storage is essential for carbon neutrality, and alkaline zinc batteries offer a compelling solution due to their inherent safety, low cost, and high energy density. However, their performance is limited by parasitic reactions, including corrosion, gas evolution, and slow Zn/ZnO conversion kinetics stemming from inefficient dissociation of the tetrahydroxozincate [Zn(OH)</w:t>
      </w:r>
      <w:r>
        <w:rPr>
          <w:vertAlign w:val="subscript"/>
        </w:rPr>
        <w:t>4</w:t>
      </w:r>
      <w:r>
        <w:t>2−</w:t>
      </w:r>
      <w:r>
        <w:t>] intermediate. We address this by designing a series of cobalt porphyrins (Co‐4N, Co‐3N‐O, Co‐3N‐S) that modulate the metal center's charge density for accelerating Zn(OH)</w:t>
      </w:r>
      <w:r>
        <w:rPr>
          <w:vertAlign w:val="subscript"/>
        </w:rPr>
        <w:t>4</w:t>
      </w:r>
      <w:r>
        <w:rPr>
          <w:vertAlign w:val="subscript"/>
        </w:rPr>
        <w:t>2</w:t>
      </w:r>
      <w:r>
        <w:t>−</w:t>
      </w:r>
      <w:r>
        <w:t>decomposition, and control Zn</w:t>
      </w:r>
      <w:r>
        <w:rPr>
          <w:vertAlign w:val="subscript"/>
        </w:rPr>
        <w:t>2</w:t>
      </w:r>
      <w:r>
        <w:t>+</w:t>
      </w:r>
      <w:r>
        <w:t xml:space="preserve"> </w:t>
      </w:r>
      <w:r>
        <w:t>transport through the carboxyl‐functionalized peripheries. The Co‐3N‐O‐modified electrolyte achieves exceptional stability, maintaining stable cycle for over 80,000 s at 5 mA cm</w:t>
      </w:r>
      <w:r>
        <w:t xml:space="preserve"> </w:t>
      </w:r>
      <w:r>
        <w:t>−</w:t>
      </w:r>
      <w:r>
        <w:rPr>
          <w:vertAlign w:val="subscript"/>
        </w:rPr>
        <w:t>2</w:t>
      </w:r>
      <w:r>
        <w:t>, which is more than four times longer than the &amp;lt;20,000 s achieved by the conventional KOH + ZnO electrolyte. In Zn||Ni batteries, this molecularly engineered electrolyte enables 110 stable cycles at 1 mA cm</w:t>
      </w:r>
      <w:r>
        <w:t xml:space="preserve"> </w:t>
      </w:r>
      <w:r>
        <w:t>−2</w:t>
      </w:r>
      <w:r>
        <w:t xml:space="preserve"> </w:t>
      </w:r>
      <w:r>
        <w:t>, significantly outperforming the unmodified system, which sustained only 20 cycles. These findings elucidate a structure‐kinetics relationship for zincate regulation and demonstrate how customized molecular asymmetry can overcome persistent challenges in aqueous battery chemistry, offering a pathway to high‐performance, durable energy storage systems.</w:t>
      </w:r>
    </w:p>
    <w:p>
      <w:pPr>
        <w:spacing w:before="120" w:after="120"/>
      </w:pPr>
      <w:r>
        <w:rPr>
          <w:sz w:val="18"/>
        </w:rPr>
        <w:t>——————————————————————————————————————————————————————————————————————</w:t>
      </w:r>
    </w:p>
    <w:p>
      <w:pPr>
        <w:spacing w:before="160" w:after="40" w:line="240" w:lineRule="auto"/>
      </w:pPr>
      <w:r>
        <w:rPr>
          <w:b/>
        </w:rPr>
        <w:t xml:space="preserve">[173] </w:t>
      </w:r>
      <w:hyperlink r:id="rId283">
        <w:r>
          <w:rPr>
            <w:color w:val="1155CC"/>
            <w:u w:val="single"/>
          </w:rPr>
          <w:t>[ASAP] 新出现的用于X射线闪烁和直接探测的零二分有机金属卤化物混合物</w:t>
        </w:r>
      </w:hyperlink>
    </w:p>
    <w:p>
      <w:pPr>
        <w:spacing w:before="0" w:after="80"/>
      </w:pPr>
      <w:r>
        <w:rPr>
          <w:i/>
          <w:sz w:val="20"/>
        </w:rPr>
        <w:t>EN: [ASAP] Emerging Zero-Dimensional Organic Metal Halide Hybrids for X-ray Scintillation and Direct Detection</w:t>
      </w:r>
    </w:p>
    <w:p>
      <w:pPr>
        <w:spacing w:before="0" w:after="120"/>
      </w:pPr>
      <w:r>
        <w:rPr>
          <w:b/>
        </w:rPr>
        <w:t xml:space="preserve">Source: </w:t>
      </w:r>
      <w:r>
        <w:t>ACS Energy Letters: Latest Articles (ACS Publications)</w:t>
      </w:r>
      <w:r>
        <w:t xml:space="preserve">    </w:t>
      </w:r>
      <w:r>
        <w:rPr>
          <w:b/>
        </w:rPr>
        <w:t xml:space="preserve">Pub date: </w:t>
      </w:r>
      <w:r>
        <w:t>2026-02-09 12:41:55+00:00</w:t>
      </w:r>
      <w:r>
        <w:t xml:space="preserve">    </w:t>
      </w:r>
      <w:r>
        <w:rPr>
          <w:b/>
        </w:rPr>
        <w:t xml:space="preserve">DOI: </w:t>
      </w:r>
      <w:hyperlink r:id="rId284">
        <w:r>
          <w:rPr>
            <w:color w:val="1155CC"/>
            <w:u w:val="single"/>
          </w:rPr>
          <w:t>10.1021/acsenergylett.5c03367</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[174] </w:t>
      </w:r>
      <w:hyperlink r:id="rId285">
        <w:r>
          <w:rPr>
            <w:color w:val="1155CC"/>
            <w:u w:val="single"/>
          </w:rPr>
          <w:t>微软溶解醚中的定位异现象对锂金属沉积的影响</w:t>
        </w:r>
      </w:hyperlink>
    </w:p>
    <w:p>
      <w:pPr>
        <w:spacing w:before="0" w:after="80"/>
      </w:pPr>
      <w:r>
        <w:rPr>
          <w:i/>
          <w:sz w:val="20"/>
        </w:rPr>
        <w:t>EN: Influence of Positional Isomerism in Weakly Solvating Ethers on Lithium Metal Deposition</w:t>
      </w:r>
    </w:p>
    <w:p>
      <w:pPr>
        <w:spacing w:before="0" w:after="120"/>
      </w:pPr>
      <w:r>
        <w:rPr>
          <w:b/>
        </w:rPr>
        <w:t xml:space="preserve">Source: </w:t>
      </w:r>
      <w:r>
        <w:t>Wiley: Angewandte Chemie International Edition: Table of Contents</w:t>
      </w:r>
      <w:r>
        <w:t xml:space="preserve">    </w:t>
      </w:r>
      <w:r>
        <w:rPr>
          <w:b/>
        </w:rPr>
        <w:t xml:space="preserve">Pub date: </w:t>
      </w:r>
      <w:r>
        <w:t>2026-02-09 12:45:50+00:00</w:t>
      </w:r>
      <w:r>
        <w:t xml:space="preserve">    </w:t>
      </w:r>
      <w:r>
        <w:rPr>
          <w:b/>
        </w:rPr>
        <w:t xml:space="preserve">DOI: </w:t>
      </w:r>
      <w:hyperlink r:id="rId286">
        <w:r>
          <w:rPr>
            <w:color w:val="1155CC"/>
            <w:u w:val="single"/>
          </w:rPr>
          <w:t>10.1002/anie.202522584</w:t>
        </w:r>
      </w:hyperlink>
    </w:p>
    <w:p>
      <w:pPr>
        <w:spacing w:before="0" w:after="120"/>
      </w:pPr>
      <w:r>
        <w:rPr>
          <w:b/>
        </w:rPr>
        <w:t xml:space="preserve">Notes: </w:t>
      </w:r>
      <w:r>
        <w:t>abstract_source=crossref</w:t>
      </w:r>
    </w:p>
    <w:p>
      <w:pPr>
        <w:spacing w:before="0" w:after="80" w:lineRule="auto" w:line="276"/>
      </w:pPr>
      <w:r>
        <w:rPr>
          <w:b/>
        </w:rPr>
        <w:t xml:space="preserve">摘要（ZH）: </w:t>
      </w:r>
      <w:r>
        <w:t>锂金属是下一代高能电池有希望的极极极导体,但面临内部短路和低煤气效率等问题,限制了其性能。虽然固态电子中间相位(SEI)构成、电荷转移抗药性、溶液结构以及溶剂对对称性能影响Li金属沉积等因素,但仍没有统一的描述符。在这里,我们系统地调查了弱溶性醚溶剂-二丙基醚(DPE)、丁基乙醚(BEE)和戊基甲基醚(PME)的三种定位异构体,选择维持相同的C/O(碳/氧)比率为6,从而隔离了液金属沉积的微小结构变化。通过相关的电源转移、溶解结构,SEI Compo。</w:t>
      </w:r>
    </w:p>
    <w:p>
      <w:pPr>
        <w:spacing w:before="0" w:after="200" w:lineRule="auto" w:line="276"/>
      </w:pPr>
      <w:r>
        <w:rPr>
          <w:b/>
        </w:rPr>
        <w:t xml:space="preserve">Abstract (EN): </w:t>
      </w:r>
      <w:r>
        <w:t>Lithium metal is a promising anode for next‐generation high‐energy batteries but faces issues like internal short circuits and low Coulombic efficiency (CE), limiting its performance. Although factors like solid‐electrolyte interphase (SEI) composition, charge transfer resistance, solvation structure, and solvent symmetry influence Li metal deposition, a unified descriptor remains absent. Here, we systematically investigate three positional isomers of weakly solvating ether solvents—dipropyl ether (DPE), butyl ethyl ether (BEE), and pentyl methyl ether (PME), selected to maintain the same C/O (carbon/oxygen) ratio of 6, allowing isolation of minor structural variations on Li metal deposition. By correlating charge transfer kinetics, solvation structure, SEI composition, and lithium microstructure with electrochemical performance, we identify key factors influencing deposition. The symmetric ether, DPE, with sluggish charge transfer kinetics and the most pronounced ion pairing, achieved the highest CE of 99.26%, followed by BEE (99.24%) and PME (98.89%). Increased ion pairing and enhanced LiF content in the SEI were found to have the strongest linear correlation with interfacial stability as reflected in CE. These findings challenge previous studies that faster charge transfer kinetics led to improved CE and enhance the understanding of designing weakly solvating ethers with optimized oxygen placement for future Li metal batteries.</w:t>
      </w:r>
    </w:p>
    <w:p>
      <w:pPr>
        <w:spacing w:before="120" w:after="120"/>
      </w:pPr>
      <w:r>
        <w:rPr>
          <w:sz w:val="18"/>
        </w:rPr>
        <w:t>——————————————————————————————————————————————————————————————————————</w:t>
      </w:r>
    </w:p>
    <w:p>
      <w:pPr>
        <w:spacing w:before="160" w:after="40" w:line="240" w:lineRule="auto"/>
      </w:pPr>
      <w:r>
        <w:rPr>
          <w:b/>
        </w:rPr>
        <w:t xml:space="preserve">[175] </w:t>
      </w:r>
      <w:hyperlink r:id="rId287">
        <w:r>
          <w:rPr>
            <w:color w:val="1155CC"/>
            <w:u w:val="single"/>
          </w:rPr>
          <w:t>C2H2/CO2和C2H2/C2H4 高效分离的 Carborane'basited MOF 中金属节点制导波子工程</w:t>
        </w:r>
      </w:hyperlink>
    </w:p>
    <w:p>
      <w:pPr>
        <w:spacing w:before="0" w:after="80"/>
      </w:pPr>
      <w:r>
        <w:rPr>
          <w:i/>
          <w:sz w:val="20"/>
        </w:rPr>
        <w:t>EN: Metal Node Guided Pore Engineering in Carborane‐Based MOFs for Efficient C2H2/CO2 and C2H2/C2H4 Separations</w:t>
      </w:r>
    </w:p>
    <w:p>
      <w:pPr>
        <w:spacing w:before="0" w:after="120"/>
      </w:pPr>
      <w:r>
        <w:rPr>
          <w:b/>
        </w:rPr>
        <w:t xml:space="preserve">Source: </w:t>
      </w:r>
      <w:r>
        <w:t>Wiley: Angewandte Chemie International Edition: Table of Contents</w:t>
      </w:r>
      <w:r>
        <w:t xml:space="preserve">    </w:t>
      </w:r>
      <w:r>
        <w:rPr>
          <w:b/>
        </w:rPr>
        <w:t xml:space="preserve">Pub date: </w:t>
      </w:r>
      <w:r>
        <w:t>2026-02-09 12:47:26+00:00</w:t>
      </w:r>
      <w:r>
        <w:t xml:space="preserve">    </w:t>
      </w:r>
      <w:r>
        <w:rPr>
          <w:b/>
        </w:rPr>
        <w:t xml:space="preserve">DOI: </w:t>
      </w:r>
      <w:hyperlink r:id="rId288">
        <w:r>
          <w:rPr>
            <w:color w:val="1155CC"/>
            <w:u w:val="single"/>
          </w:rPr>
          <w:t>10.1002/anie.202523055</w:t>
        </w:r>
      </w:hyperlink>
    </w:p>
    <w:p>
      <w:pPr>
        <w:spacing w:before="0" w:after="120"/>
      </w:pPr>
      <w:r>
        <w:rPr>
          <w:b/>
        </w:rPr>
        <w:t xml:space="preserve">Notes: </w:t>
      </w:r>
      <w:r>
        <w:t>abstract_source=crossref</w:t>
      </w:r>
    </w:p>
    <w:p>
      <w:pPr>
        <w:spacing w:before="0" w:after="80" w:lineRule="auto" w:line="276"/>
      </w:pPr>
      <w:r>
        <w:rPr>
          <w:b/>
        </w:rPr>
        <w:t xml:space="preserve">摘要（ZH）: </w:t>
      </w:r>
      <w:r>
        <w:t>C 2 H 2 从C 2 H 2 / CO 2 和C 2 H 2 / C 2 2 H 4 混合物有效分离对于高纯度C 2 H 2 和 C 2 H 4 的制备至关重要,但因能力与选择性之间的权衡而受到挑战。</w:t>
      </w:r>
    </w:p>
    <w:p>
      <w:pPr>
        <w:spacing w:before="0" w:after="200" w:lineRule="auto" w:line="276"/>
      </w:pPr>
      <w:r>
        <w:rPr>
          <w:b/>
        </w:rPr>
        <w:t xml:space="preserve">Abstract (EN): </w:t>
      </w:r>
      <w:r>
        <w:t>The efficient separation of C</w:t>
      </w:r>
      <w:r>
        <w:rPr>
          <w:vertAlign w:val="subscript"/>
        </w:rPr>
        <w:t>2</w:t>
      </w:r>
      <w:r>
        <w:t>H</w:t>
      </w:r>
      <w:r>
        <w:rPr>
          <w:vertAlign w:val="subscript"/>
        </w:rPr>
        <w:t>2</w:t>
      </w:r>
      <w:r>
        <w:t>from C</w:t>
      </w:r>
      <w:r>
        <w:rPr>
          <w:vertAlign w:val="subscript"/>
        </w:rPr>
        <w:t>2</w:t>
      </w:r>
      <w:r>
        <w:t>H</w:t>
      </w:r>
      <w:r>
        <w:rPr>
          <w:vertAlign w:val="subscript"/>
        </w:rPr>
        <w:t>2</w:t>
      </w:r>
      <w:r>
        <w:t>/CO</w:t>
      </w:r>
      <w:r>
        <w:rPr>
          <w:vertAlign w:val="subscript"/>
        </w:rPr>
        <w:t>2</w:t>
      </w:r>
      <w:r>
        <w:t>and C</w:t>
      </w:r>
      <w:r>
        <w:rPr>
          <w:vertAlign w:val="subscript"/>
        </w:rPr>
        <w:t>2</w:t>
      </w:r>
      <w:r>
        <w:t>H</w:t>
      </w:r>
      <w:r>
        <w:rPr>
          <w:vertAlign w:val="subscript"/>
        </w:rPr>
        <w:t>2</w:t>
      </w:r>
      <w:r>
        <w:t>/C</w:t>
      </w:r>
      <w:r>
        <w:rPr>
          <w:vertAlign w:val="subscript"/>
        </w:rPr>
        <w:t>2</w:t>
      </w:r>
      <w:r>
        <w:t>H</w:t>
      </w:r>
      <w:r>
        <w:rPr>
          <w:vertAlign w:val="subscript"/>
        </w:rPr>
        <w:t>4</w:t>
      </w:r>
      <w:r>
        <w:t>mixtures is essential for the preparation of high‐purity C</w:t>
      </w:r>
      <w:r>
        <w:rPr>
          <w:vertAlign w:val="subscript"/>
        </w:rPr>
        <w:t>2</w:t>
      </w:r>
      <w:r>
        <w:t>H</w:t>
      </w:r>
      <w:r>
        <w:rPr>
          <w:vertAlign w:val="subscript"/>
        </w:rPr>
        <w:t>2</w:t>
      </w:r>
      <w:r>
        <w:t>and C</w:t>
      </w:r>
      <w:r>
        <w:rPr>
          <w:vertAlign w:val="subscript"/>
        </w:rPr>
        <w:t>2</w:t>
      </w:r>
      <w:r>
        <w:t>H</w:t>
      </w:r>
      <w:r>
        <w:rPr>
          <w:vertAlign w:val="subscript"/>
        </w:rPr>
        <w:t>4</w:t>
      </w:r>
      <w:r>
        <w:t>, but challenged by the trade‐off between the capacity and selectivity. In this work, we report a node guided pore engineering strategy in carborane‐based metal‐organic frameworks (MOFs), leading to the partitioned dual cage system in Co‐CB‐HPBTA in contrast to its analogue Zn‐CB‐HPBTA with one‐dimensional channels. This structural evolution endows Co‐CB‐HPBTA with a high C</w:t>
      </w:r>
      <w:r>
        <w:rPr>
          <w:vertAlign w:val="subscript"/>
        </w:rPr>
        <w:t>2</w:t>
      </w:r>
      <w:r>
        <w:t>H</w:t>
      </w:r>
      <w:r>
        <w:rPr>
          <w:vertAlign w:val="subscript"/>
        </w:rPr>
        <w:t>2</w:t>
      </w:r>
      <w:r>
        <w:t>adsorption capacity of 103.2 cm</w:t>
      </w:r>
      <w:r>
        <w:rPr>
          <w:vertAlign w:val="subscript"/>
        </w:rPr>
        <w:t>3</w:t>
      </w:r>
      <w:r>
        <w:t>/g (4.61 mmol/g) at 298 K and 1 bar, along with superior selectivity for C</w:t>
      </w:r>
      <w:r>
        <w:rPr>
          <w:vertAlign w:val="subscript"/>
        </w:rPr>
        <w:t>2</w:t>
      </w:r>
      <w:r>
        <w:t>H</w:t>
      </w:r>
      <w:r>
        <w:rPr>
          <w:vertAlign w:val="subscript"/>
        </w:rPr>
        <w:t>2</w:t>
      </w:r>
      <w:r>
        <w:t>/CO</w:t>
      </w:r>
      <w:r>
        <w:rPr>
          <w:vertAlign w:val="subscript"/>
        </w:rPr>
        <w:t>2</w:t>
      </w:r>
      <w:r>
        <w:t>(10.6) and C</w:t>
      </w:r>
      <w:r>
        <w:rPr>
          <w:vertAlign w:val="subscript"/>
        </w:rPr>
        <w:t>2</w:t>
      </w:r>
      <w:r>
        <w:t>H</w:t>
      </w:r>
      <w:r>
        <w:rPr>
          <w:vertAlign w:val="subscript"/>
        </w:rPr>
        <w:t>2</w:t>
      </w:r>
      <w:r>
        <w:t>/C</w:t>
      </w:r>
      <w:r>
        <w:rPr>
          <w:vertAlign w:val="subscript"/>
        </w:rPr>
        <w:t>2</w:t>
      </w:r>
      <w:r>
        <w:t>H</w:t>
      </w:r>
      <w:r>
        <w:rPr>
          <w:vertAlign w:val="subscript"/>
        </w:rPr>
        <w:t>4</w:t>
      </w:r>
      <w:r>
        <w:t>(13.3). Breakthrough experiments confirm its excellent separation performance for both mixtures under varied conditions, demonstrating efficient recovery of high‐purity C</w:t>
      </w:r>
      <w:r>
        <w:rPr>
          <w:vertAlign w:val="subscript"/>
        </w:rPr>
        <w:t>2</w:t>
      </w:r>
      <w:r>
        <w:t>H</w:t>
      </w:r>
      <w:r>
        <w:rPr>
          <w:vertAlign w:val="subscript"/>
        </w:rPr>
        <w:t>2</w:t>
      </w:r>
      <w:r>
        <w:t>and C</w:t>
      </w:r>
      <w:r>
        <w:rPr>
          <w:vertAlign w:val="subscript"/>
        </w:rPr>
        <w:t>2</w:t>
      </w:r>
      <w:r>
        <w:t>H</w:t>
      </w:r>
      <w:r>
        <w:rPr>
          <w:vertAlign w:val="subscript"/>
        </w:rPr>
        <w:t>4</w:t>
      </w:r>
      <w:r>
        <w:t>with remarkable cyclic stability and humidity tolerance. The separation mechanism is elucidated by DFT calculations and in situ single‐crystal‐ray diffraction, which reveal enhanced binding interactions within the partitioned cages through multiple van der Waals contacts, rationalizing the high selectivity.</w:t>
      </w:r>
    </w:p>
    <w:p>
      <w:pPr>
        <w:spacing w:before="120" w:after="120"/>
      </w:pPr>
      <w:r>
        <w:rPr>
          <w:sz w:val="18"/>
        </w:rPr>
        <w:t>——————————————————————————————————————————————————————————————————————</w:t>
      </w:r>
    </w:p>
    <w:p>
      <w:pPr>
        <w:spacing w:before="160" w:after="40" w:line="240" w:lineRule="auto"/>
      </w:pPr>
      <w:r>
        <w:rPr>
          <w:b/>
        </w:rPr>
        <w:t xml:space="preserve">[176] </w:t>
      </w:r>
      <w:hyperlink r:id="rId289">
        <w:r>
          <w:rPr>
            <w:color w:val="1155CC"/>
            <w:u w:val="single"/>
          </w:rPr>
          <w:t>Falcon Visa Vision 受启发的超快交通障碍避风港,基于2D EdgeéRich van de Waals Heteros结构</w:t>
        </w:r>
      </w:hyperlink>
    </w:p>
    <w:p>
      <w:pPr>
        <w:spacing w:before="0" w:after="80"/>
      </w:pPr>
      <w:r>
        <w:rPr>
          <w:i/>
          <w:sz w:val="20"/>
        </w:rPr>
        <w:t>EN: Falcon Vision‐Inspired Ultrafast Traffic Obstacle Avoidance Based on 2D Edge‐Rich van de Waals Heterostructures</w:t>
      </w:r>
    </w:p>
    <w:p>
      <w:pPr>
        <w:spacing w:before="0" w:after="120"/>
      </w:pPr>
      <w:r>
        <w:rPr>
          <w:b/>
        </w:rPr>
        <w:t xml:space="preserve">Source: </w:t>
      </w:r>
      <w:r>
        <w:t>Wiley: Advanced Materials: Table of Contents</w:t>
      </w:r>
      <w:r>
        <w:t xml:space="preserve">    </w:t>
      </w:r>
      <w:r>
        <w:rPr>
          <w:b/>
        </w:rPr>
        <w:t xml:space="preserve">Pub date: </w:t>
      </w:r>
      <w:r>
        <w:t>2026-02-09 12:56:18+00:00</w:t>
      </w:r>
      <w:r>
        <w:t xml:space="preserve">    </w:t>
      </w:r>
      <w:r>
        <w:rPr>
          <w:b/>
        </w:rPr>
        <w:t xml:space="preserve">DOI: </w:t>
      </w:r>
      <w:hyperlink r:id="rId290">
        <w:r>
          <w:rPr>
            <w:color w:val="1155CC"/>
            <w:u w:val="single"/>
          </w:rPr>
          <w:t>10.1002/adma.202512548</w:t>
        </w:r>
      </w:hyperlink>
    </w:p>
    <w:p>
      <w:pPr>
        <w:spacing w:before="0" w:after="120"/>
      </w:pPr>
      <w:r>
        <w:rPr>
          <w:b/>
        </w:rPr>
        <w:t xml:space="preserve">Notes: </w:t>
      </w:r>
      <w:r>
        <w:t>abstract_source=crossref</w:t>
      </w:r>
    </w:p>
    <w:p>
      <w:pPr>
        <w:spacing w:before="0" w:after="80" w:lineRule="auto" w:line="276"/>
      </w:pPr>
      <w:r>
        <w:rPr>
          <w:b/>
        </w:rPr>
        <w:t xml:space="preserve">摘要（ZH）: </w:t>
      </w:r>
      <w:r>
        <w:t>ABSTACT Ulstrast和可靠的视觉感知对于避免自主驾驶障碍至关重要,在自主驾驶中,必须分别在复杂、高速环境中作出第二次决定,但受常规装置有限的时间分辨率和处理延迟性的限制。在这里,受猎鹰视觉系统( &amp; gt;150 Hz)特殊时间分辨率的启发,我们开发了一个神经形态视觉感应器,能够超快地对动态交通情况进行边缘选择性感应。传感器的杠杆是垂直叠叠叠、边缘富SnSnS 2 /MOS 2 van der Waals heterorotics,其中原子级界面和缺陷边缘的密度很高。</w:t>
      </w:r>
    </w:p>
    <w:p>
      <w:pPr>
        <w:spacing w:before="0" w:after="200" w:lineRule="auto" w:line="276"/>
      </w:pPr>
      <w:r>
        <w:rPr>
          <w:b/>
        </w:rPr>
        <w:t xml:space="preserve">Abstract (EN): </w:t>
      </w:r>
      <w:r>
        <w:t>Ultrafast and reliable visual perception is essential for obstacle avoidance in autonomous driving, where split‐second decisions must be made in complex, high‐speed environments, yet remains constrained by the limited temporal resolution and processing latency of conventional devices. Here, inspired by the exceptional temporal resolution of falcon vision systems (&amp;gt;150 Hz), we develop a neuromorphic vision sensor capable of ultrafast, edge‐selective perception for dynamic traffic scenarios. The sensor leverages vertically stacked, edge‐rich SnS</w:t>
      </w:r>
      <w:r>
        <w:rPr>
          <w:vertAlign w:val="subscript"/>
        </w:rPr>
        <w:t>2</w:t>
      </w:r>
      <w:r>
        <w:t>/MoS</w:t>
      </w:r>
      <w:r>
        <w:rPr>
          <w:vertAlign w:val="subscript"/>
        </w:rPr>
        <w:t>2</w:t>
      </w:r>
      <w:r>
        <w:t>van der Waals heterostructures, in which a high density of atomic‐scale interfaces and defective edges enables enhanced light‐matter interactions and rapid carrier dynamics. These structural advantages endow the Falcon Vision Sensor (FVS) with synaptic plasticity (PPF = 201%, LTP = 1300s), high refresh rate (250 Hz), and intrinsic erasure behaviors, closely mimicking the temporal precision and motion discrimination features of falcon vision. When the synaptic devices are integrated with computing modules, the system achieves real‐time obstacle detection, along with a directional motion recognition accuracy of 98.89%. This work demonstrates a robust biologically inspired visual intelligence, offering a compact, low‐latency solution for next‐generation autonomous vehicles and edge AI applications requiring rapid environmental responsiveness.</w:t>
      </w:r>
    </w:p>
    <w:p>
      <w:pPr>
        <w:spacing w:before="120" w:after="120"/>
      </w:pPr>
      <w:r>
        <w:rPr>
          <w:sz w:val="18"/>
        </w:rPr>
        <w:t>——————————————————————————————————————————————————————————————————————</w:t>
      </w:r>
    </w:p>
    <w:p>
      <w:pPr>
        <w:spacing w:before="160" w:after="40" w:line="240" w:lineRule="auto"/>
      </w:pPr>
      <w:r>
        <w:rPr>
          <w:b/>
        </w:rPr>
        <w:t xml:space="preserve">[177] </w:t>
      </w:r>
      <w:hyperlink r:id="rId291">
        <w:r>
          <w:rPr>
            <w:color w:val="1155CC"/>
            <w:u w:val="single"/>
          </w:rPr>
          <w:t>3DPrinted Piezoectrical 电动纸巾,带有生物启发的梯度和动态适应,用于天登再生</w:t>
        </w:r>
      </w:hyperlink>
    </w:p>
    <w:p>
      <w:pPr>
        <w:spacing w:before="0" w:after="80"/>
      </w:pPr>
      <w:r>
        <w:rPr>
          <w:i/>
          <w:sz w:val="20"/>
        </w:rPr>
        <w:t>EN: A 3D‐Printed Piezoelectric Scaffold With Bio‐Inspired Gradient and Dynamic Adaptation for Tendon Regeneration</w:t>
      </w:r>
    </w:p>
    <w:p>
      <w:pPr>
        <w:spacing w:before="0" w:after="120"/>
      </w:pPr>
      <w:r>
        <w:rPr>
          <w:b/>
        </w:rPr>
        <w:t xml:space="preserve">Source: </w:t>
      </w:r>
      <w:r>
        <w:t>Wiley: Advanced Materials: Table of Contents</w:t>
      </w:r>
      <w:r>
        <w:t xml:space="preserve">    </w:t>
      </w:r>
      <w:r>
        <w:rPr>
          <w:b/>
        </w:rPr>
        <w:t xml:space="preserve">Pub date: </w:t>
      </w:r>
      <w:r>
        <w:t>2026-02-09 13:06:05+00:00</w:t>
      </w:r>
      <w:r>
        <w:t xml:space="preserve">    </w:t>
      </w:r>
      <w:r>
        <w:rPr>
          <w:b/>
        </w:rPr>
        <w:t xml:space="preserve">DOI: </w:t>
      </w:r>
      <w:hyperlink r:id="rId292">
        <w:r>
          <w:rPr>
            <w:color w:val="1155CC"/>
            <w:u w:val="single"/>
          </w:rPr>
          <w:t>10.1002/adma.202517298</w:t>
        </w:r>
      </w:hyperlink>
    </w:p>
    <w:p>
      <w:pPr>
        <w:spacing w:before="0" w:after="120"/>
      </w:pPr>
      <w:r>
        <w:rPr>
          <w:b/>
        </w:rPr>
        <w:t xml:space="preserve">Notes: </w:t>
      </w:r>
      <w:r>
        <w:t>abstract_source=crossref</w:t>
      </w:r>
    </w:p>
    <w:p>
      <w:pPr>
        <w:spacing w:before="0" w:after="80" w:lineRule="auto" w:line="276"/>
      </w:pPr>
      <w:r>
        <w:rPr>
          <w:b/>
        </w:rPr>
        <w:t xml:space="preserve">摘要（ZH）: </w:t>
      </w:r>
      <w:r>
        <w:t>Tendon再生需要能动态地适应愈合阶段的材料,提供机械支持、粘合预防、炎症控制和凝固器的改造。我们引入了新颖的、动态的适应性派生电液凝胶,以满足这些要求。水凝胶具有一种生物激励、抗粘合液结构,以尽量减少纤维化和蛋白沉积,防止术后并发症。此外,它还包括了在电压、机械特性和降解率方面合理设计的梯度。这些梯度使得水凝胶能够动态地适应正在变化的愈合需要,提供可调节的机械、电刺激和可控降解。水凝液凝可显性 。</w:t>
      </w:r>
    </w:p>
    <w:p>
      <w:pPr>
        <w:spacing w:before="0" w:after="200" w:lineRule="auto" w:line="276"/>
      </w:pPr>
      <w:r>
        <w:rPr>
          <w:b/>
        </w:rPr>
        <w:t xml:space="preserve">Abstract (EN): </w:t>
      </w:r>
      <w:r>
        <w:t>Tendon regeneration requires materials that dynamically adapt to the healing stages, offering mechanical support, adhesion prevention, inflammation control, and collagen remodeling. We introduce a novel, dynamically adaptive piezoelectric hydrogel designed to address these requirements. The hydrogel features a bioinspired, anti‐adhesive lotus structure to minimize fibroblast and protein adhesion, preventing postoperative complications. Furthermore, it incorporates rationally designed gradients in piezoelectricity, mechanical properties, and degradation rate. These gradients allow the hydrogel to dynamically match the evolving needs of tendon healing, providing adjustable mechanical, electrical stimulation, and controllable degradation. The hydrogel demonstrably reduces inflammation (downregulating TNF‐α), promotes M2 macrophage polarization, inhibits bacterial growth, and stimulates endogenous tendon regeneration. This regeneration is characterized by increased collagen I deposition, improved fiber alignment, and enhanced biomechanical properties. Transcriptomic analysis revealed upregulation of genes associated with mechanotransduction, tissue remodeling, and anti‐inflammatory responses, alongside downregulation of fibrotic and oxidative stress pathways. This self‐powered, multi‐gradient scaffold represents a significant advancement in tendon tissue engineering, offering a promising strategy for tendinopathy treatment.</w:t>
      </w:r>
    </w:p>
    <w:p>
      <w:pPr>
        <w:spacing w:before="120" w:after="120"/>
      </w:pPr>
      <w:r>
        <w:rPr>
          <w:sz w:val="18"/>
        </w:rPr>
        <w:t>——————————————————————————————————————————————————————————————————————</w:t>
      </w:r>
    </w:p>
    <w:p>
      <w:pPr>
        <w:spacing w:before="160" w:after="40" w:line="240" w:lineRule="auto"/>
      </w:pPr>
      <w:r>
        <w:rPr>
          <w:b/>
        </w:rPr>
        <w:t xml:space="preserve">[178] </w:t>
      </w:r>
      <w:hyperlink r:id="rId293">
        <w:r>
          <w:rPr>
            <w:color w:val="1155CC"/>
            <w:u w:val="single"/>
          </w:rPr>
          <w:t>[ASAP] U()-Dhilirolide U的合成总量</w:t>
        </w:r>
      </w:hyperlink>
    </w:p>
    <w:p>
      <w:pPr>
        <w:spacing w:before="0" w:after="80"/>
      </w:pPr>
      <w:r>
        <w:rPr>
          <w:i/>
          <w:sz w:val="20"/>
        </w:rPr>
        <w:t>EN: [ASAP] Total Synthesis of (±)-Dhilirolide U</w:t>
      </w:r>
    </w:p>
    <w:p>
      <w:pPr>
        <w:spacing w:before="0" w:after="120"/>
      </w:pPr>
      <w:r>
        <w:rPr>
          <w:b/>
        </w:rPr>
        <w:t xml:space="preserve">Source: </w:t>
      </w:r>
      <w:r>
        <w:t>Journal of the American Chemical Society: Latest Articles (ACS Publications)</w:t>
      </w:r>
      <w:r>
        <w:t xml:space="preserve">    </w:t>
      </w:r>
      <w:r>
        <w:rPr>
          <w:b/>
        </w:rPr>
        <w:t xml:space="preserve">Pub date: </w:t>
      </w:r>
      <w:r>
        <w:t>2026-02-09 13:14:23+00:00</w:t>
      </w:r>
      <w:r>
        <w:t xml:space="preserve">    </w:t>
      </w:r>
      <w:r>
        <w:rPr>
          <w:b/>
        </w:rPr>
        <w:t xml:space="preserve">DOI: </w:t>
      </w:r>
      <w:hyperlink r:id="rId294">
        <w:r>
          <w:rPr>
            <w:color w:val="1155CC"/>
            <w:u w:val="single"/>
          </w:rPr>
          <w:t>10.1021/jacs.5c22734</w:t>
        </w:r>
      </w:hyperlink>
    </w:p>
    <w:p>
      <w:pPr>
        <w:spacing w:before="0" w:after="120"/>
      </w:pPr>
      <w:r>
        <w:rPr>
          <w:b/>
        </w:rPr>
        <w:t xml:space="preserve">Notes: </w:t>
      </w:r>
      <w:r>
        <w:t>abstract_source=pubmed</w:t>
      </w:r>
    </w:p>
    <w:p>
      <w:pPr>
        <w:spacing w:before="0" w:after="80" w:lineRule="auto" w:line="276"/>
      </w:pPr>
      <w:r>
        <w:rPr>
          <w:b/>
        </w:rPr>
        <w:t xml:space="preserve">摘要（ZH）: </w:t>
      </w:r>
      <w:r>
        <w:t>我们报告了()-二硅酸酯U的首次全面合成,这是一种高度氧化的甲状腺素,其特点是6/6/6/5/5/5/5-环球骨骼的高度功能化6/6/6/5/5/5/5/-环球骨骼;该战略的核心是MnIII中间环化序列和Payne型重新排列级联,它们共同形成双环[3.2.1-1oooctane,并结合成γ-单晶素 — 界定二硅酸天然产品系列的形态。两种转化都以高产量和极好的对立神经系统控制进行。内分子尼催化同族联产物添加用于安装聚苯乙烯四硝酸碳中心。这种转变为建造四氢异丙酮子单元和完成()-二硅酸酯U提供了舞台。所报告的通往高度分解的两环化[3.2.1-1ooctan的路线为北极弧提供了蓝图。</w:t>
      </w:r>
    </w:p>
    <w:p>
      <w:pPr>
        <w:spacing w:before="0" w:after="200" w:lineRule="auto" w:line="276"/>
      </w:pPr>
      <w:r>
        <w:rPr>
          <w:b/>
        </w:rPr>
        <w:t xml:space="preserve">Abstract (EN): </w:t>
      </w:r>
      <w:r>
        <w:t>We report the first total synthesis of (±)-dhilirolide U, a highly oxidized meroterpenoid featuring a densely functionalized 6/6/6/5/5-pentacyclic skeleton. Central to the strategy are a MnIII-mediated cyclization sequence and a Payne-type rearrangement cascade, which together forge a bicyclo[3.2.1]octane fused to a γ-lactone─the defining motif of the dhilirolide natural product family. Both transformations proceed in high yields and with excellent diastereocontrol. Intramolecular Ni-catalyzed conjugate addition was leveraged to install the vicinal quaternary carbon centers. This transformation set the stage for construction of the tetrahydroisochromenone subunit and completion of (±)-dhilirolide U. The reported route to the highly decorated bicyclo[3.2.1]octane provides a blueprint to access the diverse family that are the complex dhilirolide meroterpenoids.</w:t>
      </w:r>
    </w:p>
    <w:p>
      <w:pPr>
        <w:spacing w:before="120" w:after="120"/>
      </w:pPr>
      <w:r>
        <w:rPr>
          <w:sz w:val="18"/>
        </w:rPr>
        <w:t>——————————————————————————————————————————————————————————————————————</w:t>
      </w:r>
    </w:p>
    <w:p>
      <w:pPr>
        <w:spacing w:before="160" w:after="40" w:line="240" w:lineRule="auto"/>
      </w:pPr>
      <w:r>
        <w:rPr>
          <w:b/>
        </w:rPr>
        <w:t xml:space="preserve">[179] </w:t>
      </w:r>
      <w:hyperlink r:id="rId295">
        <w:r>
          <w:rPr>
            <w:color w:val="1155CC"/>
            <w:u w:val="single"/>
          </w:rPr>
          <w:t>[ASAP] Dzyaloshinskii-Moriya相互作用下通过近似诱发的磁性促进水氧化</w:t>
        </w:r>
      </w:hyperlink>
    </w:p>
    <w:p>
      <w:pPr>
        <w:spacing w:before="0" w:after="80"/>
      </w:pPr>
      <w:r>
        <w:rPr>
          <w:i/>
          <w:sz w:val="20"/>
        </w:rPr>
        <w:t>EN: [ASAP] Water Oxidation Promoted by Proximity-Induced Magnetism under Dzyaloshinskii–Moriya Interaction</w:t>
      </w:r>
    </w:p>
    <w:p>
      <w:pPr>
        <w:spacing w:before="0" w:after="120"/>
      </w:pPr>
      <w:r>
        <w:rPr>
          <w:b/>
        </w:rPr>
        <w:t xml:space="preserve">Source: </w:t>
      </w:r>
      <w:r>
        <w:t>Journal of the American Chemical Society: Latest Articles (ACS Publications)</w:t>
      </w:r>
      <w:r>
        <w:t xml:space="preserve">    </w:t>
      </w:r>
      <w:r>
        <w:rPr>
          <w:b/>
        </w:rPr>
        <w:t xml:space="preserve">Pub date: </w:t>
      </w:r>
      <w:r>
        <w:t>2026-02-09 13:15:20+00:00</w:t>
      </w:r>
      <w:r>
        <w:t xml:space="preserve">    </w:t>
      </w:r>
      <w:r>
        <w:rPr>
          <w:b/>
        </w:rPr>
        <w:t xml:space="preserve">DOI: </w:t>
      </w:r>
      <w:hyperlink r:id="rId296">
        <w:r>
          <w:rPr>
            <w:color w:val="1155CC"/>
            <w:u w:val="single"/>
          </w:rPr>
          <w:t>10.1021/jacs.5c17778</w:t>
        </w:r>
      </w:hyperlink>
    </w:p>
    <w:p>
      <w:pPr>
        <w:spacing w:before="0" w:after="120"/>
      </w:pPr>
      <w:r>
        <w:rPr>
          <w:b/>
        </w:rPr>
        <w:t xml:space="preserve">Notes: </w:t>
      </w:r>
      <w:r>
        <w:t>abstract_source=pubmed</w:t>
      </w:r>
    </w:p>
    <w:p>
      <w:pPr>
        <w:spacing w:before="0" w:after="80" w:lineRule="auto" w:line="276"/>
      </w:pPr>
      <w:r>
        <w:rPr>
          <w:b/>
        </w:rPr>
        <w:t xml:space="preserve">摘要（ZH）: </w:t>
      </w:r>
      <w:r>
        <w:t>多电子水氧化的动力学由旋转极分调节多电子水氧化的动力学,然而,IrO2等基准催化剂在环境温度下缺乏内在铁磁磁性,排除了旋转控制。在这里,我们利用C/IrO2两层内部的阵列DMI相互作用(DMI)以诱发地表IrO2中的旋转极化旋状态。DMI驱动的旋转极化将内在氧进化反应活动提升1级,达到4.17 s-1的周期频率,在300米V超过潜能值。Ferrom磁共振谱光学通过吉尔伯特悬浮图的100%增长而使强烈的内部旋转两极化。 Spin-polar化 DFT显示,DMI稳定了IrO2中的铁磁地面状态,并显示旋转顺序改变了吸附配置和低位值。</w:t>
      </w:r>
    </w:p>
    <w:p>
      <w:pPr>
        <w:spacing w:before="0" w:after="200" w:lineRule="auto" w:line="276"/>
      </w:pPr>
      <w:r>
        <w:rPr>
          <w:b/>
        </w:rPr>
        <w:t xml:space="preserve">Abstract (EN): </w:t>
      </w:r>
      <w:r>
        <w:t>Spin polarization governs the kinetics of multielectron water oxidation, yet benchmark catalysts like IrO2 lack intrinsic ferromagnetism at ambient temperature, precluding spin control. Here, we exploit the interfacial Dzyaloshinskii-Moriya interaction (DMI) in Co/IrO2 bilayers to induce spin-polarized states in the surface IrO2. This DMI-driven spin polarization boosts intrinsic oxygen evolution reaction activity by 1 order of magnitude, achieving a turnover frequency of 4.17 s-1 at 300 mV overpotential. Ferromagnetic resonance spectroscopy quantifies strong interfacial spin polarization via a 100% increase in the Gilbert damping. Spin-polarized DFT shows that DMI stabilizes a ferromagnetic ground state in IrO2 and reveals that spin ordering alters the adsorption configurations and lowers reaction barriers for *OH dehydrogenation and O-O coupling. Inserting a Cu spacer eliminates DMI, quenching both magnetism and catalytic enhancement. Our results establish interfacial DMI as a general strategy to activate hidden spin states in nonmagnetic oxides, offering a new route to surpass the activity limits in water-oxidation catalysis.</w:t>
      </w:r>
    </w:p>
    <w:p>
      <w:pPr>
        <w:spacing w:before="120" w:after="120"/>
      </w:pPr>
      <w:r>
        <w:rPr>
          <w:sz w:val="18"/>
        </w:rPr>
        <w:t>——————————————————————————————————————————————————————————————————————</w:t>
      </w:r>
    </w:p>
    <w:p>
      <w:pPr>
        <w:spacing w:before="160" w:after="40" w:line="240" w:lineRule="auto"/>
      </w:pPr>
      <w:r>
        <w:rPr>
          <w:b/>
        </w:rPr>
        <w:t xml:space="preserve">[180] </w:t>
      </w:r>
      <w:hyperlink r:id="rId297">
        <w:r>
          <w:rPr>
            <w:color w:val="1155CC"/>
            <w:u w:val="single"/>
          </w:rPr>
          <w:t>[ASAP] 减少α,β-不饱和基酮的有机脱氧性</w:t>
        </w:r>
      </w:hyperlink>
    </w:p>
    <w:p>
      <w:pPr>
        <w:spacing w:before="0" w:after="80"/>
      </w:pPr>
      <w:r>
        <w:rPr>
          <w:i/>
          <w:sz w:val="20"/>
        </w:rPr>
        <w:t>EN: [ASAP] Organocatalytic Deoxygenative Reduction of α,β-Unsaturated Ketones</w:t>
      </w:r>
    </w:p>
    <w:p>
      <w:pPr>
        <w:spacing w:before="0" w:after="120"/>
      </w:pPr>
      <w:r>
        <w:rPr>
          <w:b/>
        </w:rPr>
        <w:t xml:space="preserve">Source: </w:t>
      </w:r>
      <w:r>
        <w:t>Journal of the American Chemical Society: Latest Articles (ACS Publications)</w:t>
      </w:r>
      <w:r>
        <w:t xml:space="preserve">    </w:t>
      </w:r>
      <w:r>
        <w:rPr>
          <w:b/>
        </w:rPr>
        <w:t xml:space="preserve">Pub date: </w:t>
      </w:r>
      <w:r>
        <w:t>2026-02-09 13:46:05+00:00</w:t>
      </w:r>
      <w:r>
        <w:t xml:space="preserve">    </w:t>
      </w:r>
      <w:r>
        <w:rPr>
          <w:b/>
        </w:rPr>
        <w:t xml:space="preserve">DOI: </w:t>
      </w:r>
      <w:hyperlink r:id="rId298">
        <w:r>
          <w:rPr>
            <w:color w:val="1155CC"/>
            <w:u w:val="single"/>
          </w:rPr>
          <w:t>10.1021/jacs.5c18403</w:t>
        </w:r>
      </w:hyperlink>
    </w:p>
    <w:p>
      <w:pPr>
        <w:spacing w:before="0" w:after="120"/>
      </w:pPr>
      <w:r>
        <w:rPr>
          <w:b/>
        </w:rPr>
        <w:t xml:space="preserve">Notes: </w:t>
      </w:r>
      <w:r>
        <w:t>abstract_source=pubmed</w:t>
      </w:r>
    </w:p>
    <w:p>
      <w:pPr>
        <w:spacing w:before="0" w:after="80" w:lineRule="auto" w:line="276"/>
      </w:pPr>
      <w:r>
        <w:rPr>
          <w:b/>
        </w:rPr>
        <w:t xml:space="preserve">摘要（ZH）: </w:t>
      </w:r>
      <w:r>
        <w:t>在有机合成过程中,发展同性碳基化合物的化学选择性减少化学物选择方法仍然是一项长期挑战。在这里,我们引入了无金属有机分析战略,通过N-六环氮(NHN)盐及其N-H三氮衍生物的不同的FLP类型再活性,实现α、β-不饱和氯酮的脱氧减少。该协议在低催化剂负荷条件下有效运行,适应各种基质,并可以缩到克数量。选择的关键是暂时使用水或甲醇作为C-C债券的保护剂,通过三氮的氢化物转移实现有目标的碳基减少。综合实验和计算研究阐明了化学选择性的起源并揭示了H。</w:t>
      </w:r>
    </w:p>
    <w:p>
      <w:pPr>
        <w:spacing w:before="0" w:after="200" w:lineRule="auto" w:line="276"/>
      </w:pPr>
      <w:r>
        <w:rPr>
          <w:b/>
        </w:rPr>
        <w:t xml:space="preserve">Abstract (EN): </w:t>
      </w:r>
      <w:r>
        <w:t>The development of chemoselective reduction methods for conjugated carbonyl compounds remains a long-standing challenge in organic synthesis. Here we introduce a metal-free organocatalytic strategy that accomplishes the deoxygenative reduction of α,β-unsaturated ketones through the distinct FLP-type reactivity of N-heterocyclic nitrenium (NHN) salts and their N-H triazane derivatives. The protocol operates efficiently with low catalyst loadings, accommodates diverse substrates, and can be scaled to gram quantities. Key to the selectivity is the transient use of water or methanol as a protecting agent for the C═C bond, enabling targeted carbonyl reduction by hydride transfer from triazane. Combined experimental and computational studies elucidate the origins of chemoselectivity and reveal how hydride affinity and ion pairing distinguish NHN-based catalysis from B(C6F5)3-mediated reductions. These findings expand the synthetic toolbox for selective enone deoxygenation and establish nitrenium FLP chemistry as a promising platform for the design of new, metal-free reduction processes.</w:t>
      </w:r>
    </w:p>
    <w:p>
      <w:pPr>
        <w:spacing w:before="120" w:after="120"/>
      </w:pPr>
      <w:r>
        <w:rPr>
          <w:sz w:val="18"/>
        </w:rPr>
        <w:t>——————————————————————————————————————————————————————————————————————</w:t>
      </w:r>
    </w:p>
    <w:p>
      <w:pPr>
        <w:spacing w:before="160" w:after="40" w:line="240" w:lineRule="auto"/>
      </w:pPr>
      <w:r>
        <w:rPr>
          <w:b/>
        </w:rPr>
        <w:t xml:space="preserve">[181] </w:t>
      </w:r>
      <w:hyperlink r:id="rId299">
        <w:r>
          <w:rPr>
            <w:color w:val="1155CC"/>
            <w:u w:val="single"/>
          </w:rPr>
          <w:t>[ASAP]在PdGa中解脱孤立加+的作用@MFI催化器促进DME的直接CO2氢化路径</w:t>
        </w:r>
      </w:hyperlink>
    </w:p>
    <w:p>
      <w:pPr>
        <w:spacing w:before="0" w:after="80"/>
      </w:pPr>
      <w:r>
        <w:rPr>
          <w:i/>
          <w:sz w:val="20"/>
        </w:rPr>
        <w:t>EN: [ASAP] Decoding the Role of Isolated Ga+ in PdGa@MFI Catalyst Promoting a Direct CO2 Hydrogenation Path to DME</w:t>
      </w:r>
    </w:p>
    <w:p>
      <w:pPr>
        <w:spacing w:before="0" w:after="120"/>
      </w:pPr>
      <w:r>
        <w:rPr>
          <w:b/>
        </w:rPr>
        <w:t xml:space="preserve">Source: </w:t>
      </w:r>
      <w:r>
        <w:t>Journal of the American Chemical Society: Latest Articles (ACS Publications)</w:t>
      </w:r>
      <w:r>
        <w:t xml:space="preserve">    </w:t>
      </w:r>
      <w:r>
        <w:rPr>
          <w:b/>
        </w:rPr>
        <w:t xml:space="preserve">Pub date: </w:t>
      </w:r>
      <w:r>
        <w:t>2026-02-09 13:47:08+00:00</w:t>
      </w:r>
      <w:r>
        <w:t xml:space="preserve">    </w:t>
      </w:r>
      <w:r>
        <w:rPr>
          <w:b/>
        </w:rPr>
        <w:t xml:space="preserve">DOI: </w:t>
      </w:r>
      <w:hyperlink r:id="rId300">
        <w:r>
          <w:rPr>
            <w:color w:val="1155CC"/>
            <w:u w:val="single"/>
          </w:rPr>
          <w:t>10.1021/jacs.5c20643</w:t>
        </w:r>
      </w:hyperlink>
    </w:p>
    <w:p>
      <w:pPr>
        <w:spacing w:before="0" w:after="120"/>
      </w:pPr>
      <w:r>
        <w:rPr>
          <w:b/>
        </w:rPr>
        <w:t xml:space="preserve">Notes: </w:t>
      </w:r>
      <w:r>
        <w:t>abstract_source=pubmed</w:t>
      </w:r>
    </w:p>
    <w:p>
      <w:pPr>
        <w:spacing w:before="0" w:after="80" w:lineRule="auto" w:line="276"/>
      </w:pPr>
      <w:r>
        <w:rPr>
          <w:b/>
        </w:rPr>
        <w:t xml:space="preserve">摘要（ZH）: </w:t>
      </w:r>
      <w:r>
        <w:t>这项工作提出了一项战略,不仅控制原子或纳米级活点的距离和距离,而且控制以石为基础的催化剂地点的性质,促进地表中间物种的混合率,从而通过直接CO2氢化路径形成二甲基醚(DME)的形成率。我们使用一罐合成战略和热引发的框架元素(如Ga3+离子)的分离过程,以稳定位于Brønsted酸点附近处于再消化条件下的PdGa合金和加+点。我们采用这一战略,在45巴、260°C和WHSV=15 000 mLgcat-1h-1时生产高达42 864 gMeOH+DMEGKKPD-1H-1-1-1的氧酸盐,使用80%的氧化(19% 乙醇-61% DME),优于最活跃的PD。</w:t>
      </w:r>
    </w:p>
    <w:p>
      <w:pPr>
        <w:spacing w:before="0" w:after="200" w:lineRule="auto" w:line="276"/>
      </w:pPr>
      <w:r>
        <w:rPr>
          <w:b/>
        </w:rPr>
        <w:t xml:space="preserve">Abstract (EN): </w:t>
      </w:r>
      <w:r>
        <w:t>This work presents a strategy to control not only the distance and proximity of active sites at the atomic or nanoscale but also the nature of sites in zeolite-based catalysts, promoting the coupling rate of surface intermediate species and accordingly the formation rate of dimethyl ether (DME) by a direct CO2 hydrogenation path. We use a one-pot synthesis strategy and a thermal-induced detachment process of framework elements, such as Ga3+ ions, to stabilize PdGa alloys and Ga+ sites in close proximity to Brønsted acid sites under reductive conditions. Using this strategy, a production of oxygenates of up to 42,864 gMeOH+DME·kgPd-1·h-1 at 45 bar, 260 °C, and WHSV = 15,000 mL·gcat-1·h-1, is obtained with 80% selectivity to oxygenated (19% methanol/61% DME), outperforming the most active Pd-based CO2 hydrogenation catalysts in the literature. Time-resolved kinetic studies, in situ X-ray adsorption, and in situ and operando IR offer strong proof of the key role of isolated Ga+ Lewis acid sites in close proximity to Brønsted acid sites in stabilizing monoformate intermediate species and facilitating the direct production of DME. Finally, this work highlights the key role of the zeolite in metal confinement, conferring excellent stability, oxidation resistance, hydrophilicity, and close proximity of active sites together with the stabilization of low-coordinated Lewis acid sites.</w:t>
      </w:r>
    </w:p>
    <w:p>
      <w:pPr>
        <w:spacing w:before="120" w:after="120"/>
      </w:pPr>
      <w:r>
        <w:rPr>
          <w:sz w:val="18"/>
        </w:rPr>
        <w:t>——————————————————————————————————————————————————————————————————————</w:t>
      </w:r>
    </w:p>
    <w:p>
      <w:pPr>
        <w:spacing w:before="160" w:after="40" w:line="240" w:lineRule="auto"/>
      </w:pPr>
      <w:r>
        <w:rPr>
          <w:b/>
        </w:rPr>
        <w:t xml:space="preserve">[182] </w:t>
      </w:r>
      <w:hyperlink r:id="rId301">
        <w:r>
          <w:rPr>
            <w:color w:val="1155CC"/>
            <w:u w:val="single"/>
          </w:rPr>
          <w:t>[ASAP] 切换形状:替代的1,2-二氢-1,2-氮基的变异三种相光化</w:t>
        </w:r>
      </w:hyperlink>
    </w:p>
    <w:p>
      <w:pPr>
        <w:spacing w:before="0" w:after="80"/>
      </w:pPr>
      <w:r>
        <w:rPr>
          <w:i/>
          <w:sz w:val="20"/>
        </w:rPr>
        <w:t>EN: [ASAP] Switching Shapes: Reversible Three Species Photoisomerization of Substituted 1,2-Dihydro-1,2-azaborinines</w:t>
      </w:r>
    </w:p>
    <w:p>
      <w:pPr>
        <w:spacing w:before="0" w:after="120"/>
      </w:pPr>
      <w:r>
        <w:rPr>
          <w:b/>
        </w:rPr>
        <w:t xml:space="preserve">Source: </w:t>
      </w:r>
      <w:r>
        <w:t>Journal of the American Chemical Society: Latest Articles (ACS Publications)</w:t>
      </w:r>
      <w:r>
        <w:t xml:space="preserve">    </w:t>
      </w:r>
      <w:r>
        <w:rPr>
          <w:b/>
        </w:rPr>
        <w:t xml:space="preserve">Pub date: </w:t>
      </w:r>
      <w:r>
        <w:t>2026-02-09 14:08:33+00:00</w:t>
      </w:r>
      <w:r>
        <w:t xml:space="preserve">    </w:t>
      </w:r>
      <w:r>
        <w:rPr>
          <w:b/>
        </w:rPr>
        <w:t xml:space="preserve">DOI: </w:t>
      </w:r>
      <w:hyperlink r:id="rId302">
        <w:r>
          <w:rPr>
            <w:color w:val="1155CC"/>
            <w:u w:val="single"/>
          </w:rPr>
          <w:t>10.1021/jacs.5c20667</w:t>
        </w:r>
      </w:hyperlink>
    </w:p>
    <w:p>
      <w:pPr>
        <w:spacing w:before="0" w:after="120"/>
      </w:pPr>
      <w:r>
        <w:rPr>
          <w:b/>
        </w:rPr>
        <w:t xml:space="preserve">Notes: </w:t>
      </w:r>
      <w:r>
        <w:t>abstract_source=openalex</w:t>
      </w:r>
    </w:p>
    <w:p>
      <w:pPr>
        <w:spacing w:before="0" w:after="80" w:lineRule="auto" w:line="276"/>
      </w:pPr>
      <w:r>
        <w:rPr>
          <w:b/>
        </w:rPr>
        <w:t xml:space="preserve">摘要（ZH）: </w:t>
      </w:r>
      <w:r>
        <w:t>根据替代模式,这些光反应还会产生苯valen(3-aza-4-boratricycolio,[3.1.0.0&lt;supp&gt;2.6 &lt;/sup&gt;&gt;&gt;hexane)类比。我们在此报告通过过渡-金属催化后阶段功能化合成1,2,3,5-四亚代二氢氮酸盐,并使用瞬态吸收光谱仪调查其光物理和光化学特性。在3和5个位置引入电离组可导致吸收最大量的显性阵列变化。在广谱辐照(280-400纳米)下,定量转换为摄氏体。</w:t>
      </w:r>
    </w:p>
    <w:p>
      <w:pPr>
        <w:spacing w:before="0" w:after="200" w:lineRule="auto" w:line="276"/>
      </w:pPr>
      <w:r>
        <w:rPr>
          <w:b/>
        </w:rPr>
        <w:t xml:space="preserve">Abstract (EN): </w:t>
      </w:r>
      <w:r>
        <w:t>Derivatives of 1,2-dihydro-1,2-azaborinines generally undergo selective photochemical electrocyclic ring-closure reactions to the corresponding Dewar isomers (2-aza-3-borabicyclo[2.2.0]hex-5-ene). Depending on the substitution pattern, these photoreactions can also yield benzvalene (3-aza-4-boratricyclo[3.1.0.0&lt;sup&gt;2.6&lt;/sup&gt;]hexane) analogues. Here, we report the synthesis of 1,2,3,5-tetrasubstituted dihydroazaborinines by transition-metal-catalyzed late-stage functionalization and the investigation of their photophysical and photochemical properties using transient absorption spectroscopy. The introduction of aryl groups at the 3- and 5-positions induces a pronounced bathochromic shift of the absorption maximum. Under broad-spectrum irradiation (280-400 nm), quantitative conversion to the benzvalene isomer can be achieved. The initial photoisomerization proceeds via excitation to the short-lived singlet excited state (S&lt;sub&gt;1&lt;/sub&gt;) yielding the Dewar isomer, whereas the subsequent conversion of this intermediate occurs through a long-lived excited state. Notably, the second isomerization step is accompanied by an interchange of the carbons C3 and C4. Once formed, the benzvalene isomers exhibit exceptional thermal stability. Cycloreversion to the Dewar isomer and even to the dihydroazaborinine structure can be triggered photochemically through targeted excitation and during both processes the substituents return to the C3 and C5 positions. The thermal cycloreversion of the benzvalene isomer can yield either the educt BN-benzene isomer (1,2,3,5-substitued) or its 1,2,4,5-substituted isomer. Computational studies revealed a stepwise mechanism for the thermal back reaction reforming the educt, while a concerted, energetically less-favorable pathway leads to the 1,2,4,5-substituted analogue.</w:t>
      </w:r>
    </w:p>
    <w:p>
      <w:pPr>
        <w:spacing w:before="120" w:after="120"/>
      </w:pPr>
      <w:r>
        <w:rPr>
          <w:sz w:val="18"/>
        </w:rPr>
        <w:t>——————————————————————————————————————————————————————————————————————</w:t>
      </w:r>
    </w:p>
    <w:p>
      <w:pPr>
        <w:spacing w:before="160" w:after="40" w:line="240" w:lineRule="auto"/>
      </w:pPr>
      <w:r>
        <w:rPr>
          <w:b/>
        </w:rPr>
        <w:t xml:space="preserve">[183] </w:t>
      </w:r>
      <w:hyperlink r:id="rId303">
        <w:r>
          <w:rPr>
            <w:color w:val="1155CC"/>
            <w:u w:val="single"/>
          </w:rPr>
          <w:t>[ASAP]有条件的本地化药用药理学操纵细胞循环,具有表面时速精确度</w:t>
        </w:r>
      </w:hyperlink>
    </w:p>
    <w:p>
      <w:pPr>
        <w:spacing w:before="0" w:after="80"/>
      </w:pPr>
      <w:r>
        <w:rPr>
          <w:i/>
          <w:sz w:val="20"/>
        </w:rPr>
        <w:t>EN: [ASAP] Conditional Localization Pharmacology Manipulates the Cell Cycle with Spatiotemporal Precision</w:t>
      </w:r>
    </w:p>
    <w:p>
      <w:pPr>
        <w:spacing w:before="0" w:after="120"/>
      </w:pPr>
      <w:r>
        <w:rPr>
          <w:b/>
        </w:rPr>
        <w:t xml:space="preserve">Source: </w:t>
      </w:r>
      <w:r>
        <w:t>Journal of the American Chemical Society: Latest Articles (ACS Publications)</w:t>
      </w:r>
      <w:r>
        <w:t xml:space="preserve">    </w:t>
      </w:r>
      <w:r>
        <w:rPr>
          <w:b/>
        </w:rPr>
        <w:t xml:space="preserve">Pub date: </w:t>
      </w:r>
      <w:r>
        <w:t>2026-02-09 15:34:24+00:00</w:t>
      </w:r>
      <w:r>
        <w:t xml:space="preserve">    </w:t>
      </w:r>
      <w:r>
        <w:rPr>
          <w:b/>
        </w:rPr>
        <w:t xml:space="preserve">DOI: </w:t>
      </w:r>
      <w:hyperlink r:id="rId304">
        <w:r>
          <w:rPr>
            <w:color w:val="1155CC"/>
            <w:u w:val="single"/>
          </w:rPr>
          <w:t>10.1021/jacs.5c21708</w:t>
        </w:r>
      </w:hyperlink>
    </w:p>
    <w:p>
      <w:pPr>
        <w:spacing w:before="0" w:after="120"/>
      </w:pPr>
      <w:r>
        <w:rPr>
          <w:b/>
        </w:rPr>
        <w:t xml:space="preserve">Notes: </w:t>
      </w:r>
      <w:r>
        <w:t>abstract_source=openalex</w:t>
      </w:r>
    </w:p>
    <w:p>
      <w:pPr>
        <w:spacing w:before="0" w:after="80" w:lineRule="auto" w:line="276"/>
      </w:pPr>
      <w:r>
        <w:rPr>
          <w:b/>
        </w:rPr>
        <w:t xml:space="preserve">摘要（ZH）: </w:t>
      </w:r>
      <w:r>
        <w:t>传统药理学限制了对毒品活动的控制和在空间和时间的定位。这里,我们用有条件的本地化药用药理学(CLP)描述一种动脉调节方法,即使用细胞内蛋白系系绳将不活跃的笼笼抑制剂移到休眠状态有兴趣的场所。在活细胞环境中,可以使用光在空间和时间环境中以空间和时间精确度对抑制剂的活动进行调节。作为概念的证明,带有HaloTag lig和绳绳索的有照片的MPS1 动脉抑制剂(反射剂)旨在操纵细胞循环。我们证明,这个新的笼子反转子血清探针(CRH)战略能够有效地本地化和对脊椎组装检查站进行特殊的波地场控制。</w:t>
      </w:r>
    </w:p>
    <w:p>
      <w:pPr>
        <w:spacing w:before="0" w:after="200" w:lineRule="auto" w:line="276"/>
      </w:pPr>
      <w:r>
        <w:rPr>
          <w:b/>
        </w:rPr>
        <w:t xml:space="preserve">Abstract (EN): </w:t>
      </w:r>
      <w:r>
        <w:t>Traditional pharmacology has limited control of drug activity and localization in space and time. Herein, we describe an approach for kinase regulation using conditional localization pharmacology (CLP), where an inactive caged inhibitor is localized to a site of interest in a dormant state using intracellular protein tethering. The activity of the inhibitor can be regulated with spatial and temporal precision in a live cellular environment using light. As a proof of concept, a photocaged MPS1 kinase inhibitor (reversine) bearing a HaloTag ligand tether was designed to manipulate the cell cycle. We demonstrate that this new caged reversine halo probe (CRH) strategy is capable of efficient localization and exceptional spatiotemporal control over spindle assembly checkpoint (SAC) silencing and mitotic exit.</w:t>
      </w:r>
    </w:p>
    <w:p>
      <w:pPr>
        <w:spacing w:before="120" w:after="120"/>
      </w:pPr>
      <w:r>
        <w:rPr>
          <w:sz w:val="18"/>
        </w:rPr>
        <w:t>——————————————————————————————————————————————————————————————————————</w:t>
      </w:r>
    </w:p>
    <w:p>
      <w:pPr>
        <w:spacing w:before="160" w:after="40" w:line="240" w:lineRule="auto"/>
      </w:pPr>
      <w:r>
        <w:rPr>
          <w:b/>
        </w:rPr>
        <w:t xml:space="preserve">[184] </w:t>
      </w:r>
      <w:hyperlink r:id="rId305">
        <w:r>
          <w:rPr>
            <w:color w:val="1155CC"/>
            <w:u w:val="single"/>
          </w:rPr>
          <w:t>[ASAP]测量pH在两极膜交叉点内的变化</w:t>
        </w:r>
      </w:hyperlink>
    </w:p>
    <w:p>
      <w:pPr>
        <w:spacing w:before="0" w:after="80"/>
      </w:pPr>
      <w:r>
        <w:rPr>
          <w:i/>
          <w:sz w:val="20"/>
        </w:rPr>
        <w:t>EN: [ASAP] Measuring pH Changes Inside a Bipolar Membrane Junction</w:t>
      </w:r>
    </w:p>
    <w:p>
      <w:pPr>
        <w:spacing w:before="0" w:after="120"/>
      </w:pPr>
      <w:r>
        <w:rPr>
          <w:b/>
        </w:rPr>
        <w:t xml:space="preserve">Source: </w:t>
      </w:r>
      <w:r>
        <w:t>ACS Energy Letters: Latest Articles (ACS Publications)</w:t>
      </w:r>
      <w:r>
        <w:t xml:space="preserve">    </w:t>
      </w:r>
      <w:r>
        <w:rPr>
          <w:b/>
        </w:rPr>
        <w:t xml:space="preserve">Pub date: </w:t>
      </w:r>
      <w:r>
        <w:t>2026-02-09 16:05:11+00:00</w:t>
      </w:r>
      <w:r>
        <w:t xml:space="preserve">    </w:t>
      </w:r>
      <w:r>
        <w:rPr>
          <w:b/>
        </w:rPr>
        <w:t xml:space="preserve">DOI: </w:t>
      </w:r>
      <w:hyperlink r:id="rId306">
        <w:r>
          <w:rPr>
            <w:color w:val="1155CC"/>
            <w:u w:val="single"/>
          </w:rPr>
          <w:t>10.1021/acsenergylett.5c03710</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[185] </w:t>
      </w:r>
      <w:hyperlink r:id="rId307">
        <w:r>
          <w:rPr>
            <w:color w:val="1155CC"/>
            <w:u w:val="single"/>
          </w:rPr>
          <w:t>[ASAP] 工程Mn2+-Doped CdS/ZnS 量图点表面,以控制升温</w:t>
        </w:r>
      </w:hyperlink>
    </w:p>
    <w:p>
      <w:pPr>
        <w:spacing w:before="0" w:after="80"/>
      </w:pPr>
      <w:r>
        <w:rPr>
          <w:i/>
          <w:sz w:val="20"/>
        </w:rPr>
        <w:t>EN: [ASAP] Engineering Mn2+-Doped CdS/ZnS Quantum Dot Surfaces to Control Auger Upconversion Photocatalysis</w:t>
      </w:r>
    </w:p>
    <w:p>
      <w:pPr>
        <w:spacing w:before="0" w:after="120"/>
      </w:pPr>
      <w:r>
        <w:rPr>
          <w:b/>
        </w:rPr>
        <w:t xml:space="preserve">Source: </w:t>
      </w:r>
      <w:r>
        <w:t>Journal of the American Chemical Society: Latest Articles (ACS Publications)</w:t>
      </w:r>
      <w:r>
        <w:t xml:space="preserve">    </w:t>
      </w:r>
      <w:r>
        <w:rPr>
          <w:b/>
        </w:rPr>
        <w:t xml:space="preserve">Pub date: </w:t>
      </w:r>
      <w:r>
        <w:t>2026-02-09 16:33:56+00:00</w:t>
      </w:r>
      <w:r>
        <w:t xml:space="preserve">    </w:t>
      </w:r>
      <w:r>
        <w:rPr>
          <w:b/>
        </w:rPr>
        <w:t xml:space="preserve">DOI: </w:t>
      </w:r>
      <w:hyperlink r:id="rId308">
        <w:r>
          <w:rPr>
            <w:color w:val="1155CC"/>
            <w:u w:val="single"/>
          </w:rPr>
          <w:t>10.1021/jacs.5c21777</w:t>
        </w:r>
      </w:hyperlink>
    </w:p>
    <w:p>
      <w:pPr>
        <w:spacing w:before="0" w:after="120"/>
      </w:pPr>
      <w:r>
        <w:rPr>
          <w:b/>
        </w:rPr>
        <w:t xml:space="preserve">Notes: </w:t>
      </w:r>
      <w:r>
        <w:t>abstract_source=openalex</w:t>
      </w:r>
    </w:p>
    <w:p>
      <w:pPr>
        <w:spacing w:before="0" w:after="80" w:lineRule="auto" w:line="276"/>
      </w:pPr>
      <w:r>
        <w:rPr>
          <w:b/>
        </w:rPr>
        <w:t xml:space="preserve">摘要（ZH）: </w:t>
      </w:r>
      <w:r>
        <w:t>Mn&lt;sup&gt;2/sup&gt;doped CdS/ZnS 量子点,在这种点中,表面的蒸气离心离子带被成离子对的离子线条所取代,是稳定的光催化剂,能够减少各种氯乙烯基质,脱氟氟氟芳烃化合物,并促进形成新的C-C债券。在极地溶液中电稳定量点散变的强化活动在极低的催化剂装载量(0.0005毫升%)中观测到(0.0005毫升%)时观测到。研究的全部反应范围表明,工程量聚度表层化学对于控制多磷吸收和奥格调换产生的热电产生的再活动的重要性。</w:t>
      </w:r>
    </w:p>
    <w:p>
      <w:pPr>
        <w:spacing w:before="0" w:after="200" w:lineRule="auto" w:line="276"/>
      </w:pPr>
      <w:r>
        <w:rPr>
          <w:b/>
        </w:rPr>
        <w:t xml:space="preserve">Abstract (EN): </w:t>
      </w:r>
      <w:r>
        <w:t>Mn&lt;sup&gt;2+&lt;/sup&gt;-doped CdS/ZnS quantum dots, in which surface stearate ligands are replaced with ligands that form ion pairs, are stable photocatalysts capable of reducing a variety of aryl chloride substrates, defluorinating fluorinated aromatic compounds, and facilitating the formation of new C-C bonds. Enhanced activity of the electrostatically stabilized quantum dot dispersions in polar solutions is observed at very low catalyst loadings (0.0005 mol %). The full scope of the reactions studied points to the importance of engineering quantum dot surface chemistry to control the reactivity afforded by hot electrons generated by multiphoton absorption and Auger upconversion.</w:t>
      </w:r>
    </w:p>
    <w:p>
      <w:pPr>
        <w:spacing w:before="120" w:after="120"/>
      </w:pPr>
      <w:r>
        <w:rPr>
          <w:sz w:val="18"/>
        </w:rPr>
        <w:t>——————————————————————————————————————————————————————————————————————</w:t>
      </w:r>
    </w:p>
    <w:p>
      <w:pPr>
        <w:spacing w:before="160" w:after="40" w:line="240" w:lineRule="auto"/>
      </w:pPr>
      <w:r>
        <w:rPr>
          <w:b/>
        </w:rPr>
        <w:t xml:space="preserve">[186] </w:t>
      </w:r>
      <w:hyperlink r:id="rId309">
        <w:r>
          <w:rPr>
            <w:color w:val="1155CC"/>
            <w:u w:val="single"/>
          </w:rPr>
          <w:t>[ASAP] 利用中转非尼斯球状反向反射详细分子-Frame Ulttrafast动态</w:t>
        </w:r>
      </w:hyperlink>
    </w:p>
    <w:p>
      <w:pPr>
        <w:spacing w:before="0" w:after="80"/>
      </w:pPr>
      <w:r>
        <w:rPr>
          <w:i/>
          <w:sz w:val="20"/>
        </w:rPr>
        <w:t>EN: [ASAP] Exploiting Transient Anisotropy To Reveal Detailed Molecular-Frame Ultrafast Dynamics</w:t>
      </w:r>
    </w:p>
    <w:p>
      <w:pPr>
        <w:spacing w:before="0" w:after="120"/>
      </w:pPr>
      <w:r>
        <w:rPr>
          <w:b/>
        </w:rPr>
        <w:t xml:space="preserve">Source: </w:t>
      </w:r>
      <w:r>
        <w:t>Journal of the American Chemical Society: Latest Articles (ACS Publications)</w:t>
      </w:r>
      <w:r>
        <w:t xml:space="preserve">    </w:t>
      </w:r>
      <w:r>
        <w:rPr>
          <w:b/>
        </w:rPr>
        <w:t xml:space="preserve">Pub date: </w:t>
      </w:r>
      <w:r>
        <w:t>2026-02-09 16:38:57+00:00</w:t>
      </w:r>
      <w:r>
        <w:t xml:space="preserve">    </w:t>
      </w:r>
      <w:r>
        <w:rPr>
          <w:b/>
        </w:rPr>
        <w:t xml:space="preserve">DOI: </w:t>
      </w:r>
      <w:hyperlink r:id="rId310">
        <w:r>
          <w:rPr>
            <w:color w:val="1155CC"/>
            <w:u w:val="single"/>
          </w:rPr>
          <w:t>10.1021/jacs.5c22517</w:t>
        </w:r>
      </w:hyperlink>
    </w:p>
    <w:p>
      <w:pPr>
        <w:spacing w:before="0" w:after="120"/>
      </w:pPr>
      <w:r>
        <w:rPr>
          <w:b/>
        </w:rPr>
        <w:t xml:space="preserve">Notes: </w:t>
      </w:r>
      <w:r>
        <w:t>abstract_source=pubmed</w:t>
      </w:r>
    </w:p>
    <w:p>
      <w:pPr>
        <w:spacing w:before="0" w:after="80" w:lineRule="auto" w:line="276"/>
      </w:pPr>
      <w:r>
        <w:rPr>
          <w:b/>
        </w:rPr>
        <w:t xml:space="preserve">摘要（ZH）: </w:t>
      </w:r>
      <w:r>
        <w:t>了解超快时间尺度的能源是如何在超快时间尺度上改变的,对于光物理学的研究来说,至关重要。常态吸收光谱学被广泛用于跟踪这些过程,但通常的“磁三角”方法却在分子框架的不同极化中叠加信号。我们使用简单的极化解解析方法,将分子框架的分子框架的透光谱的平行和垂直组成部分分离出来,暴露出其他隐蔽的兴奋状态动态。对两个能够单质裂变的染色黑磷角应用了分析,揭示了正方形电子转换,并澄清了单体单元之间的混合。分子框架光谱展览的特征被常规方法遮蔽,可以提取三重帕形成晶膜。</w:t>
      </w:r>
    </w:p>
    <w:p>
      <w:pPr>
        <w:spacing w:before="0" w:after="200" w:lineRule="auto" w:line="276"/>
      </w:pPr>
      <w:r>
        <w:rPr>
          <w:b/>
        </w:rPr>
        <w:t xml:space="preserve">Abstract (EN): </w:t>
      </w:r>
      <w:r>
        <w:t>Understanding how energy is transformed on ultrafast time scales is fundamental to the study of photophysics. Transient absorption spectroscopy is widely used to follow these processes, yet the usual "magic-angle" approach superimposes signals with differing polarization in the molecular frame. We employ a simple polarization-resolved method that separates parallel and perpendicular components of molecular-frame transient spectra, revealing otherwise obscured excited-state dynamics. Applied to two chromophore dimers capable of singlet fission, the analysis uncovers orthogonal electronic transitions and clarifies the coupling between monomer units. The molecular-frame spectra exhibit features masked by following the conventional approach, allowing extraction of triplet-pair formation dynamics. This accessible method provides richer insight into excited-state coupling and can be extended to a diverse range of photoactive materials.</w:t>
      </w:r>
    </w:p>
    <w:p>
      <w:pPr>
        <w:spacing w:before="120" w:after="120"/>
      </w:pPr>
      <w:r>
        <w:rPr>
          <w:sz w:val="18"/>
        </w:rPr>
        <w:t>——————————————————————————————————————————————————————————————————————</w:t>
      </w:r>
    </w:p>
    <w:p>
      <w:pPr>
        <w:spacing w:before="160" w:after="40" w:line="240" w:lineRule="auto"/>
      </w:pPr>
      <w:r>
        <w:rPr>
          <w:b/>
        </w:rPr>
        <w:t xml:space="preserve">[187] </w:t>
      </w:r>
      <w:hyperlink r:id="rId311">
        <w:r>
          <w:rPr>
            <w:color w:val="1155CC"/>
            <w:u w:val="single"/>
          </w:rPr>
          <w:t>[ASAP] 由等级式超模分子自治大会制成的同位素双链-双螺旋共核聚体的表面合成</w:t>
        </w:r>
      </w:hyperlink>
    </w:p>
    <w:p>
      <w:pPr>
        <w:spacing w:before="0" w:after="80"/>
      </w:pPr>
      <w:r>
        <w:rPr>
          <w:i/>
          <w:sz w:val="20"/>
        </w:rPr>
        <w:t>EN: [ASAP] On-Surface Synthesis of Isotactic Double-Stranded Corannulene Polymers Steered by Hierarchical Supramolecular Self-Assembly</w:t>
      </w:r>
    </w:p>
    <w:p>
      <w:pPr>
        <w:spacing w:before="0" w:after="120"/>
      </w:pPr>
      <w:r>
        <w:rPr>
          <w:b/>
        </w:rPr>
        <w:t xml:space="preserve">Source: </w:t>
      </w:r>
      <w:r>
        <w:t>Journal of the American Chemical Society: Latest Articles (ACS Publications)</w:t>
      </w:r>
      <w:r>
        <w:t xml:space="preserve">    </w:t>
      </w:r>
      <w:r>
        <w:rPr>
          <w:b/>
        </w:rPr>
        <w:t xml:space="preserve">Pub date: </w:t>
      </w:r>
      <w:r>
        <w:t>2026-02-09 17:14:51+00:00</w:t>
      </w:r>
      <w:r>
        <w:t xml:space="preserve">    </w:t>
      </w:r>
      <w:r>
        <w:rPr>
          <w:b/>
        </w:rPr>
        <w:t xml:space="preserve">DOI: </w:t>
      </w:r>
      <w:hyperlink r:id="rId312">
        <w:r>
          <w:rPr>
            <w:color w:val="1155CC"/>
            <w:u w:val="single"/>
          </w:rPr>
          <w:t>10.1021/jacs.5c16884</w:t>
        </w:r>
      </w:hyperlink>
    </w:p>
    <w:p>
      <w:pPr>
        <w:spacing w:before="0" w:after="120"/>
      </w:pPr>
      <w:r>
        <w:rPr>
          <w:b/>
        </w:rPr>
        <w:t xml:space="preserve">Notes: </w:t>
      </w:r>
      <w:r>
        <w:t>abstract_source=pubmed</w:t>
      </w:r>
    </w:p>
    <w:p>
      <w:pPr>
        <w:spacing w:before="0" w:after="80" w:lineRule="auto" w:line="276"/>
      </w:pPr>
      <w:r>
        <w:rPr>
          <w:b/>
        </w:rPr>
        <w:t xml:space="preserve">摘要（ZH）: </w:t>
      </w:r>
      <w:r>
        <w:t>然而,迄今为止,聚合物战术的概念尚未在此背景下探索。 策略性影响聚合物特性,而聚合物应用又受聚合物应用的支配。例如,同位素聚合物替代物的全合成安排可能导致高晶状、高强度材料。因此,已经开发出一些专门方法,涉及手工业催化剂或悬绳,以控制聚合物战术性。在这项工作中,我们证明,表面聚合物的二维表面封闭可以与单体在没有手力辅助器的情况下合成异构聚合物链的预组织相结合。为了确立这个概念,我们合成了共核聚合物。</w:t>
      </w:r>
    </w:p>
    <w:p>
      <w:pPr>
        <w:spacing w:before="0" w:after="200" w:lineRule="auto" w:line="276"/>
      </w:pPr>
      <w:r>
        <w:rPr>
          <w:b/>
        </w:rPr>
        <w:t xml:space="preserve">Abstract (EN): </w:t>
      </w:r>
      <w:r>
        <w:t>On-surface synthesis has revolutionized the construction of functional nanostructures. Thus far, however, the concept of polymer tacticity has remained unexplored in this context. Tacticity impacts polymer properties, which in turn governs polymer applications. An all-syn arrangement of substituents in isotactic polymers, for instance, may lead to highly crystalline, high-strength materials. Thus, specialized methods have been developed involving chiral catalysts or ligands to control polymer tacticity. In this work, we demonstrate that two-dimensional surface confinement of on-surface polymerization can be combined with preorganization of monomers to synthesize isotactic polymer chains in the absence of a chiral auxiliary. To establish the concept, we synthesized a corannulene-substituted terphenylene monomer capable of C-H···π bonding, aromatic stacking, and van der Waals interactions. The weak intermolecular interactions steer the monomer into organized double strands, with the corannulene substituents oriented only on one side of the strand on Ag(111). A subsequent Ullmann polymerization of the self-assembled monomers leads to the formation of double-stranded isotactic polyphenylenes. The stereoregularity further allows the duplex to arrange into higher-order crystalline domains. Finally, the synthetic polymer duplex can be mechanically unzipped into individual isotactic polymer chains through scanning tunneling microscopy tip manipulation.</w:t>
      </w:r>
    </w:p>
    <w:p>
      <w:pPr>
        <w:spacing w:before="120" w:after="120"/>
      </w:pPr>
      <w:r>
        <w:rPr>
          <w:sz w:val="18"/>
        </w:rPr>
        <w:t>——————————————————————————————————————————————————————————————————————</w:t>
      </w:r>
    </w:p>
    <w:p>
      <w:pPr>
        <w:spacing w:before="160" w:after="40" w:line="240" w:lineRule="auto"/>
      </w:pPr>
      <w:r>
        <w:rPr>
          <w:b/>
        </w:rPr>
        <w:t xml:space="preserve">[188] </w:t>
      </w:r>
      <w:hyperlink r:id="rId313">
        <w:r>
          <w:rPr>
            <w:color w:val="1155CC"/>
            <w:u w:val="single"/>
          </w:rPr>
          <w:t>[ASAP]通过长寿水锌电池复合添加剂保护性固态间隙</w:t>
        </w:r>
      </w:hyperlink>
    </w:p>
    <w:p>
      <w:pPr>
        <w:spacing w:before="0" w:after="80"/>
      </w:pPr>
      <w:r>
        <w:rPr>
          <w:i/>
          <w:sz w:val="20"/>
        </w:rPr>
        <w:t>EN: [ASAP] Protective Solid Interphase via Composite Additives for Long-Life Aqueous Zinc Batteries</w:t>
      </w:r>
    </w:p>
    <w:p>
      <w:pPr>
        <w:spacing w:before="0" w:after="120"/>
      </w:pPr>
      <w:r>
        <w:rPr>
          <w:b/>
        </w:rPr>
        <w:t xml:space="preserve">Source: </w:t>
      </w:r>
      <w:r>
        <w:t>ACS Energy Letters: Latest Articles (ACS Publications)</w:t>
      </w:r>
      <w:r>
        <w:t xml:space="preserve">    </w:t>
      </w:r>
      <w:r>
        <w:rPr>
          <w:b/>
        </w:rPr>
        <w:t xml:space="preserve">Pub date: </w:t>
      </w:r>
      <w:r>
        <w:t>2026-02-09 17:47:16+00:00</w:t>
      </w:r>
      <w:r>
        <w:t xml:space="preserve">    </w:t>
      </w:r>
      <w:r>
        <w:rPr>
          <w:b/>
        </w:rPr>
        <w:t xml:space="preserve">DOI: </w:t>
      </w:r>
      <w:hyperlink r:id="rId314">
        <w:r>
          <w:rPr>
            <w:color w:val="1155CC"/>
            <w:u w:val="single"/>
          </w:rPr>
          <w:t>10.1021/acsenergylett.5c03837</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[189] </w:t>
      </w:r>
      <w:hyperlink r:id="rId315">
        <w:r>
          <w:rPr>
            <w:color w:val="1155CC"/>
            <w:u w:val="single"/>
          </w:rPr>
          <w:t>[ASAP]通过蓝色Quasi-2D Perovskite轻光光光光光光二极管中金属二极管的硫化氢添加剂溶解物进行分阶段控制</w:t>
        </w:r>
      </w:hyperlink>
    </w:p>
    <w:p>
      <w:pPr>
        <w:spacing w:before="0" w:after="80"/>
      </w:pPr>
      <w:r>
        <w:rPr>
          <w:i/>
          <w:sz w:val="20"/>
        </w:rPr>
        <w:t>EN: [ASAP] Phase Control via Solubilities of Metal Halide Additives in Blue Quasi-2D Perovskite Light-Emitting Diodes</w:t>
      </w:r>
    </w:p>
    <w:p>
      <w:pPr>
        <w:spacing w:before="0" w:after="120"/>
      </w:pPr>
      <w:r>
        <w:rPr>
          <w:b/>
        </w:rPr>
        <w:t xml:space="preserve">Source: </w:t>
      </w:r>
      <w:r>
        <w:t>ACS Energy Letters: Latest Articles (ACS Publications)</w:t>
      </w:r>
      <w:r>
        <w:t xml:space="preserve">    </w:t>
      </w:r>
      <w:r>
        <w:rPr>
          <w:b/>
        </w:rPr>
        <w:t xml:space="preserve">Pub date: </w:t>
      </w:r>
      <w:r>
        <w:t>2026-02-09 18:09:37+00:00</w:t>
      </w:r>
      <w:r>
        <w:t xml:space="preserve">    </w:t>
      </w:r>
      <w:r>
        <w:rPr>
          <w:b/>
        </w:rPr>
        <w:t xml:space="preserve">DOI: </w:t>
      </w:r>
      <w:hyperlink r:id="rId316">
        <w:r>
          <w:rPr>
            <w:color w:val="1155CC"/>
            <w:u w:val="single"/>
          </w:rPr>
          <w:t>10.1021/acsenergylett.5c04084</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[190] </w:t>
      </w:r>
      <w:hyperlink r:id="rId317">
        <w:r>
          <w:rPr>
            <w:color w:val="1155CC"/>
            <w:u w:val="single"/>
          </w:rPr>
          <w:t>[ASAP] Cu、Zn、Zr和Zr在ZnZrOx/Cu催化器反向的CO2氢转化为甲醇的Cu、Zn、Zn和Zr的构成部分具体功能</w:t>
        </w:r>
      </w:hyperlink>
    </w:p>
    <w:p>
      <w:pPr>
        <w:spacing w:before="0" w:after="80"/>
      </w:pPr>
      <w:r>
        <w:rPr>
          <w:i/>
          <w:sz w:val="20"/>
        </w:rPr>
        <w:t>EN: [ASAP] Component-Specific Functions of Cu, Zn, and Zr in Inverse ZnZrOx/Cu Catalysts for CO2 Hydrogenation to Methanol</w:t>
      </w:r>
    </w:p>
    <w:p>
      <w:pPr>
        <w:spacing w:before="0" w:after="120"/>
      </w:pPr>
      <w:r>
        <w:rPr>
          <w:b/>
        </w:rPr>
        <w:t xml:space="preserve">Source: </w:t>
      </w:r>
      <w:r>
        <w:t>Journal of the American Chemical Society: Latest Articles (ACS Publications)</w:t>
      </w:r>
      <w:r>
        <w:t xml:space="preserve">    </w:t>
      </w:r>
      <w:r>
        <w:rPr>
          <w:b/>
        </w:rPr>
        <w:t xml:space="preserve">Pub date: </w:t>
      </w:r>
      <w:r>
        <w:t>2026-02-09 18:53:04+00:00</w:t>
      </w:r>
      <w:r>
        <w:t xml:space="preserve">    </w:t>
      </w:r>
      <w:r>
        <w:rPr>
          <w:b/>
        </w:rPr>
        <w:t xml:space="preserve">DOI: </w:t>
      </w:r>
      <w:hyperlink r:id="rId318">
        <w:r>
          <w:rPr>
            <w:color w:val="1155CC"/>
            <w:u w:val="single"/>
          </w:rPr>
          <w:t>10.1021/jacs.5c19915</w:t>
        </w:r>
      </w:hyperlink>
    </w:p>
    <w:p>
      <w:pPr>
        <w:spacing w:before="0" w:after="120"/>
      </w:pPr>
      <w:r>
        <w:rPr>
          <w:b/>
        </w:rPr>
        <w:t xml:space="preserve">Notes: </w:t>
      </w:r>
      <w:r>
        <w:t>abstract_source=pubmed</w:t>
      </w:r>
    </w:p>
    <w:p>
      <w:pPr>
        <w:spacing w:before="0" w:after="80" w:lineRule="auto" w:line="276"/>
      </w:pPr>
      <w:r>
        <w:rPr>
          <w:b/>
        </w:rPr>
        <w:t xml:space="preserve">摘要（ZH）: </w:t>
      </w:r>
      <w:r>
        <w:t>在二氧化碳至甲醇的氢化中,基于铜的耐久催化剂往往比其二进制催化剂的二进制催化剂的性能强得多。打破多种成分之间潜在的协同效应仍然具有挑战性,需要全面的外观特征。在本研究报告中,我们详细调查了ZnZrOx/Cu催化剂反向的Cu-Zn-Zr-Zr相互作用,这显示出加强从CO2中合成甲醇的强烈前景。在原位X射线裂变中,ZrO2组有效地稳定了Cu纳米粒子在减少H2期间的互交。Cu、Zn和ZrK的Agendo X射线吸收光光光谱显示,Zn和Zr-Zr的可复制性因协同Cu-Zn-Zr相互作用而增强。在减少H2时,Zn-Zr物种的可再传播性。</w:t>
      </w:r>
    </w:p>
    <w:p>
      <w:pPr>
        <w:spacing w:before="0" w:after="200" w:lineRule="auto" w:line="276"/>
      </w:pPr>
      <w:r>
        <w:rPr>
          <w:b/>
        </w:rPr>
        <w:t xml:space="preserve">Abstract (EN): </w:t>
      </w:r>
      <w:r>
        <w:t>Cu-based ternary catalysts often outperform their binary counterparts in the hydrogenation of CO2 to methanol. Unraveling the underlying synergistic effects among multiple components remains challenging and requires comprehensive operando characterization. In this study, we present a detailed investigation into the synergistic Cu-Zn-Zr interactions in inverse ZnZrOx/Cu catalysts, which show strong promise for enhancing the synthesis of methanol from CO2. In situ X-ray diffraction revealed that ZrO2 clusters effectively stabilize Cu nanoparticles against sintering during the H2 reduction. Operando X-ray absorption spectroscopy at the Cu, Zn, and Zr K-edges demonstrated that the enhanced reducibility of Zn and Zr species arises from synergistic Cu-Zn-Zr interactions. Upon H2 reduction, partially reduced ZrO2 facilitated CO2 adsorption and activation. Initially dispersed Zn2+ species were partially transformed into the CuZn alloy, which remained stable under reaction conditions. Notably, the CuZn alloy significantly enhanced the hydrogenation of key formate reaction intermediates to methanol. Moreover, Zn incorporation in Cu inhibited methanol decomposition to CO. The combined effects of efficient H2 activation on highly dispersed metallic Cu, enhanced CO2 activation by reduced ZrO2 clusters, and rapid formate hydrogenation facilitated by the CuZn alloy rendered inverse ZnZrOx/Cu catalysts superior in methanol formation rates as compared to inverse ZnOx/Cu, ZrOx/Cu catalysts, a commercial CuZnAl catalyst, and previously reported CuZnZr catalysts.</w:t>
      </w:r>
    </w:p>
    <w:p>
      <w:pPr>
        <w:spacing w:before="120" w:after="120"/>
      </w:pPr>
      <w:r>
        <w:rPr>
          <w:sz w:val="18"/>
        </w:rPr>
        <w:t>——————————————————————————————————————————————————————————————————————</w:t>
      </w:r>
    </w:p>
    <w:p>
      <w:pPr>
        <w:spacing w:before="160" w:after="40" w:line="240" w:lineRule="auto"/>
      </w:pPr>
      <w:r>
        <w:rPr>
          <w:b/>
        </w:rPr>
        <w:t xml:space="preserve">[191] </w:t>
      </w:r>
      <w:hyperlink r:id="rId319">
        <w:r>
          <w:rPr>
            <w:color w:val="1155CC"/>
            <w:u w:val="single"/>
          </w:rPr>
          <w:t>[ASAP]电解和电极干涉模型:五年研究进展和前景</w:t>
        </w:r>
      </w:hyperlink>
    </w:p>
    <w:p>
      <w:pPr>
        <w:spacing w:before="0" w:after="80"/>
      </w:pPr>
      <w:r>
        <w:rPr>
          <w:i/>
          <w:sz w:val="20"/>
        </w:rPr>
        <w:t>EN: [ASAP] Electrolyte and Electrode Interfacial Model: Five Years’ Research Progress and Perspectives</w:t>
      </w:r>
    </w:p>
    <w:p>
      <w:pPr>
        <w:spacing w:before="0" w:after="120"/>
      </w:pPr>
      <w:r>
        <w:rPr>
          <w:b/>
        </w:rPr>
        <w:t xml:space="preserve">Source: </w:t>
      </w:r>
      <w:r>
        <w:t>ACS Energy Letters: Latest Articles (ACS Publications)</w:t>
      </w:r>
      <w:r>
        <w:t xml:space="preserve">    </w:t>
      </w:r>
      <w:r>
        <w:rPr>
          <w:b/>
        </w:rPr>
        <w:t xml:space="preserve">Pub date: </w:t>
      </w:r>
      <w:r>
        <w:t>2026-02-09 19:01:50+00:00</w:t>
      </w:r>
      <w:r>
        <w:t xml:space="preserve">    </w:t>
      </w:r>
      <w:r>
        <w:rPr>
          <w:b/>
        </w:rPr>
        <w:t xml:space="preserve">DOI: </w:t>
      </w:r>
      <w:hyperlink r:id="rId320">
        <w:r>
          <w:rPr>
            <w:color w:val="1155CC"/>
            <w:u w:val="single"/>
          </w:rPr>
          <w:t>10.1021/acsenergylett.5c03592</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[192] </w:t>
      </w:r>
      <w:hyperlink r:id="rId321">
        <w:r>
          <w:rPr>
            <w:color w:val="1155CC"/>
            <w:u w:val="single"/>
          </w:rPr>
          <w:t>[原 更正为“合成T-细胞受体类蛋白丁蛋白质作为解决中的亚努粒子”</w:t>
        </w:r>
      </w:hyperlink>
    </w:p>
    <w:p>
      <w:pPr>
        <w:spacing w:before="0" w:after="80"/>
      </w:pPr>
      <w:r>
        <w:rPr>
          <w:i/>
          <w:sz w:val="20"/>
        </w:rPr>
        <w:t>EN: [ASAP] Correction to “Synthetic T-Cell Receptor-like Protein Behaves as a Janus Particle in Solution”</w:t>
      </w:r>
    </w:p>
    <w:p>
      <w:pPr>
        <w:spacing w:before="0" w:after="120"/>
      </w:pPr>
      <w:r>
        <w:rPr>
          <w:b/>
        </w:rPr>
        <w:t xml:space="preserve">Source: </w:t>
      </w:r>
      <w:r>
        <w:t>Journal of the American Chemical Society: Latest Articles (ACS Publications)</w:t>
      </w:r>
      <w:r>
        <w:t xml:space="preserve">    </w:t>
      </w:r>
      <w:r>
        <w:rPr>
          <w:b/>
        </w:rPr>
        <w:t xml:space="preserve">Pub date: </w:t>
      </w:r>
      <w:r>
        <w:t>2026-02-09 19:07:31+00:00</w:t>
      </w:r>
      <w:r>
        <w:t xml:space="preserve">    </w:t>
      </w:r>
      <w:r>
        <w:rPr>
          <w:b/>
        </w:rPr>
        <w:t xml:space="preserve">DOI: </w:t>
      </w:r>
      <w:hyperlink r:id="rId322">
        <w:r>
          <w:rPr>
            <w:color w:val="1155CC"/>
            <w:u w:val="single"/>
          </w:rPr>
          <w:t>10.1021/jacs.6c00896</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[193] </w:t>
      </w:r>
      <w:hyperlink r:id="rId323">
        <w:r>
          <w:rPr>
            <w:color w:val="1155CC"/>
            <w:u w:val="single"/>
          </w:rPr>
          <w:t>[ASAP] 使用表面活性剂作为结构指导剂的层ZIFs</w:t>
        </w:r>
      </w:hyperlink>
    </w:p>
    <w:p>
      <w:pPr>
        <w:spacing w:before="0" w:after="80"/>
      </w:pPr>
      <w:r>
        <w:rPr>
          <w:i/>
          <w:sz w:val="20"/>
        </w:rPr>
        <w:t>EN: [ASAP] Layered ZIFs Using a Surfactant as a Structure Directing Agent</w:t>
      </w:r>
    </w:p>
    <w:p>
      <w:pPr>
        <w:spacing w:before="0" w:after="120"/>
      </w:pPr>
      <w:r>
        <w:rPr>
          <w:b/>
        </w:rPr>
        <w:t xml:space="preserve">Source: </w:t>
      </w:r>
      <w:r>
        <w:t>Journal of the American Chemical Society: Latest Articles (ACS Publications)</w:t>
      </w:r>
      <w:r>
        <w:t xml:space="preserve">    </w:t>
      </w:r>
      <w:r>
        <w:rPr>
          <w:b/>
        </w:rPr>
        <w:t xml:space="preserve">Pub date: </w:t>
      </w:r>
      <w:r>
        <w:t>2026-02-09 19:08:09+00:00</w:t>
      </w:r>
      <w:r>
        <w:t xml:space="preserve">    </w:t>
      </w:r>
      <w:r>
        <w:rPr>
          <w:b/>
        </w:rPr>
        <w:t xml:space="preserve">DOI: </w:t>
      </w:r>
      <w:hyperlink r:id="rId324">
        <w:r>
          <w:rPr>
            <w:color w:val="1155CC"/>
            <w:u w:val="single"/>
          </w:rPr>
          <w:t>10.1021/jacs.5c18975</w:t>
        </w:r>
      </w:hyperlink>
    </w:p>
    <w:p>
      <w:pPr>
        <w:spacing w:before="0" w:after="120"/>
      </w:pPr>
      <w:r>
        <w:rPr>
          <w:b/>
        </w:rPr>
        <w:t xml:space="preserve">Notes: </w:t>
      </w:r>
      <w:r>
        <w:t>abstract_source=pubmed</w:t>
      </w:r>
    </w:p>
    <w:p>
      <w:pPr>
        <w:spacing w:before="0" w:after="80" w:lineRule="auto" w:line="276"/>
      </w:pPr>
      <w:r>
        <w:rPr>
          <w:b/>
        </w:rPr>
        <w:t xml:space="preserve">摘要（ZH）: </w:t>
      </w:r>
      <w:r>
        <w:t>Zolitic imidazolate框架(ZIFs)是三维(3D)多孔材料,只有少数例外——ZIF-L、Zn2(Benzimidazole)4,等等。在这里,我们报告一个新的层ZIF的合成情况,我们称之为ZIF-S。我们使用一种表面活性剂(多立基硫酸盐钠酸钠)作为结构导向剂,类似于合成热聚苯乙烯时使用的概念。层中含有由表面活性剂相互隔热的单个ZIF薄板。其定购结构属于与P413.22m空间组的四角拉蒂。单位细胞参数为 a = b = 16.82°;c = 24.5 oc 在室温度下为24.5 。层材料在热到或超过200°C时,可按金属节点制成其母材料(ZIF-8 或 ZIF-67) 。</w:t>
      </w:r>
    </w:p>
    <w:p>
      <w:pPr>
        <w:spacing w:before="0" w:after="200" w:lineRule="auto" w:line="276"/>
      </w:pPr>
      <w:r>
        <w:rPr>
          <w:b/>
        </w:rPr>
        <w:t xml:space="preserve">Abstract (EN): </w:t>
      </w:r>
      <w:r>
        <w:t>Zeolitic imidazolate frameworks (ZIFs) are three-dimensional (3D) porous materials with only a few exceptions - ZIF-L, Zn2(benzimidazole)4, etc. Herein, we report the synthesis of a new layered ZIF, which we call ZIF-S. We use a surfactant (sodium dodecyl sulfate) as a structure-directing agent, analogous to the concept used in the synthesis of zeolites. The layers contain individual ZIF sheets intercalated by surfactants. Its ordered structure belongs to the tetragonal lattice with the P4̅21m space group. The unit cell parameters are a = b = 16.82 Å; c = 24.5 Å at room temperature. The layered material undergoes topotactic condensation and forms its parent material (ZIF-8 or ZIF-67, depending on the metal node) upon heating to or above 200 °C. ZIF-S layers could be obtained with a large lateral size and a high aspect ratio, which is ideal for the scalable preparation of gas-selective membranes, thanks to the presence of pore apertures suitable for the separation of small gas molecules. Fabrication of gas-selective membranes from a simple coating of ZIF-S is demonstrated.</w:t>
      </w:r>
    </w:p>
    <w:p>
      <w:pPr>
        <w:spacing w:before="120" w:after="120"/>
      </w:pPr>
      <w:r>
        <w:rPr>
          <w:sz w:val="18"/>
        </w:rPr>
        <w:t>——————————————————————————————————————————————————————————————————————</w:t>
      </w:r>
    </w:p>
    <w:p>
      <w:pPr>
        <w:spacing w:before="160" w:after="40" w:line="240" w:lineRule="auto"/>
      </w:pPr>
      <w:r>
        <w:rPr>
          <w:b/>
        </w:rPr>
        <w:t xml:space="preserve">[194] </w:t>
      </w:r>
      <w:hyperlink r:id="rId325">
        <w:r>
          <w:rPr>
            <w:color w:val="1155CC"/>
            <w:u w:val="single"/>
          </w:rPr>
          <w:t>[ASAP] 非常规阶段1T`-过渡性金属Dichalcolcide单层,在高高效氢进化无定型模版上生长</w:t>
        </w:r>
      </w:hyperlink>
    </w:p>
    <w:p>
      <w:pPr>
        <w:spacing w:before="0" w:after="80"/>
      </w:pPr>
      <w:r>
        <w:rPr>
          <w:i/>
          <w:sz w:val="20"/>
        </w:rPr>
        <w:t>EN: [ASAP] Unconventional-Phase 1T′-Transition Metal Dichalcogenide Monolayers Grown on Amorphous Templates for Highly Efficient Hydrogen Evolution</w:t>
      </w:r>
    </w:p>
    <w:p>
      <w:pPr>
        <w:spacing w:before="0" w:after="120"/>
      </w:pPr>
      <w:r>
        <w:rPr>
          <w:b/>
        </w:rPr>
        <w:t xml:space="preserve">Source: </w:t>
      </w:r>
      <w:r>
        <w:t>Journal of the American Chemical Society: Latest Articles (ACS Publications)</w:t>
      </w:r>
      <w:r>
        <w:t xml:space="preserve">    </w:t>
      </w:r>
      <w:r>
        <w:rPr>
          <w:b/>
        </w:rPr>
        <w:t xml:space="preserve">Pub date: </w:t>
      </w:r>
      <w:r>
        <w:t>2026-02-09 19:14:23+00:00</w:t>
      </w:r>
      <w:r>
        <w:t xml:space="preserve">    </w:t>
      </w:r>
      <w:r>
        <w:rPr>
          <w:b/>
        </w:rPr>
        <w:t xml:space="preserve">DOI: </w:t>
      </w:r>
      <w:hyperlink r:id="rId326">
        <w:r>
          <w:rPr>
            <w:color w:val="1155CC"/>
            <w:u w:val="single"/>
          </w:rPr>
          <w:t>10.1021/jacs.5c19857</w:t>
        </w:r>
      </w:hyperlink>
    </w:p>
    <w:p>
      <w:pPr>
        <w:spacing w:before="0" w:after="120"/>
      </w:pPr>
      <w:r>
        <w:rPr>
          <w:b/>
        </w:rPr>
        <w:t xml:space="preserve">Notes: </w:t>
      </w:r>
      <w:r>
        <w:t>abstract_source=pubmed</w:t>
      </w:r>
    </w:p>
    <w:p>
      <w:pPr>
        <w:spacing w:before="0" w:after="80" w:lineRule="auto" w:line="276"/>
      </w:pPr>
      <w:r>
        <w:rPr>
          <w:b/>
        </w:rPr>
        <w:t xml:space="preserve">摘要（ZH）: </w:t>
      </w:r>
      <w:r>
        <w:t>氢氢气进化反应基准是基于白金的催化剂,但其高成本和稀缺限制了其广泛应用。二维过渡性金属二氯化二氯二氮(TMD),特别是非常规的1T阶段,已成为有希望的替代物,但以高阶段纯度和稳定性合成这些物质仍具有挑战性。在这里,通过使用无定形磷(P)倾弃的Pd纳米粒子(a-PdP NPs)作为模板,我们开发了合成高阶段纯度和稳定的1T'TMD单层(MLs)的孔状和一般湿化方法,包括MoS2、WS2和MoWS2,以构建一个PdP@1T'TMD核心壳NPs。实验和Theoreti。</w:t>
      </w:r>
    </w:p>
    <w:p>
      <w:pPr>
        <w:spacing w:before="0" w:after="200" w:lineRule="auto" w:line="276"/>
      </w:pPr>
      <w:r>
        <w:rPr>
          <w:b/>
        </w:rPr>
        <w:t xml:space="preserve">Abstract (EN): </w:t>
      </w:r>
      <w:r>
        <w:t>Hydrogen is a promising clean energy carrier to address global energy and environmental challenges. Although platinum (Pt)-based catalysts are the benchmark for the hydrogen evolution reaction (HER), their high cost and scarcity limit their widespread application. Two-dimensional transition metal dichalcogenides (TMDs), particularly with the unconventional 1T' phase, have emerged as promising alternatives, yet synthesizing them with high phase purity and stability remains challenging. Here, by using amorphous phosphorus (P)-doped Pd nanoparticles (a-PdP NPs) as templates, we develop a facile and general wet-chemical method to synthesize high-phase-purity and stable 1T'-TMD monolayers (MLs), including MoS2, WS2, and MoWS2, to construct a-PdP@1T'-TMD core-shell NPs. Experimental and theoretical analyses reveal that the formation and stabilization of 1T'-MoS2 MLs are attributed to the strong Pd-S interaction, electron donation from oleylamine, and amorphous nature of the template. The resulting a-PdP@1T'-MoS2 catalyst exhibits superior HER performance, requiring an overpotential of only -182.3 mV to achieve 1,000 mA·cm-2 and maintaining high stability for over 500 h at 500 mA·cm-2, outperforming the commercial Pt/C and placing it among the best reported MoS2-based catalysts. Impressively, the synthesized a-PdP@1T'-MoS2 can also be used as an efficient and stable support to grow single-atomically dispersed Pt with further enhanced HER activity, indicating its promise as a versatile platform for the design and preparation of advanced electrocatalysts.</w:t>
      </w:r>
    </w:p>
    <w:p>
      <w:pPr>
        <w:spacing w:before="120" w:after="120"/>
      </w:pPr>
      <w:r>
        <w:rPr>
          <w:sz w:val="18"/>
        </w:rPr>
        <w:t>——————————————————————————————————————————————————————————————————————</w:t>
      </w:r>
    </w:p>
    <w:p>
      <w:pPr>
        <w:spacing w:before="160" w:after="40" w:line="240" w:lineRule="auto"/>
      </w:pPr>
      <w:r>
        <w:rPr>
          <w:b/>
        </w:rPr>
        <w:t xml:space="preserve">[195] </w:t>
      </w:r>
      <w:hyperlink r:id="rId327">
        <w:r>
          <w:rPr>
            <w:color w:val="1155CC"/>
            <w:u w:val="single"/>
          </w:rPr>
          <w:t>每日简报:咖啡因可减少痴呆症风险和缓慢的认知下降</w:t>
        </w:r>
      </w:hyperlink>
    </w:p>
    <w:p>
      <w:pPr>
        <w:spacing w:before="0" w:after="80"/>
      </w:pPr>
      <w:r>
        <w:rPr>
          <w:i/>
          <w:sz w:val="20"/>
        </w:rPr>
        <w:t>EN: Daily briefing: Caffeine might reduce dementia risk and slow cognitive decline</w:t>
      </w:r>
    </w:p>
    <w:p>
      <w:pPr>
        <w:spacing w:before="0" w:after="120"/>
      </w:pPr>
      <w:r>
        <w:rPr>
          <w:b/>
        </w:rPr>
        <w:t xml:space="preserve">Source: </w:t>
      </w:r>
      <w:r>
        <w:t>Nature</w:t>
      </w:r>
      <w:r>
        <w:t xml:space="preserve">    </w:t>
      </w:r>
      <w:r>
        <w:rPr>
          <w:b/>
        </w:rPr>
        <w:t xml:space="preserve">Pub date: </w:t>
      </w:r>
      <w:r>
        <w:t>2026-02-10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[196] </w:t>
      </w:r>
      <w:hyperlink r:id="rId328">
        <w:r>
          <w:rPr>
            <w:color w:val="1155CC"/>
            <w:u w:val="single"/>
          </w:rPr>
          <w:t>综合能源系统的双重规模优化:以MAPAP为基础的新的混合游戏平衡方法</w:t>
        </w:r>
      </w:hyperlink>
    </w:p>
    <w:p>
      <w:pPr>
        <w:spacing w:before="0" w:after="80"/>
      </w:pPr>
      <w:r>
        <w:rPr>
          <w:i/>
          <w:sz w:val="20"/>
        </w:rPr>
        <w:t>EN: Dual-scale optimization of integrated energy systems: a novel MAPPO-based approach for hybrid game equilibrium</w:t>
      </w:r>
    </w:p>
    <w:p>
      <w:pPr>
        <w:spacing w:before="0" w:after="120"/>
      </w:pPr>
      <w:r>
        <w:rPr>
          <w:b/>
        </w:rPr>
        <w:t xml:space="preserve">Source: </w:t>
      </w:r>
      <w:r>
        <w:t>ScienceDirect Publication: Applied Energy</w:t>
      </w:r>
      <w:r>
        <w:t xml:space="preserve">    </w:t>
      </w:r>
      <w:r>
        <w:rPr>
          <w:b/>
        </w:rPr>
        <w:t xml:space="preserve">Pub date: </w:t>
      </w:r>
      <w:r>
        <w:t>2026-02-10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[197] </w:t>
      </w:r>
      <w:hyperlink r:id="rId329">
        <w:r>
          <w:rPr>
            <w:color w:val="1155CC"/>
            <w:u w:val="single"/>
          </w:rPr>
          <w:t>如何营救援助行业:注重预防冲突,而不仅仅是救济</w:t>
        </w:r>
      </w:hyperlink>
    </w:p>
    <w:p>
      <w:pPr>
        <w:spacing w:before="0" w:after="80"/>
      </w:pPr>
      <w:r>
        <w:rPr>
          <w:i/>
          <w:sz w:val="20"/>
        </w:rPr>
        <w:t>EN: How to rescue the aid industry: focus on conflict prevention, not just relief</w:t>
      </w:r>
    </w:p>
    <w:p>
      <w:pPr>
        <w:spacing w:before="0" w:after="120"/>
      </w:pPr>
      <w:r>
        <w:rPr>
          <w:b/>
        </w:rPr>
        <w:t xml:space="preserve">Source: </w:t>
      </w:r>
      <w:r>
        <w:t>Nature</w:t>
      </w:r>
      <w:r>
        <w:t xml:space="preserve">    </w:t>
      </w:r>
      <w:r>
        <w:rPr>
          <w:b/>
        </w:rPr>
        <w:t xml:space="preserve">Pub date: </w:t>
      </w:r>
      <w:r>
        <w:t>2026-02-10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[198] </w:t>
      </w:r>
      <w:hyperlink r:id="rId330">
        <w:r>
          <w:rPr>
            <w:color w:val="1155CC"/>
            <w:u w:val="single"/>
          </w:rPr>
          <w:t>超快烧烤金属-有机框架薄膜</w:t>
        </w:r>
      </w:hyperlink>
    </w:p>
    <w:p>
      <w:pPr>
        <w:spacing w:before="0" w:after="80"/>
      </w:pPr>
      <w:r>
        <w:rPr>
          <w:i/>
          <w:sz w:val="20"/>
        </w:rPr>
        <w:t>EN: Ultrafast scintillating metal-organic framework films</w:t>
      </w:r>
    </w:p>
    <w:p>
      <w:pPr>
        <w:spacing w:before="0" w:after="120"/>
      </w:pPr>
      <w:r>
        <w:rPr>
          <w:b/>
        </w:rPr>
        <w:t xml:space="preserve">Source: </w:t>
      </w:r>
      <w:r>
        <w:t>Nature Communications</w:t>
      </w:r>
      <w:r>
        <w:t xml:space="preserve">    </w:t>
      </w:r>
      <w:r>
        <w:rPr>
          <w:b/>
        </w:rPr>
        <w:t xml:space="preserve">Pub date: </w:t>
      </w:r>
      <w:r>
        <w:t>2026-02-10 00:00:00+00:00</w:t>
      </w:r>
    </w:p>
    <w:p>
      <w:pPr>
        <w:spacing w:before="0" w:after="120"/>
      </w:pPr>
      <w:r>
        <w:rPr>
          <w:b/>
        </w:rPr>
        <w:t xml:space="preserve">Notes: </w:t>
      </w:r>
      <w:r>
        <w:t>abstract_source=nature_html</w:t>
      </w:r>
    </w:p>
    <w:p>
      <w:pPr>
        <w:spacing w:before="0" w:after="80" w:lineRule="auto" w:line="276"/>
      </w:pPr>
      <w:r>
        <w:rPr>
          <w:b/>
        </w:rPr>
        <w:t xml:space="preserve">摘要（ZH）: </w:t>
      </w:r>
      <w:r>
        <w:t>设计并使用构成工程的金属-有机框架来制造超快阻燃膜,将离子纳入金属-有机框架的节点中,可增进与电离辐射的相互作用,部分补偿多孔材料的低密度,提高闪烁产值。在成形共振的悬浮皮下,分子激素的高度挥发性允许双分子灭绝过程,部分压制系统发光,导致几百秒时间范围内的快速闪烁脉冲。尽管被挤压,但闪烁产值的增益足以维持软X射线下超过104phMeV-1的薄膜光输出率。这些高效率和快速排放动能。这些高效和快速排放动能都足以维持软X射线下的薄膜光输出率超过104phMeV-1。</w:t>
      </w:r>
    </w:p>
    <w:p>
      <w:pPr>
        <w:spacing w:before="0" w:after="200" w:lineRule="auto" w:line="276"/>
      </w:pPr>
      <w:r>
        <w:rPr>
          <w:b/>
        </w:rPr>
        <w:t xml:space="preserve">Abstract (EN): </w:t>
      </w:r>
      <w:r>
        <w:t>Compositionally engineered metal-organic frameworks are designed and used to fabricate ultrafast scintillating films. The inclusion of hafnium ions in the nodes of the metal-organic framework enhances the interaction with ionizing radiation, partially compensating for the low density of the porous material and increasing the scintillation yield. The high diffusivity of molecular excitons within the framed conjugated ligands allows bimolecular annihilation processes that partially quench the system luminescence, resulting in fast scintillation pulses in the hundreds of picoseconds time scale. Despite the quenching, the gain in scintillation yield achieved is large enough to maintain the film light yield above 104 ph MeV-1 under soft X-rays. These high efficiencies and fast emission kinetics are obtained at room temperature in a technologically attractive solid-state configuration, placing the metal-organic framework platform in a prominent position for the realization of the next generation of fast scintillation counters for high-energy physics studies and medical imaging applications.</w:t>
      </w:r>
    </w:p>
    <w:p>
      <w:pPr>
        <w:spacing w:before="120" w:after="120"/>
      </w:pPr>
      <w:r>
        <w:rPr>
          <w:sz w:val="18"/>
        </w:rPr>
        <w:t>——————————————————————————————————————————————————————————————————————</w:t>
      </w:r>
    </w:p>
    <w:p>
      <w:pPr>
        <w:spacing w:before="160" w:after="40" w:line="240" w:lineRule="auto"/>
      </w:pPr>
      <w:r>
        <w:rPr>
          <w:b/>
        </w:rPr>
        <w:t xml:space="preserve">[199] </w:t>
      </w:r>
      <w:hyperlink r:id="rId331">
        <w:r>
          <w:rPr>
            <w:color w:val="1155CC"/>
            <w:u w:val="single"/>
          </w:rPr>
          <w:t>实验室的士气让你失望了?</w:t>
        </w:r>
      </w:hyperlink>
    </w:p>
    <w:p>
      <w:pPr>
        <w:spacing w:before="0" w:after="80"/>
      </w:pPr>
      <w:r>
        <w:rPr>
          <w:i/>
          <w:sz w:val="20"/>
        </w:rPr>
        <w:t>EN: Lab morale got you down? Try a handbook</w:t>
      </w:r>
    </w:p>
    <w:p>
      <w:pPr>
        <w:spacing w:before="0" w:after="120"/>
      </w:pPr>
      <w:r>
        <w:rPr>
          <w:b/>
        </w:rPr>
        <w:t xml:space="preserve">Source: </w:t>
      </w:r>
      <w:r>
        <w:t>Nature</w:t>
      </w:r>
      <w:r>
        <w:t xml:space="preserve">    </w:t>
      </w:r>
      <w:r>
        <w:rPr>
          <w:b/>
        </w:rPr>
        <w:t xml:space="preserve">Pub date: </w:t>
      </w:r>
      <w:r>
        <w:t>2026-02-10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[200] </w:t>
      </w:r>
      <w:hyperlink r:id="rId332">
        <w:r>
          <w:rPr>
            <w:color w:val="1155CC"/>
            <w:u w:val="single"/>
          </w:rPr>
          <w:t>数十名研究者将会从美国迁到法国,</w:t>
        </w:r>
      </w:hyperlink>
    </w:p>
    <w:p>
      <w:pPr>
        <w:spacing w:before="0" w:after="80"/>
      </w:pPr>
      <w:r>
        <w:rPr>
          <w:i/>
          <w:sz w:val="20"/>
        </w:rPr>
        <w:t>EN: Dozens of researchers will move to France from US following high-profile bid to lure talent</w:t>
      </w:r>
    </w:p>
    <w:p>
      <w:pPr>
        <w:spacing w:before="0" w:after="120"/>
      </w:pPr>
      <w:r>
        <w:rPr>
          <w:b/>
        </w:rPr>
        <w:t xml:space="preserve">Source: </w:t>
      </w:r>
      <w:r>
        <w:t>Nature</w:t>
      </w:r>
      <w:r>
        <w:t xml:space="preserve">    </w:t>
      </w:r>
      <w:r>
        <w:rPr>
          <w:b/>
        </w:rPr>
        <w:t xml:space="preserve">Pub date: </w:t>
      </w:r>
      <w:r>
        <w:t>2026-02-10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[201] </w:t>
      </w:r>
      <w:hyperlink r:id="rId333">
        <w:r>
          <w:rPr>
            <w:color w:val="1155CC"/>
            <w:u w:val="single"/>
          </w:rPr>
          <w:t>PROFL-IoV:在车辆互联网上为短期负载预报建立一个保护隐私和健全的联合学习框架</w:t>
        </w:r>
      </w:hyperlink>
    </w:p>
    <w:p>
      <w:pPr>
        <w:spacing w:before="0" w:after="80"/>
      </w:pPr>
      <w:r>
        <w:rPr>
          <w:i/>
          <w:sz w:val="20"/>
        </w:rPr>
        <w:t>EN: PRoFL-IoV: A privacy-preserving and robust federated learning framework for short-term load forecasting in the internet of vehicles</w:t>
      </w:r>
    </w:p>
    <w:p>
      <w:pPr>
        <w:spacing w:before="0" w:after="120"/>
      </w:pPr>
      <w:r>
        <w:rPr>
          <w:b/>
        </w:rPr>
        <w:t xml:space="preserve">Source: </w:t>
      </w:r>
      <w:r>
        <w:t>ScienceDirect Publication: Applied Energy</w:t>
      </w:r>
      <w:r>
        <w:t xml:space="preserve">    </w:t>
      </w:r>
      <w:r>
        <w:rPr>
          <w:b/>
        </w:rPr>
        <w:t xml:space="preserve">Pub date: </w:t>
      </w:r>
      <w:r>
        <w:t>2026-02-10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[202] </w:t>
      </w:r>
      <w:hyperlink r:id="rId334">
        <w:r>
          <w:rPr>
            <w:color w:val="1155CC"/>
            <w:u w:val="single"/>
          </w:rPr>
          <w:t>考虑到取决于决定的压力降低不确定性,可再生能源和精炼石油的共享传输系统共享可再生能源和精炼石油的强有力综合能源管理考虑到取决于决定的压力降低不确定性</w:t>
        </w:r>
      </w:hyperlink>
    </w:p>
    <w:p>
      <w:pPr>
        <w:spacing w:before="0" w:after="80"/>
      </w:pPr>
      <w:r>
        <w:rPr>
          <w:i/>
          <w:sz w:val="20"/>
        </w:rPr>
        <w:t>EN: Robust integrated-energy management of shared transmission systems for renewable fuels and refined oil considering decision-dependent pressure drop uncertainty</w:t>
      </w:r>
    </w:p>
    <w:p>
      <w:pPr>
        <w:spacing w:before="0" w:after="120"/>
      </w:pPr>
      <w:r>
        <w:rPr>
          <w:b/>
        </w:rPr>
        <w:t xml:space="preserve">Source: </w:t>
      </w:r>
      <w:r>
        <w:t>ScienceDirect Publication: Applied Energy</w:t>
      </w:r>
      <w:r>
        <w:t xml:space="preserve">    </w:t>
      </w:r>
      <w:r>
        <w:rPr>
          <w:b/>
        </w:rPr>
        <w:t xml:space="preserve">Pub date: </w:t>
      </w:r>
      <w:r>
        <w:t>2026-02-10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[203] </w:t>
      </w:r>
      <w:hyperlink r:id="rId335">
        <w:r>
          <w:rPr>
            <w:color w:val="1155CC"/>
            <w:u w:val="single"/>
          </w:rPr>
          <w:t>通过碳意识多能源市场协调为数据中心优化能源</w:t>
        </w:r>
      </w:hyperlink>
    </w:p>
    <w:p>
      <w:pPr>
        <w:spacing w:before="0" w:after="80"/>
      </w:pPr>
      <w:r>
        <w:rPr>
          <w:i/>
          <w:sz w:val="20"/>
        </w:rPr>
        <w:t>EN: Energy optimization for data centers via carbon-aware multi-energy market coordination</w:t>
      </w:r>
    </w:p>
    <w:p>
      <w:pPr>
        <w:spacing w:before="0" w:after="120"/>
      </w:pPr>
      <w:r>
        <w:rPr>
          <w:b/>
        </w:rPr>
        <w:t xml:space="preserve">Source: </w:t>
      </w:r>
      <w:r>
        <w:t>ScienceDirect Publication: Applied Energy</w:t>
      </w:r>
      <w:r>
        <w:t xml:space="preserve">    </w:t>
      </w:r>
      <w:r>
        <w:rPr>
          <w:b/>
        </w:rPr>
        <w:t xml:space="preserve">Pub date: </w:t>
      </w:r>
      <w:r>
        <w:t>2026-02-10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[204] </w:t>
      </w:r>
      <w:hyperlink r:id="rId336">
        <w:r>
          <w:rPr>
            <w:color w:val="1155CC"/>
            <w:u w:val="single"/>
          </w:rPr>
          <w:t>利用公共汽车试点数据和神经网络,对分销网络利用公共汽车试点数据和神经网络对分销网络进行实时光电池托管能力分析</w:t>
        </w:r>
      </w:hyperlink>
    </w:p>
    <w:p>
      <w:pPr>
        <w:spacing w:before="0" w:after="80"/>
      </w:pPr>
      <w:r>
        <w:rPr>
          <w:i/>
          <w:sz w:val="20"/>
        </w:rPr>
        <w:t>EN: Real-time PV hosting capacity analysis of distribution networks using pilot buses data and neural networks</w:t>
      </w:r>
    </w:p>
    <w:p>
      <w:pPr>
        <w:spacing w:before="0" w:after="120"/>
      </w:pPr>
      <w:r>
        <w:rPr>
          <w:b/>
        </w:rPr>
        <w:t xml:space="preserve">Source: </w:t>
      </w:r>
      <w:r>
        <w:t>ScienceDirect Publication: Applied Energy</w:t>
      </w:r>
      <w:r>
        <w:t xml:space="preserve">    </w:t>
      </w:r>
      <w:r>
        <w:rPr>
          <w:b/>
        </w:rPr>
        <w:t xml:space="preserve">Pub date: </w:t>
      </w:r>
      <w:r>
        <w:t>2026-02-10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[205] </w:t>
      </w:r>
      <w:hyperlink r:id="rId337">
        <w:r>
          <w:rPr>
            <w:color w:val="1155CC"/>
            <w:u w:val="single"/>
          </w:rPr>
          <w:t>亚速尔群岛的海洋保护:养护和可持续性的胜利</w:t>
        </w:r>
      </w:hyperlink>
    </w:p>
    <w:p>
      <w:pPr>
        <w:spacing w:before="0" w:after="80"/>
      </w:pPr>
      <w:r>
        <w:rPr>
          <w:i/>
          <w:sz w:val="20"/>
        </w:rPr>
        <w:t>EN: Marine protection in the Azores: a triumph for conservation and sustainability</w:t>
      </w:r>
    </w:p>
    <w:p>
      <w:pPr>
        <w:spacing w:before="0" w:after="120"/>
      </w:pPr>
      <w:r>
        <w:rPr>
          <w:b/>
        </w:rPr>
        <w:t xml:space="preserve">Source: </w:t>
      </w:r>
      <w:r>
        <w:t>Nature</w:t>
      </w:r>
      <w:r>
        <w:t xml:space="preserve">    </w:t>
      </w:r>
      <w:r>
        <w:rPr>
          <w:b/>
        </w:rPr>
        <w:t xml:space="preserve">Pub date: </w:t>
      </w:r>
      <w:r>
        <w:t>2026-02-10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[206] </w:t>
      </w:r>
      <w:hyperlink r:id="rId338">
        <w:r>
          <w:rPr>
            <w:color w:val="1155CC"/>
            <w:u w:val="single"/>
          </w:rPr>
          <w:t>单是老龄化问题:日本和联合王国对去碳化和能源脆弱性的双重威胁</w:t>
        </w:r>
      </w:hyperlink>
    </w:p>
    <w:p>
      <w:pPr>
        <w:spacing w:before="0" w:after="80"/>
      </w:pPr>
      <w:r>
        <w:rPr>
          <w:i/>
          <w:sz w:val="20"/>
        </w:rPr>
        <w:t>EN: Aging alone: a twin threat to decarbonisation and energy vulnerability in Japan and UK</w:t>
      </w:r>
    </w:p>
    <w:p>
      <w:pPr>
        <w:spacing w:before="0" w:after="120"/>
      </w:pPr>
      <w:r>
        <w:rPr>
          <w:b/>
        </w:rPr>
        <w:t xml:space="preserve">Source: </w:t>
      </w:r>
      <w:r>
        <w:t>ScienceDirect Publication: Energy Policy</w:t>
      </w:r>
      <w:r>
        <w:t xml:space="preserve">    </w:t>
      </w:r>
      <w:r>
        <w:rPr>
          <w:b/>
        </w:rPr>
        <w:t xml:space="preserve">Pub date: </w:t>
      </w:r>
      <w:r>
        <w:t>2026-02-10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[207] </w:t>
      </w:r>
      <w:hyperlink r:id="rId339">
        <w:r>
          <w:rPr>
            <w:color w:val="1155CC"/>
            <w:u w:val="single"/>
          </w:rPr>
          <w:t>“国内能源管理者及其对未来智能电网的影响”的更正[能源Pol.206 (2025) 114772]</w:t>
        </w:r>
      </w:hyperlink>
    </w:p>
    <w:p>
      <w:pPr>
        <w:spacing w:before="0" w:after="80"/>
      </w:pPr>
      <w:r>
        <w:rPr>
          <w:i/>
          <w:sz w:val="20"/>
        </w:rPr>
        <w:t>EN: Corrigendum to “Domestic energy managers and their implications for future smart grids” [Energy Pol. 206 (2025) 114772]</w:t>
      </w:r>
    </w:p>
    <w:p>
      <w:pPr>
        <w:spacing w:before="0" w:after="120"/>
      </w:pPr>
      <w:r>
        <w:rPr>
          <w:b/>
        </w:rPr>
        <w:t xml:space="preserve">Source: </w:t>
      </w:r>
      <w:r>
        <w:t>ScienceDirect Publication: Energy Policy</w:t>
      </w:r>
      <w:r>
        <w:t xml:space="preserve">    </w:t>
      </w:r>
      <w:r>
        <w:rPr>
          <w:b/>
        </w:rPr>
        <w:t xml:space="preserve">Pub date: </w:t>
      </w:r>
      <w:r>
        <w:t>2026-02-10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[208] </w:t>
      </w:r>
      <w:hyperlink r:id="rId340">
        <w:r>
          <w:rPr>
            <w:color w:val="1155CC"/>
            <w:u w:val="single"/>
          </w:rPr>
          <w:t>在环境条件下,在金属李/露/李金属界面上合成氨合成</w:t>
        </w:r>
      </w:hyperlink>
    </w:p>
    <w:p>
      <w:pPr>
        <w:spacing w:before="0" w:after="80"/>
      </w:pPr>
      <w:r>
        <w:rPr>
          <w:i/>
          <w:sz w:val="20"/>
        </w:rPr>
        <w:t>EN: Ammonia synthesis at metallic Li/Ru interfaces under ambient conditions</w:t>
      </w:r>
    </w:p>
    <w:p>
      <w:pPr>
        <w:spacing w:before="0" w:after="120"/>
      </w:pPr>
      <w:r>
        <w:rPr>
          <w:b/>
        </w:rPr>
        <w:t xml:space="preserve">Source: </w:t>
      </w:r>
      <w:r>
        <w:t>Chem</w:t>
      </w:r>
      <w:r>
        <w:t xml:space="preserve">    </w:t>
      </w:r>
      <w:r>
        <w:rPr>
          <w:b/>
        </w:rPr>
        <w:t xml:space="preserve">Pub date: </w:t>
      </w:r>
      <w:r>
        <w:t>2026-02-10 00:00:00+00:00</w:t>
      </w:r>
    </w:p>
    <w:p>
      <w:pPr>
        <w:spacing w:before="0" w:after="120"/>
      </w:pPr>
      <w:r>
        <w:rPr>
          <w:b/>
        </w:rPr>
        <w:t xml:space="preserve">Notes: </w:t>
      </w:r>
      <w:r>
        <w:t>abstract_source=rss_cell</w:t>
      </w:r>
    </w:p>
    <w:p>
      <w:pPr>
        <w:spacing w:before="0" w:after="80" w:lineRule="auto" w:line="276"/>
      </w:pPr>
      <w:r>
        <w:rPr>
          <w:b/>
        </w:rPr>
        <w:t xml:space="preserve">摘要（ZH）: </w:t>
      </w:r>
      <w:r>
        <w:t>N2和H2在温和条件下的NH3合成是一个巨大的挑战,因为N2的极端化学惰性。 此处,将李原子存放在鲁岩表面,以建立高度活跃的Li/Ru接口作为催化点,从而在室温和环境压力下,实现N2和H2的热催化转换为NH3。 金属Li/Ru接口显示出一种重大的协同效应,有利于N2分离和氢化为NH3。</w:t>
      </w:r>
    </w:p>
    <w:p>
      <w:pPr>
        <w:spacing w:before="0" w:after="200" w:lineRule="auto" w:line="276"/>
      </w:pPr>
      <w:r>
        <w:rPr>
          <w:b/>
        </w:rPr>
        <w:t xml:space="preserve">Abstract (EN): </w:t>
      </w:r>
      <w:r>
        <w:t>NH3 synthesis from N2 and H2 under mild conditions is a great challenge due to the extreme chemical inertness of N2. Here, by depositing Li atoms on a Ru surface to build highly active Li/Ru interfaces as catalytic sites, an efficient thermocatalytic conversion of N2 and H2 to NH3 is achieved under room temperature and ambient pressure. The metallic Li/Ru interface exhibits a significant synergetic effect, which facilitates both N2 dissociation and hydrogenation to NH3.</w:t>
      </w:r>
    </w:p>
    <w:p>
      <w:pPr>
        <w:spacing w:before="120" w:after="120"/>
      </w:pPr>
      <w:r>
        <w:rPr>
          <w:sz w:val="18"/>
        </w:rPr>
        <w:t>——————————————————————————————————————————————————————————————————————</w:t>
      </w:r>
    </w:p>
    <w:p>
      <w:pPr>
        <w:spacing w:before="160" w:after="40" w:line="240" w:lineRule="auto"/>
      </w:pPr>
      <w:r>
        <w:rPr>
          <w:b/>
        </w:rPr>
        <w:t xml:space="preserve">[209] </w:t>
      </w:r>
      <w:hyperlink r:id="rId341">
        <w:r>
          <w:rPr>
            <w:color w:val="1155CC"/>
            <w:u w:val="single"/>
          </w:rPr>
          <w:t>我们从美国国家传播研究中可以学到什么?</w:t>
        </w:r>
      </w:hyperlink>
    </w:p>
    <w:p>
      <w:pPr>
        <w:spacing w:before="0" w:after="80"/>
      </w:pPr>
      <w:r>
        <w:rPr>
          <w:i/>
          <w:sz w:val="20"/>
        </w:rPr>
        <w:t>EN: What can we learn from US national transmission studies?</w:t>
      </w:r>
    </w:p>
    <w:p>
      <w:pPr>
        <w:spacing w:before="0" w:after="120"/>
      </w:pPr>
      <w:r>
        <w:rPr>
          <w:b/>
        </w:rPr>
        <w:t xml:space="preserve">Source: </w:t>
      </w:r>
      <w:r>
        <w:t>Joule</w:t>
      </w:r>
      <w:r>
        <w:t xml:space="preserve">    </w:t>
      </w:r>
      <w:r>
        <w:rPr>
          <w:b/>
        </w:rPr>
        <w:t xml:space="preserve">Pub date: </w:t>
      </w:r>
      <w:r>
        <w:t>2026-02-10 00:00:00+00:00</w:t>
      </w:r>
    </w:p>
    <w:p>
      <w:pPr>
        <w:spacing w:before="0" w:after="120"/>
      </w:pPr>
      <w:r>
        <w:rPr>
          <w:b/>
        </w:rPr>
        <w:t xml:space="preserve">Notes: </w:t>
      </w:r>
      <w:r>
        <w:t>abstract_source=rss_cell</w:t>
      </w:r>
    </w:p>
    <w:p>
      <w:pPr>
        <w:spacing w:before="0" w:after="80" w:lineRule="auto" w:line="276"/>
      </w:pPr>
      <w:r>
        <w:rPr>
          <w:b/>
        </w:rPr>
        <w:t xml:space="preserve">摘要（ZH）: </w:t>
      </w:r>
      <w:r>
        <w:t>对7项美国国家电力系统研究的审查表明,大幅扩大输电,包括至少将目前的电网翻一番,对于满足新需求、整合额外资源和支持电网可靠性而言,成本是最佳的。 其结果来自多价值、全国协调、优化、多设想的模型模型,它提供了可以适应当前工业规划做法以产生低成本路径的经验教训。</w:t>
      </w:r>
    </w:p>
    <w:p>
      <w:pPr>
        <w:spacing w:before="0" w:after="200" w:lineRule="auto" w:line="276"/>
      </w:pPr>
      <w:r>
        <w:rPr>
          <w:b/>
        </w:rPr>
        <w:t xml:space="preserve">Abstract (EN): </w:t>
      </w:r>
      <w:r>
        <w:t>A review of seven US national power system studies shows that significant transmission expansion, including at least a doubling of the current grid, is cost-optimal for serving new demand, integrating additional resources, and supporting grid reliability. The results are derived through multi-value, nationally coordinated, co-optimized, multi-scenario modeling, which provides lessons that could be adapted in current industry planning practices to yield lower-cost pathways.</w:t>
      </w:r>
    </w:p>
    <w:p>
      <w:pPr>
        <w:spacing w:before="120" w:after="120"/>
      </w:pPr>
      <w:r>
        <w:rPr>
          <w:sz w:val="18"/>
        </w:rPr>
        <w:t>——————————————————————————————————————————————————————————————————————</w:t>
      </w:r>
    </w:p>
    <w:p>
      <w:pPr>
        <w:spacing w:before="160" w:after="40" w:line="240" w:lineRule="auto"/>
      </w:pPr>
      <w:r>
        <w:rPr>
          <w:b/>
        </w:rPr>
        <w:t xml:space="preserve">[210] </w:t>
      </w:r>
      <w:hyperlink r:id="rId342">
        <w:r>
          <w:rPr>
            <w:color w:val="1155CC"/>
            <w:u w:val="single"/>
          </w:rPr>
          <w:t>了解佛兰德公寓业主在集体能源翻新方面的财务决策:质优研究</w:t>
        </w:r>
      </w:hyperlink>
    </w:p>
    <w:p>
      <w:pPr>
        <w:spacing w:before="0" w:after="80"/>
      </w:pPr>
      <w:r>
        <w:rPr>
          <w:i/>
          <w:sz w:val="20"/>
        </w:rPr>
        <w:t>EN: Understanding Flemish apartment owners’ financial decision-making in collective energy renovations: a qualitative vignette study</w:t>
      </w:r>
    </w:p>
    <w:p>
      <w:pPr>
        <w:spacing w:before="0" w:after="120"/>
      </w:pPr>
      <w:r>
        <w:rPr>
          <w:b/>
        </w:rPr>
        <w:t xml:space="preserve">Source: </w:t>
      </w:r>
      <w:r>
        <w:t>ScienceDirect Publication: Energy Policy</w:t>
      </w:r>
      <w:r>
        <w:t xml:space="preserve">    </w:t>
      </w:r>
      <w:r>
        <w:rPr>
          <w:b/>
        </w:rPr>
        <w:t xml:space="preserve">Pub date: </w:t>
      </w:r>
      <w:r>
        <w:t>2026-02-10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[211] </w:t>
      </w:r>
      <w:hyperlink r:id="rId343">
        <w:r>
          <w:rPr>
            <w:color w:val="1155CC"/>
            <w:u w:val="single"/>
          </w:rPr>
          <w:t>驾驶电动车解除储存:获得负担得起、安全和清洁能源的途径</w:t>
        </w:r>
      </w:hyperlink>
    </w:p>
    <w:p>
      <w:pPr>
        <w:spacing w:before="0" w:after="80"/>
      </w:pPr>
      <w:r>
        <w:rPr>
          <w:i/>
          <w:sz w:val="20"/>
        </w:rPr>
        <w:t>EN: Unleashing storage by driving electric: A pathway to affordable, secure and clean energy</w:t>
      </w:r>
    </w:p>
    <w:p>
      <w:pPr>
        <w:spacing w:before="0" w:after="120"/>
      </w:pPr>
      <w:r>
        <w:rPr>
          <w:b/>
        </w:rPr>
        <w:t xml:space="preserve">Source: </w:t>
      </w:r>
      <w:r>
        <w:t>ScienceDirect Publication: Energy Policy</w:t>
      </w:r>
      <w:r>
        <w:t xml:space="preserve">    </w:t>
      </w:r>
      <w:r>
        <w:rPr>
          <w:b/>
        </w:rPr>
        <w:t xml:space="preserve">Pub date: </w:t>
      </w:r>
      <w:r>
        <w:t>2026-02-10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[212] </w:t>
      </w:r>
      <w:hyperlink r:id="rId344">
        <w:r>
          <w:rPr>
            <w:color w:val="1155CC"/>
            <w:u w:val="single"/>
          </w:rPr>
          <w:t>保护特大城市的水至关重要——而且十分紧迫</w:t>
        </w:r>
      </w:hyperlink>
    </w:p>
    <w:p>
      <w:pPr>
        <w:spacing w:before="0" w:after="80"/>
      </w:pPr>
      <w:r>
        <w:rPr>
          <w:i/>
          <w:sz w:val="20"/>
        </w:rPr>
        <w:t>EN: Preserving water under megacities is crucial — and urgent</w:t>
      </w:r>
    </w:p>
    <w:p>
      <w:pPr>
        <w:spacing w:before="0" w:after="120"/>
      </w:pPr>
      <w:r>
        <w:rPr>
          <w:b/>
        </w:rPr>
        <w:t xml:space="preserve">Source: </w:t>
      </w:r>
      <w:r>
        <w:t>Nature</w:t>
      </w:r>
      <w:r>
        <w:t xml:space="preserve">    </w:t>
      </w:r>
      <w:r>
        <w:rPr>
          <w:b/>
        </w:rPr>
        <w:t xml:space="preserve">Pub date: </w:t>
      </w:r>
      <w:r>
        <w:t>2026-02-10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[213] </w:t>
      </w:r>
      <w:hyperlink r:id="rId345">
        <w:r>
          <w:rPr>
            <w:color w:val="1155CC"/>
            <w:u w:val="single"/>
          </w:rPr>
          <w:t>如果我的想法被打乱了怎么办?</w:t>
        </w:r>
      </w:hyperlink>
    </w:p>
    <w:p>
      <w:pPr>
        <w:spacing w:before="0" w:after="80"/>
      </w:pPr>
      <w:r>
        <w:rPr>
          <w:i/>
          <w:sz w:val="20"/>
        </w:rPr>
        <w:t>EN: What can I do if my idea has been plagiarized?</w:t>
      </w:r>
    </w:p>
    <w:p>
      <w:pPr>
        <w:spacing w:before="0" w:after="120"/>
      </w:pPr>
      <w:r>
        <w:rPr>
          <w:b/>
        </w:rPr>
        <w:t xml:space="preserve">Source: </w:t>
      </w:r>
      <w:r>
        <w:t>Nature</w:t>
      </w:r>
      <w:r>
        <w:t xml:space="preserve">    </w:t>
      </w:r>
      <w:r>
        <w:rPr>
          <w:b/>
        </w:rPr>
        <w:t xml:space="preserve">Pub date: </w:t>
      </w:r>
      <w:r>
        <w:t>2026-02-10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[214] </w:t>
      </w:r>
      <w:hyperlink r:id="rId346">
        <w:r>
          <w:rPr>
            <w:color w:val="1155CC"/>
            <w:u w:val="single"/>
          </w:rPr>
          <w:t>专家的公开演讲小说:科学家可以从漫画、音乐家和演员那里学到什么</w:t>
        </w:r>
      </w:hyperlink>
    </w:p>
    <w:p>
      <w:pPr>
        <w:spacing w:before="0" w:after="80"/>
      </w:pPr>
      <w:r>
        <w:rPr>
          <w:i/>
          <w:sz w:val="20"/>
        </w:rPr>
        <w:t>EN: Public-speaking tips from the experts: what scientists can learn from comics, musicians and actors</w:t>
      </w:r>
    </w:p>
    <w:p>
      <w:pPr>
        <w:spacing w:before="0" w:after="120"/>
      </w:pPr>
      <w:r>
        <w:rPr>
          <w:b/>
        </w:rPr>
        <w:t xml:space="preserve">Source: </w:t>
      </w:r>
      <w:r>
        <w:t>Nature</w:t>
      </w:r>
      <w:r>
        <w:t xml:space="preserve">    </w:t>
      </w:r>
      <w:r>
        <w:rPr>
          <w:b/>
        </w:rPr>
        <w:t xml:space="preserve">Pub date: </w:t>
      </w:r>
      <w:r>
        <w:t>2026-02-10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[215] </w:t>
      </w:r>
      <w:hyperlink r:id="rId347">
        <w:r>
          <w:rPr>
            <w:color w:val="1155CC"/>
            <w:u w:val="single"/>
          </w:rPr>
          <w:t>出版量减少不会拯救研究系统</w:t>
        </w:r>
      </w:hyperlink>
    </w:p>
    <w:p>
      <w:pPr>
        <w:spacing w:before="0" w:after="80"/>
      </w:pPr>
      <w:r>
        <w:rPr>
          <w:i/>
          <w:sz w:val="20"/>
        </w:rPr>
        <w:t>EN: Publishing less won’t save the research system</w:t>
      </w:r>
    </w:p>
    <w:p>
      <w:pPr>
        <w:spacing w:before="0" w:after="120"/>
      </w:pPr>
      <w:r>
        <w:rPr>
          <w:b/>
        </w:rPr>
        <w:t xml:space="preserve">Source: </w:t>
      </w:r>
      <w:r>
        <w:t>Nature</w:t>
      </w:r>
      <w:r>
        <w:t xml:space="preserve">    </w:t>
      </w:r>
      <w:r>
        <w:rPr>
          <w:b/>
        </w:rPr>
        <w:t xml:space="preserve">Pub date: </w:t>
      </w:r>
      <w:r>
        <w:t>2026-02-10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[216] </w:t>
      </w:r>
      <w:hyperlink r:id="rId348">
        <w:r>
          <w:rPr>
            <w:color w:val="1155CC"/>
            <w:u w:val="single"/>
          </w:rPr>
          <w:t>互联网停电:伊朗学术停业</w:t>
        </w:r>
      </w:hyperlink>
    </w:p>
    <w:p>
      <w:pPr>
        <w:spacing w:before="0" w:after="80"/>
      </w:pPr>
      <w:r>
        <w:rPr>
          <w:i/>
          <w:sz w:val="20"/>
        </w:rPr>
        <w:t>EN: Internet blackout: Iran’s academic shutdown</w:t>
      </w:r>
    </w:p>
    <w:p>
      <w:pPr>
        <w:spacing w:before="0" w:after="120"/>
      </w:pPr>
      <w:r>
        <w:rPr>
          <w:b/>
        </w:rPr>
        <w:t xml:space="preserve">Source: </w:t>
      </w:r>
      <w:r>
        <w:t>Nature</w:t>
      </w:r>
      <w:r>
        <w:t xml:space="preserve">    </w:t>
      </w:r>
      <w:r>
        <w:rPr>
          <w:b/>
        </w:rPr>
        <w:t xml:space="preserve">Pub date: </w:t>
      </w:r>
      <w:r>
        <w:t>2026-02-10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[217] </w:t>
      </w:r>
      <w:hyperlink r:id="rId349">
        <w:r>
          <w:rPr>
            <w:color w:val="1155CC"/>
            <w:u w:val="single"/>
          </w:rPr>
          <w:t>树林环和盐湖提供了古雨的线索</w:t>
        </w:r>
      </w:hyperlink>
    </w:p>
    <w:p>
      <w:pPr>
        <w:spacing w:before="0" w:after="80"/>
      </w:pPr>
      <w:r>
        <w:rPr>
          <w:i/>
          <w:sz w:val="20"/>
        </w:rPr>
        <w:t>EN: Tree rings and salt lakes give clues about ancient rainfall</w:t>
      </w:r>
    </w:p>
    <w:p>
      <w:pPr>
        <w:spacing w:before="0" w:after="120"/>
      </w:pPr>
      <w:r>
        <w:rPr>
          <w:b/>
        </w:rPr>
        <w:t xml:space="preserve">Source: </w:t>
      </w:r>
      <w:r>
        <w:t>Nature</w:t>
      </w:r>
      <w:r>
        <w:t xml:space="preserve">    </w:t>
      </w:r>
      <w:r>
        <w:rPr>
          <w:b/>
        </w:rPr>
        <w:t xml:space="preserve">Pub date: </w:t>
      </w:r>
      <w:r>
        <w:t>2026-02-10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[218] </w:t>
      </w:r>
      <w:hyperlink r:id="rId350">
        <w:r>
          <w:rPr>
            <w:color w:val="1155CC"/>
            <w:u w:val="single"/>
          </w:rPr>
          <w:t>原地梯度纳米降水使合金能够发挥创纪录的高记录成文强度和管道强度的协同效应</w:t>
        </w:r>
      </w:hyperlink>
    </w:p>
    <w:p>
      <w:pPr>
        <w:spacing w:before="0" w:after="80"/>
      </w:pPr>
      <w:r>
        <w:rPr>
          <w:i/>
          <w:sz w:val="20"/>
        </w:rPr>
        <w:t>EN: In situ gradient nanoprecipitation enables alloys with record-high as-cast strength−ductility synergy</w:t>
      </w:r>
    </w:p>
    <w:p>
      <w:pPr>
        <w:spacing w:before="0" w:after="120"/>
      </w:pPr>
      <w:r>
        <w:rPr>
          <w:b/>
        </w:rPr>
        <w:t xml:space="preserve">Source: </w:t>
      </w:r>
      <w:r>
        <w:t>National Science Review Advance Access</w:t>
      </w:r>
      <w:r>
        <w:t xml:space="preserve">    </w:t>
      </w:r>
      <w:r>
        <w:rPr>
          <w:b/>
        </w:rPr>
        <w:t xml:space="preserve">Pub date: </w:t>
      </w:r>
      <w:r>
        <w:t>2026-02-10 00:00:00+00:00</w:t>
      </w:r>
      <w:r>
        <w:t xml:space="preserve">    </w:t>
      </w:r>
      <w:r>
        <w:rPr>
          <w:b/>
        </w:rPr>
        <w:t xml:space="preserve">DOI: </w:t>
      </w:r>
      <w:hyperlink r:id="rId351">
        <w:r>
          <w:rPr>
            <w:color w:val="1155CC"/>
            <w:u w:val="single"/>
          </w:rPr>
          <w:t>10.1093/nsr/nwag094/8471554</w:t>
        </w:r>
      </w:hyperlink>
    </w:p>
    <w:p>
      <w:pPr>
        <w:spacing w:before="0" w:after="120"/>
      </w:pPr>
      <w:r>
        <w:rPr>
          <w:b/>
        </w:rPr>
        <w:t xml:space="preserve">Notes: </w:t>
      </w:r>
      <w:r>
        <w:t>abstract_source=rss_oup</w:t>
      </w:r>
    </w:p>
    <w:p>
      <w:pPr>
        <w:spacing w:before="0" w:after="80" w:lineRule="auto" w:line="276"/>
      </w:pPr>
      <w:r>
        <w:rPr>
          <w:b/>
        </w:rPr>
        <w:t xml:space="preserve">摘要（ZH）: </w:t>
      </w:r>
      <w:r>
        <w:t>通过铸造直接制造合金是经济的、方便用户的、有利于近网形状加工的、因此具有极大应用兴趣的近网形状加工的合金直接生产是经济的、方便用户的、有利于近网形状加工的,因此具有极大的应用利益。然而,按播种合金很少被直接使用,因为如果没有后播种的热力机械处理,固化产品很容易出现粗谷物、成份隔离,特别是不满意的沉淀,这往往导致体力不足和易碎。这些无处不在的不利条件长期严重阻碍了实际应用。</w:t>
      </w:r>
    </w:p>
    <w:p>
      <w:pPr>
        <w:spacing w:before="0" w:after="200" w:lineRule="auto" w:line="276"/>
      </w:pPr>
      <w:r>
        <w:rPr>
          <w:b/>
        </w:rPr>
        <w:t xml:space="preserve">Abstract (EN): </w:t>
      </w:r>
      <w:r>
        <w:t>Direct manufacturing of alloys through casting is economical, user-friendly, and conducive to near-net-shape processing, and therefore of great application interest. However, as-cast alloys are rarely used directly, because without post-cast thermomechanical treatments, the solidification product is susceptible to coarse grains, compositional segregation, and particularly unsatisfying precipitates, which tend towards inadequate strength and brittleness. These ubiquitous disadvantages have long and seriously hindered practical applications. Here, through screening using thermodynamic calculations and calorimetric monitoring, we successfully landed non-equiatomic NiCoCrAlTaZrB complex-concentrated alloys (CCAs) to realize in situ</w:t>
      </w:r>
    </w:p>
    <w:p>
      <w:pPr>
        <w:spacing w:before="120" w:after="120"/>
      </w:pPr>
      <w:r>
        <w:rPr>
          <w:sz w:val="18"/>
        </w:rPr>
        <w:t>——————————————————————————————————————————————————————————————————————</w:t>
      </w:r>
    </w:p>
    <w:p>
      <w:pPr>
        <w:spacing w:before="160" w:after="40" w:line="240" w:lineRule="auto"/>
      </w:pPr>
      <w:r>
        <w:rPr>
          <w:b/>
        </w:rPr>
        <w:t xml:space="preserve">[219] </w:t>
      </w:r>
      <w:hyperlink r:id="rId352">
        <w:r>
          <w:rPr>
            <w:color w:val="1155CC"/>
            <w:u w:val="single"/>
          </w:rPr>
          <w:t>设计不对称电子弹簧,以稳定选择性海水氧化</w:t>
        </w:r>
      </w:hyperlink>
    </w:p>
    <w:p>
      <w:pPr>
        <w:spacing w:before="0" w:after="80"/>
      </w:pPr>
      <w:r>
        <w:rPr>
          <w:i/>
          <w:sz w:val="20"/>
        </w:rPr>
        <w:t>EN: Design of asymmetric electronic spring for stabilizing selective seawater oxidation</w:t>
      </w:r>
    </w:p>
    <w:p>
      <w:pPr>
        <w:spacing w:before="0" w:after="120"/>
      </w:pPr>
      <w:r>
        <w:rPr>
          <w:b/>
        </w:rPr>
        <w:t xml:space="preserve">Source: </w:t>
      </w:r>
      <w:r>
        <w:t>National Science Review Advance Access</w:t>
      </w:r>
      <w:r>
        <w:t xml:space="preserve">    </w:t>
      </w:r>
      <w:r>
        <w:rPr>
          <w:b/>
        </w:rPr>
        <w:t xml:space="preserve">Pub date: </w:t>
      </w:r>
      <w:r>
        <w:t>2026-02-10 00:00:00+00:00</w:t>
      </w:r>
      <w:r>
        <w:t xml:space="preserve">    </w:t>
      </w:r>
      <w:r>
        <w:rPr>
          <w:b/>
        </w:rPr>
        <w:t xml:space="preserve">DOI: </w:t>
      </w:r>
      <w:hyperlink r:id="rId353">
        <w:r>
          <w:rPr>
            <w:color w:val="1155CC"/>
            <w:u w:val="single"/>
          </w:rPr>
          <w:t>10.1093/nsr/nwag091/8471543</w:t>
        </w:r>
      </w:hyperlink>
    </w:p>
    <w:p>
      <w:pPr>
        <w:spacing w:before="0" w:after="120"/>
      </w:pPr>
      <w:r>
        <w:rPr>
          <w:b/>
        </w:rPr>
        <w:t xml:space="preserve">Notes: </w:t>
      </w:r>
      <w:r>
        <w:t>abstract_source=rss_oup</w:t>
      </w:r>
    </w:p>
    <w:p>
      <w:pPr>
        <w:spacing w:before="0" w:after="80" w:lineRule="auto" w:line="276"/>
      </w:pPr>
      <w:r>
        <w:rPr>
          <w:b/>
        </w:rPr>
        <w:t xml:space="preserve">摘要（ZH）: </w:t>
      </w:r>
      <w:r>
        <w:t>直接海水电解的核心在于发展高效和抗腐蚀的电动催化器,以抑制有害的氯化氧化反应(ClOR),这项工作引入了一种无名电动催化器界面调节战略,揭示出经Cr2O3修改的NieOOH形成灵活的Cr-O-Ni不对称键,在氧气进化反应(OER)期间,它起到动态的`电子弹簧'作用。</w:t>
      </w:r>
    </w:p>
    <w:p>
      <w:pPr>
        <w:spacing w:before="0" w:after="200" w:lineRule="auto" w:line="276"/>
      </w:pPr>
      <w:r>
        <w:rPr>
          <w:b/>
        </w:rPr>
        <w:t xml:space="preserve">Abstract (EN): </w:t>
      </w:r>
      <w:r>
        <w:t>The core in direct seawater electrolysis lies in developing efficient and corrosion-resistant electrocatalysts to suppress detrimental chloride oxidation reaction (ClOR). This work introduces an anodic electrocatalyst interface modulation strategy, revealing that NiFeOOH modified with Cr2O3 forms flexible Cr–O–Ni asymmetric bonds, which function as a dynamic ‘electronic spring’ during the oxygen evolution reaction (OER). The introduction of Cr2O3 selectively converts NiFeOOH into the active β</w:t>
      </w:r>
    </w:p>
    <w:p>
      <w:pPr>
        <w:spacing w:before="120" w:after="120"/>
      </w:pPr>
      <w:r>
        <w:rPr>
          <w:sz w:val="18"/>
        </w:rPr>
        <w:t>——————————————————————————————————————————————————————————————————————</w:t>
      </w:r>
    </w:p>
    <w:p>
      <w:pPr>
        <w:spacing w:before="160" w:after="40" w:line="240" w:lineRule="auto"/>
      </w:pPr>
      <w:r>
        <w:rPr>
          <w:b/>
        </w:rPr>
        <w:t xml:space="preserve">[220] </w:t>
      </w:r>
      <w:hyperlink r:id="rId354">
        <w:r>
          <w:rPr>
            <w:color w:val="1155CC"/>
            <w:u w:val="single"/>
          </w:rPr>
          <w:t>通过接口和散装刺激性金枪鱼,在共价有机框架中,通过交接和散装金枪鱼的三三三颗三聚三联三联灭绝</w:t>
        </w:r>
      </w:hyperlink>
    </w:p>
    <w:p>
      <w:pPr>
        <w:spacing w:before="0" w:after="80"/>
      </w:pPr>
      <w:r>
        <w:rPr>
          <w:i/>
          <w:sz w:val="20"/>
        </w:rPr>
        <w:t>EN: Triplet-triplet annihilation upconversion in covalent organic frameworks via interface and bulk exciton tunability</w:t>
      </w:r>
    </w:p>
    <w:p>
      <w:pPr>
        <w:spacing w:before="0" w:after="120"/>
      </w:pPr>
      <w:r>
        <w:rPr>
          <w:b/>
        </w:rPr>
        <w:t xml:space="preserve">Source: </w:t>
      </w:r>
      <w:r>
        <w:t>Chem</w:t>
      </w:r>
      <w:r>
        <w:t xml:space="preserve">    </w:t>
      </w:r>
      <w:r>
        <w:rPr>
          <w:b/>
        </w:rPr>
        <w:t xml:space="preserve">Pub date: </w:t>
      </w:r>
      <w:r>
        <w:t>2026-02-10 00:00:00+00:00</w:t>
      </w:r>
    </w:p>
    <w:p>
      <w:pPr>
        <w:spacing w:before="0" w:after="120"/>
      </w:pPr>
      <w:r>
        <w:rPr>
          <w:b/>
        </w:rPr>
        <w:t xml:space="preserve">Notes: </w:t>
      </w:r>
      <w:r>
        <w:t>abstract_source=rss_cell</w:t>
      </w:r>
    </w:p>
    <w:p>
      <w:pPr>
        <w:spacing w:before="0" w:after="80" w:lineRule="auto" w:line="276"/>
      </w:pPr>
      <w:r>
        <w:rPr>
          <w:b/>
        </w:rPr>
        <w:t xml:space="preserve">摘要（ZH）: </w:t>
      </w:r>
      <w:r>
        <w:t>氰化物敏化剂上的大宗替代体不仅加强其三重状态特性,而且还起到锚定装置的作用,便利与一个与能源水平相配的、灭火者-公司化的COF表面相连。 这一增强的相互连接促进了三重刺激的转移,随后又在COF内部进行了远距离扩散和三重消灭,最终导致黄色高温释放。</w:t>
      </w:r>
    </w:p>
    <w:p>
      <w:pPr>
        <w:spacing w:before="0" w:after="200" w:lineRule="auto" w:line="276"/>
      </w:pPr>
      <w:r>
        <w:rPr>
          <w:b/>
        </w:rPr>
        <w:t xml:space="preserve">Abstract (EN): </w:t>
      </w:r>
      <w:r>
        <w:t>The bulky substituents on the cyanine sensitizer not only enhance its triplet-state properties but also act as anchoring units, facilitating binding to the surface of an energy-level-matched, annihilator-incorporated COF. This strengthened interfacial connection promotes triplet exciton transfer, followed by long-range diffusion and triplet-triplet annihilation within the COF, ultimately resulting in bright yellow upconversion emission.</w:t>
      </w:r>
    </w:p>
    <w:p>
      <w:pPr>
        <w:spacing w:before="120" w:after="120"/>
      </w:pPr>
      <w:r>
        <w:rPr>
          <w:sz w:val="18"/>
        </w:rPr>
        <w:t>——————————————————————————————————————————————————————————————————————</w:t>
      </w:r>
    </w:p>
    <w:p>
      <w:pPr>
        <w:spacing w:before="160" w:after="40" w:line="240" w:lineRule="auto"/>
      </w:pPr>
      <w:r>
        <w:rPr>
          <w:b/>
        </w:rPr>
        <w:t xml:space="preserve">[221] </w:t>
      </w:r>
      <w:hyperlink r:id="rId355">
        <w:r>
          <w:rPr>
            <w:color w:val="1155CC"/>
            <w:u w:val="single"/>
          </w:rPr>
          <w:t>中国生物技术繁荣:为什么国家必须合作,</w:t>
        </w:r>
      </w:hyperlink>
    </w:p>
    <w:p>
      <w:pPr>
        <w:spacing w:before="0" w:after="80"/>
      </w:pPr>
      <w:r>
        <w:rPr>
          <w:i/>
          <w:sz w:val="20"/>
        </w:rPr>
        <w:t>EN: China’s biotech boom: why the nation must collaborate to stay ahead</w:t>
      </w:r>
    </w:p>
    <w:p>
      <w:pPr>
        <w:spacing w:before="0" w:after="120"/>
      </w:pPr>
      <w:r>
        <w:rPr>
          <w:b/>
        </w:rPr>
        <w:t xml:space="preserve">Source: </w:t>
      </w:r>
      <w:r>
        <w:t>Nature</w:t>
      </w:r>
      <w:r>
        <w:t xml:space="preserve">    </w:t>
      </w:r>
      <w:r>
        <w:rPr>
          <w:b/>
        </w:rPr>
        <w:t xml:space="preserve">Pub date: </w:t>
      </w:r>
      <w:r>
        <w:t>2026-02-10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[222] </w:t>
      </w:r>
      <w:hyperlink r:id="rId356">
        <w:r>
          <w:rPr>
            <w:color w:val="1155CC"/>
            <w:u w:val="single"/>
          </w:rPr>
          <w:t>金属-气体电池的共值有机框架:基本原理和应用</w:t>
        </w:r>
      </w:hyperlink>
    </w:p>
    <w:p>
      <w:pPr>
        <w:spacing w:before="0" w:after="80"/>
      </w:pPr>
      <w:r>
        <w:rPr>
          <w:i/>
          <w:sz w:val="20"/>
        </w:rPr>
        <w:t>EN: Covalent organic frameworks for metal–gas batteries: fundamentals and applications</w:t>
      </w:r>
    </w:p>
    <w:p>
      <w:pPr>
        <w:spacing w:before="0" w:after="120"/>
      </w:pPr>
      <w:r>
        <w:rPr>
          <w:b/>
        </w:rPr>
        <w:t xml:space="preserve">Source: </w:t>
      </w:r>
      <w:r>
        <w:t>RSC - Chem. Soc. Rev. latest articles</w:t>
      </w:r>
      <w:r>
        <w:t xml:space="preserve">    </w:t>
      </w:r>
      <w:r>
        <w:rPr>
          <w:b/>
        </w:rPr>
        <w:t xml:space="preserve">Pub date: </w:t>
      </w:r>
      <w:r>
        <w:t>2026-02-10 00:00:00+00:00</w:t>
      </w:r>
    </w:p>
    <w:p>
      <w:pPr>
        <w:spacing w:before="0" w:after="120"/>
      </w:pPr>
      <w:r>
        <w:rPr>
          <w:b/>
        </w:rPr>
        <w:t xml:space="preserve">Notes: </w:t>
      </w:r>
      <w:r>
        <w:t>abstract_source=rsc_html</w:t>
      </w:r>
    </w:p>
    <w:p>
      <w:pPr>
        <w:spacing w:before="0" w:after="80" w:lineRule="auto" w:line="276"/>
      </w:pPr>
      <w:r>
        <w:rPr>
          <w:b/>
        </w:rPr>
        <w:t xml:space="preserve">摘要（ZH）: </w:t>
      </w:r>
      <w:r>
        <w:t>金属气体电池(MGBBs,如李O2、李-CO2、日-空气电池)被认为是下一代能源转换和储存系统的有希望的候选产品,因为它们具有高能量密度、环境友好性和低成本的优势。 然而,它们的实际应用仍然受到气体反应缓慢动力、电解稳定性不足和电解钝的限制。 共价有机框架(COFs)提供了打破这些瓶颈的创新解决方案,因为其可设计的地表、高特定面积、定购孔隙频道和化学稳定性。 这一审查系统地总结了COFs在MGB的结构性优势,并探索了它们的合成策略和电催化剂机制。</w:t>
      </w:r>
    </w:p>
    <w:p>
      <w:pPr>
        <w:spacing w:before="0" w:after="200" w:lineRule="auto" w:line="276"/>
      </w:pPr>
      <w:r>
        <w:rPr>
          <w:b/>
        </w:rPr>
        <w:t xml:space="preserve">Abstract (EN): </w:t>
      </w:r>
      <w:r>
        <w:t>Metal–gas batteries (MGBs, e.g., Li–O2, Li–CO2, Zn–air batteries) are considered a promising candidate for next-generation energy conversion and storage systems due to their advantages of high energy density, environmental friendliness, and low cost. However, their practical applications are still limited by the slow kinetics of gas-involved reactions, insufficient electrolyte stability, and electrode passivation. Covalent organic frameworks (COFs) provide innovative solutions to break through these bottlenecks by virtue of their designable topology, high specific surface area, ordered pore channels and chemical stability. This review systematically summarizes the structural advantages of COFs in MGBs, and explores their synthesis strategies and electrocatalytic mechanisms. The application progress of COF-based materials as electrocatalysts, composite cathode materials, solid-state electrolytes, gas diffusion layers, etc. in Li–O2, Li–CO2 and Zn–air batteries is emphasized. In addition, this review deeply analyzes the current challenges faced by COF materials in MGBs and provides an outlook on the future development of COF materials in this field.</w:t>
      </w:r>
    </w:p>
    <w:p>
      <w:pPr>
        <w:spacing w:before="120" w:after="120"/>
      </w:pPr>
      <w:r>
        <w:rPr>
          <w:sz w:val="18"/>
        </w:rPr>
        <w:t>——————————————————————————————————————————————————————————————————————</w:t>
      </w:r>
    </w:p>
    <w:p>
      <w:pPr>
        <w:spacing w:before="160" w:after="40" w:line="240" w:lineRule="auto"/>
      </w:pPr>
      <w:r>
        <w:rPr>
          <w:b/>
        </w:rPr>
        <w:t xml:space="preserve">[223] </w:t>
      </w:r>
      <w:hyperlink r:id="rId357">
        <w:r>
          <w:rPr>
            <w:color w:val="1155CC"/>
            <w:u w:val="single"/>
          </w:rPr>
          <w:t>高密度亚纳米集聚电电双层重叠效应,增强酸氧进化反应</w:t>
        </w:r>
      </w:hyperlink>
    </w:p>
    <w:p>
      <w:pPr>
        <w:spacing w:before="0" w:after="80"/>
      </w:pPr>
      <w:r>
        <w:rPr>
          <w:i/>
          <w:sz w:val="20"/>
        </w:rPr>
        <w:t>EN: Electric double layer overlapping effect in high-density sub-nanoclusters for enhanced acidic oxygen evolution reaction</w:t>
      </w:r>
    </w:p>
    <w:p>
      <w:pPr>
        <w:spacing w:before="0" w:after="120"/>
      </w:pPr>
      <w:r>
        <w:rPr>
          <w:b/>
        </w:rPr>
        <w:t xml:space="preserve">Source: </w:t>
      </w:r>
      <w:r>
        <w:t>RSC - Energy Environ. Sci. latest articles</w:t>
      </w:r>
      <w:r>
        <w:t xml:space="preserve">    </w:t>
      </w:r>
      <w:r>
        <w:rPr>
          <w:b/>
        </w:rPr>
        <w:t xml:space="preserve">Pub date: </w:t>
      </w:r>
      <w:r>
        <w:t>2026-02-10 00:00:00+00:00</w:t>
      </w:r>
    </w:p>
    <w:p>
      <w:pPr>
        <w:spacing w:before="0" w:after="120"/>
      </w:pPr>
      <w:r>
        <w:rPr>
          <w:b/>
        </w:rPr>
        <w:t xml:space="preserve">Notes: </w:t>
      </w:r>
      <w:r>
        <w:t>abstract_source=rsc_html</w:t>
      </w:r>
    </w:p>
    <w:p>
      <w:pPr>
        <w:spacing w:before="0" w:after="80" w:lineRule="auto" w:line="276"/>
      </w:pPr>
      <w:r>
        <w:rPr>
          <w:b/>
        </w:rPr>
        <w:t xml:space="preserve">摘要（ZH）: </w:t>
      </w:r>
      <w:r>
        <w:t>催化剂粒子之间的电双层(EDL)重叠明显地调节了当地表面电场,但其对酸氧进化反应(OER)性能的影响仍然难以捉摸。在这里,我们用一个不固定的BNC支持(RuO2-SCs/BNC)作为模型,建造高密度的RuO2子纳诺集束(RuO2-SCs),这表明EDL重叠提升了催化剂表面的紧凑层潜力。这一物理场监管协同增强了H3O+浓度梯度并提升了中间覆盖度,从而促进了关键值*OH中间值的形成,降低了速率确定步骤的能源屏障。与此同时,它稳定了Ru-O的纽带,并显著缓解了苯胺活性坐位的解体。</w:t>
      </w:r>
    </w:p>
    <w:p>
      <w:pPr>
        <w:spacing w:before="0" w:after="200" w:lineRule="auto" w:line="276"/>
      </w:pPr>
      <w:r>
        <w:rPr>
          <w:b/>
        </w:rPr>
        <w:t xml:space="preserve">Abstract (EN): </w:t>
      </w:r>
      <w:r>
        <w:t>The electric double layer (EDL) overlapping between catalyst particles markedly modulates the local surface electric field, yet its influence on acidic oxygen evolution reaction (OER) performance remains elusive. Herein, we construct high-density RuO2 sub-nanoclusters (RuO2-SCs) anchored on an amorphous BNC support (RuO2-SCs/BNC) as a model, revealing that EDL overlapping between them elevates the compact layer potential at the catalyst surface. This physical field regulation synergistically enhances the H3O+ concentration gradient and boosts intermediate coverage, thereby promoting the formation of the key *OOH intermediate and lowering the energy barrier of the rate-determining step. Concurrently, it stabilizes the Ru-O bonds and markedly mitigates the dissolution of ruthenium active sites. Leveraging these advantages, the catalyst demonstrates exceptional acidic OER performance, with a low overpotential of 142 mV to reach 10 mA cm-2 and sustained stability for over 6300 hours. Moreover, it operates stably for 900 hours at 500 mA cm-2 in proton exchange membrane water electrolysis. This work elucidates EDL overlapping regulatory mechanism on acidic OER and provides a novel strategy to synergistically enhance electrocatalyst activity and stability.</w:t>
      </w:r>
    </w:p>
    <w:p>
      <w:pPr>
        <w:spacing w:before="120" w:after="120"/>
      </w:pPr>
      <w:r>
        <w:rPr>
          <w:sz w:val="18"/>
        </w:rPr>
        <w:t>——————————————————————————————————————————————————————————————————————</w:t>
      </w:r>
    </w:p>
    <w:p>
      <w:pPr>
        <w:spacing w:before="160" w:after="40" w:line="240" w:lineRule="auto"/>
      </w:pPr>
      <w:r>
        <w:rPr>
          <w:b/>
        </w:rPr>
        <w:t xml:space="preserve">[224] </w:t>
      </w:r>
      <w:hyperlink r:id="rId358">
        <w:r>
          <w:rPr>
            <w:color w:val="1155CC"/>
            <w:u w:val="single"/>
          </w:rPr>
          <w:t>将背景知识纳入分配网络的伏/伏控制:大型语言模型驱动的模糊模糊推断和模型预测控制方法</w:t>
        </w:r>
      </w:hyperlink>
    </w:p>
    <w:p>
      <w:pPr>
        <w:spacing w:before="0" w:after="80"/>
      </w:pPr>
      <w:r>
        <w:rPr>
          <w:i/>
          <w:sz w:val="20"/>
        </w:rPr>
        <w:t>EN: Integrating contextual knowledge into volt/Var control of distribution networks: a large language model-driven fuzzy inference and model predictive control approach</w:t>
      </w:r>
    </w:p>
    <w:p>
      <w:pPr>
        <w:spacing w:before="0" w:after="120"/>
      </w:pPr>
      <w:r>
        <w:rPr>
          <w:b/>
        </w:rPr>
        <w:t xml:space="preserve">Source: </w:t>
      </w:r>
      <w:r>
        <w:t>ScienceDirect Publication: Applied Energy</w:t>
      </w:r>
      <w:r>
        <w:t xml:space="preserve">    </w:t>
      </w:r>
      <w:r>
        <w:rPr>
          <w:b/>
        </w:rPr>
        <w:t xml:space="preserve">Pub date: </w:t>
      </w:r>
      <w:r>
        <w:t>2026-02-10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[225] </w:t>
      </w:r>
      <w:hyperlink r:id="rId359">
        <w:r>
          <w:rPr>
            <w:color w:val="1155CC"/>
            <w:u w:val="single"/>
          </w:rPr>
          <w:t>登革热病毒封盖性蛋白蛋白分层器的降解者展示了与封盖抑制剂相比有区别的药理学</w:t>
        </w:r>
      </w:hyperlink>
    </w:p>
    <w:p>
      <w:pPr>
        <w:spacing w:before="0" w:after="80"/>
      </w:pPr>
      <w:r>
        <w:rPr>
          <w:i/>
          <w:sz w:val="20"/>
        </w:rPr>
        <w:t>EN: Degraders of the dengue virus capsid protein exhibit differentiated pharmacology relative to capsid inhibitors</w:t>
      </w:r>
    </w:p>
    <w:p>
      <w:pPr>
        <w:spacing w:before="0" w:after="120"/>
      </w:pPr>
      <w:r>
        <w:rPr>
          <w:b/>
        </w:rPr>
        <w:t xml:space="preserve">Source: </w:t>
      </w:r>
      <w:r>
        <w:t>Nature Communications</w:t>
      </w:r>
      <w:r>
        <w:t xml:space="preserve">    </w:t>
      </w:r>
      <w:r>
        <w:rPr>
          <w:b/>
        </w:rPr>
        <w:t xml:space="preserve">Pub date: </w:t>
      </w:r>
      <w:r>
        <w:t>2026-02-10 00:00:00+00:00</w:t>
      </w:r>
    </w:p>
    <w:p>
      <w:pPr>
        <w:spacing w:before="0" w:after="120"/>
      </w:pPr>
      <w:r>
        <w:rPr>
          <w:b/>
        </w:rPr>
        <w:t xml:space="preserve">Notes: </w:t>
      </w:r>
      <w:r>
        <w:t>abstract_source=nature_html</w:t>
      </w:r>
    </w:p>
    <w:p>
      <w:pPr>
        <w:spacing w:before="0" w:after="80" w:lineRule="auto" w:line="276"/>
      </w:pPr>
      <w:r>
        <w:rPr>
          <w:b/>
        </w:rPr>
        <w:t xml:space="preserve">摘要（ZH）: </w:t>
      </w:r>
      <w:r>
        <w:t>由于病毒基因组规模有限,大多数病毒性蛋白是多功能的;然而,大多数直接反应的抗病毒蛋白是设计成单一功能抑制剂的。登革病毒(DENV)的卡比塞多蛋白是新病毒的基石,同时与多种宿主因素相互作用,以改造细胞环境。 我们利用固定的卡比抑制剂ST148作为目标,开发了DENV的卡比抑制器RPG-01-132, 显示针对四种DENV血清型和ST148抗性变异病毒的活动范围较广。 我们用多种方法显示,RPG-01-132的亚微生物分子抗病毒活动是CRL4CRBN的降解造成的,这一机制破坏了生产性感染所需的卡比特途径,包括Inf。</w:t>
      </w:r>
    </w:p>
    <w:p>
      <w:pPr>
        <w:spacing w:before="0" w:after="200" w:lineRule="auto" w:line="276"/>
      </w:pPr>
      <w:r>
        <w:rPr>
          <w:b/>
        </w:rPr>
        <w:t xml:space="preserve">Abstract (EN): </w:t>
      </w:r>
      <w:r>
        <w:t>Due to the limited size of viral genomes, most viral proteins are multifunctional; yet most direct-acting antivirals are designed as single-function inhibitors. The dengue virus (DENV) capsid protein serves as a building block for new virions while also interacting with multiple host factors to remodel the cellular environment. Using established capsid inhibitor ST148 as a targeting ligand, we develop a DENV capsid degrader, RPG-01-132, that exhibits a broadened spectrum of activity against the four DENV serotypes and an ST148-resistant mutant virus. Using multiple approaches, we show that RPG-01-132’s sub-micromolar antiviral activity is due to CRL4CRBN-dependent degradation of capsid and that this mechanism disrupts capsid-related pathways required for productive infection, including infectious virus output and capsid-mediated antagonism of the interferon response. This pharmacology is well-differentiated from ST148, which interferes with assembly of new virions, but has no demonstrated effect on the capsid’s nonstructural functions. These findings demonstrate that targeted protein degradation can thus enable antiviral pharmacology not observed with conventional antiviral inhibitors and that is resilient to point mutations that reduce inhibitor potency.</w:t>
      </w:r>
    </w:p>
    <w:p>
      <w:pPr>
        <w:spacing w:before="120" w:after="120"/>
      </w:pPr>
      <w:r>
        <w:rPr>
          <w:sz w:val="18"/>
        </w:rPr>
        <w:t>——————————————————————————————————————————————————————————————————————</w:t>
      </w:r>
    </w:p>
    <w:p>
      <w:pPr>
        <w:spacing w:before="160" w:after="40" w:line="240" w:lineRule="auto"/>
      </w:pPr>
      <w:r>
        <w:rPr>
          <w:b/>
        </w:rPr>
        <w:t xml:space="preserve">[226] </w:t>
      </w:r>
      <w:hyperlink r:id="rId360">
        <w:r>
          <w:rPr>
            <w:color w:val="1155CC"/>
            <w:u w:val="single"/>
          </w:rPr>
          <w:t>审查在建设能源管理:实现智能操作方面使用AIOT驱动的网络物理系统</w:t>
        </w:r>
      </w:hyperlink>
    </w:p>
    <w:p>
      <w:pPr>
        <w:spacing w:before="0" w:after="80"/>
      </w:pPr>
      <w:r>
        <w:rPr>
          <w:i/>
          <w:sz w:val="20"/>
        </w:rPr>
        <w:t>EN: A review of AIoT-enabled cyber-physical systems in building energy management: towards intelligent operation</w:t>
      </w:r>
    </w:p>
    <w:p>
      <w:pPr>
        <w:spacing w:before="0" w:after="120"/>
      </w:pPr>
      <w:r>
        <w:rPr>
          <w:b/>
        </w:rPr>
        <w:t xml:space="preserve">Source: </w:t>
      </w:r>
      <w:r>
        <w:t>ScienceDirect Publication: Applied Energy</w:t>
      </w:r>
      <w:r>
        <w:t xml:space="preserve">    </w:t>
      </w:r>
      <w:r>
        <w:rPr>
          <w:b/>
        </w:rPr>
        <w:t xml:space="preserve">Pub date: </w:t>
      </w:r>
      <w:r>
        <w:t>2026-02-10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[227] </w:t>
      </w:r>
      <w:hyperlink r:id="rId361">
        <w:r>
          <w:rPr>
            <w:color w:val="1155CC"/>
            <w:u w:val="single"/>
          </w:rPr>
          <w:t>在风预报不确定的情况下强有力地为可再生能源氢氢生产发送多电子化器系统</w:t>
        </w:r>
      </w:hyperlink>
    </w:p>
    <w:p>
      <w:pPr>
        <w:spacing w:before="0" w:after="80"/>
      </w:pPr>
      <w:r>
        <w:rPr>
          <w:i/>
          <w:sz w:val="20"/>
        </w:rPr>
        <w:t>EN: Robust dispatch of multi-electrolyzer systems for renewable energy hydrogen production under wind forecast uncertainty</w:t>
      </w:r>
    </w:p>
    <w:p>
      <w:pPr>
        <w:spacing w:before="0" w:after="120"/>
      </w:pPr>
      <w:r>
        <w:rPr>
          <w:b/>
        </w:rPr>
        <w:t xml:space="preserve">Source: </w:t>
      </w:r>
      <w:r>
        <w:t>ScienceDirect Publication: Applied Energy</w:t>
      </w:r>
      <w:r>
        <w:t xml:space="preserve">    </w:t>
      </w:r>
      <w:r>
        <w:rPr>
          <w:b/>
        </w:rPr>
        <w:t xml:space="preserve">Pub date: </w:t>
      </w:r>
      <w:r>
        <w:t>2026-02-10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[228] </w:t>
      </w:r>
      <w:hyperlink r:id="rId362">
        <w:r>
          <w:rPr>
            <w:color w:val="1155CC"/>
            <w:u w:val="single"/>
          </w:rPr>
          <w:t>作者更正: CD19引导的CAR T细胞治疗:第2阶段研究</w:t>
        </w:r>
      </w:hyperlink>
    </w:p>
    <w:p>
      <w:pPr>
        <w:spacing w:before="0" w:after="80"/>
      </w:pPr>
      <w:r>
        <w:rPr>
          <w:i/>
          <w:sz w:val="20"/>
        </w:rPr>
        <w:t>EN: Author Correction: Whole-body CD8+ T-cell PET imaging in patients with large B-cell lymphoma before and during CD19-directed CAR T-cell therapy: a phase 2 study</w:t>
      </w:r>
    </w:p>
    <w:p>
      <w:pPr>
        <w:spacing w:before="0" w:after="120"/>
      </w:pPr>
      <w:r>
        <w:rPr>
          <w:b/>
        </w:rPr>
        <w:t xml:space="preserve">Source: </w:t>
      </w:r>
      <w:r>
        <w:t>Nature Communications</w:t>
      </w:r>
      <w:r>
        <w:t xml:space="preserve">    </w:t>
      </w:r>
      <w:r>
        <w:rPr>
          <w:b/>
        </w:rPr>
        <w:t xml:space="preserve">Pub date: </w:t>
      </w:r>
      <w:r>
        <w:t>2026-02-10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[229] </w:t>
      </w:r>
      <w:hyperlink r:id="rId363">
        <w:r>
          <w:rPr>
            <w:color w:val="1155CC"/>
            <w:u w:val="single"/>
          </w:rPr>
          <w:t>使用叶叶白兰地和氟尿素与皮质和氟尿素的诱导化化学疗法的最后存活期分析,然后对鼻腔癌肿瘤同时进行化学疗法:一个多中心,随机,第3阶段试验</w:t>
        </w:r>
      </w:hyperlink>
    </w:p>
    <w:p>
      <w:pPr>
        <w:spacing w:before="0" w:after="80"/>
      </w:pPr>
      <w:r>
        <w:rPr>
          <w:i/>
          <w:sz w:val="20"/>
        </w:rPr>
        <w:t>EN: Final survival analysis of induction chemotherapy with lobaplatin and fluorouracil versus cisplatin and fluorouracil followed by concurrent chemoradiotherapy in nasopharyngeal carcinoma: a multicenter, randomized, phase 3 trial</w:t>
      </w:r>
    </w:p>
    <w:p>
      <w:pPr>
        <w:spacing w:before="0" w:after="120"/>
      </w:pPr>
      <w:r>
        <w:rPr>
          <w:b/>
        </w:rPr>
        <w:t xml:space="preserve">Source: </w:t>
      </w:r>
      <w:r>
        <w:t>Nature Communications</w:t>
      </w:r>
      <w:r>
        <w:t xml:space="preserve">    </w:t>
      </w:r>
      <w:r>
        <w:rPr>
          <w:b/>
        </w:rPr>
        <w:t xml:space="preserve">Pub date: </w:t>
      </w:r>
      <w:r>
        <w:t>2026-02-10 00:00:00+00:00</w:t>
      </w:r>
    </w:p>
    <w:p>
      <w:pPr>
        <w:spacing w:before="0" w:after="120"/>
      </w:pPr>
      <w:r>
        <w:rPr>
          <w:b/>
        </w:rPr>
        <w:t xml:space="preserve">Notes: </w:t>
      </w:r>
      <w:r>
        <w:t>abstract_source=nature_html</w:t>
      </w:r>
    </w:p>
    <w:p>
      <w:pPr>
        <w:spacing w:before="0" w:after="80" w:lineRule="auto" w:line="276"/>
      </w:pPr>
      <w:r>
        <w:rPr>
          <w:b/>
        </w:rPr>
        <w:t xml:space="preserve">摘要（ZH）: </w:t>
      </w:r>
      <w:r>
        <w:t>2021年,我们的多中心(随机)第3阶段试验报告,在2021年,我们的多中心(随机)报告,白喉和氟尿素诱导化疗加上同时的化学疗法导致非腹痛存活,毒性影响也比在近血清肿瘤治疗中切除疗法的毒性影响要小。 10年生存分析的数据在这里更新。在原意至热带人口10.6年的中位跟踪中,10年无进展性存活率为70.7%,在基于白叶素的治疗组中为70.7%,在基于脊髓灰质炎的治疗组中为71.9%(HR1.02,95% CI 0.72-1.43;log-r)。</w:t>
      </w:r>
    </w:p>
    <w:p>
      <w:pPr>
        <w:spacing w:before="0" w:after="200" w:lineRule="auto" w:line="276"/>
      </w:pPr>
      <w:r>
        <w:rPr>
          <w:b/>
        </w:rPr>
        <w:t xml:space="preserve">Abstract (EN): </w:t>
      </w:r>
      <w:r>
        <w:t>In nasopharyngeal carcinoma, cisplatin is known to be associated with poor treatment compliance and notable side effects. More effective and safer platinum drugs are needed for the treatment of patients with nasopharyngeal carcinoma. In 2021, our multicenter, randomized, phase 3 trial reported that lobaplatin and fluorouracil induction chemotherapy plus concurrent chemoradiotherapy resulted in non-inferior survival and fewer toxic effects than did cisplatin-based therapy in nasopharyngeal carcinoma. Data from the 10-year survival analysis are updated here. With a median follow-up of 10.6 years in the intention-to-treat population, 10-year progression-free survival is 70.7% in the lobaplatin-based therapy group vs. 71.9% in the cisplatin-based therapy group (HR 1.02, 95% CI 0.72–1.43; log-rank p = 0.885). The difference between the groups is 1.2% (95% CI −6.7–9.1, pnon-inferiority = 0.015), which is lower than the prespecified non-inferiority margin of 10%. The results are similar when we analyze patients in the per-protocol population. In the univariable and multivariable analyses, stage is an independent prognostic factor for progression-free survival (p = 0.001). The subgroup analyses suggest that the non-inferiority of lobaplatin-based therapy did not differ among specific populations. The incidence of late toxic effects is similar between the therapy groups, except for grades 1–2 peripheral neuropathy (p = 0.033), grades 1–2 deafness/otitis (p = 0.021), and grades 1–2/3 nephrotoxicity (p = 0.005; p = 0.021), the incidence of which is greater in the cisplatin-based therapy group than in the lobaplatin-based therapy group. Our findings suggest that lobaplatin and fluorouracil induction chemotherapy plus lobaplatin-based concurrent chemoradiotherapy is an alternative doublet treatment strategy to cisplatin-based concurrent chemoradiotherapy in patients with locoregionally advanced nasopharyngeal carcinoma.</w:t>
      </w:r>
    </w:p>
    <w:p>
      <w:pPr>
        <w:spacing w:before="120" w:after="120"/>
      </w:pPr>
      <w:r>
        <w:rPr>
          <w:sz w:val="18"/>
        </w:rPr>
        <w:t>——————————————————————————————————————————————————————————————————————</w:t>
      </w:r>
    </w:p>
    <w:p>
      <w:pPr>
        <w:spacing w:before="160" w:after="40" w:line="240" w:lineRule="auto"/>
      </w:pPr>
      <w:r>
        <w:rPr>
          <w:b/>
        </w:rPr>
        <w:t xml:space="preserve">[230] </w:t>
      </w:r>
      <w:hyperlink r:id="rId364">
        <w:r>
          <w:rPr>
            <w:color w:val="1155CC"/>
            <w:u w:val="single"/>
          </w:rPr>
          <w:t>作者更正: 多尺度分类解码 人类E3 的复杂程度</w:t>
        </w:r>
      </w:hyperlink>
    </w:p>
    <w:p>
      <w:pPr>
        <w:spacing w:before="0" w:after="80"/>
      </w:pPr>
      <w:r>
        <w:rPr>
          <w:i/>
          <w:sz w:val="20"/>
        </w:rPr>
        <w:t>EN: Author Correction: Multi-scale classification decodes the complexity of the human E3 ligome</w:t>
      </w:r>
    </w:p>
    <w:p>
      <w:pPr>
        <w:spacing w:before="0" w:after="120"/>
      </w:pPr>
      <w:r>
        <w:rPr>
          <w:b/>
        </w:rPr>
        <w:t xml:space="preserve">Source: </w:t>
      </w:r>
      <w:r>
        <w:t>Nature Communications</w:t>
      </w:r>
      <w:r>
        <w:t xml:space="preserve">    </w:t>
      </w:r>
      <w:r>
        <w:rPr>
          <w:b/>
        </w:rPr>
        <w:t xml:space="preserve">Pub date: </w:t>
      </w:r>
      <w:r>
        <w:t>2026-02-10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[231] </w:t>
      </w:r>
      <w:hyperlink r:id="rId365">
        <w:r>
          <w:rPr>
            <w:color w:val="1155CC"/>
            <w:u w:val="single"/>
          </w:rPr>
          <w:t>利用低内皮动力系统的电动车辆对频率调节进行协调增强输出模型预测控制</w:t>
        </w:r>
      </w:hyperlink>
    </w:p>
    <w:p>
      <w:pPr>
        <w:spacing w:before="0" w:after="80"/>
      </w:pPr>
      <w:r>
        <w:rPr>
          <w:i/>
          <w:sz w:val="20"/>
        </w:rPr>
        <w:t>EN: Coordinated augmented-output model predictive control for frequency regulation using electric vehicles in low-inertia power systems</w:t>
      </w:r>
    </w:p>
    <w:p>
      <w:pPr>
        <w:spacing w:before="0" w:after="120"/>
      </w:pPr>
      <w:r>
        <w:rPr>
          <w:b/>
        </w:rPr>
        <w:t xml:space="preserve">Source: </w:t>
      </w:r>
      <w:r>
        <w:t>ScienceDirect Publication: Applied Energy</w:t>
      </w:r>
      <w:r>
        <w:t xml:space="preserve">    </w:t>
      </w:r>
      <w:r>
        <w:rPr>
          <w:b/>
        </w:rPr>
        <w:t xml:space="preserve">Pub date: </w:t>
      </w:r>
      <w:r>
        <w:t>2026-02-10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[232] </w:t>
      </w:r>
      <w:hyperlink r:id="rId366">
        <w:r>
          <w:rPr>
            <w:color w:val="1155CC"/>
            <w:u w:val="single"/>
          </w:rPr>
          <w:t>动态四硝酸铬推动在氧化钴脊髓氧化钴上促进水间活化,以便高效地进化酸氧</w:t>
        </w:r>
      </w:hyperlink>
    </w:p>
    <w:p>
      <w:pPr>
        <w:spacing w:before="0" w:after="80"/>
      </w:pPr>
      <w:r>
        <w:rPr>
          <w:i/>
          <w:sz w:val="20"/>
        </w:rPr>
        <w:t>EN: Dynamic chromium dopant promotes interfacial water activation on cobalt spinel oxide for efficient oxygen evolution in acid</w:t>
      </w:r>
    </w:p>
    <w:p>
      <w:pPr>
        <w:spacing w:before="0" w:after="120"/>
      </w:pPr>
      <w:r>
        <w:rPr>
          <w:b/>
        </w:rPr>
        <w:t xml:space="preserve">Source: </w:t>
      </w:r>
      <w:r>
        <w:t>Nature Communications</w:t>
      </w:r>
      <w:r>
        <w:t xml:space="preserve">    </w:t>
      </w:r>
      <w:r>
        <w:rPr>
          <w:b/>
        </w:rPr>
        <w:t xml:space="preserve">Pub date: </w:t>
      </w:r>
      <w:r>
        <w:t>2026-02-10 00:00:00+00:00</w:t>
      </w:r>
    </w:p>
    <w:p>
      <w:pPr>
        <w:spacing w:before="0" w:after="120"/>
      </w:pPr>
      <w:r>
        <w:rPr>
          <w:b/>
        </w:rPr>
        <w:t xml:space="preserve">Notes: </w:t>
      </w:r>
      <w:r>
        <w:t>abstract_source=nature_html</w:t>
      </w:r>
    </w:p>
    <w:p>
      <w:pPr>
        <w:spacing w:before="0" w:after="80" w:lineRule="auto" w:line="276"/>
      </w:pPr>
      <w:r>
        <w:rPr>
          <w:b/>
        </w:rPr>
        <w:t xml:space="preserve">摘要（ZH）: </w:t>
      </w:r>
      <w:r>
        <w:t>虽然以钴脊氧化物为基础的催化剂在酸氧进化反应方面表现良好,但所报告的战略主要侧重于通过定制内在电子结构来操纵反应中间体的装订能量,电极表面的跨面水结构通过受控水活化促进酸氧进化反应性能的作用基本上被忽视。我们在这里表明,在钴脊氧化物中引入铬多帕可同时通过促进水间分解和动态电子转移来增加活动和稳定性。铬不仅能动态调节钴的电子结构,减轻过氧化。</w:t>
      </w:r>
    </w:p>
    <w:p>
      <w:pPr>
        <w:spacing w:before="0" w:after="200" w:lineRule="auto" w:line="276"/>
      </w:pPr>
      <w:r>
        <w:rPr>
          <w:b/>
        </w:rPr>
        <w:t xml:space="preserve">Abstract (EN): </w:t>
      </w:r>
      <w:r>
        <w:t>Although cobalt spinel oxide-based catalysts have demonstrated promising performance for the oxygen evolution reaction in acid, strategies reported have largely focused on manipulating the binding energies of reaction intermediates through tailoring the inherent electronic structures. The role of interfacial water structures on the electrode surface in promoting the acidic oxygen evolution reaction performance through controlled water activation has been largely overlooked. Here we show that introducing chromium dopant into cobalt spinel oxide can simultaneously increase the activity and stability by promoting interfacial water dissociation and dynamic electron transfer. The chromium dopant can not only dynamically regulate the electronic structure of cobalt and mitigate the over-oxidation of active cobalt sites at high overpotential, but also enhance the coverage of hydroxyl species on the catalyst surface, thereby optimizing the interfacial water structure, accelerating the reactant free-water supply and promoting subsequent interfacial water dissociation. Consequently, the obtained catalyst demonstrates enhanced performance in both solution electrocatalysis and device electrocatalysis. This work provides a comprehensive understanding of enhancing the acidic oxygen evolution reaction performance by promoting interfacial water dissociation.</w:t>
      </w:r>
    </w:p>
    <w:p>
      <w:pPr>
        <w:spacing w:before="120" w:after="120"/>
      </w:pPr>
      <w:r>
        <w:rPr>
          <w:sz w:val="18"/>
        </w:rPr>
        <w:t>——————————————————————————————————————————————————————————————————————</w:t>
      </w:r>
    </w:p>
    <w:p>
      <w:pPr>
        <w:spacing w:before="160" w:after="40" w:line="240" w:lineRule="auto"/>
      </w:pPr>
      <w:r>
        <w:rPr>
          <w:b/>
        </w:rPr>
        <w:t xml:space="preserve">[233] </w:t>
      </w:r>
      <w:hyperlink r:id="rId367">
        <w:r>
          <w:rPr>
            <w:color w:val="1155CC"/>
            <w:u w:val="single"/>
          </w:rPr>
          <w:t>可再生能源-氢气-甲醇链链中的价值共创造:多市场背景下复杂的网络进化游戏</w:t>
        </w:r>
      </w:hyperlink>
    </w:p>
    <w:p>
      <w:pPr>
        <w:spacing w:before="0" w:after="80"/>
      </w:pPr>
      <w:r>
        <w:rPr>
          <w:i/>
          <w:sz w:val="20"/>
        </w:rPr>
        <w:t>EN: Value co-creation in the renewable energy-hydrogen-methanol chain: A complex network evolutionary game under multi-market contexts</w:t>
      </w:r>
    </w:p>
    <w:p>
      <w:pPr>
        <w:spacing w:before="0" w:after="120"/>
      </w:pPr>
      <w:r>
        <w:rPr>
          <w:b/>
        </w:rPr>
        <w:t xml:space="preserve">Source: </w:t>
      </w:r>
      <w:r>
        <w:t>ScienceDirect Publication: Applied Energy</w:t>
      </w:r>
      <w:r>
        <w:t xml:space="preserve">    </w:t>
      </w:r>
      <w:r>
        <w:rPr>
          <w:b/>
        </w:rPr>
        <w:t xml:space="preserve">Pub date: </w:t>
      </w:r>
      <w:r>
        <w:t>2026-02-10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[234] </w:t>
      </w:r>
      <w:hyperlink r:id="rId368">
        <w:r>
          <w:rPr>
            <w:color w:val="1155CC"/>
            <w:u w:val="single"/>
          </w:rPr>
          <w:t>轨道效应导致定时运动配对和Josephson 旋涡层溶化于层状的Ising超导体</w:t>
        </w:r>
      </w:hyperlink>
    </w:p>
    <w:p>
      <w:pPr>
        <w:spacing w:before="0" w:after="80"/>
      </w:pPr>
      <w:r>
        <w:rPr>
          <w:i/>
          <w:sz w:val="20"/>
        </w:rPr>
        <w:t>EN: Orbital effect induced finite-momentum pairing and Josephson vortex lattice melting in layered Ising superconductors</w:t>
      </w:r>
    </w:p>
    <w:p>
      <w:pPr>
        <w:spacing w:before="0" w:after="120"/>
      </w:pPr>
      <w:r>
        <w:rPr>
          <w:b/>
        </w:rPr>
        <w:t xml:space="preserve">Source: </w:t>
      </w:r>
      <w:r>
        <w:t>National Science Review Advance Access</w:t>
      </w:r>
      <w:r>
        <w:t xml:space="preserve">    </w:t>
      </w:r>
      <w:r>
        <w:rPr>
          <w:b/>
        </w:rPr>
        <w:t xml:space="preserve">Pub date: </w:t>
      </w:r>
      <w:r>
        <w:t>2026-02-10 00:00:00+00:00</w:t>
      </w:r>
      <w:r>
        <w:t xml:space="preserve">    </w:t>
      </w:r>
      <w:r>
        <w:rPr>
          <w:b/>
        </w:rPr>
        <w:t xml:space="preserve">DOI: </w:t>
      </w:r>
      <w:hyperlink r:id="rId369">
        <w:r>
          <w:rPr>
            <w:color w:val="1155CC"/>
            <w:u w:val="single"/>
          </w:rPr>
          <w:t>10.1093/nsr/nwag084/8471547</w:t>
        </w:r>
      </w:hyperlink>
    </w:p>
    <w:p>
      <w:pPr>
        <w:spacing w:before="0" w:after="120"/>
      </w:pPr>
      <w:r>
        <w:rPr>
          <w:b/>
        </w:rPr>
        <w:t xml:space="preserve">Notes: </w:t>
      </w:r>
      <w:r>
        <w:t>abstract_source=rss_oup</w:t>
      </w:r>
    </w:p>
    <w:p>
      <w:pPr>
        <w:spacing w:before="0" w:after="80" w:lineRule="auto" w:line="276"/>
      </w:pPr>
      <w:r>
        <w:rPr>
          <w:b/>
        </w:rPr>
        <w:t xml:space="preserve">摘要（ZH）: </w:t>
      </w:r>
      <w:r>
        <w:t>Fulde-Ferrell-Ferrell-Larkin-Ovchinnikov(FFLO)状态是一个令人着迷的超导阶段,其特点是空间调控定序参数在强大的磁场下发生在非常规超导体中。在本研究中,我们探索了飞机内磁场对多导体在分层的Ising超导体中对超导状态的影响。我们的调查结果显示出现了一种轨道效应诱导的定时配对状态,它与Josephson vortics相伴,与FFLO状态有根本的不同。值得注意的是,最近的实验揭示了散装的Is超级导体中出现出乎意料的第一阶阶段过渡。我们的理论分析表明,这一阶段的过渡主要是由Josephson vortex lattice的融化驱动的。此外,我们的热量是热量。</w:t>
      </w:r>
    </w:p>
    <w:p>
      <w:pPr>
        <w:spacing w:before="0" w:after="200" w:lineRule="auto" w:line="276"/>
      </w:pPr>
      <w:r>
        <w:rPr>
          <w:b/>
        </w:rPr>
        <w:t xml:space="preserve">Abstract (EN): </w:t>
      </w:r>
      <w:r>
        <w:t>The Fulde-Ferrell-Larkin-Ovchinnikov (FFLO) state is a fascinating superconducting phase characterized by a spatially modulated order parameter that occurs in unconventional superconductors under strong magnetic fields. In this study, we explore the impact of in-plane magnetic fields on the superconducting state in layered Ising superconductors. Our findings reveal the emergence of an orbital-effect-induced finite-momentum pairing state, which is coupled to Josephson vortices and is fundamentally different from the FFLO state. Notably, recent experiments have revealed an unexpected first-order phase transition in bulk Ising superconductors. Our theoretical analysis demonstrates that this phase transition is primarily driven by the melting of a Josephson vortex lattice. Furthermore, our calculations for both the in-plane upper critical field and the melting line are in excellent agreement with the experimental data. These results not only advance the understanding of novel field-induced phases in layered Ising superconductors, but also pave the way for controlling these exotic states through magnetic field manipulation.</w:t>
      </w:r>
    </w:p>
    <w:p>
      <w:pPr>
        <w:spacing w:before="120" w:after="120"/>
      </w:pPr>
      <w:r>
        <w:rPr>
          <w:sz w:val="18"/>
        </w:rPr>
        <w:t>——————————————————————————————————————————————————————————————————————</w:t>
      </w:r>
    </w:p>
    <w:p>
      <w:pPr>
        <w:spacing w:before="160" w:after="40" w:line="240" w:lineRule="auto"/>
      </w:pPr>
      <w:r>
        <w:rPr>
          <w:b/>
        </w:rPr>
        <w:t xml:space="preserve">[235] </w:t>
      </w:r>
      <w:hyperlink r:id="rId370">
        <w:r>
          <w:rPr>
            <w:color w:val="1155CC"/>
            <w:u w:val="single"/>
          </w:rPr>
          <w:t>风险 -- -- 风险意识 -- -- 最佳时间安排以及负载隔离器和收费运营商的利润分配</w:t>
        </w:r>
      </w:hyperlink>
    </w:p>
    <w:p>
      <w:pPr>
        <w:spacing w:before="0" w:after="80"/>
      </w:pPr>
      <w:r>
        <w:rPr>
          <w:i/>
          <w:sz w:val="20"/>
        </w:rPr>
        <w:t>EN: Risk-preference-aware optimal scheduling and profit allocation of load aggregators and charging operators</w:t>
      </w:r>
    </w:p>
    <w:p>
      <w:pPr>
        <w:spacing w:before="0" w:after="120"/>
      </w:pPr>
      <w:r>
        <w:rPr>
          <w:b/>
        </w:rPr>
        <w:t xml:space="preserve">Source: </w:t>
      </w:r>
      <w:r>
        <w:t>ScienceDirect Publication: Applied Energy</w:t>
      </w:r>
      <w:r>
        <w:t xml:space="preserve">    </w:t>
      </w:r>
      <w:r>
        <w:rPr>
          <w:b/>
        </w:rPr>
        <w:t xml:space="preserve">Pub date: </w:t>
      </w:r>
      <w:r>
        <w:t>2026-02-10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[236] </w:t>
      </w:r>
      <w:hyperlink r:id="rId371">
        <w:r>
          <w:rPr>
            <w:color w:val="1155CC"/>
            <w:u w:val="single"/>
          </w:rPr>
          <w:t>在逐步变化的热能储存的协助下,在波动不定的太阳通量下进行稳定的甲烷干燥式改革</w:t>
        </w:r>
      </w:hyperlink>
    </w:p>
    <w:p>
      <w:pPr>
        <w:spacing w:before="0" w:after="80"/>
      </w:pPr>
      <w:r>
        <w:rPr>
          <w:i/>
          <w:sz w:val="20"/>
        </w:rPr>
        <w:t>EN: Stable methane dry reforming under fluctuating solar flux assisted by phase change thermal energy storage</w:t>
      </w:r>
    </w:p>
    <w:p>
      <w:pPr>
        <w:spacing w:before="0" w:after="120"/>
      </w:pPr>
      <w:r>
        <w:rPr>
          <w:b/>
        </w:rPr>
        <w:t xml:space="preserve">Source: </w:t>
      </w:r>
      <w:r>
        <w:t>ScienceDirect Publication: Applied Energy</w:t>
      </w:r>
      <w:r>
        <w:t xml:space="preserve">    </w:t>
      </w:r>
      <w:r>
        <w:rPr>
          <w:b/>
        </w:rPr>
        <w:t xml:space="preserve">Pub date: </w:t>
      </w:r>
      <w:r>
        <w:t>2026-02-10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[237] </w:t>
      </w:r>
      <w:hyperlink r:id="rId372">
        <w:r>
          <w:rPr>
            <w:color w:val="1155CC"/>
            <w:u w:val="single"/>
          </w:rPr>
          <w:t>晶状氮链氮链基阴离子</w:t>
        </w:r>
      </w:hyperlink>
    </w:p>
    <w:p>
      <w:pPr>
        <w:spacing w:before="0" w:after="80"/>
      </w:pPr>
      <w:r>
        <w:rPr>
          <w:i/>
          <w:sz w:val="20"/>
        </w:rPr>
        <w:t>EN: Crystalline nitrogen chain radical anions</w:t>
      </w:r>
    </w:p>
    <w:p>
      <w:pPr>
        <w:spacing w:before="0" w:after="120"/>
      </w:pPr>
      <w:r>
        <w:rPr>
          <w:b/>
        </w:rPr>
        <w:t xml:space="preserve">Source: </w:t>
      </w:r>
      <w:r>
        <w:t>Nature Chemistry</w:t>
      </w:r>
      <w:r>
        <w:t xml:space="preserve">    </w:t>
      </w:r>
      <w:r>
        <w:rPr>
          <w:b/>
        </w:rPr>
        <w:t xml:space="preserve">Pub date: </w:t>
      </w:r>
      <w:r>
        <w:t>2026-02-10 00:00:00+00:00</w:t>
      </w:r>
    </w:p>
    <w:p>
      <w:pPr>
        <w:spacing w:before="0" w:after="120"/>
      </w:pPr>
      <w:r>
        <w:rPr>
          <w:b/>
        </w:rPr>
        <w:t xml:space="preserve">Notes: </w:t>
      </w:r>
      <w:r>
        <w:t>abstract_source=nature_html</w:t>
      </w:r>
    </w:p>
    <w:p>
      <w:pPr>
        <w:spacing w:before="0" w:after="80" w:lineRule="auto" w:line="276"/>
      </w:pPr>
      <w:r>
        <w:rPr>
          <w:b/>
        </w:rPr>
        <w:t xml:space="preserve">摘要（ZH）: </w:t>
      </w:r>
      <w:r>
        <w:t>长链氮离子和基([n]x+/[n]x-x-,n &gt; 3)在地球电离层和其他行星体的强烈辐射条件下自然发生,然而,由于强大的热动力驱动力导致N2流失,在环境条件下这些类型的分子极具反应性,因此通常只能在极端条件下研究,例如在超高压力下(10 GPA至&gt;200 GPA)等极端条件下(10 GPA至&gt;200 GPA)。这里我们报告在环境条件下分离了5个分子系列,其中含有无支撑的金属 {N4 单元,其中一种衍生物显示在固体状态下存在显著的多星期持久性。光谱、晶体和计算研究为了解整个 {N4链的连接提供了洞察。</w:t>
      </w:r>
    </w:p>
    <w:p>
      <w:pPr>
        <w:spacing w:before="0" w:after="200" w:lineRule="auto" w:line="276"/>
      </w:pPr>
      <w:r>
        <w:rPr>
          <w:b/>
        </w:rPr>
        <w:t xml:space="preserve">Abstract (EN): </w:t>
      </w:r>
      <w:r>
        <w:t>Long-chain nitrogen ions and radicals ([Nn]x+/[Nn]x−, n &gt; 3) are naturally occurring under the intense radiative conditions of the Earth’s ionosphere and those of other planetary bodies. However, the strong thermodynamic driving force to lose N2 renders these types of molecule extremely reactive under ambient conditions such that they can typically be studied only under extreme conditions, for example, at ultrahigh pressures (10 GPa to &gt;200 GPa). Here we report the isolation of a series of five molecules featuring metal unsupported {N4}•− units under ambient conditions, with one derivative demonstrating remarkable multi-week long persistence in the solid state. Spectroscopic, crystallographic and computational studies provide insight into the bonding across the {N4}•− chain. Reactivity studies reveal that the chain can cleave into N1 and N3 fragments, and can act as a source of nitrene radical anions, an observation that such molecules could act as storable nitrogen group transfer reagents.</w:t>
      </w:r>
    </w:p>
    <w:p>
      <w:pPr>
        <w:spacing w:before="120" w:after="120"/>
      </w:pPr>
      <w:r>
        <w:rPr>
          <w:sz w:val="18"/>
        </w:rPr>
        <w:t>——————————————————————————————————————————————————————————————————————</w:t>
      </w:r>
    </w:p>
    <w:p>
      <w:pPr>
        <w:spacing w:before="160" w:after="40" w:line="240" w:lineRule="auto"/>
      </w:pPr>
      <w:r>
        <w:rPr>
          <w:b/>
        </w:rPr>
        <w:t xml:space="preserve">[238] </w:t>
      </w:r>
      <w:hyperlink r:id="rId373">
        <w:r>
          <w:rPr>
            <w:color w:val="1155CC"/>
            <w:u w:val="single"/>
          </w:rPr>
          <w:t>合成气中乙烯的电合成</w:t>
        </w:r>
      </w:hyperlink>
    </w:p>
    <w:p>
      <w:pPr>
        <w:spacing w:before="0" w:after="80"/>
      </w:pPr>
      <w:r>
        <w:rPr>
          <w:i/>
          <w:sz w:val="20"/>
        </w:rPr>
        <w:t>EN: Electrosynthesis of ethylene from syngas</w:t>
      </w:r>
    </w:p>
    <w:p>
      <w:pPr>
        <w:spacing w:before="0" w:after="120"/>
      </w:pPr>
      <w:r>
        <w:rPr>
          <w:b/>
        </w:rPr>
        <w:t xml:space="preserve">Source: </w:t>
      </w:r>
      <w:r>
        <w:t>Nature Sustainability</w:t>
      </w:r>
      <w:r>
        <w:t xml:space="preserve">    </w:t>
      </w:r>
      <w:r>
        <w:rPr>
          <w:b/>
        </w:rPr>
        <w:t xml:space="preserve">Pub date: </w:t>
      </w:r>
      <w:r>
        <w:t>2026-02-10 00:00:00+00:00</w:t>
      </w:r>
    </w:p>
    <w:p>
      <w:pPr>
        <w:spacing w:before="0" w:after="120"/>
      </w:pPr>
      <w:r>
        <w:rPr>
          <w:b/>
        </w:rPr>
        <w:t xml:space="preserve">Notes: </w:t>
      </w:r>
      <w:r>
        <w:t>abstract_source=nature_html</w:t>
      </w:r>
    </w:p>
    <w:p>
      <w:pPr>
        <w:spacing w:before="0" w:after="80" w:lineRule="auto" w:line="276"/>
      </w:pPr>
      <w:r>
        <w:rPr>
          <w:b/>
        </w:rPr>
        <w:t xml:space="preserve">摘要（ZH）: </w:t>
      </w:r>
      <w:r>
        <w:t>电化学减少一氧化碳(COR)反应提供了通往乙烯的碳和节能途径,然而,目前的系统通常依赖纯CO,使工艺成本昂贵且难以扩大,在经济上可行的替代办法是使用合成气体——全球主要工业CO来源,其生产量大约比纯CO高250倍,但含有氢和其他成分。因此,对于基于合成气体的COR系统来说,实现高单流转换效率至关重要,因为高气体流量会导致过量氢,使下游产品分离复杂化并增加成本。</w:t>
      </w:r>
    </w:p>
    <w:p>
      <w:pPr>
        <w:spacing w:before="0" w:after="200" w:lineRule="auto" w:line="276"/>
      </w:pPr>
      <w:r>
        <w:rPr>
          <w:b/>
        </w:rPr>
        <w:t xml:space="preserve">Abstract (EN): </w:t>
      </w:r>
      <w:r>
        <w:t>The electrochemical carbon monoxide reduction (COR) reaction offers a carbon- and energy-efficient pathway to ethylene. However, present systems typically rely on pure CO, making the process costly and difficult to scale. An economically feasible alternative is to use syngas—the predominant industrial CO source—produced globally at quantities approximately 250 times higher than pure CO, but containing hydrogen and other components. Therefore, for a syngas-based COR system, achieving high single-pass conversion efficiency (SPCE) is essential, as high gas flow rates introduce excess hydrogen, complicating and increasing the cost of downstream product separation. Nevertheless, optimizing SPCE leads to hydrogen dilution and insufficient CO transport to the copper cathode, which in turn decreases ethylene Faradaic efficiency (FE). To overcome this trade-off, guided by Raman spectroscopy and density functional theory, here we develop a COOH-functionalized active carbon material which captures CO from syngas, strengthens CO adsorption on the copper cathode and thereby enhances ethylene FE even under CO-diluted conditions. This design enables an ethylene FE of 72% alongside a CO SPCE of 73% in a simulated syngas containing an H2/CO ratio of 2/1—outperforming reported systems operated with pure CO feed and offering a more scalable, resource-efficient route to sustainable ethylene.</w:t>
      </w:r>
    </w:p>
    <w:p>
      <w:pPr>
        <w:spacing w:before="120" w:after="120"/>
      </w:pPr>
      <w:r>
        <w:rPr>
          <w:sz w:val="18"/>
        </w:rPr>
        <w:t>——————————————————————————————————————————————————————————————————————</w:t>
      </w:r>
    </w:p>
    <w:p>
      <w:pPr>
        <w:spacing w:before="160" w:after="40" w:line="240" w:lineRule="auto"/>
      </w:pPr>
      <w:r>
        <w:rPr>
          <w:b/>
        </w:rPr>
        <w:t xml:space="preserve">[239] </w:t>
      </w:r>
      <w:hyperlink r:id="rId374">
        <w:r>
          <w:rPr>
            <w:color w:val="1155CC"/>
            <w:u w:val="single"/>
          </w:rPr>
          <w:t>用于化学反应的巴伊斯优化</w:t>
        </w:r>
      </w:hyperlink>
    </w:p>
    <w:p>
      <w:pPr>
        <w:spacing w:before="0" w:after="80"/>
      </w:pPr>
      <w:r>
        <w:rPr>
          <w:i/>
          <w:sz w:val="20"/>
        </w:rPr>
        <w:t>EN: Bayesian optimization for chemical reactions</w:t>
      </w:r>
    </w:p>
    <w:p>
      <w:pPr>
        <w:spacing w:before="0" w:after="120"/>
      </w:pPr>
      <w:r>
        <w:rPr>
          <w:b/>
        </w:rPr>
        <w:t xml:space="preserve">Source: </w:t>
      </w:r>
      <w:r>
        <w:t>RSC - Chem. Soc. Rev. latest articles</w:t>
      </w:r>
      <w:r>
        <w:t xml:space="preserve">    </w:t>
      </w:r>
      <w:r>
        <w:rPr>
          <w:b/>
        </w:rPr>
        <w:t xml:space="preserve">Pub date: </w:t>
      </w:r>
      <w:r>
        <w:t>2026-02-10 00:00:00+00:00</w:t>
      </w:r>
    </w:p>
    <w:p>
      <w:pPr>
        <w:spacing w:before="0" w:after="120"/>
      </w:pPr>
      <w:r>
        <w:rPr>
          <w:b/>
        </w:rPr>
        <w:t xml:space="preserve">Notes: </w:t>
      </w:r>
      <w:r>
        <w:t>abstract_source=rsc_html</w:t>
      </w:r>
    </w:p>
    <w:p>
      <w:pPr>
        <w:spacing w:before="0" w:after="80" w:lineRule="auto" w:line="276"/>
      </w:pPr>
      <w:r>
        <w:rPr>
          <w:b/>
        </w:rPr>
        <w:t xml:space="preserve">摘要（ZH）: </w:t>
      </w:r>
      <w:r>
        <w:t>贝叶斯优化(BO)通过在大型、多种可变参数空间的勘探和开发之间取得平衡,使复杂的化学反应数据效率优化,使在大型、多种可变参数空间进行勘探和开发之间取得平衡;这一审查为希望采用BO的化学家提供了一个方便的介绍,概述了代用模型、获取功能和关键数学概念的基本原理;强调实际考虑,包括内核设计、绝对变量的表述以及多目标和批量优化战略;从高通量平台到自动流反应堆和大规模流程,对各种应用进行了全面调查;最后,在加速过程中讨论了转让学习和数据再利用等新出现的方向。</w:t>
      </w:r>
    </w:p>
    <w:p>
      <w:pPr>
        <w:spacing w:before="0" w:after="200" w:lineRule="auto" w:line="276"/>
      </w:pPr>
      <w:r>
        <w:rPr>
          <w:b/>
        </w:rPr>
        <w:t xml:space="preserve">Abstract (EN): </w:t>
      </w:r>
      <w:r>
        <w:t>Bayesian optimization (BO) enables data-efficient optimization of complex chemical reactions by balancing exploration and exploitation in large, mixed-variable parameter spaces. This review provides an accessible introduction for chemists wishing to adopt BO, outlining the fundamentals of surrogate models, acquisition functions, and key mathematical concepts. Practical considerations are emphasized, including kernel design, representation of categorical variables, and strategies for multi-objective and batch optimization. Applications are comprehensively surveyed across experimental scales, from high-throughput platforms to automated flow reactors and larger-scale processes. Finally, emerging directions such as transfer learning and data reuse are discussed in the context of accelerating optimization campaigns and enabling more generalizable, data-driven strategies in chemistry.</w:t>
      </w:r>
    </w:p>
    <w:p>
      <w:pPr>
        <w:spacing w:before="120" w:after="120"/>
      </w:pPr>
      <w:r>
        <w:rPr>
          <w:sz w:val="18"/>
        </w:rPr>
        <w:t>——————————————————————————————————————————————————————————————————————</w:t>
      </w:r>
    </w:p>
    <w:p>
      <w:pPr>
        <w:spacing w:before="160" w:after="40" w:line="240" w:lineRule="auto"/>
      </w:pPr>
      <w:r>
        <w:rPr>
          <w:b/>
        </w:rPr>
        <w:t xml:space="preserve">[240] </w:t>
      </w:r>
      <w:hyperlink r:id="rId375">
        <w:r>
          <w:rPr>
            <w:color w:val="1155CC"/>
            <w:u w:val="single"/>
          </w:rPr>
          <w:t>大型能力再充电硅 -- -- Hydrogen气电池</w:t>
        </w:r>
      </w:hyperlink>
    </w:p>
    <w:p>
      <w:pPr>
        <w:spacing w:before="0" w:after="80"/>
      </w:pPr>
      <w:r>
        <w:rPr>
          <w:i/>
          <w:sz w:val="20"/>
        </w:rPr>
        <w:t>EN: Large‐Capacity Rechargeable Silicon–Hydrogen Gas Battery</w:t>
      </w:r>
    </w:p>
    <w:p>
      <w:pPr>
        <w:spacing w:before="0" w:after="120"/>
      </w:pPr>
      <w:r>
        <w:rPr>
          <w:b/>
        </w:rPr>
        <w:t xml:space="preserve">Source: </w:t>
      </w:r>
      <w:r>
        <w:t>Wiley: Advanced Energy Materials: Table of Contents</w:t>
      </w:r>
      <w:r>
        <w:t xml:space="preserve">    </w:t>
      </w:r>
      <w:r>
        <w:rPr>
          <w:b/>
        </w:rPr>
        <w:t xml:space="preserve">Pub date: </w:t>
      </w:r>
      <w:r>
        <w:t>2026-02-10 04:50:09+00:00</w:t>
      </w:r>
      <w:r>
        <w:t xml:space="preserve">    </w:t>
      </w:r>
      <w:r>
        <w:rPr>
          <w:b/>
        </w:rPr>
        <w:t xml:space="preserve">DOI: </w:t>
      </w:r>
      <w:hyperlink r:id="rId376">
        <w:r>
          <w:rPr>
            <w:color w:val="1155CC"/>
            <w:u w:val="single"/>
          </w:rPr>
          <w:t>10.1002/aenm.202505031</w:t>
        </w:r>
      </w:hyperlink>
    </w:p>
    <w:p>
      <w:pPr>
        <w:spacing w:before="0" w:after="120"/>
      </w:pPr>
      <w:r>
        <w:rPr>
          <w:b/>
        </w:rPr>
        <w:t xml:space="preserve">Notes: </w:t>
      </w:r>
      <w:r>
        <w:t>abstract_source=crossref</w:t>
      </w:r>
    </w:p>
    <w:p>
      <w:pPr>
        <w:spacing w:before="0" w:after="80" w:lineRule="auto" w:line="276"/>
      </w:pPr>
      <w:r>
        <w:rPr>
          <w:b/>
        </w:rPr>
        <w:t xml:space="preserve">摘要（ZH）: </w:t>
      </w:r>
      <w:r>
        <w:t>硅(Si)是一个重要的能源储存材料,它能促进先进电池技术的发展。 目前,在理论和实验中,Si作为一个阳极在理论和实验中被广泛探索,但其能量储存的性能尚未达到理论容量极限。 在这里,我们设计了一个新的硅-氢气(Si-H 2)电池,将纳米硅阳极的合金反应与氢气(H2)阴极的氢进化和氧化反应(HER/HOR)结合起来。系统的电化学研究表明,Si-H 2电池的排气容量为 3400 mah g-1。</w:t>
      </w:r>
    </w:p>
    <w:p>
      <w:pPr>
        <w:spacing w:before="0" w:after="200" w:lineRule="auto" w:line="276"/>
      </w:pPr>
      <w:r>
        <w:rPr>
          <w:b/>
        </w:rPr>
        <w:t xml:space="preserve">Abstract (EN): </w:t>
      </w:r>
      <w:r>
        <w:t>Silicon (Si) is an important energy storage material that promotes the development of advanced battery technology. At present, Si as an anode has been widely explored in theory and experiment, but its performance in energy storage has not yet reached the theoretical capacity limit. Here, we design a new silicon–hydrogen gas (Si–H</w:t>
      </w:r>
      <w:r>
        <w:rPr>
          <w:vertAlign w:val="subscript"/>
        </w:rPr>
        <w:t>2</w:t>
      </w:r>
      <w:r>
        <w:t>) battery combining the alloying reaction of nano Si anode with the hydrogen evolution and oxidation reactions (HER/HOR) of hydrogen gas (H</w:t>
      </w:r>
      <w:r>
        <w:rPr>
          <w:vertAlign w:val="subscript"/>
        </w:rPr>
        <w:t>2</w:t>
      </w:r>
      <w:r>
        <w:t>) cathode. Systematic electrochemical studies show that the Si–H</w:t>
      </w:r>
      <w:r>
        <w:rPr>
          <w:vertAlign w:val="subscript"/>
        </w:rPr>
        <w:t>2</w:t>
      </w:r>
      <w:r>
        <w:t>battery has a discharge capacity of ∼3400 mAh g</w:t>
      </w:r>
      <w:r>
        <w:t xml:space="preserve"> </w:t>
      </w:r>
      <w:r>
        <w:t>−1</w:t>
      </w:r>
      <w:r>
        <w:t xml:space="preserve"> </w:t>
      </w:r>
      <w:r>
        <w:t>with a discharge voltage of ∼2.45 V, and a lifetime of more than 100 cycles. The Si–H</w:t>
      </w:r>
      <w:r>
        <w:rPr>
          <w:vertAlign w:val="subscript"/>
        </w:rPr>
        <w:t>2</w:t>
      </w:r>
      <w:r>
        <w:t>battery also efficiently operates from 10°C to 80°C with excellent electrochemical performance. It can achieve high‐rate charge and discharge of 8 C at 60°C, and can stably cycle for more than 500 h. This work provides a new concept for promoting the application of hydrogen battery in energy storage and improving the capacity utilization of Si.</w:t>
      </w:r>
    </w:p>
    <w:p>
      <w:pPr>
        <w:spacing w:before="120" w:after="120"/>
      </w:pPr>
      <w:r>
        <w:rPr>
          <w:sz w:val="18"/>
        </w:rPr>
        <w:t>——————————————————————————————————————————————————————————————————————</w:t>
      </w:r>
    </w:p>
    <w:p>
      <w:pPr>
        <w:spacing w:before="160" w:after="40" w:line="240" w:lineRule="auto"/>
      </w:pPr>
      <w:r>
        <w:rPr>
          <w:b/>
        </w:rPr>
        <w:t xml:space="preserve">[241] </w:t>
      </w:r>
      <w:hyperlink r:id="rId377">
        <w:r>
          <w:rPr>
            <w:color w:val="1155CC"/>
            <w:u w:val="single"/>
          </w:rPr>
          <w:t>多种多面分子设计能够使金属溶解和稳定黄金纳米集束中的综合液体移动</w:t>
        </w:r>
      </w:hyperlink>
    </w:p>
    <w:p>
      <w:pPr>
        <w:spacing w:before="0" w:after="80"/>
      </w:pPr>
      <w:r>
        <w:rPr>
          <w:i/>
          <w:sz w:val="20"/>
        </w:rPr>
        <w:t>EN: Multifaceted Molecular Design Enables Comprehensive Luminescence Modulation in Metalloligand‐Stabilized Gold Nanoclusters</w:t>
      </w:r>
    </w:p>
    <w:p>
      <w:pPr>
        <w:spacing w:before="0" w:after="120"/>
      </w:pPr>
      <w:r>
        <w:rPr>
          <w:b/>
        </w:rPr>
        <w:t xml:space="preserve">Source: </w:t>
      </w:r>
      <w:r>
        <w:t>Wiley: Angewandte Chemie International Edition: Table of Contents</w:t>
      </w:r>
      <w:r>
        <w:t xml:space="preserve">    </w:t>
      </w:r>
      <w:r>
        <w:rPr>
          <w:b/>
        </w:rPr>
        <w:t xml:space="preserve">Pub date: </w:t>
      </w:r>
      <w:r>
        <w:t>2026-02-10 04:50:35+00:00</w:t>
      </w:r>
      <w:r>
        <w:t xml:space="preserve">    </w:t>
      </w:r>
      <w:r>
        <w:rPr>
          <w:b/>
        </w:rPr>
        <w:t xml:space="preserve">DOI: </w:t>
      </w:r>
      <w:hyperlink r:id="rId378">
        <w:r>
          <w:rPr>
            <w:color w:val="1155CC"/>
            <w:u w:val="single"/>
          </w:rPr>
          <w:t>10.1002/anie.202518269</w:t>
        </w:r>
      </w:hyperlink>
    </w:p>
    <w:p>
      <w:pPr>
        <w:spacing w:before="0" w:after="120"/>
      </w:pPr>
      <w:r>
        <w:rPr>
          <w:b/>
        </w:rPr>
        <w:t xml:space="preserve">Notes: </w:t>
      </w:r>
      <w:r>
        <w:t>abstract_source=crossref</w:t>
      </w:r>
    </w:p>
    <w:p>
      <w:pPr>
        <w:spacing w:before="0" w:after="80" w:lineRule="auto" w:line="276"/>
      </w:pPr>
      <w:r>
        <w:rPr>
          <w:b/>
        </w:rPr>
        <w:t xml:space="preserve">摘要（ZH）: </w:t>
      </w:r>
      <w:r>
        <w:t>ABSTACT 光光光光光亮金属纳米集束对光电、光子和化疗很有希望,然而,在单一系统中系统地调整其排放仍具有挑战性。 我们在此报告,Au 13@Au 3 Cl和Au 9 Cu 4@Au 3 Cl,由三分磷(NP 3)合金稳定下来。</w:t>
      </w:r>
    </w:p>
    <w:p>
      <w:pPr>
        <w:spacing w:before="0" w:after="200" w:lineRule="auto" w:line="276"/>
      </w:pPr>
      <w:r>
        <w:rPr>
          <w:b/>
        </w:rPr>
        <w:t xml:space="preserve">Abstract (EN): </w:t>
      </w:r>
      <w:r>
        <w:t>Photoluminescent metal nanoclusters hold promise for optoelectronics, photonics, and chemosensing, yet systematic modulation of their emission within a single system remains challenging. Here, we report two isostructural clusters,</w:t>
      </w:r>
      <w:r>
        <w:t xml:space="preserve"> </w:t>
      </w:r>
      <w:r>
        <w:t>Au</w:t>
      </w:r>
      <w:r>
        <w:rPr>
          <w:vertAlign w:val="subscript"/>
        </w:rPr>
        <w:t>13</w:t>
      </w:r>
      <w:r>
        <w:t>@Au</w:t>
      </w:r>
      <w:r>
        <w:rPr>
          <w:vertAlign w:val="subscript"/>
        </w:rPr>
        <w:t>3</w:t>
      </w:r>
      <w:r>
        <w:t>‐Cl</w:t>
      </w:r>
      <w:r>
        <w:t xml:space="preserve"> </w:t>
      </w:r>
      <w:r>
        <w:t>and</w:t>
      </w:r>
      <w:r>
        <w:t xml:space="preserve"> </w:t>
      </w:r>
      <w:r>
        <w:t>Au</w:t>
      </w:r>
      <w:r>
        <w:rPr>
          <w:vertAlign w:val="subscript"/>
        </w:rPr>
        <w:t>9</w:t>
      </w:r>
      <w:r>
        <w:t>Cu</w:t>
      </w:r>
      <w:r>
        <w:rPr>
          <w:vertAlign w:val="subscript"/>
        </w:rPr>
        <w:t>4</w:t>
      </w:r>
      <w:r>
        <w:t>@Au</w:t>
      </w:r>
      <w:r>
        <w:rPr>
          <w:vertAlign w:val="subscript"/>
        </w:rPr>
        <w:t>3</w:t>
      </w:r>
      <w:r>
        <w:t>‐Cl</w:t>
      </w:r>
      <w:r>
        <w:t xml:space="preserve"> </w:t>
      </w:r>
      <w:r>
        <w:t>, stabilized by a tridentate phosphine (NP</w:t>
      </w:r>
      <w:r>
        <w:rPr>
          <w:vertAlign w:val="subscript"/>
        </w:rPr>
        <w:t>3</w:t>
      </w:r>
      <w:r>
        <w:t>) metalloligand. Both adopt an unprecedented “Au</w:t>
      </w:r>
      <w:r>
        <w:rPr>
          <w:vertAlign w:val="subscript"/>
        </w:rPr>
        <w:t>9</w:t>
      </w:r>
      <w:r>
        <w:t>M</w:t>
      </w:r>
      <w:r>
        <w:rPr>
          <w:vertAlign w:val="subscript"/>
        </w:rPr>
        <w:t>4</w:t>
      </w:r>
      <w:r>
        <w:t>(Au/Cu) icosahedron + Au</w:t>
      </w:r>
      <w:r>
        <w:rPr>
          <w:vertAlign w:val="subscript"/>
        </w:rPr>
        <w:t>3</w:t>
      </w:r>
      <w:r>
        <w:t>crown” configuration and exhibit high solid‐state PLQYs of 44.5% and 38.9%, respectively. In contrast, replacing NP</w:t>
      </w:r>
      <w:r>
        <w:rPr>
          <w:vertAlign w:val="subscript"/>
        </w:rPr>
        <w:t>3</w:t>
      </w:r>
      <w:r>
        <w:t>with a monophosphine ligand (BPP) affords</w:t>
      </w:r>
      <w:r>
        <w:t xml:space="preserve"> </w:t>
      </w:r>
      <w:r>
        <w:t>Au</w:t>
      </w:r>
      <w:r>
        <w:rPr>
          <w:vertAlign w:val="subscript"/>
        </w:rPr>
        <w:t>9</w:t>
      </w:r>
      <w:r>
        <w:t>Cu</w:t>
      </w:r>
      <w:r>
        <w:rPr>
          <w:vertAlign w:val="subscript"/>
        </w:rPr>
        <w:t>4</w:t>
      </w:r>
      <w:r>
        <w:t>‐Cl</w:t>
      </w:r>
      <w:r>
        <w:t xml:space="preserve"> </w:t>
      </w:r>
      <w:r>
        <w:t>lacking the Au</w:t>
      </w:r>
      <w:r>
        <w:rPr>
          <w:vertAlign w:val="subscript"/>
        </w:rPr>
        <w:t>3</w:t>
      </w:r>
      <w:r>
        <w:t>crown, with a dramatically reduced PLQY of 0.6%, highlighting the crucial roles of NP</w:t>
      </w:r>
      <w:r>
        <w:rPr>
          <w:vertAlign w:val="subscript"/>
        </w:rPr>
        <w:t>3</w:t>
      </w:r>
      <w:r>
        <w:t>and the Au</w:t>
      </w:r>
      <w:r>
        <w:rPr>
          <w:vertAlign w:val="subscript"/>
        </w:rPr>
        <w:t>3</w:t>
      </w:r>
      <w:r>
        <w:t>crown in boosting luminescence. Distinct photophysical behaviors are observed:</w:t>
      </w:r>
      <w:r>
        <w:t xml:space="preserve"> </w:t>
      </w:r>
      <w:r>
        <w:t>Au</w:t>
      </w:r>
      <w:r>
        <w:rPr>
          <w:vertAlign w:val="subscript"/>
        </w:rPr>
        <w:t>13</w:t>
      </w:r>
      <w:r>
        <w:t>@Au</w:t>
      </w:r>
      <w:r>
        <w:rPr>
          <w:vertAlign w:val="subscript"/>
        </w:rPr>
        <w:t>3</w:t>
      </w:r>
      <w:r>
        <w:t>‐Cl</w:t>
      </w:r>
      <w:r>
        <w:t xml:space="preserve"> </w:t>
      </w:r>
      <w:r>
        <w:t>shows phosphorescence, while</w:t>
      </w:r>
      <w:r>
        <w:t xml:space="preserve"> </w:t>
      </w:r>
      <w:r>
        <w:t>Au</w:t>
      </w:r>
      <w:r>
        <w:rPr>
          <w:vertAlign w:val="subscript"/>
        </w:rPr>
        <w:t>9</w:t>
      </w:r>
      <w:r>
        <w:t>Cu</w:t>
      </w:r>
      <w:r>
        <w:rPr>
          <w:vertAlign w:val="subscript"/>
        </w:rPr>
        <w:t>4</w:t>
      </w:r>
      <w:r>
        <w:t>@Au</w:t>
      </w:r>
      <w:r>
        <w:rPr>
          <w:vertAlign w:val="subscript"/>
        </w:rPr>
        <w:t>3</w:t>
      </w:r>
      <w:r>
        <w:t>‐Cl</w:t>
      </w:r>
      <w:r>
        <w:t xml:space="preserve"> </w:t>
      </w:r>
      <w:r>
        <w:t>exhibits thermally activated delayed fluorescence (TADF), confirmed by femtosecond transient absorption spectroscopy. The role of Cu doping is further supported by the TADF activity of</w:t>
      </w:r>
      <w:r>
        <w:t xml:space="preserve"> </w:t>
      </w:r>
      <w:r>
        <w:t>Au</w:t>
      </w:r>
      <w:r>
        <w:rPr>
          <w:vertAlign w:val="subscript"/>
        </w:rPr>
        <w:t>9</w:t>
      </w:r>
      <w:r>
        <w:t>Cu</w:t>
      </w:r>
      <w:r>
        <w:rPr>
          <w:vertAlign w:val="subscript"/>
        </w:rPr>
        <w:t>4</w:t>
      </w:r>
      <w:r>
        <w:t>‐Cl</w:t>
      </w:r>
      <w:r>
        <w:t xml:space="preserve"> </w:t>
      </w:r>
      <w:r>
        <w:t>. Coordinating anion substitution also modulates emission, with iodide promoting TADF in</w:t>
      </w:r>
      <w:r>
        <w:t xml:space="preserve"> </w:t>
      </w:r>
      <w:r>
        <w:t>Au</w:t>
      </w:r>
      <w:r>
        <w:rPr>
          <w:vertAlign w:val="subscript"/>
        </w:rPr>
        <w:t>13</w:t>
      </w:r>
      <w:r>
        <w:t>@Au</w:t>
      </w:r>
      <w:r>
        <w:rPr>
          <w:vertAlign w:val="subscript"/>
        </w:rPr>
        <w:t>3</w:t>
      </w:r>
      <w:r>
        <w:t>‐I</w:t>
      </w:r>
      <w:r>
        <w:t xml:space="preserve"> </w:t>
      </w:r>
      <w:r>
        <w:t>. Moreover, the NP</w:t>
      </w:r>
      <w:r>
        <w:rPr>
          <w:vertAlign w:val="subscript"/>
        </w:rPr>
        <w:t>3</w:t>
      </w:r>
      <w:r>
        <w:t>ligand confers reversible protonation‐induced luminescence switching, enabling chemosensing potential. Collectively, these findings demonstrate a comprehensive investigation of TADF behavior and luminescence modulation in atomically precise metal nanoclusters, systematically engineered through heteroatom doping of the inner core, ligand design and anion exchange at the coordination surface, and outer‐sphere complexation and protonation.</w:t>
      </w:r>
    </w:p>
    <w:p>
      <w:pPr>
        <w:spacing w:before="120" w:after="120"/>
      </w:pPr>
      <w:r>
        <w:rPr>
          <w:sz w:val="18"/>
        </w:rPr>
        <w:t>——————————————————————————————————————————————————————————————————————</w:t>
      </w:r>
    </w:p>
    <w:p>
      <w:pPr>
        <w:spacing w:before="160" w:after="40" w:line="240" w:lineRule="auto"/>
      </w:pPr>
      <w:r>
        <w:rPr>
          <w:b/>
        </w:rPr>
        <w:t xml:space="preserve">[242] </w:t>
      </w:r>
      <w:hyperlink r:id="rId379">
        <w:r>
          <w:rPr>
            <w:color w:val="1155CC"/>
            <w:u w:val="single"/>
          </w:rPr>
          <w:t>通过在分子宿存库中进行分离聚合,有效清除短半氟烷基物质</w:t>
        </w:r>
      </w:hyperlink>
    </w:p>
    <w:p>
      <w:pPr>
        <w:spacing w:before="0" w:after="80"/>
      </w:pPr>
      <w:r>
        <w:rPr>
          <w:i/>
          <w:sz w:val="20"/>
        </w:rPr>
        <w:t>EN: Efficient Removal of Short‐Chain Perfluoroalkyl Substances by Cavity‐Directed Aggregation in a Molecular Cage Host</w:t>
      </w:r>
    </w:p>
    <w:p>
      <w:pPr>
        <w:spacing w:before="0" w:after="120"/>
      </w:pPr>
      <w:r>
        <w:rPr>
          <w:b/>
        </w:rPr>
        <w:t xml:space="preserve">Source: </w:t>
      </w:r>
      <w:r>
        <w:t>Wiley: Angewandte Chemie International Edition: Table of Contents</w:t>
      </w:r>
      <w:r>
        <w:t xml:space="preserve">    </w:t>
      </w:r>
      <w:r>
        <w:rPr>
          <w:b/>
        </w:rPr>
        <w:t xml:space="preserve">Pub date: </w:t>
      </w:r>
      <w:r>
        <w:t>2026-02-10 04:52:02+00:00</w:t>
      </w:r>
      <w:r>
        <w:t xml:space="preserve">    </w:t>
      </w:r>
      <w:r>
        <w:rPr>
          <w:b/>
        </w:rPr>
        <w:t xml:space="preserve">DOI: </w:t>
      </w:r>
      <w:hyperlink r:id="rId380">
        <w:r>
          <w:rPr>
            <w:color w:val="1155CC"/>
            <w:u w:val="single"/>
          </w:rPr>
          <w:t>10.1002/anie.202526027</w:t>
        </w:r>
      </w:hyperlink>
    </w:p>
    <w:p>
      <w:pPr>
        <w:spacing w:before="0" w:after="120"/>
      </w:pPr>
      <w:r>
        <w:rPr>
          <w:b/>
        </w:rPr>
        <w:t xml:space="preserve">Notes: </w:t>
      </w:r>
      <w:r>
        <w:t>abstract_source=crossref</w:t>
      </w:r>
    </w:p>
    <w:p>
      <w:pPr>
        <w:spacing w:before="0" w:after="80" w:lineRule="auto" w:line="276"/>
      </w:pPr>
      <w:r>
        <w:rPr>
          <w:b/>
        </w:rPr>
        <w:t xml:space="preserve">摘要（ZH）: </w:t>
      </w:r>
      <w:r>
        <w:t>将全氟烷基物质(PFAS)从水中去除对于保护人类健康和环境至关重要,然而,去除短链全氟烷基物质仍是一项重大挑战,而分子对其约束性缺乏了解。在这里,我们使用一个金属有机笼(MOC 1 )作为示范“圆柱”来阐明水中短链和长链全氟烷基物质(PFAS)的宿主化学成分。 6个1°(PFAS)复合物的X-射线晶学显示,大量PFAS被封装为阴离子聚合物,随着氟烷基链长度的增加,宾客群的聚集程度下降。 1</w:t>
      </w:r>
    </w:p>
    <w:p>
      <w:pPr>
        <w:spacing w:before="0" w:after="200" w:lineRule="auto" w:line="276"/>
      </w:pPr>
      <w:r>
        <w:rPr>
          <w:b/>
        </w:rPr>
        <w:t xml:space="preserve">Abstract (EN): </w:t>
      </w:r>
      <w:r>
        <w:t>The removal of perfluoroalkyl substances (PFAS) from water is critical to protect human health and the environment. However, removing short‐chain PFAS remains a significant challenge, and a molecular‐level understanding of their binding is lacking. Here, we utilise a metal‐organic cage (MOC</w:t>
      </w:r>
      <w:r>
        <w:rPr>
          <w:vertAlign w:val="subscript"/>
        </w:rPr>
        <w:t>1</w:t>
      </w:r>
      <w:r>
        <w:t>) as a model “pore” to elucidate the host‐guest chemistry of short‐ and long‐chain PFAS in water. X‐ray crystallography of six</w:t>
      </w:r>
      <w:r>
        <w:rPr>
          <w:vertAlign w:val="subscript"/>
        </w:rPr>
        <w:t>1</w:t>
      </w:r>
      <w:r>
        <w:t>·(PFAS)</w:t>
      </w:r>
      <w:r>
        <w:t xml:space="preserve"> </w:t>
      </w:r>
      <w:r>
        <w:t>n</w:t>
      </w:r>
      <w:r>
        <w:t xml:space="preserve"> </w:t>
      </w:r>
      <w:r>
        <w:t>complexes reveals a broad range of PFAS are encapsulated as anionic aggregates, with the degree of guest‐guest aggregation decreasing as the fluoroalkyl chain length increases.</w:t>
      </w:r>
      <w:r>
        <w:rPr>
          <w:vertAlign w:val="subscript"/>
        </w:rPr>
        <w:t>1</w:t>
      </w:r>
      <w:r>
        <w:t>H and</w:t>
      </w:r>
      <w:r>
        <w:rPr>
          <w:vertAlign w:val="subscript"/>
        </w:rPr>
        <w:t>19</w:t>
      </w:r>
      <w:r>
        <w:t>F NMR spectroscopy, together with isothermal titration calorimetry reveal the cage host displays unusually large, entropy‐driven association constants in water (log</w:t>
      </w:r>
      <w:r>
        <w:t xml:space="preserve"> </w:t>
      </w:r>
      <w:r>
        <w:t>K</w:t>
      </w:r>
      <w:r>
        <w:t xml:space="preserve"> </w:t>
      </w:r>
      <w:r>
        <w:t>≥  5) which remain high for short‐chain PFAS. Doping mesoporous silica 60A with only ∼1 wt% of the cage results in a host‐in‐host adsorbent that removes &amp;gt;98% of short‐ and long‐chain PFAS at environmentally relevant concentrations under flow‐through conditions. The adsorbent exhibits rapid PFAS uptake with high selectivity over common water‐borne anions and full regenerability. These findings translate host‐guest chemistry into an effective materials platform for PFAS remediation, including short‐chain species that evade conventional removal methods.</w:t>
      </w:r>
    </w:p>
    <w:p>
      <w:pPr>
        <w:spacing w:before="120" w:after="120"/>
      </w:pPr>
      <w:r>
        <w:rPr>
          <w:sz w:val="18"/>
        </w:rPr>
        <w:t>——————————————————————————————————————————————————————————————————————</w:t>
      </w:r>
    </w:p>
    <w:p>
      <w:pPr>
        <w:spacing w:before="160" w:after="40" w:line="240" w:lineRule="auto"/>
      </w:pPr>
      <w:r>
        <w:rPr>
          <w:b/>
        </w:rPr>
        <w:t xml:space="preserve">[243] </w:t>
      </w:r>
      <w:hyperlink r:id="rId381">
        <w:r>
          <w:rPr>
            <w:color w:val="1155CC"/>
            <w:u w:val="single"/>
          </w:rPr>
          <w:t>水接触对固体国家电池的热稳定性和安全的影响</w:t>
        </w:r>
      </w:hyperlink>
    </w:p>
    <w:p>
      <w:pPr>
        <w:spacing w:before="0" w:after="80"/>
      </w:pPr>
      <w:r>
        <w:rPr>
          <w:i/>
          <w:sz w:val="20"/>
        </w:rPr>
        <w:t>EN: Impact of Moisture Exposure on Thermal Stability and Safety of Solid‐State Batteries</w:t>
      </w:r>
    </w:p>
    <w:p>
      <w:pPr>
        <w:spacing w:before="0" w:after="120"/>
      </w:pPr>
      <w:r>
        <w:rPr>
          <w:b/>
        </w:rPr>
        <w:t xml:space="preserve">Source: </w:t>
      </w:r>
      <w:r>
        <w:t>Wiley: Advanced Energy Materials: Table of Contents</w:t>
      </w:r>
      <w:r>
        <w:t xml:space="preserve">    </w:t>
      </w:r>
      <w:r>
        <w:rPr>
          <w:b/>
        </w:rPr>
        <w:t xml:space="preserve">Pub date: </w:t>
      </w:r>
      <w:r>
        <w:t>2026-02-10 04:52:07+00:00</w:t>
      </w:r>
      <w:r>
        <w:t xml:space="preserve">    </w:t>
      </w:r>
      <w:r>
        <w:rPr>
          <w:b/>
        </w:rPr>
        <w:t xml:space="preserve">DOI: </w:t>
      </w:r>
      <w:hyperlink r:id="rId382">
        <w:r>
          <w:rPr>
            <w:color w:val="1155CC"/>
            <w:u w:val="single"/>
          </w:rPr>
          <w:t>10.1002/aenm.202506405</w:t>
        </w:r>
      </w:hyperlink>
    </w:p>
    <w:p>
      <w:pPr>
        <w:spacing w:before="0" w:after="120"/>
      </w:pPr>
      <w:r>
        <w:rPr>
          <w:b/>
        </w:rPr>
        <w:t xml:space="preserve">Notes: </w:t>
      </w:r>
      <w:r>
        <w:t>abstract_source=crossref</w:t>
      </w:r>
    </w:p>
    <w:p>
      <w:pPr>
        <w:spacing w:before="0" w:after="80" w:lineRule="auto" w:line="276"/>
      </w:pPr>
      <w:r>
        <w:rPr>
          <w:b/>
        </w:rPr>
        <w:t xml:space="preserve">摘要（ZH）: </w:t>
      </w:r>
      <w:r>
        <w:t>硫化氢基固态电池(SSBs)为下一代能源贮存提供了巨大的潜力,然而,由于硫化物固态电解液的湿度敏感度,这些电池的实际部署受到硫化物固态电解液的阻碍。即使少量的水蒸气,如在干燥室中发现的水蒸气,也会对诸如Li 3 PS 4(LPS 4)等材料造成有害反应,产生影响热稳定性的有毒H2 S气体和不稳定界面。本研究审查了水的暴露如何影响LPS在材料和细胞层面的热电化学稳定性。我们利用一个受控的手套包装置,评估了各种相对湿度水平。</w:t>
      </w:r>
    </w:p>
    <w:p>
      <w:pPr>
        <w:spacing w:before="0" w:after="200" w:lineRule="auto" w:line="276"/>
      </w:pPr>
      <w:r>
        <w:rPr>
          <w:b/>
        </w:rPr>
        <w:t xml:space="preserve">Abstract (EN): </w:t>
      </w:r>
      <w:r>
        <w:t>Sulfide‐based solid‐state batteries (SSBs) hold significant potential for next‐generation energy storage, yet their practical deployment is hindered by the moisture sensitivity of sulfide solid electrolytes. Even small amounts of water vapor, such as those found in dry rooms, can cause harmful reactions in materials like Li</w:t>
      </w:r>
      <w:r>
        <w:rPr>
          <w:vertAlign w:val="subscript"/>
        </w:rPr>
        <w:t>3</w:t>
      </w:r>
      <w:r>
        <w:t>PS</w:t>
      </w:r>
      <w:r>
        <w:rPr>
          <w:vertAlign w:val="subscript"/>
        </w:rPr>
        <w:t>4</w:t>
      </w:r>
      <w:r>
        <w:t>(LPS), producing toxic H</w:t>
      </w:r>
      <w:r>
        <w:rPr>
          <w:vertAlign w:val="subscript"/>
        </w:rPr>
        <w:t>2</w:t>
      </w:r>
      <w:r>
        <w:t>S gas and unstable interfaces that affect thermal stability. This study examines how moisture exposure influences the thermo‐electrochemical stability of LPS at the material and cell‐level. Using a controlled glove‐bag setup, we evaluated various relative humidity levels (0%, 0.5%, 1.5%, and 5%) to reflect realistic manufacturing environments. Exposure to 5% relative humidity led to significant thermal instability, driven by the accumulation of H</w:t>
      </w:r>
      <w:r>
        <w:rPr>
          <w:vertAlign w:val="subscript"/>
        </w:rPr>
        <w:t>2</w:t>
      </w:r>
      <w:r>
        <w:t>S and other reactive byproducts, which causes higher self‐heating rates and an earlier thermal runaway onset. These findings underscore the crucial role of moisture control in enhancing the safety and performance of sulfide‐based SSBs.</w:t>
      </w:r>
    </w:p>
    <w:p>
      <w:pPr>
        <w:spacing w:before="120" w:after="120"/>
      </w:pPr>
      <w:r>
        <w:rPr>
          <w:sz w:val="18"/>
        </w:rPr>
        <w:t>——————————————————————————————————————————————————————————————————————</w:t>
      </w:r>
    </w:p>
    <w:p>
      <w:pPr>
        <w:spacing w:before="160" w:after="40" w:line="240" w:lineRule="auto"/>
      </w:pPr>
      <w:r>
        <w:rPr>
          <w:b/>
        </w:rPr>
        <w:t xml:space="preserve">[244] </w:t>
      </w:r>
      <w:hyperlink r:id="rId383">
        <w:r>
          <w:rPr>
            <w:color w:val="1155CC"/>
            <w:u w:val="single"/>
          </w:rPr>
          <w:t>Rh/Cu Nanolplates 能够产生高效氢气流流,用于乙酰三氢氢化电解</w:t>
        </w:r>
      </w:hyperlink>
    </w:p>
    <w:p>
      <w:pPr>
        <w:spacing w:before="0" w:after="80"/>
      </w:pPr>
      <w:r>
        <w:rPr>
          <w:i/>
          <w:sz w:val="20"/>
        </w:rPr>
        <w:t>EN: Anisotropic Rh/Cu Nanoplates Enable Efficient Hydrogen Spillover for Acetonitrile Hydrogenation Electrocatalysis</w:t>
      </w:r>
    </w:p>
    <w:p>
      <w:pPr>
        <w:spacing w:before="0" w:after="120"/>
      </w:pPr>
      <w:r>
        <w:rPr>
          <w:b/>
        </w:rPr>
        <w:t xml:space="preserve">Source: </w:t>
      </w:r>
      <w:r>
        <w:t>Wiley: Advanced Energy Materials: Table of Contents</w:t>
      </w:r>
      <w:r>
        <w:t xml:space="preserve">    </w:t>
      </w:r>
      <w:r>
        <w:rPr>
          <w:b/>
        </w:rPr>
        <w:t xml:space="preserve">Pub date: </w:t>
      </w:r>
      <w:r>
        <w:t>2026-02-10 04:53:02+00:00</w:t>
      </w:r>
      <w:r>
        <w:t xml:space="preserve">    </w:t>
      </w:r>
      <w:r>
        <w:rPr>
          <w:b/>
        </w:rPr>
        <w:t xml:space="preserve">DOI: </w:t>
      </w:r>
      <w:hyperlink r:id="rId384">
        <w:r>
          <w:rPr>
            <w:color w:val="1155CC"/>
            <w:u w:val="single"/>
          </w:rPr>
          <w:t>10.1002/aenm.70737</w:t>
        </w:r>
      </w:hyperlink>
    </w:p>
    <w:p>
      <w:pPr>
        <w:spacing w:before="0" w:after="120"/>
      </w:pPr>
      <w:r>
        <w:rPr>
          <w:b/>
        </w:rPr>
        <w:t xml:space="preserve">Notes: </w:t>
      </w:r>
      <w:r>
        <w:t>abstract_source=crossref</w:t>
      </w:r>
    </w:p>
    <w:p>
      <w:pPr>
        <w:spacing w:before="0" w:after="80" w:lineRule="auto" w:line="276"/>
      </w:pPr>
      <w:r>
        <w:rPr>
          <w:b/>
        </w:rPr>
        <w:t xml:space="preserve">摘要（ZH）: </w:t>
      </w:r>
      <w:r>
        <w:t>乙酮(CH 3 氯化萘)的电催化氢化为工业增值乙胺(CH 3 CH 2 CH 2 NH 2 )是常规热催化工艺的一种可持续替代物,但是其效率受到低温水分解动力学和低效率氢利用效率的极大限制。</w:t>
      </w:r>
    </w:p>
    <w:p>
      <w:pPr>
        <w:spacing w:before="0" w:after="200" w:lineRule="auto" w:line="276"/>
      </w:pPr>
      <w:r>
        <w:rPr>
          <w:b/>
        </w:rPr>
        <w:t xml:space="preserve">Abstract (EN): </w:t>
      </w:r>
      <w:r>
        <w:t>The electrocatalytic hydrogenation of acetonitrile (CH</w:t>
      </w:r>
      <w:r>
        <w:rPr>
          <w:vertAlign w:val="subscript"/>
        </w:rPr>
        <w:t>3</w:t>
      </w:r>
      <w:r>
        <w:t>CN) to industrially value‐added ethylamine (CH</w:t>
      </w:r>
      <w:r>
        <w:rPr>
          <w:vertAlign w:val="subscript"/>
        </w:rPr>
        <w:t>3</w:t>
      </w:r>
      <w:r>
        <w:t>CH</w:t>
      </w:r>
      <w:r>
        <w:rPr>
          <w:vertAlign w:val="subscript"/>
        </w:rPr>
        <w:t>2</w:t>
      </w:r>
      <w:r>
        <w:t>NH</w:t>
      </w:r>
      <w:r>
        <w:rPr>
          <w:vertAlign w:val="subscript"/>
        </w:rPr>
        <w:t>2</w:t>
      </w:r>
      <w:r>
        <w:t>) represents a sustainable alternative to conventional thermocatalytic processes, but its efficiency is heavily limited by sluggish water dissociation kinetics and inefficient hydrogen utilization efficiency. Herein, we orchestrate a well‐designed anisotropic heterojunction electrocatalyst that structurally featured Rh nanoparticle‐dispersed on Cu nanoplates (defined as Rh/Cu PLs) for efficient CH</w:t>
      </w:r>
      <w:r>
        <w:rPr>
          <w:vertAlign w:val="subscript"/>
        </w:rPr>
        <w:t>3</w:t>
      </w:r>
      <w:r>
        <w:t>CH</w:t>
      </w:r>
      <w:r>
        <w:rPr>
          <w:vertAlign w:val="subscript"/>
        </w:rPr>
        <w:t>2</w:t>
      </w:r>
      <w:r>
        <w:t>NH</w:t>
      </w:r>
      <w:r>
        <w:rPr>
          <w:vertAlign w:val="subscript"/>
        </w:rPr>
        <w:t>2</w:t>
      </w:r>
      <w:r>
        <w:t>electrosynthesis under ambient conditions. In comparison to counterpart electrocatalysts, anisotropic Rh/Cu PLs delivered impressive electrocatalytic performance, including superior CH</w:t>
      </w:r>
      <w:r>
        <w:rPr>
          <w:vertAlign w:val="subscript"/>
        </w:rPr>
        <w:t>3</w:t>
      </w:r>
      <w:r>
        <w:t>CH</w:t>
      </w:r>
      <w:r>
        <w:rPr>
          <w:vertAlign w:val="subscript"/>
        </w:rPr>
        <w:t>2</w:t>
      </w:r>
      <w:r>
        <w:t>NH</w:t>
      </w:r>
      <w:r>
        <w:rPr>
          <w:vertAlign w:val="subscript"/>
        </w:rPr>
        <w:t>2</w:t>
      </w:r>
      <w:r>
        <w:t>Faradaic efficiency of 66.1% and yield rate of 18.6 m</w:t>
      </w:r>
      <w:r>
        <w:t xml:space="preserve"> </w:t>
      </w:r>
      <w:r>
        <w:t>m</w:t>
      </w:r>
      <w:r>
        <w:t xml:space="preserve"> </w:t>
      </w:r>
      <w:r>
        <w:t>g</w:t>
      </w:r>
      <w:r>
        <w:t xml:space="preserve"> </w:t>
      </w:r>
      <w:r>
        <w:t>−1</w:t>
      </w:r>
      <w:r>
        <w:t xml:space="preserve"> </w:t>
      </w:r>
      <w:r>
        <w:t>h</w:t>
      </w:r>
      <w:r>
        <w:t xml:space="preserve"> </w:t>
      </w:r>
      <w:r>
        <w:t>−1</w:t>
      </w:r>
      <w:r>
        <w:t xml:space="preserve"> </w:t>
      </w:r>
      <w:r>
        <w:t>as well as high cycling stability. Electrocatalytic mechanism investigations revealed that Rh sites kinetically accelerated the Volmer step of water splitting to form active hydrogen species, which were spontaneously spillovered to and stabilized on Cu sites without further coupling into molecular H</w:t>
      </w:r>
      <w:r>
        <w:rPr>
          <w:vertAlign w:val="subscript"/>
        </w:rPr>
        <w:t>2</w:t>
      </w:r>
      <w:r>
        <w:t>. Meanwhile, heterostructure lowered the energy barriers of subsequent hydrogenation pathways and thus promoted efficient electrosynthesis of CH</w:t>
      </w:r>
      <w:r>
        <w:rPr>
          <w:vertAlign w:val="subscript"/>
        </w:rPr>
        <w:t>3</w:t>
      </w:r>
      <w:r>
        <w:t>CH</w:t>
      </w:r>
      <w:r>
        <w:rPr>
          <w:vertAlign w:val="subscript"/>
        </w:rPr>
        <w:t>2</w:t>
      </w:r>
      <w:r>
        <w:t>NH</w:t>
      </w:r>
      <w:r>
        <w:rPr>
          <w:vertAlign w:val="subscript"/>
        </w:rPr>
        <w:t>2</w:t>
      </w:r>
      <w:r>
        <w:t>from CH</w:t>
      </w:r>
      <w:r>
        <w:rPr>
          <w:vertAlign w:val="subscript"/>
        </w:rPr>
        <w:t>3</w:t>
      </w:r>
      <w:r>
        <w:t>CN. This work thus poses an alternative route to design functional HJ structures for the formation and stabilization of active hydrogen radicals for efficient electrosynthesis of various important amines.</w:t>
      </w:r>
    </w:p>
    <w:p>
      <w:pPr>
        <w:spacing w:before="120" w:after="120"/>
      </w:pPr>
      <w:r>
        <w:rPr>
          <w:sz w:val="18"/>
        </w:rPr>
        <w:t>——————————————————————————————————————————————————————————————————————</w:t>
      </w:r>
    </w:p>
    <w:p>
      <w:pPr>
        <w:spacing w:before="160" w:after="40" w:line="240" w:lineRule="auto"/>
      </w:pPr>
      <w:r>
        <w:rPr>
          <w:b/>
        </w:rPr>
        <w:t xml:space="preserve">[245] </w:t>
      </w:r>
      <w:hyperlink r:id="rId385">
        <w:r>
          <w:rPr>
            <w:color w:val="1155CC"/>
            <w:u w:val="single"/>
          </w:rPr>
          <w:t>PEDOT:PSSTSTSI 和Li3InCl6 利用聚合混合电离电子导体的多功能热解石制成的固态金属金属电池的正电极中加强电动电动的电动电动,PEDOT:PSSTSI 和Li3InCl6</w:t>
        </w:r>
      </w:hyperlink>
    </w:p>
    <w:p>
      <w:pPr>
        <w:spacing w:before="0" w:after="80"/>
      </w:pPr>
      <w:r>
        <w:rPr>
          <w:i/>
          <w:sz w:val="20"/>
        </w:rPr>
        <w:t>EN: Enhancing Ion‐Electron Transport in Positive Electrode of Solid‐State Lithium Metal Batteries With Multifunctional Catholyte Made of Polymer Mixed Ionic‐Electronic Conductor PEDOT:PSSTFSI and Li3InCl6</w:t>
      </w:r>
    </w:p>
    <w:p>
      <w:pPr>
        <w:spacing w:before="0" w:after="120"/>
      </w:pPr>
      <w:r>
        <w:rPr>
          <w:b/>
        </w:rPr>
        <w:t xml:space="preserve">Source: </w:t>
      </w:r>
      <w:r>
        <w:t>Wiley: Advanced Energy Materials: Table of Contents</w:t>
      </w:r>
      <w:r>
        <w:t xml:space="preserve">    </w:t>
      </w:r>
      <w:r>
        <w:rPr>
          <w:b/>
        </w:rPr>
        <w:t xml:space="preserve">Pub date: </w:t>
      </w:r>
      <w:r>
        <w:t>2026-02-10 04:53:05+00:00</w:t>
      </w:r>
      <w:r>
        <w:t xml:space="preserve">    </w:t>
      </w:r>
      <w:r>
        <w:rPr>
          <w:b/>
        </w:rPr>
        <w:t xml:space="preserve">DOI: </w:t>
      </w:r>
      <w:hyperlink r:id="rId386">
        <w:r>
          <w:rPr>
            <w:color w:val="1155CC"/>
            <w:u w:val="single"/>
          </w:rPr>
          <w:t>10.1002/aenm.202506757</w:t>
        </w:r>
      </w:hyperlink>
    </w:p>
    <w:p>
      <w:pPr>
        <w:spacing w:before="0" w:after="120"/>
      </w:pPr>
      <w:r>
        <w:rPr>
          <w:b/>
        </w:rPr>
        <w:t xml:space="preserve">Notes: </w:t>
      </w:r>
      <w:r>
        <w:t>abstract_source=crossref</w:t>
      </w:r>
    </w:p>
    <w:p>
      <w:pPr>
        <w:spacing w:before="0" w:after="80" w:lineRule="auto" w:line="276"/>
      </w:pPr>
      <w:r>
        <w:rPr>
          <w:b/>
        </w:rPr>
        <w:t xml:space="preserve">摘要（ZH）: </w:t>
      </w:r>
      <w:r>
        <w:t>发展阳性电极复合材料(PEC),改进了电离和电子传导性,这对高性性能的全固体电池(ASSBs)至关重要。常规战略依赖于对阴极活性材料(CAM)与固体电解(SE)或引入电子传导添加剂的比重进行调导,但两者往往都诱导干扰性不稳定,限制长期性能。在这里,混合电离电子导体,聚(3,4-乙乙基二氧基乙基苯):聚(4,styrenesulfonyl(三氟甲基硫基)酰胺(PEDOT:PSSTSI)作为功能性聚合物(FP)结合剂在Li 3 InCl 6(LIC)中组成多功能性催化剂。</w:t>
      </w:r>
    </w:p>
    <w:p>
      <w:pPr>
        <w:spacing w:before="0" w:after="200" w:lineRule="auto" w:line="276"/>
      </w:pPr>
      <w:r>
        <w:rPr>
          <w:b/>
        </w:rPr>
        <w:t xml:space="preserve">Abstract (EN): </w:t>
      </w:r>
      <w:r>
        <w:t>The development of positive electrode composites (PECs) with improved ionic and electronic conductivity is critical for high‐performance all‐solid‐state batteries (ASSBs). Conventional strategies rely on tuning the ratio of cathode active material (CAM) to solid electrolyte (SE) or introducing electronic conductive additives, yet both often induce interfacial instabilities limiting long‐term performance. Here, mixed ionic‐electronic conductor, poly(3,4‐ethylenedioxythiophene): poly(4‐styrenesulfonyl(trifluoromethylsulfonyl)imide) (PEDOT:PSSTFSI), is incorporated as a functional polymer (FP) binder in Li</w:t>
      </w:r>
      <w:r>
        <w:rPr>
          <w:vertAlign w:val="subscript"/>
        </w:rPr>
        <w:t>3</w:t>
      </w:r>
      <w:r>
        <w:t>InCl</w:t>
      </w:r>
      <w:r>
        <w:rPr>
          <w:vertAlign w:val="subscript"/>
        </w:rPr>
        <w:t>6</w:t>
      </w:r>
      <w:r>
        <w:t>(LIC), forming multifunctional catholytes in a single step via one‐pot aqueous synthesis. Owing to π–π stacking and the TFSI</w:t>
      </w:r>
      <w:r>
        <w:t xml:space="preserve"> </w:t>
      </w:r>
      <w:r>
        <w:t>−</w:t>
      </w:r>
      <w:r>
        <w:t>functional group, PEDOT:PSSTFSI enhances electronic and ionic conductivity within the catholyte. Compared to the polymer‐free NMC‐based PEC, the incorporation of 5 wt.% FP markedly increases electrode compactness, reducing the porosity by 41.8% and yielding a twelvefold increase in effective electronic conductivity. In parallel, ionic conductivity improves substantially—up to 15‐fold, with the highest reached at 0.6 wt.% of FP in the PEC. When tested in ASSB cells, PECs containing FP show enhanced rate capability, especially at 1 C rate with full reversibility, and deliver up to 30% higher discharge capacity at a C/20 rate compared to polymer‐free NMC‐LIC references. This study highlights mixed conducting binders as a versatile system to improve conducting pathways while enhancing electrode integrity.</w:t>
      </w:r>
    </w:p>
    <w:p>
      <w:pPr>
        <w:spacing w:before="120" w:after="120"/>
      </w:pPr>
      <w:r>
        <w:rPr>
          <w:sz w:val="18"/>
        </w:rPr>
        <w:t>——————————————————————————————————————————————————————————————————————</w:t>
      </w:r>
    </w:p>
    <w:p>
      <w:pPr>
        <w:spacing w:before="160" w:after="40" w:line="240" w:lineRule="auto"/>
      </w:pPr>
      <w:r>
        <w:rPr>
          <w:b/>
        </w:rPr>
        <w:t xml:space="preserve">[246] </w:t>
      </w:r>
      <w:hyperlink r:id="rId387">
        <w:r>
          <w:rPr>
            <w:color w:val="1155CC"/>
            <w:u w:val="single"/>
          </w:rPr>
          <w:t>用于敏感和稳定X射线探测的可分解离异离离异电离电离电子运输</w:t>
        </w:r>
      </w:hyperlink>
    </w:p>
    <w:p>
      <w:pPr>
        <w:spacing w:before="0" w:after="80"/>
      </w:pPr>
      <w:r>
        <w:rPr>
          <w:i/>
          <w:sz w:val="20"/>
        </w:rPr>
        <w:t>EN: Quasi‐One‐Dimensional Perovskite Single Crystals Enabling Decoupled Ionic–Electronic Transport for Sensitive and Stable X‐ray Detection</w:t>
      </w:r>
    </w:p>
    <w:p>
      <w:pPr>
        <w:spacing w:before="0" w:after="120"/>
      </w:pPr>
      <w:r>
        <w:rPr>
          <w:b/>
        </w:rPr>
        <w:t xml:space="preserve">Source: </w:t>
      </w:r>
      <w:r>
        <w:t>Wiley: Angewandte Chemie International Edition: Table of Contents</w:t>
      </w:r>
      <w:r>
        <w:t xml:space="preserve">    </w:t>
      </w:r>
      <w:r>
        <w:rPr>
          <w:b/>
        </w:rPr>
        <w:t xml:space="preserve">Pub date: </w:t>
      </w:r>
      <w:r>
        <w:t>2026-02-10 04:53:28+00:00</w:t>
      </w:r>
      <w:r>
        <w:t xml:space="preserve">    </w:t>
      </w:r>
      <w:r>
        <w:rPr>
          <w:b/>
        </w:rPr>
        <w:t xml:space="preserve">DOI: </w:t>
      </w:r>
      <w:hyperlink r:id="rId388">
        <w:r>
          <w:rPr>
            <w:color w:val="1155CC"/>
            <w:u w:val="single"/>
          </w:rPr>
          <w:t>10.1002/anie.202524500</w:t>
        </w:r>
      </w:hyperlink>
    </w:p>
    <w:p>
      <w:pPr>
        <w:spacing w:before="0" w:after="120"/>
      </w:pPr>
      <w:r>
        <w:rPr>
          <w:b/>
        </w:rPr>
        <w:t xml:space="preserve">Notes: </w:t>
      </w:r>
      <w:r>
        <w:t>abstract_source=crossref</w:t>
      </w:r>
    </w:p>
    <w:p>
      <w:pPr>
        <w:spacing w:before="0" w:after="80" w:lineRule="auto" w:line="276"/>
      </w:pPr>
      <w:r>
        <w:rPr>
          <w:b/>
        </w:rPr>
        <w:t xml:space="preserve">摘要（ZH）: </w:t>
      </w:r>
      <w:r>
        <w:t>金属卤化物 Perovskites是低成本和敏感X射线检测的有希望的候选产品,但是,现有具有不同成分和维度的百草枯材料在承运人收集和离子迁移之间发生了内在的权衡,对高能X射线检测构成重大挑战。在这里,我们证明以角共享为特点的细胞胺铅碘化半氮化物半氮化物[Pb 5 I 22]链条和沿边缘方向的小型链条间距能够同时高效的承运人收集和阻断离子迁移,从而在很大程度上分解了电子和电离子运输通道。</w:t>
      </w:r>
    </w:p>
    <w:p>
      <w:pPr>
        <w:spacing w:before="0" w:after="200" w:lineRule="auto" w:line="276"/>
      </w:pPr>
      <w:r>
        <w:rPr>
          <w:b/>
        </w:rPr>
        <w:t xml:space="preserve">Abstract (EN): </w:t>
      </w:r>
      <w:r>
        <w:t>Metal halide perovskites are promising candidates for low‐cost and sensitive x‐ray detection. However, the existing perovskite materials with diverse composition and dimensionality encounter an intrinsictrade‐off between carrier collection and ion migration, posing a critical challenge for high‐energy x‐ray detection. Here, we demonstrated that the quasi‐one‐dimensional perovskite of cystamine lead iodide featuring corner‐sharing [Pb</w:t>
      </w:r>
      <w:r>
        <w:rPr>
          <w:vertAlign w:val="subscript"/>
        </w:rPr>
        <w:t>5</w:t>
      </w:r>
      <w:r>
        <w:t>I</w:t>
      </w:r>
      <w:r>
        <w:rPr>
          <w:vertAlign w:val="subscript"/>
        </w:rPr>
        <w:t>22</w:t>
      </w:r>
      <w:r>
        <w:t>] chains chain and small interchain spacing along edge‐on orientation enables efficient carrier collection and blocked ion migration simultaneously, and thus largely decouple the electronic and ionic transport pathways. The as‐grown single crystals yield a large mobility‐lifetime product of 4.35 × 10</w:t>
      </w:r>
      <w:r>
        <w:t xml:space="preserve"> </w:t>
      </w:r>
      <w:r>
        <w:t>−4</w:t>
      </w:r>
      <w:r>
        <w:t xml:space="preserve"> </w:t>
      </w:r>
      <w:r>
        <w:t>cm</w:t>
      </w:r>
      <w:r>
        <w:rPr>
          <w:vertAlign w:val="subscript"/>
        </w:rPr>
        <w:t>2</w:t>
      </w:r>
      <w:r>
        <w:t>V</w:t>
      </w:r>
      <w:r>
        <w:t xml:space="preserve"> </w:t>
      </w:r>
      <w:r>
        <w:t>−1</w:t>
      </w:r>
      <w:r>
        <w:t xml:space="preserve"> </w:t>
      </w:r>
      <w:r>
        <w:t>, and a high activation energy for ion migration of 0.94 eV. Therefore, an impressive x‐ray sensitivity of 1.42 × 10</w:t>
      </w:r>
      <w:r>
        <w:rPr>
          <w:vertAlign w:val="subscript"/>
        </w:rPr>
        <w:t>5</w:t>
      </w:r>
      <w:r>
        <w:t>µC Gy</w:t>
      </w:r>
      <w:r>
        <w:t xml:space="preserve"> </w:t>
      </w:r>
      <w:r>
        <w:t>−1</w:t>
      </w:r>
      <w:r>
        <w:t xml:space="preserve"> </w:t>
      </w:r>
      <w:r>
        <w:t>cm</w:t>
      </w:r>
      <w:r>
        <w:t xml:space="preserve"> </w:t>
      </w:r>
      <w:r>
        <w:t>−2</w:t>
      </w:r>
      <w:r>
        <w:t xml:space="preserve"> </w:t>
      </w:r>
      <w:r>
        <w:t>(average x‐ray energy 42.7 keV) are obtained in quasi‐one‐dimensional perovskite. Under harsh conditions, such as continuous radiation, high electric fields, and high temperatures, the device exhibits excellent operational stability. As a proof of concept, the robust integration of a quasi‐one‐dimensional perovskite with a thin‐film transistor backplane for x‐ray imaging was achieved. This study offers innovative insights into the regulate the structural dimensions of materials for sensitive and stable x‐ray detection.</w:t>
      </w:r>
    </w:p>
    <w:p>
      <w:pPr>
        <w:spacing w:before="120" w:after="120"/>
      </w:pPr>
      <w:r>
        <w:rPr>
          <w:sz w:val="18"/>
        </w:rPr>
        <w:t>——————————————————————————————————————————————————————————————————————</w:t>
      </w:r>
    </w:p>
    <w:p>
      <w:pPr>
        <w:spacing w:before="160" w:after="40" w:line="240" w:lineRule="auto"/>
      </w:pPr>
      <w:r>
        <w:rPr>
          <w:b/>
        </w:rPr>
        <w:t xml:space="preserve">[247] </w:t>
      </w:r>
      <w:hyperlink r:id="rId389">
        <w:r>
          <w:rPr>
            <w:color w:val="1155CC"/>
            <w:u w:val="single"/>
          </w:rPr>
          <w:t>以光热CO2 氢化成MXene-Based S 化学催化器之上的热热CO2 氢化成表层 - 调制产品分布</w:t>
        </w:r>
      </w:hyperlink>
    </w:p>
    <w:p>
      <w:pPr>
        <w:spacing w:before="0" w:after="80"/>
      </w:pPr>
      <w:r>
        <w:rPr>
          <w:i/>
          <w:sz w:val="20"/>
        </w:rPr>
        <w:t>EN: Surface‐State–Regulated Product Distribution in Photothermal CO2 Hydrogenation Over MXene‐Based S‐Scheme Catalyst</w:t>
      </w:r>
    </w:p>
    <w:p>
      <w:pPr>
        <w:spacing w:before="0" w:after="120"/>
      </w:pPr>
      <w:r>
        <w:rPr>
          <w:b/>
        </w:rPr>
        <w:t xml:space="preserve">Source: </w:t>
      </w:r>
      <w:r>
        <w:t>Wiley: Angewandte Chemie International Edition: Table of Contents</w:t>
      </w:r>
      <w:r>
        <w:t xml:space="preserve">    </w:t>
      </w:r>
      <w:r>
        <w:rPr>
          <w:b/>
        </w:rPr>
        <w:t xml:space="preserve">Pub date: </w:t>
      </w:r>
      <w:r>
        <w:t>2026-02-10 04:54:34+00:00</w:t>
      </w:r>
      <w:r>
        <w:t xml:space="preserve">    </w:t>
      </w:r>
      <w:r>
        <w:rPr>
          <w:b/>
        </w:rPr>
        <w:t xml:space="preserve">DOI: </w:t>
      </w:r>
      <w:hyperlink r:id="rId390">
        <w:r>
          <w:rPr>
            <w:color w:val="1155CC"/>
            <w:u w:val="single"/>
          </w:rPr>
          <w:t>10.1002/anie.8425918</w:t>
        </w:r>
      </w:hyperlink>
    </w:p>
    <w:p>
      <w:pPr>
        <w:spacing w:before="0" w:after="120"/>
      </w:pPr>
      <w:r>
        <w:rPr>
          <w:b/>
        </w:rPr>
        <w:t xml:space="preserve">Notes: </w:t>
      </w:r>
      <w:r>
        <w:t>abstract_source=crossref</w:t>
      </w:r>
    </w:p>
    <w:p>
      <w:pPr>
        <w:spacing w:before="0" w:after="80" w:lineRule="auto" w:line="276"/>
      </w:pPr>
      <w:r>
        <w:rPr>
          <w:b/>
        </w:rPr>
        <w:t xml:space="preserve">摘要（ZH）: </w:t>
      </w:r>
      <w:r>
        <w:t>ABSTACT: 合理设计能够同时实现有效承运人分离、光热协同和可控反应路径的异式结构光电催化剂,这对于推进CO2转换至关重要。在这里,通过刘易斯酸熔化盐蚀,合成一个Ni/Ti 3 C 2 C 2 Cl x MXene 血清聚合物,其特超丁 Ni 板块通过互相连接TiNi 3 紧固地固定在MXene基质上。这一结构建立了S-化学电荷传输路径,现场辐照X射线光电和X-ray Ab就证明了这一点。</w:t>
      </w:r>
    </w:p>
    <w:p>
      <w:pPr>
        <w:spacing w:before="0" w:after="200" w:lineRule="auto" w:line="276"/>
      </w:pPr>
      <w:r>
        <w:rPr>
          <w:b/>
        </w:rPr>
        <w:t xml:space="preserve">Abstract (EN): </w:t>
      </w:r>
      <w:r>
        <w:t>The rational design of heterostructured photocatalysts that simultaneously enable efficient carrier separation, photothermal synergy, and controllable reaction pathways is crucial for advancing CO</w:t>
      </w:r>
      <w:r>
        <w:rPr>
          <w:vertAlign w:val="subscript"/>
        </w:rPr>
        <w:t>2</w:t>
      </w:r>
      <w:r>
        <w:t>conversion. Here, a Ni/Ti</w:t>
      </w:r>
      <w:r>
        <w:rPr>
          <w:vertAlign w:val="subscript"/>
        </w:rPr>
        <w:t>3</w:t>
      </w:r>
      <w:r>
        <w:t>C</w:t>
      </w:r>
      <w:r>
        <w:rPr>
          <w:vertAlign w:val="subscript"/>
        </w:rPr>
        <w:t>2</w:t>
      </w:r>
      <w:r>
        <w:t>Cl</w:t>
      </w:r>
      <w:r>
        <w:t xml:space="preserve"> </w:t>
      </w:r>
      <w:r>
        <w:t>x</w:t>
      </w:r>
      <w:r>
        <w:t xml:space="preserve"> </w:t>
      </w:r>
      <w:r>
        <w:t>MXene heterojunction is synthesized via Lewis acid molten‐salt etching, featuring ultrathin Ni platelets strongly anchored to the MXene substrate through interfacial TiNi</w:t>
      </w:r>
      <w:r>
        <w:rPr>
          <w:vertAlign w:val="subscript"/>
        </w:rPr>
        <w:t>3</w:t>
      </w:r>
      <w:r>
        <w:t>bonding. This architecture establishes an S‐scheme charge transfer pathway, as evidenced by in situ irradiated X‐ray photoelectron and X‐ray absorption spectroscopy, which confirm efficient carrier transfer and separation, while femtosecond transient absorption spectroscopy reveals ultrafast interfacial dynamics. Under photothermal conditions, the cooperative interplay of metallic Ni, surface NiO</w:t>
      </w:r>
      <w:r>
        <w:t xml:space="preserve"> </w:t>
      </w:r>
      <w:r>
        <w:t>x</w:t>
      </w:r>
      <w:r>
        <w:t xml:space="preserve"> </w:t>
      </w:r>
      <w:r>
        <w:t>, and the conductive MXene substrate couples directional charge migration with thermally assisted molecular activation and barrier lowering, thereby enabling regulated CO</w:t>
      </w:r>
      <w:r>
        <w:rPr>
          <w:vertAlign w:val="subscript"/>
        </w:rPr>
        <w:t>2</w:t>
      </w:r>
      <w:r>
        <w:t>hydrogenation product distribution between CH</w:t>
      </w:r>
      <w:r>
        <w:rPr>
          <w:vertAlign w:val="subscript"/>
        </w:rPr>
        <w:t>4</w:t>
      </w:r>
      <w:r>
        <w:t>and CH</w:t>
      </w:r>
      <w:r>
        <w:rPr>
          <w:vertAlign w:val="subscript"/>
        </w:rPr>
        <w:t>3</w:t>
      </w:r>
      <w:r>
        <w:t>OH. Density functional theory demonstrates that surface‐state evolution, rather than simple oxidation degree, modulates adsorption energetics and alters the relative barriers of CH</w:t>
      </w:r>
      <w:r>
        <w:rPr>
          <w:vertAlign w:val="subscript"/>
        </w:rPr>
        <w:t>4</w:t>
      </w:r>
      <w:r>
        <w:t>and CH</w:t>
      </w:r>
      <w:r>
        <w:rPr>
          <w:vertAlign w:val="subscript"/>
        </w:rPr>
        <w:t>3</w:t>
      </w:r>
      <w:r>
        <w:t>OH pathways, such that moderately oxidized Ni–NiO</w:t>
      </w:r>
      <w:r>
        <w:t xml:space="preserve"> </w:t>
      </w:r>
      <w:r>
        <w:t>x</w:t>
      </w:r>
      <w:r>
        <w:t xml:space="preserve"> </w:t>
      </w:r>
      <w:r>
        <w:t>interfacial ensembles favour methanol forming intermediates, whereas extensive oxidation suppresses CH</w:t>
      </w:r>
      <w:r>
        <w:rPr>
          <w:vertAlign w:val="subscript"/>
        </w:rPr>
        <w:t>3</w:t>
      </w:r>
      <w:r>
        <w:t>OH formation. Collectively, these findings demonstrate a robust strategy for exploiting MXene‐based heterojunction interfaces in photothermal catalysis and underscore the pivotal role of surface state regulated reaction pathways in steering product distribution during CO</w:t>
      </w:r>
      <w:r>
        <w:rPr>
          <w:vertAlign w:val="subscript"/>
        </w:rPr>
        <w:t>2</w:t>
      </w:r>
      <w:r>
        <w:t>hydrogenation.</w:t>
      </w:r>
    </w:p>
    <w:p>
      <w:pPr>
        <w:spacing w:before="120" w:after="120"/>
      </w:pPr>
      <w:r>
        <w:rPr>
          <w:sz w:val="18"/>
        </w:rPr>
        <w:t>——————————————————————————————————————————————————————————————————————</w:t>
      </w:r>
    </w:p>
    <w:p>
      <w:pPr>
        <w:spacing w:before="160" w:after="40" w:line="240" w:lineRule="auto"/>
      </w:pPr>
      <w:r>
        <w:rPr>
          <w:b/>
        </w:rPr>
        <w:t xml:space="preserve">[248] </w:t>
      </w:r>
      <w:hyperlink r:id="rId391">
        <w:r>
          <w:rPr>
            <w:color w:val="1155CC"/>
            <w:u w:val="single"/>
          </w:rPr>
          <w:t>苯甲胺醇/TTF-双环电池中基于共价有机框架电极的苯甲胺-Benzothiadiazole/TTF</w:t>
        </w:r>
      </w:hyperlink>
    </w:p>
    <w:p>
      <w:pPr>
        <w:spacing w:before="0" w:after="80"/>
      </w:pPr>
      <w:r>
        <w:rPr>
          <w:i/>
          <w:sz w:val="20"/>
        </w:rPr>
        <w:t>EN: Tuning Redox Behavior of Pyrene–Benzothiadiazole/TTF–Based Covalent Organic Framework Electrodes in Dual‐Ion Batteries</w:t>
      </w:r>
    </w:p>
    <w:p>
      <w:pPr>
        <w:spacing w:before="0" w:after="120"/>
      </w:pPr>
      <w:r>
        <w:rPr>
          <w:b/>
        </w:rPr>
        <w:t xml:space="preserve">Source: </w:t>
      </w:r>
      <w:r>
        <w:t>Wiley: Angewandte Chemie International Edition: Table of Contents</w:t>
      </w:r>
      <w:r>
        <w:t xml:space="preserve">    </w:t>
      </w:r>
      <w:r>
        <w:rPr>
          <w:b/>
        </w:rPr>
        <w:t xml:space="preserve">Pub date: </w:t>
      </w:r>
      <w:r>
        <w:t>2026-02-10 04:55:32+00:00</w:t>
      </w:r>
      <w:r>
        <w:t xml:space="preserve">    </w:t>
      </w:r>
      <w:r>
        <w:rPr>
          <w:b/>
        </w:rPr>
        <w:t xml:space="preserve">DOI: </w:t>
      </w:r>
      <w:hyperlink r:id="rId392">
        <w:r>
          <w:rPr>
            <w:color w:val="1155CC"/>
            <w:u w:val="single"/>
          </w:rPr>
          <w:t>10.1002/anie.202522720</w:t>
        </w:r>
      </w:hyperlink>
    </w:p>
    <w:p>
      <w:pPr>
        <w:spacing w:before="0" w:after="120"/>
      </w:pPr>
      <w:r>
        <w:rPr>
          <w:b/>
        </w:rPr>
        <w:t xml:space="preserve">Notes: </w:t>
      </w:r>
      <w:r>
        <w:t>abstract_source=crossref</w:t>
      </w:r>
    </w:p>
    <w:p>
      <w:pPr>
        <w:spacing w:before="0" w:after="80" w:lineRule="auto" w:line="276"/>
      </w:pPr>
      <w:r>
        <w:rPr>
          <w:b/>
        </w:rPr>
        <w:t xml:space="preserve">摘要（ZH）: </w:t>
      </w:r>
      <w:r>
        <w:t>Covalent 有机框架(COFs)已成为二等电电池中很有前途的电极材料,在二等电电池中,红氧化活性构件和链接能够产生金枪鱼可变再氧化特性,而定购孔则作为快速离子运输的纳米通道。 我们报告了一个新型的高度晶晶线 2D PyTTTF COF,该晶体系通过整合n-type pyrene-benzothiadiazole (PyBT)和p type tyrothifulvalene (TTTTF)子单位,通过n 型的离子单位连接,生成出一种双极电极电极电极,能够对16 e- 双电离子储存进行可逆性测试。</w:t>
      </w:r>
    </w:p>
    <w:p>
      <w:pPr>
        <w:spacing w:before="0" w:after="200" w:lineRule="auto" w:line="276"/>
      </w:pPr>
      <w:r>
        <w:rPr>
          <w:b/>
        </w:rPr>
        <w:t xml:space="preserve">Abstract (EN): </w:t>
      </w:r>
      <w:r>
        <w:t>Covalent organic frameworks (COFs) have emerged as promising electrode materials for secondary‐ion batteries, where redox‐active building blocks and linkages enable tunable redox properties, while ordered pores serve as nanochannels for fast ion transport. We report a novel highly crystalline 2D PyTTF‐COF, synthesized by integrating</w:t>
      </w:r>
      <w:r>
        <w:t xml:space="preserve"> </w:t>
      </w:r>
      <w:r>
        <w:t>n</w:t>
      </w:r>
      <w:r>
        <w:t xml:space="preserve"> </w:t>
      </w:r>
      <w:r>
        <w:t>‐type pyrene–benzothiadiazole (PyBT) and</w:t>
      </w:r>
      <w:r>
        <w:t xml:space="preserve"> </w:t>
      </w:r>
      <w:r>
        <w:t>p</w:t>
      </w:r>
      <w:r>
        <w:t xml:space="preserve"> </w:t>
      </w:r>
      <w:r>
        <w:t>‐type tetrathiafulvalene (TTF) subunits via an</w:t>
      </w:r>
      <w:r>
        <w:t xml:space="preserve"> </w:t>
      </w:r>
      <w:r>
        <w:t>n</w:t>
      </w:r>
      <w:r>
        <w:t xml:space="preserve"> </w:t>
      </w:r>
      <w:r>
        <w:t>‐type imine linkage, yielding a bipolar electrode capable of reversible 16 e</w:t>
      </w:r>
      <w:r>
        <w:t xml:space="preserve"> </w:t>
      </w:r>
      <w:r>
        <w:t>−</w:t>
      </w:r>
      <w:r>
        <w:t>dual cation–anion storage. Initially, the dual‐ion, redox synergy was tested in a Li‐ion half‐cell, where PyTTF served as cathode, and 1 м LiPF</w:t>
      </w:r>
      <w:r>
        <w:rPr>
          <w:vertAlign w:val="subscript"/>
        </w:rPr>
        <w:t>6</w:t>
      </w:r>
      <w:r>
        <w:t>or LiTFSI electrolytes were employed to probe anion‐dependent electrochemical behavior. Electrochemical evaluation in Li‐ion half cells revealed a wide electrochemical window of 0.1−3.6 V vs. Li/Li</w:t>
      </w:r>
      <w:r>
        <w:t xml:space="preserve"> </w:t>
      </w:r>
      <w:r>
        <w:t>+</w:t>
      </w:r>
      <w:r>
        <w:t xml:space="preserve"> </w:t>
      </w:r>
      <w:r>
        <w:t>, with markedly enhanced charge‐storage kinetics and ion diffusion with LiTFSI relative to LiPF</w:t>
      </w:r>
      <w:r>
        <w:rPr>
          <w:vertAlign w:val="subscript"/>
        </w:rPr>
        <w:t>6</w:t>
      </w:r>
      <w:r>
        <w:t>electrolytes. The PyTTF electrode delivered specific capacities of 286 mAh g</w:t>
      </w:r>
      <w:r>
        <w:t xml:space="preserve"> </w:t>
      </w:r>
      <w:r>
        <w:t>−1</w:t>
      </w:r>
      <w:r>
        <w:t xml:space="preserve"> </w:t>
      </w:r>
      <w:r>
        <w:t>(LiTFSI) and 184 mAh g</w:t>
      </w:r>
      <w:r>
        <w:t xml:space="preserve"> </w:t>
      </w:r>
      <w:r>
        <w:t>−1</w:t>
      </w:r>
      <w:r>
        <w:t xml:space="preserve"> </w:t>
      </w:r>
      <w:r>
        <w:t>(LiPF</w:t>
      </w:r>
      <w:r>
        <w:rPr>
          <w:vertAlign w:val="subscript"/>
        </w:rPr>
        <w:t>6</w:t>
      </w:r>
      <w:r>
        <w:t>) at 0.3 A g</w:t>
      </w:r>
      <w:r>
        <w:t xml:space="preserve"> </w:t>
      </w:r>
      <w:r>
        <w:t>−1</w:t>
      </w:r>
      <w:r>
        <w:t xml:space="preserve"> </w:t>
      </w:r>
      <w:r>
        <w:t>, highlighting the strong influence of anion identity. Systematic variation of LiTFSI salt concentration (1−3 м) revealed strong correlations between electrolyte composition, ion storage dynamics, and interfacial charge‐transfer resistance. This study highlights, for the first time, the critical importance of tailoring both charge‐carrier identity and electrolyte concentration to unlock the full potential of bipolar COF electrodes for dual‐ion batteries.</w:t>
      </w:r>
    </w:p>
    <w:p>
      <w:pPr>
        <w:spacing w:before="120" w:after="120"/>
      </w:pPr>
      <w:r>
        <w:rPr>
          <w:sz w:val="18"/>
        </w:rPr>
        <w:t>——————————————————————————————————————————————————————————————————————</w:t>
      </w:r>
    </w:p>
    <w:p>
      <w:pPr>
        <w:spacing w:before="160" w:after="40" w:line="240" w:lineRule="auto"/>
      </w:pPr>
      <w:r>
        <w:rPr>
          <w:b/>
        </w:rPr>
        <w:t xml:space="preserve">[249] </w:t>
      </w:r>
      <w:hyperlink r:id="rId393">
        <w:r>
          <w:rPr>
            <w:color w:val="1155CC"/>
            <w:u w:val="single"/>
          </w:rPr>
          <w:t>聚苯乙烯多功能化的滚动激进分解</w:t>
        </w:r>
      </w:hyperlink>
    </w:p>
    <w:p>
      <w:pPr>
        <w:spacing w:before="0" w:after="80"/>
      </w:pPr>
      <w:r>
        <w:rPr>
          <w:i/>
          <w:sz w:val="20"/>
        </w:rPr>
        <w:t>EN: Electrooxidative C‐C Fragmentation of Aromatic Radical Cations for Cascade Benzylic Multifunctionalization</w:t>
      </w:r>
    </w:p>
    <w:p>
      <w:pPr>
        <w:spacing w:before="0" w:after="120"/>
      </w:pPr>
      <w:r>
        <w:rPr>
          <w:b/>
        </w:rPr>
        <w:t xml:space="preserve">Source: </w:t>
      </w:r>
      <w:r>
        <w:t>Wiley: Angewandte Chemie International Edition: Table of Contents</w:t>
      </w:r>
      <w:r>
        <w:t xml:space="preserve">    </w:t>
      </w:r>
      <w:r>
        <w:rPr>
          <w:b/>
        </w:rPr>
        <w:t xml:space="preserve">Pub date: </w:t>
      </w:r>
      <w:r>
        <w:t>2026-02-10 04:56:29+00:00</w:t>
      </w:r>
      <w:r>
        <w:t xml:space="preserve">    </w:t>
      </w:r>
      <w:r>
        <w:rPr>
          <w:b/>
        </w:rPr>
        <w:t xml:space="preserve">DOI: </w:t>
      </w:r>
      <w:hyperlink r:id="rId394">
        <w:r>
          <w:rPr>
            <w:color w:val="1155CC"/>
            <w:u w:val="single"/>
          </w:rPr>
          <w:t>10.1002/anie.202522498</w:t>
        </w:r>
      </w:hyperlink>
    </w:p>
    <w:p>
      <w:pPr>
        <w:spacing w:before="0" w:after="120"/>
      </w:pPr>
      <w:r>
        <w:rPr>
          <w:b/>
        </w:rPr>
        <w:t xml:space="preserve">Notes: </w:t>
      </w:r>
      <w:r>
        <w:t>abstract_source=crossref</w:t>
      </w:r>
    </w:p>
    <w:p>
      <w:pPr>
        <w:spacing w:before="0" w:after="80" w:lineRule="auto" w:line="276"/>
      </w:pPr>
      <w:r>
        <w:rPr>
          <w:b/>
        </w:rPr>
        <w:t xml:space="preserve">摘要（ZH）: </w:t>
      </w:r>
      <w:r>
        <w:t>ABSTACT Oxygen、氮和含有卤素的功能组在复杂的小分子中普遍存在。 在聚合物降解、骨骼编辑和石油裂解中,极有必要有选择性地通过连成的C-H/C-C-C债券同时功能化的方式安装多碳-热解质联结,这在聚合物降解、骨骼编辑和石油裂裂变中是非常可取的。 然而,在精确控制场地-、再生和氧化的相对惰性的C-C-C/C-H债券同时实现多点功能化,这仍然具有挑战性,特别是由于相互竞争的过氧化和分解。 在这里,我们报告了通过迭代脱氢元在简单烷中实现同步-C-C-C/C-H债券的同时、多点功能化。</w:t>
      </w:r>
    </w:p>
    <w:p>
      <w:pPr>
        <w:spacing w:before="0" w:after="200" w:lineRule="auto" w:line="276"/>
      </w:pPr>
      <w:r>
        <w:rPr>
          <w:b/>
        </w:rPr>
        <w:t xml:space="preserve">Abstract (EN): </w:t>
      </w:r>
      <w:r>
        <w:t>Oxygen, nitrogen, and halogen‐containing functional groups are ubiquitous in complex small molecules. The installation of multiple carbon‐heteroatom bonds by the simultaneous functionalization of contiguous C–H/C–C bonds in a selective fashion is highly desirable in polymers degradation, skeletal editing, and petroleum cracking. However, achieving simultaneous, multi‐site functionalization of relatively inert C–C/C–H bonds with precise control over site‐, regio‐, and oxidation‐state selectivity remains challenging, particularly due to competing overoxidation and decomposition. Here we report the electrooxidative selective C‐C fragmentation of aromatic radical cations for cascade benzylic di‐ and trifunctionalization in simple alkylarenes by iterative dehydrogenation and oxygenation. Central to our approach is the controlled formation of olefin intermediates in situ at a rate carefully balanced to prevent polymerization and overoxidation. This strategy provides efficient access to diverse, high‐value di‐ or trifunctionalized products, including di‐ and triacetates, 2‐oxazolines, 1,2‐dibromoethanes, 1,3‐dibromo‐2‐ols, and 2‐(bromomethyl)oxiranes via controlled 4‐electron, 6‐electron, or 10‐electron oxidation events. Notably, the selective synthesis of di‐ versus trifunctionalization products is readily controlled through judicious choice of acids and nucleophiles.</w:t>
      </w:r>
    </w:p>
    <w:p>
      <w:pPr>
        <w:spacing w:before="120" w:after="120"/>
      </w:pPr>
      <w:r>
        <w:rPr>
          <w:sz w:val="18"/>
        </w:rPr>
        <w:t>——————————————————————————————————————————————————————————————————————</w:t>
      </w:r>
    </w:p>
    <w:p>
      <w:pPr>
        <w:spacing w:before="160" w:after="40" w:line="240" w:lineRule="auto"/>
      </w:pPr>
      <w:r>
        <w:rPr>
          <w:b/>
        </w:rPr>
        <w:t xml:space="preserve">[250] </w:t>
      </w:r>
      <w:hyperlink r:id="rId395">
        <w:r>
          <w:rPr>
            <w:color w:val="1155CC"/>
            <w:u w:val="single"/>
          </w:rPr>
          <w:t>在丙基介质中,对水合苯而不是氨的亚胺进行偏移定位</w:t>
        </w:r>
      </w:hyperlink>
    </w:p>
    <w:p>
      <w:pPr>
        <w:spacing w:before="0" w:after="80"/>
      </w:pPr>
      <w:r>
        <w:rPr>
          <w:i/>
          <w:sz w:val="20"/>
        </w:rPr>
        <w:t>EN: Remote Positioning of Cations Tunes Catalytic Fe‐Mediated Nitrogen Fixation Selectivity for Hydrazine Instead of Ammonia in Protic Media</w:t>
      </w:r>
    </w:p>
    <w:p>
      <w:pPr>
        <w:spacing w:before="0" w:after="120"/>
      </w:pPr>
      <w:r>
        <w:rPr>
          <w:b/>
        </w:rPr>
        <w:t xml:space="preserve">Source: </w:t>
      </w:r>
      <w:r>
        <w:t>Wiley: Angewandte Chemie International Edition: Table of Contents</w:t>
      </w:r>
      <w:r>
        <w:t xml:space="preserve">    </w:t>
      </w:r>
      <w:r>
        <w:rPr>
          <w:b/>
        </w:rPr>
        <w:t xml:space="preserve">Pub date: </w:t>
      </w:r>
      <w:r>
        <w:t>2026-02-10 04:57:29+00:00</w:t>
      </w:r>
      <w:r>
        <w:t xml:space="preserve">    </w:t>
      </w:r>
      <w:r>
        <w:rPr>
          <w:b/>
        </w:rPr>
        <w:t xml:space="preserve">DOI: </w:t>
      </w:r>
      <w:hyperlink r:id="rId396">
        <w:r>
          <w:rPr>
            <w:color w:val="1155CC"/>
            <w:u w:val="single"/>
          </w:rPr>
          <w:t>10.1002/anie.202524836</w:t>
        </w:r>
      </w:hyperlink>
    </w:p>
    <w:p>
      <w:pPr>
        <w:spacing w:before="0" w:after="120"/>
      </w:pPr>
      <w:r>
        <w:rPr>
          <w:b/>
        </w:rPr>
        <w:t xml:space="preserve">Notes: </w:t>
      </w:r>
      <w:r>
        <w:t>abstract_source=crossref</w:t>
      </w:r>
    </w:p>
    <w:p>
      <w:pPr>
        <w:spacing w:before="0" w:after="80" w:lineRule="auto" w:line="276"/>
      </w:pPr>
      <w:r>
        <w:rPr>
          <w:b/>
        </w:rPr>
        <w:t xml:space="preserve">摘要（ZH）: </w:t>
      </w:r>
      <w:r>
        <w:t>理解产品选择性基础是催化剂设计的一个中心问题。催化氮减少(N 2 R)是一个突出的例子;氨(NH 3)是N2 R的常见产品,而氢氨(N 2 H 4)是在某些条件下生产的。使用机制指导设计,我们报告了一项调整红氧化潜力的战略,它能够有选择地将二硝基苯通过铁复合体在极地前体介质中减少为氢氨。</w:t>
      </w:r>
    </w:p>
    <w:p>
      <w:pPr>
        <w:spacing w:before="0" w:after="200" w:lineRule="auto" w:line="276"/>
      </w:pPr>
      <w:r>
        <w:rPr>
          <w:b/>
        </w:rPr>
        <w:t xml:space="preserve">Abstract (EN): </w:t>
      </w:r>
      <w:r>
        <w:t>Understanding the basis of product selectivity is a central issue in catalyst design. Catalytic nitrogen reduction (N</w:t>
      </w:r>
      <w:r>
        <w:rPr>
          <w:vertAlign w:val="subscript"/>
        </w:rPr>
        <w:t>2</w:t>
      </w:r>
      <w:r>
        <w:t>R) provides a salient example; whereas ammonia (NH</w:t>
      </w:r>
      <w:r>
        <w:rPr>
          <w:vertAlign w:val="subscript"/>
        </w:rPr>
        <w:t>3</w:t>
      </w:r>
      <w:r>
        <w:t>) is the common product of N</w:t>
      </w:r>
      <w:r>
        <w:rPr>
          <w:vertAlign w:val="subscript"/>
        </w:rPr>
        <w:t>2</w:t>
      </w:r>
      <w:r>
        <w:t>R, hydrazine (N</w:t>
      </w:r>
      <w:r>
        <w:rPr>
          <w:vertAlign w:val="subscript"/>
        </w:rPr>
        <w:t>2</w:t>
      </w:r>
      <w:r>
        <w:t>H</w:t>
      </w:r>
      <w:r>
        <w:rPr>
          <w:vertAlign w:val="subscript"/>
        </w:rPr>
        <w:t>4</w:t>
      </w:r>
      <w:r>
        <w:t>) is produced under certain conditions. Using mechanism‐guided design, we report a strategy for tuning redox potential that enables selective reduction of dinitrogen to hydrazine by iron complexes in polar protic media. Incorporation of cationic trimethylammonium (NMe</w:t>
      </w:r>
      <w:r>
        <w:rPr>
          <w:vertAlign w:val="subscript"/>
        </w:rPr>
        <w:t>3</w:t>
      </w:r>
      <w:r>
        <w:t>+</w:t>
      </w:r>
      <w:r>
        <w:t xml:space="preserve"> </w:t>
      </w:r>
      <w:r>
        <w:t>) or proton‐responsive dimethylamino (NMe</w:t>
      </w:r>
      <w:r>
        <w:rPr>
          <w:vertAlign w:val="subscript"/>
        </w:rPr>
        <w:t>2</w:t>
      </w:r>
      <w:r>
        <w:t>) groups into a tris(phosphino)borane (P</w:t>
      </w:r>
      <w:r>
        <w:rPr>
          <w:vertAlign w:val="subscript"/>
        </w:rPr>
        <w:t>3</w:t>
      </w:r>
      <w:r>
        <w:t>B</w:t>
      </w:r>
      <w:r>
        <w:t xml:space="preserve"> </w:t>
      </w:r>
      <w:r>
        <w:t>) ligand framework affords redox‐tunable iron precatalysts that operate efficiently in methanol. Computational analyses reveal that these ligand modifications anodically shift the reduction potential of an iron hydrazido (Fe═NNH</w:t>
      </w:r>
      <w:r>
        <w:rPr>
          <w:vertAlign w:val="subscript"/>
        </w:rPr>
        <w:t>2</w:t>
      </w:r>
      <w:r>
        <w:t>) intermediate by &amp;gt;400 mV, thereby influencing the key branch point for hydrazine versus ammonia. Critical to success is positioning the cationic charges remote from the Fe–N</w:t>
      </w:r>
      <w:r>
        <w:rPr>
          <w:vertAlign w:val="subscript"/>
        </w:rPr>
        <w:t>2</w:t>
      </w:r>
      <w:r>
        <w:t>binding site to preserve the high degree of N</w:t>
      </w:r>
      <w:r>
        <w:rPr>
          <w:vertAlign w:val="subscript"/>
        </w:rPr>
        <w:t>2</w:t>
      </w:r>
      <w:r>
        <w:t>activation required for functionalization. Newly prepared tricationic iron complexes, soluble and stable in polar protic media, catalyze N</w:t>
      </w:r>
      <w:r>
        <w:rPr>
          <w:vertAlign w:val="subscript"/>
        </w:rPr>
        <w:t>2</w:t>
      </w:r>
      <w:r>
        <w:t>R with N‐fixed yields of up to 73% per reducing equivalent consumed, and with hydrazine selectivity exceeding 20:1 over ammonia. This work highlights the use of remote electrostatic effects to tune multi‐electron catalytic product profiles from a 6e</w:t>
      </w:r>
      <w:r>
        <w:t xml:space="preserve"> </w:t>
      </w:r>
      <w:r>
        <w:t>–</w:t>
      </w:r>
      <w:r>
        <w:t xml:space="preserve"> </w:t>
      </w:r>
      <w:r>
        <w:t>to a 4e</w:t>
      </w:r>
      <w:r>
        <w:t xml:space="preserve"> </w:t>
      </w:r>
      <w:r>
        <w:t>–</w:t>
      </w:r>
      <w:r>
        <w:t xml:space="preserve"> </w:t>
      </w:r>
      <w:r>
        <w:t>product.</w:t>
      </w:r>
    </w:p>
    <w:p>
      <w:pPr>
        <w:spacing w:before="120" w:after="120"/>
      </w:pPr>
      <w:r>
        <w:rPr>
          <w:sz w:val="18"/>
        </w:rPr>
        <w:t>——————————————————————————————————————————————————————————————————————</w:t>
      </w:r>
    </w:p>
    <w:p>
      <w:pPr>
        <w:spacing w:before="160" w:after="40" w:line="240" w:lineRule="auto"/>
      </w:pPr>
      <w:r>
        <w:rPr>
          <w:b/>
        </w:rPr>
        <w:t xml:space="preserve">[251] </w:t>
      </w:r>
      <w:hyperlink r:id="rId397">
        <w:r>
          <w:rPr>
            <w:color w:val="1155CC"/>
            <w:u w:val="single"/>
          </w:rPr>
          <w:t>利用控制控制下交易 — 支持在全氟全氟化学品应用中超常 PtNi 催化剂</w:t>
        </w:r>
      </w:hyperlink>
    </w:p>
    <w:p>
      <w:pPr>
        <w:spacing w:before="0" w:after="80"/>
      </w:pPr>
      <w:r>
        <w:rPr>
          <w:i/>
          <w:sz w:val="20"/>
        </w:rPr>
        <w:t>EN: Harnessing Controlled Dealloying–Support Coupling for Ultrastable PtNi Catalysts in PEMFC Applications</w:t>
      </w:r>
    </w:p>
    <w:p>
      <w:pPr>
        <w:spacing w:before="0" w:after="120"/>
      </w:pPr>
      <w:r>
        <w:rPr>
          <w:b/>
        </w:rPr>
        <w:t xml:space="preserve">Source: </w:t>
      </w:r>
      <w:r>
        <w:t>Wiley: Angewandte Chemie International Edition: Table of Contents</w:t>
      </w:r>
      <w:r>
        <w:t xml:space="preserve">    </w:t>
      </w:r>
      <w:r>
        <w:rPr>
          <w:b/>
        </w:rPr>
        <w:t xml:space="preserve">Pub date: </w:t>
      </w:r>
      <w:r>
        <w:t>2026-02-10 04:58:35+00:00</w:t>
      </w:r>
      <w:r>
        <w:t xml:space="preserve">    </w:t>
      </w:r>
      <w:r>
        <w:rPr>
          <w:b/>
        </w:rPr>
        <w:t xml:space="preserve">DOI: </w:t>
      </w:r>
      <w:hyperlink r:id="rId398">
        <w:r>
          <w:rPr>
            <w:color w:val="1155CC"/>
            <w:u w:val="single"/>
          </w:rPr>
          <w:t>10.1002/anie.4524344</w:t>
        </w:r>
      </w:hyperlink>
    </w:p>
    <w:p>
      <w:pPr>
        <w:spacing w:before="0" w:after="120"/>
      </w:pPr>
      <w:r>
        <w:rPr>
          <w:b/>
        </w:rPr>
        <w:t xml:space="preserve">Notes: </w:t>
      </w:r>
      <w:r>
        <w:t>abstract_source=crossref</w:t>
      </w:r>
    </w:p>
    <w:p>
      <w:pPr>
        <w:spacing w:before="0" w:after="80" w:lineRule="auto" w:line="276"/>
      </w:pPr>
      <w:r>
        <w:rPr>
          <w:b/>
        </w:rPr>
        <w:t xml:space="preserve">摘要（ZH）: </w:t>
      </w:r>
      <w:r>
        <w:t>ABSTACT Platinum — — 过渡性金属合金(PtM)是最有希望的减少氧反应(ORR)催化剂之一,然而,在质子交换薄膜燃料电池(PEMFCs)中的实际部署却因过渡性金属溶解、粒子粗缩和耐久性不足而受阻。 此外,常规合金或中金属定购策略往往导致严重的纳米粒子聚集和不稳定,从而加剧这些问题。 我们在这里报告了一种可控合金和拆解策略,用于在N碳框架(Pt 1 Ni 1x@ Ni x_NC)中建立PtNi纳米粒子(Pit 1 Ni1x@ Ni x_NC) 。</w:t>
      </w:r>
    </w:p>
    <w:p>
      <w:pPr>
        <w:spacing w:before="0" w:after="200" w:lineRule="auto" w:line="276"/>
      </w:pPr>
      <w:r>
        <w:rPr>
          <w:b/>
        </w:rPr>
        <w:t xml:space="preserve">Abstract (EN): </w:t>
      </w:r>
      <w:r>
        <w:t>Platinum–transition metal (PtM) alloys are among the most promising oxygen reduction reaction (ORR) catalysts, yet their practical deployment in proton‐exchange membrane fuel cells (PEMFCs) is hindered by transition‐metal dissolution, particle coarsening, and insufficient durability. Moreover, conventional alloying or intermetallic ordering strategies often aggravate these issues by inducing severe nanoparticle aggregation and instability. Here we report a controllable alloying–dealloying strategy to construct PtNi nanoparticles confined in an N‐doped carbon framework (Pt</w:t>
      </w:r>
      <w:r>
        <w:rPr>
          <w:vertAlign w:val="subscript"/>
        </w:rPr>
        <w:t>1</w:t>
      </w:r>
      <w:r>
        <w:t>Ni</w:t>
      </w:r>
      <w:r>
        <w:t xml:space="preserve"> </w:t>
      </w:r>
      <w:r>
        <w:t>1‐x</w:t>
      </w:r>
      <w:r>
        <w:t xml:space="preserve"> </w:t>
      </w:r>
      <w:r>
        <w:t>@Ni</w:t>
      </w:r>
      <w:r>
        <w:t xml:space="preserve"> </w:t>
      </w:r>
      <w:r>
        <w:t>x</w:t>
      </w:r>
      <w:r>
        <w:t xml:space="preserve"> </w:t>
      </w:r>
      <w:r>
        <w:t>_NC). Ammonia‐assisted dealloying produces a Pt‐rich shell with an alloyed core, while the N‐doped carbon anchors the released Ni atoms form Ni–N/C moieties, thereby suppressing agglomeration and strengthening metal–support interactions. This coordination–support coupling optimizes Pt 5d orbital occupation, weakens oxygen adsorption, and accelerates ORR kinetics. Consequently, Pt</w:t>
      </w:r>
      <w:r>
        <w:rPr>
          <w:vertAlign w:val="subscript"/>
        </w:rPr>
        <w:t>1</w:t>
      </w:r>
      <w:r>
        <w:t>Ni</w:t>
      </w:r>
      <w:r>
        <w:t xml:space="preserve"> </w:t>
      </w:r>
      <w:r>
        <w:t>1‐x</w:t>
      </w:r>
      <w:r>
        <w:t xml:space="preserve"> </w:t>
      </w:r>
      <w:r>
        <w:t>@Ni</w:t>
      </w:r>
      <w:r>
        <w:t xml:space="preserve"> </w:t>
      </w:r>
      <w:r>
        <w:t>x</w:t>
      </w:r>
      <w:r>
        <w:t xml:space="preserve"> </w:t>
      </w:r>
      <w:r>
        <w:t>_NC exhibits a half‐wave potential of 0.932 V and an ultrahigh mass activity of 2.028 A mgPt</w:t>
      </w:r>
      <w:r>
        <w:t xml:space="preserve"> </w:t>
      </w:r>
      <w:r>
        <w:t>−1</w:t>
      </w:r>
      <w:r>
        <w:t xml:space="preserve"> </w:t>
      </w:r>
      <w:r>
        <w:t>, which is 8.75‐fold higher than commercial Pt/C and among the best values reported to date for PtNi‐based catalysts. Remarkably, it shows only a 6 mV half‐wave potential loss after 30,000 cycles, demonstrating exceptional durability. In PEMFCs, the fuel cell delivers 975 mW cm</w:t>
      </w:r>
      <w:r>
        <w:t xml:space="preserve"> </w:t>
      </w:r>
      <w:r>
        <w:t>−2</w:t>
      </w:r>
      <w:r>
        <w:t xml:space="preserve"> </w:t>
      </w:r>
      <w:r>
        <w:t>peak power density and retains 91.9% of initial performance, underscoring a generalizable approach for designing durable, high‐performance low‐PGM catalysts for next generation PEMFCs.</w:t>
      </w:r>
    </w:p>
    <w:p>
      <w:pPr>
        <w:spacing w:before="120" w:after="120"/>
      </w:pPr>
      <w:r>
        <w:rPr>
          <w:sz w:val="18"/>
        </w:rPr>
        <w:t>——————————————————————————————————————————————————————————————————————</w:t>
      </w:r>
    </w:p>
    <w:p>
      <w:pPr>
        <w:spacing w:before="160" w:after="40" w:line="240" w:lineRule="auto"/>
      </w:pPr>
      <w:r>
        <w:rPr>
          <w:b/>
        </w:rPr>
        <w:t xml:space="preserve">[252] </w:t>
      </w:r>
      <w:hyperlink r:id="rId399">
        <w:r>
          <w:rPr>
            <w:color w:val="1155CC"/>
            <w:u w:val="single"/>
          </w:rPr>
          <w:t>LinNO2 添加能更快地形成流星、 流星、 流星、 流星、 流星、 流星、 流星、 流星、 流星、 流星、 流星、 流星、 流星、 流星、 流星、 流星、 流星、 流星、 流星、 流星、 流星、 流星、 流星、 流星、 流星、 流星</w:t>
        </w:r>
      </w:hyperlink>
    </w:p>
    <w:p>
      <w:pPr>
        <w:spacing w:before="0" w:after="80"/>
      </w:pPr>
      <w:r>
        <w:rPr>
          <w:i/>
          <w:sz w:val="20"/>
        </w:rPr>
        <w:t>EN: LiNO2 Additive Enables Faster Formation of Li3N‐Rich Interphase with High Ionic Conductivity for Cycling Stable Lithium Metal Battery</w:t>
      </w:r>
    </w:p>
    <w:p>
      <w:pPr>
        <w:spacing w:before="0" w:after="120"/>
      </w:pPr>
      <w:r>
        <w:rPr>
          <w:b/>
        </w:rPr>
        <w:t xml:space="preserve">Source: </w:t>
      </w:r>
      <w:r>
        <w:t>Wiley: Advanced Energy Materials: Table of Contents</w:t>
      </w:r>
      <w:r>
        <w:t xml:space="preserve">    </w:t>
      </w:r>
      <w:r>
        <w:rPr>
          <w:b/>
        </w:rPr>
        <w:t xml:space="preserve">Pub date: </w:t>
      </w:r>
      <w:r>
        <w:t>2026-02-10 04:58:59+00:00</w:t>
      </w:r>
      <w:r>
        <w:t xml:space="preserve">    </w:t>
      </w:r>
      <w:r>
        <w:rPr>
          <w:b/>
        </w:rPr>
        <w:t xml:space="preserve">DOI: </w:t>
      </w:r>
      <w:hyperlink r:id="rId400">
        <w:r>
          <w:rPr>
            <w:color w:val="1155CC"/>
            <w:u w:val="single"/>
          </w:rPr>
          <w:t>10.1002/aenm.202506177</w:t>
        </w:r>
      </w:hyperlink>
    </w:p>
    <w:p>
      <w:pPr>
        <w:spacing w:before="0" w:after="120"/>
      </w:pPr>
      <w:r>
        <w:rPr>
          <w:b/>
        </w:rPr>
        <w:t xml:space="preserve">Notes: </w:t>
      </w:r>
      <w:r>
        <w:t>abstract_source=crossref</w:t>
      </w:r>
    </w:p>
    <w:p>
      <w:pPr>
        <w:spacing w:before="0" w:after="80" w:lineRule="auto" w:line="276"/>
      </w:pPr>
      <w:r>
        <w:rPr>
          <w:b/>
        </w:rPr>
        <w:t xml:space="preserve">摘要（ZH）: </w:t>
      </w:r>
      <w:r>
        <w:t>ABSTACT 硅金属阳极(LMAs)是下一代高能量密度电池的理想条件,因为它们的再氧化潜力低且理论能力高,然而,不稳定的固态电解相位的形成引发严重的跨子性不稳定,从根本上限制了实际执行。 硝化锂(Li 3 N)由于其特殊的电导性性和机械性强强,已成为SEI的关键组成部分,但SEI达到高李3N含量仍具有挑战性,因为常规添加剂(例如,LiNO 3)主要产生低导力的Li 2。</w:t>
      </w:r>
    </w:p>
    <w:p>
      <w:pPr>
        <w:spacing w:before="0" w:after="200" w:lineRule="auto" w:line="276"/>
      </w:pPr>
      <w:r>
        <w:rPr>
          <w:b/>
        </w:rPr>
        <w:t xml:space="preserve">Abstract (EN): </w:t>
      </w:r>
      <w:r>
        <w:t>Lithium metal anodes (LMAs) are ideal for next‐generation high‐energy‐density batteries, owing to their low redox potential and high theoretical capacity. However, the formation of unstable solid electrolyte interphases (SEIs) induces severe interfacial instability, which fundamentally limits practical implementation. Lithium nitride (Li</w:t>
      </w:r>
      <w:r>
        <w:rPr>
          <w:vertAlign w:val="subscript"/>
        </w:rPr>
        <w:t>3</w:t>
      </w:r>
      <w:r>
        <w:t>N) has emerged as an SEI critical component due to its exceptional ionic conductivity and mechanical robustness, yet achieving high Li</w:t>
      </w:r>
      <w:r>
        <w:rPr>
          <w:vertAlign w:val="subscript"/>
        </w:rPr>
        <w:t>3</w:t>
      </w:r>
      <w:r>
        <w:t>N content in SEI remains challenging, as conventional additives (e.g., LiNO</w:t>
      </w:r>
      <w:r>
        <w:rPr>
          <w:vertAlign w:val="subscript"/>
        </w:rPr>
        <w:t>3</w:t>
      </w:r>
      <w:r>
        <w:t>) predominantly yield low‐conductivity Li</w:t>
      </w:r>
      <w:r>
        <w:rPr>
          <w:vertAlign w:val="subscript"/>
        </w:rPr>
        <w:t>2</w:t>
      </w:r>
      <w:r>
        <w:t>O during decomposition, severely limiting Li</w:t>
      </w:r>
      <w:r>
        <w:rPr>
          <w:vertAlign w:val="subscript"/>
        </w:rPr>
        <w:t>3</w:t>
      </w:r>
      <w:r>
        <w:t>N enrichment. To address this, we develop LiNO</w:t>
      </w:r>
      <w:r>
        <w:rPr>
          <w:vertAlign w:val="subscript"/>
        </w:rPr>
        <w:t>2</w:t>
      </w:r>
      <w:r>
        <w:t>as a novel electrolyte additive. Possessing higher nitrogen content than LiNO</w:t>
      </w:r>
      <w:r>
        <w:rPr>
          <w:vertAlign w:val="subscript"/>
        </w:rPr>
        <w:t>3</w:t>
      </w:r>
      <w:r>
        <w:t>, LiNO</w:t>
      </w:r>
      <w:r>
        <w:rPr>
          <w:vertAlign w:val="subscript"/>
        </w:rPr>
        <w:t>2</w:t>
      </w:r>
      <w:r>
        <w:t>can preferentially decompose faster and preferentially to form a Li</w:t>
      </w:r>
      <w:r>
        <w:rPr>
          <w:vertAlign w:val="subscript"/>
        </w:rPr>
        <w:t>3</w:t>
      </w:r>
      <w:r>
        <w:t>N‐rich SEI film, thereby enhancing interfacial ion transport and significantly improving battery performance. Electrochemical testing demonstrates: LiNO</w:t>
      </w:r>
      <w:r>
        <w:rPr>
          <w:vertAlign w:val="subscript"/>
        </w:rPr>
        <w:t>2</w:t>
      </w:r>
      <w:r>
        <w:t>‐modified Li||Li symmetric cells achieve &amp;gt;700 h stable plating/stripping; Li||Cu cells exhibit a high Li plating/stripping Coulombic efficiency of 98.52%; Li||NCM811 full cells retain &amp;gt;88% capacity after 200 cycles, outperforming conventional carbonate and LiNO</w:t>
      </w:r>
      <w:r>
        <w:rPr>
          <w:vertAlign w:val="subscript"/>
        </w:rPr>
        <w:t>3</w:t>
      </w:r>
      <w:r>
        <w:t>‐containing electrolytes. This work elucidates the advantages of LiNO</w:t>
      </w:r>
      <w:r>
        <w:rPr>
          <w:vertAlign w:val="subscript"/>
        </w:rPr>
        <w:t>2</w:t>
      </w:r>
      <w:r>
        <w:t>as a newly developed electrolyte additive for constructing a rich Li</w:t>
      </w:r>
      <w:r>
        <w:rPr>
          <w:vertAlign w:val="subscript"/>
        </w:rPr>
        <w:t>3</w:t>
      </w:r>
      <w:r>
        <w:t>N SEI for high‐performance lithium metal batteries.</w:t>
      </w:r>
    </w:p>
    <w:p>
      <w:pPr>
        <w:spacing w:before="120" w:after="120"/>
      </w:pPr>
      <w:r>
        <w:rPr>
          <w:sz w:val="18"/>
        </w:rPr>
        <w:t>——————————————————————————————————————————————————————————————————————</w:t>
      </w:r>
    </w:p>
    <w:p>
      <w:pPr>
        <w:spacing w:before="160" w:after="40" w:line="240" w:lineRule="auto"/>
      </w:pPr>
      <w:r>
        <w:rPr>
          <w:b/>
        </w:rPr>
        <w:t xml:space="preserve">[253] </w:t>
      </w:r>
      <w:hyperlink r:id="rId401">
        <w:r>
          <w:rPr>
            <w:color w:val="1155CC"/>
            <w:u w:val="single"/>
          </w:rPr>
          <w:t>合成生物学中多功能非化学氨基氨酸:光勘探、光导催化和生物抑制结构规划</w:t>
        </w:r>
      </w:hyperlink>
    </w:p>
    <w:p>
      <w:pPr>
        <w:spacing w:before="0" w:after="80"/>
      </w:pPr>
      <w:r>
        <w:rPr>
          <w:i/>
          <w:sz w:val="20"/>
        </w:rPr>
        <w:t>EN: p‐Benzoyl‐l‐phenylalanine as a Multifunctional Noncanonical Amino Acid in Synthetic Biology: Photoprobing, Photocatalysis, and Structural Programming for Biocontainment</w:t>
      </w:r>
    </w:p>
    <w:p>
      <w:pPr>
        <w:spacing w:before="0" w:after="120"/>
      </w:pPr>
      <w:r>
        <w:rPr>
          <w:b/>
        </w:rPr>
        <w:t xml:space="preserve">Source: </w:t>
      </w:r>
      <w:r>
        <w:t>Wiley: Angewandte Chemie International Edition: Table of Contents</w:t>
      </w:r>
      <w:r>
        <w:t xml:space="preserve">    </w:t>
      </w:r>
      <w:r>
        <w:rPr>
          <w:b/>
        </w:rPr>
        <w:t xml:space="preserve">Pub date: </w:t>
      </w:r>
      <w:r>
        <w:t>2026-02-10 04:59:11+00:00</w:t>
      </w:r>
      <w:r>
        <w:t xml:space="preserve">    </w:t>
      </w:r>
      <w:r>
        <w:rPr>
          <w:b/>
        </w:rPr>
        <w:t xml:space="preserve">DOI: </w:t>
      </w:r>
      <w:hyperlink r:id="rId402">
        <w:r>
          <w:rPr>
            <w:color w:val="1155CC"/>
            <w:u w:val="single"/>
          </w:rPr>
          <w:t>10.1002/anie.202525502</w:t>
        </w:r>
      </w:hyperlink>
    </w:p>
    <w:p>
      <w:pPr>
        <w:spacing w:before="0" w:after="120"/>
      </w:pPr>
      <w:r>
        <w:rPr>
          <w:b/>
        </w:rPr>
        <w:t xml:space="preserve">Notes: </w:t>
      </w:r>
      <w:r>
        <w:t>abstract_source=crossref</w:t>
      </w:r>
    </w:p>
    <w:p>
      <w:pPr>
        <w:spacing w:before="0" w:after="80" w:lineRule="auto" w:line="276"/>
      </w:pPr>
      <w:r>
        <w:rPr>
          <w:b/>
        </w:rPr>
        <w:t xml:space="preserve">摘要（ZH）: </w:t>
      </w:r>
      <w:r>
        <w:t>苯丙胺(pBzF)是一种广泛使用的非化学性氨基氨基酸(ncAA),扩大蛋白质的化学系列,其苯并苯丙酮(BP)染色体在环境定量跨系统(ISC)附近进入三重状态,提供了一个高效的现场可移动的光反应器。除了光化学外,散装、疏水的侧链条还带来了独特的呆滞和电子效应,使得蛋白质活性地点能够进行新的再活动。</w:t>
      </w:r>
    </w:p>
    <w:p>
      <w:pPr>
        <w:spacing w:before="0" w:after="200" w:lineRule="auto" w:line="276"/>
      </w:pPr>
      <w:r>
        <w:rPr>
          <w:b/>
        </w:rPr>
        <w:t xml:space="preserve">Abstract (EN): </w:t>
      </w:r>
      <w:r>
        <w:t>p</w:t>
      </w:r>
      <w:r>
        <w:t xml:space="preserve"> </w:t>
      </w:r>
      <w:r>
        <w:t>‐Benzoyl‐</w:t>
      </w:r>
      <w:r>
        <w:t xml:space="preserve"> </w:t>
      </w:r>
      <w:r>
        <w:t>l</w:t>
      </w:r>
      <w:r>
        <w:t xml:space="preserve"> </w:t>
      </w:r>
      <w:r>
        <w:t>‐phenylalanine (pBzF) is a widely used noncanonical amino acid (ncAA) that expands the chemical repertoire of proteins. Its benzophenone (BP) chromophore undergoes near‐quantitative intersystem crossing (ISC) to a triplet state, furnishing a highly efficient, site‐addressable photoreactive handle. Beyond photochemistry, the bulky, hydrophobic side chain introduces distinct steric and electronic effects that enable new reactivity in protein active sites. Genetic incorporation of pBzF in vivo, including directed evolution, has unlocked applications ranging from site‐specific photo‐crosslinking for interaction mapping to engineering antibody fragments, sharpening monoclonal antibody (mAb) epitope recognition, and creating protein‐based photocatalysts. pBzF has also proved powerful for mechanistic studies by stabilizing short‐lived intermediates. More recently, pBzF‐containing proteins have been leveraged in light‐driven transformations, including [2+2] photocycloadditions, deracemizations, and dehalogenations, and in the construction of artificial photosynthetic systems. This review critically discusses these advances and establishes pBzF as a versatile photochemical and structural motif for building proteins with non‐natural, light‐responsive, and catalytically competent functions.</w:t>
      </w:r>
    </w:p>
    <w:p>
      <w:pPr>
        <w:spacing w:before="120" w:after="120"/>
      </w:pPr>
      <w:r>
        <w:rPr>
          <w:sz w:val="18"/>
        </w:rPr>
        <w:t>——————————————————————————————————————————————————————————————————————</w:t>
      </w:r>
    </w:p>
    <w:p>
      <w:pPr>
        <w:spacing w:before="160" w:after="40" w:line="240" w:lineRule="auto"/>
      </w:pPr>
      <w:r>
        <w:rPr>
          <w:b/>
        </w:rPr>
        <w:t xml:space="preserve">[254] </w:t>
      </w:r>
      <w:hyperlink r:id="rId403">
        <w:r>
          <w:rPr>
            <w:color w:val="1155CC"/>
            <w:u w:val="single"/>
          </w:rPr>
          <w:t>碳基在加速反向跨系统加速跨系统对基于机体有机体的 窄带蓝粒子的重要作用</w:t>
        </w:r>
      </w:hyperlink>
    </w:p>
    <w:p>
      <w:pPr>
        <w:spacing w:before="0" w:after="80"/>
      </w:pPr>
      <w:r>
        <w:rPr>
          <w:i/>
          <w:sz w:val="20"/>
        </w:rPr>
        <w:t>EN: The Important Role of Carbonyl in Accelerating Reverse Intersystem Crossing for Selenium‐Based Organoboron Narrowband Blue Emitters</w:t>
      </w:r>
    </w:p>
    <w:p>
      <w:pPr>
        <w:spacing w:before="0" w:after="120"/>
      </w:pPr>
      <w:r>
        <w:rPr>
          <w:b/>
        </w:rPr>
        <w:t xml:space="preserve">Source: </w:t>
      </w:r>
      <w:r>
        <w:t>Wiley: Angewandte Chemie International Edition: Table of Contents</w:t>
      </w:r>
      <w:r>
        <w:t xml:space="preserve">    </w:t>
      </w:r>
      <w:r>
        <w:rPr>
          <w:b/>
        </w:rPr>
        <w:t xml:space="preserve">Pub date: </w:t>
      </w:r>
      <w:r>
        <w:t>2026-02-10 05:00:01+00:00</w:t>
      </w:r>
      <w:r>
        <w:t xml:space="preserve">    </w:t>
      </w:r>
      <w:r>
        <w:rPr>
          <w:b/>
        </w:rPr>
        <w:t xml:space="preserve">DOI: </w:t>
      </w:r>
      <w:hyperlink r:id="rId404">
        <w:r>
          <w:rPr>
            <w:color w:val="1155CC"/>
            <w:u w:val="single"/>
          </w:rPr>
          <w:t>10.1002/anie.5497802</w:t>
        </w:r>
      </w:hyperlink>
    </w:p>
    <w:p>
      <w:pPr>
        <w:spacing w:before="0" w:after="120"/>
      </w:pPr>
      <w:r>
        <w:rPr>
          <w:b/>
        </w:rPr>
        <w:t xml:space="preserve">Notes: </w:t>
      </w:r>
      <w:r>
        <w:t>abstract_source=crossref</w:t>
      </w:r>
    </w:p>
    <w:p>
      <w:pPr>
        <w:spacing w:before="0" w:after="80" w:lineRule="auto" w:line="276"/>
      </w:pPr>
      <w:r>
        <w:rPr>
          <w:b/>
        </w:rPr>
        <w:t xml:space="preserve">摘要（ZH）: </w:t>
      </w:r>
      <w:r>
        <w:t>多共振热活性延迟荧光(MRTADF)具有多重共振热活性延迟荧光作用(MRTADF)的窄带气动多周期热气热热循环(PAHs)能够通过逆向跨系统(RIRC)实现高色纯度和高刺激利用效率(RISC),然而,由于典型的单一和三重能量差距(EST)和微弱的旋转轨道联动,热活性RISC分子仍然是MRTADF分子的速率限制步骤。为了克服这一挑战,我们首次引入了三种含有有机有机有机体的碳激素PAHs(pSe XBNO, 1pSeXVN, 和 pseXBN)与(pSe XBN)相混合的三次碳基热循环。</w:t>
      </w:r>
    </w:p>
    <w:p>
      <w:pPr>
        <w:spacing w:before="0" w:after="200" w:lineRule="auto" w:line="276"/>
      </w:pPr>
      <w:r>
        <w:rPr>
          <w:b/>
        </w:rPr>
        <w:t xml:space="preserve">Abstract (EN): </w:t>
      </w:r>
      <w:r>
        <w:t>Narrowband emissive polycyclic aromatic heterocycles (PAHs) featuring multiple resonance thermally‐activated delayed fluorescence (MR‐TADF) are capable of achieving high color purity with high exciton utilization efficiency via reverse intersystem crossing (RISC). However, thermally‐activated RISC remains the rate‐limiting step in MR‐TADF molecules due to the typically large singlet and triplet energy gap (Δ</w:t>
      </w:r>
      <w:r>
        <w:t xml:space="preserve"> </w:t>
      </w:r>
      <w:r>
        <w:t>E</w:t>
      </w:r>
      <w:r>
        <w:t xml:space="preserve"> </w:t>
      </w:r>
      <w:r>
        <w:t>ST</w:t>
      </w:r>
      <w:r>
        <w:t xml:space="preserve"> </w:t>
      </w:r>
      <w:r>
        <w:t>) and weak spin‐orbital coupling. To overcome this challenge, we introduce three carbonyl‐containing organoboron PAHs doped with selenium atoms (pSeXBNO, 1pSeXBN, and pSeXBN) for the first time. Introducing single or dual selenium‐embedded carbonyl heterocycles into the MR core enables significant orbital delocalization of carbonyls, resulting in small Δ</w:t>
      </w:r>
      <w:r>
        <w:t xml:space="preserve"> </w:t>
      </w:r>
      <w:r>
        <w:t>E</w:t>
      </w:r>
      <w:r>
        <w:t xml:space="preserve"> </w:t>
      </w:r>
      <w:r>
        <w:t>ST</w:t>
      </w:r>
      <w:r>
        <w:t xml:space="preserve"> </w:t>
      </w:r>
      <w:r>
        <w:t>and ultrafast RISC rates of 7.5 × 10</w:t>
      </w:r>
      <w:r>
        <w:rPr>
          <w:vertAlign w:val="subscript"/>
        </w:rPr>
        <w:t>6</w:t>
      </w:r>
      <w:r>
        <w:t>s</w:t>
      </w:r>
      <w:r>
        <w:t xml:space="preserve"> </w:t>
      </w:r>
      <w:r>
        <w:t>−1</w:t>
      </w:r>
      <w:r>
        <w:t xml:space="preserve"> </w:t>
      </w:r>
      <w:r>
        <w:t>for pSeXBNO, 1.5 × 10</w:t>
      </w:r>
      <w:r>
        <w:rPr>
          <w:vertAlign w:val="subscript"/>
        </w:rPr>
        <w:t>7</w:t>
      </w:r>
      <w:r>
        <w:t>s</w:t>
      </w:r>
      <w:r>
        <w:t xml:space="preserve"> </w:t>
      </w:r>
      <w:r>
        <w:t>−1</w:t>
      </w:r>
      <w:r>
        <w:t xml:space="preserve"> </w:t>
      </w:r>
      <w:r>
        <w:t>for 1pSeXBN, and 4.8 × 10</w:t>
      </w:r>
      <w:r>
        <w:rPr>
          <w:vertAlign w:val="subscript"/>
        </w:rPr>
        <w:t>7</w:t>
      </w:r>
      <w:r>
        <w:t>s</w:t>
      </w:r>
      <w:r>
        <w:t xml:space="preserve"> </w:t>
      </w:r>
      <w:r>
        <w:t>−1</w:t>
      </w:r>
      <w:r>
        <w:t xml:space="preserve"> </w:t>
      </w:r>
      <w:r>
        <w:t>for pSeXBN. The non‐sensitized OLED employing pSeXBN achieves an emission peak at 478 nm with a narrow bandwidth of 28 nm, along with a maximum external quantum efficiency (EQE) of 32.6% and retaining 28.4% at 1000 cd m</w:t>
      </w:r>
      <w:r>
        <w:t xml:space="preserve"> </w:t>
      </w:r>
      <w:r>
        <w:t>−2</w:t>
      </w:r>
      <w:r>
        <w:t xml:space="preserve"> </w:t>
      </w:r>
      <w:r>
        <w:t>, representing state‐of‐the‐art performance for blue MR‐TADF materials. Moreover, bi‐color white OLED employing pSeXBN exhibits excellent performance with a maximum EQE of 30.9% and 23.2% retained at 1000 cd m</w:t>
      </w:r>
      <w:r>
        <w:t xml:space="preserve"> </w:t>
      </w:r>
      <w:r>
        <w:t>−2</w:t>
      </w:r>
      <w:r>
        <w:t xml:space="preserve"> </w:t>
      </w:r>
      <w:r>
        <w:t>. These advances demonstrate the role of carbonyl here is of significant guidance in forwarding narrowband blue materials.</w:t>
      </w:r>
    </w:p>
    <w:p>
      <w:pPr>
        <w:spacing w:before="120" w:after="120"/>
      </w:pPr>
      <w:r>
        <w:rPr>
          <w:sz w:val="18"/>
        </w:rPr>
        <w:t>——————————————————————————————————————————————————————————————————————</w:t>
      </w:r>
    </w:p>
    <w:p>
      <w:pPr>
        <w:spacing w:before="160" w:after="40" w:line="240" w:lineRule="auto"/>
      </w:pPr>
      <w:r>
        <w:rPr>
          <w:b/>
        </w:rPr>
        <w:t xml:space="preserve">[255] </w:t>
      </w:r>
      <w:hyperlink r:id="rId405">
        <w:r>
          <w:rPr>
            <w:color w:val="1155CC"/>
            <w:u w:val="single"/>
          </w:rPr>
          <w:t>用于模拟纤维化的模型化芯片平台:3D-在BAM-功能化微环境中的3D-喷洒和近距离现场电镀</w:t>
        </w:r>
      </w:hyperlink>
    </w:p>
    <w:p>
      <w:pPr>
        <w:spacing w:before="0" w:after="80"/>
      </w:pPr>
      <w:r>
        <w:rPr>
          <w:i/>
          <w:sz w:val="20"/>
        </w:rPr>
        <w:t>EN: Biomimetic Urethra‐on‐a‐Chip Platform for Modelling Fibrosis: 3D‐Printing and Near‐Field Electrospinning in BAM‐Functionalized Microenvironment</w:t>
      </w:r>
    </w:p>
    <w:p>
      <w:pPr>
        <w:spacing w:before="0" w:after="120"/>
      </w:pPr>
      <w:r>
        <w:rPr>
          <w:b/>
        </w:rPr>
        <w:t xml:space="preserve">Source: </w:t>
      </w:r>
      <w:r>
        <w:t>Wiley: Advanced Materials: Table of Contents</w:t>
      </w:r>
      <w:r>
        <w:t xml:space="preserve">    </w:t>
      </w:r>
      <w:r>
        <w:rPr>
          <w:b/>
        </w:rPr>
        <w:t xml:space="preserve">Pub date: </w:t>
      </w:r>
      <w:r>
        <w:t>2026-02-10 05:00:08+00:00</w:t>
      </w:r>
      <w:r>
        <w:t xml:space="preserve">    </w:t>
      </w:r>
      <w:r>
        <w:rPr>
          <w:b/>
        </w:rPr>
        <w:t xml:space="preserve">DOI: </w:t>
      </w:r>
      <w:hyperlink r:id="rId406">
        <w:r>
          <w:rPr>
            <w:color w:val="1155CC"/>
            <w:u w:val="single"/>
          </w:rPr>
          <w:t>10.1002/adma.202521431</w:t>
        </w:r>
      </w:hyperlink>
    </w:p>
    <w:p>
      <w:pPr>
        <w:spacing w:before="0" w:after="120"/>
      </w:pPr>
      <w:r>
        <w:rPr>
          <w:b/>
        </w:rPr>
        <w:t xml:space="preserve">Notes: </w:t>
      </w:r>
      <w:r>
        <w:t>abstract_source=crossref</w:t>
      </w:r>
    </w:p>
    <w:p>
      <w:pPr>
        <w:spacing w:before="0" w:after="80" w:lineRule="auto" w:line="276"/>
      </w:pPr>
      <w:r>
        <w:rPr>
          <w:b/>
        </w:rPr>
        <w:t xml:space="preserve">摘要（ZH）: </w:t>
      </w:r>
      <w:r>
        <w:t>ABSTACT 尿道严格性(ABSTACT Urethrastraure)是一种普遍的泌尿紊乱,其特征是腹膜组织纤维化,严重损害了尿功能和病人的生活质量。 尽管采取了各种临床干预措施,但复发仍然经常发生,这主要是由于缺乏与生理相关的机械调查和药物筛查的体外模型。 我们在这里展示了一个生物模拟性尿素(尿素)硬质平台,该平台整合了微氟化物、三维(3D)打印,以及近野电源,以重新捕捉本地尿道的结构和生物化学复杂性。 装置的特点是多甲基硅氧烷(PDMS)微通道,加上多层多层聚丙酮(PCL)膜,使用囊细胞基质(BAM)-凝胶拉提(Gelati)进行功能化。</w:t>
      </w:r>
    </w:p>
    <w:p>
      <w:pPr>
        <w:spacing w:before="0" w:after="200" w:lineRule="auto" w:line="276"/>
      </w:pPr>
      <w:r>
        <w:rPr>
          <w:b/>
        </w:rPr>
        <w:t xml:space="preserve">Abstract (EN): </w:t>
      </w:r>
      <w:r>
        <w:t>Urethral stricture, a prevalent urological disorder characterized by fibrosis of periurethral tissues, severely compromises urinary function and patient quality of life. Despite various clinical interventions, recurrence remains frequent, largely due to the lack of physiologically relevant in vitro models for mechanistic investigation and drug screening. Here, we present a biomimetic urethra‐on‐a‐chip platform that integrates microfluidics, three‐dimensional (3D) printing, and near‐field electrospinning to recapitulate the structural and biochemical complexity of the native urethra. The device features polydimethylsiloxane (PDMS) microchannels coupled with a multilayered polycaprolactone (PCL) membrane, functionalized using a bladder acellular matrix (BAM)–gelatin bioink to emulate the extracellular matrix (ECM) microenvironment. A bilayer microchamber configuration supports spatially organized coculture of fibroblasts and urothelial cells under dynamic perfusion, reproducing physiological shear stress and nutrient gradients. Under fibrotic stimulation by transforming growth factor beta 1 (TGF‐β1), the system faithfully mimicked fibroblast activation and epithelial injury, while rapamycin treatment effectively attenuated fibrotic responses, validating its potential for pharmacological testing. This urethra‐on‐a‐chip provides a robust, reproducible, and cost‐efficient platform for modeling urethral fibrosis and evaluating antifibrotic therapeutics. By bridging biofabrication, microfluidics, and tissue pathophysiology, this work establishes a versatile organ‐on‐a‐chip model with significant implications for translational research and personalized regenerative medicine.</w:t>
      </w:r>
    </w:p>
    <w:p>
      <w:pPr>
        <w:spacing w:before="120" w:after="120"/>
      </w:pPr>
      <w:r>
        <w:rPr>
          <w:sz w:val="18"/>
        </w:rPr>
        <w:t>——————————————————————————————————————————————————————————————————————</w:t>
      </w:r>
    </w:p>
    <w:p>
      <w:pPr>
        <w:spacing w:before="160" w:after="40" w:line="240" w:lineRule="auto"/>
      </w:pPr>
      <w:r>
        <w:rPr>
          <w:b/>
        </w:rPr>
        <w:t xml:space="preserve">[256] </w:t>
      </w:r>
      <w:hyperlink r:id="rId407">
        <w:r>
          <w:rPr>
            <w:color w:val="1155CC"/>
            <w:u w:val="single"/>
          </w:rPr>
          <w:t>结构变动 使光速和高效 Cs - Cu - Cl 电光</w:t>
        </w:r>
      </w:hyperlink>
    </w:p>
    <w:p>
      <w:pPr>
        <w:spacing w:before="0" w:after="80"/>
      </w:pPr>
      <w:r>
        <w:rPr>
          <w:i/>
          <w:sz w:val="20"/>
        </w:rPr>
        <w:t>EN: Structural Modulation Enables Bright and Efficient Cs–Cu–Cl Electroluminescence</w:t>
      </w:r>
    </w:p>
    <w:p>
      <w:pPr>
        <w:spacing w:before="0" w:after="120"/>
      </w:pPr>
      <w:r>
        <w:rPr>
          <w:b/>
        </w:rPr>
        <w:t xml:space="preserve">Source: </w:t>
      </w:r>
      <w:r>
        <w:t>Wiley: Advanced Materials: Table of Contents</w:t>
      </w:r>
      <w:r>
        <w:t xml:space="preserve">    </w:t>
      </w:r>
      <w:r>
        <w:rPr>
          <w:b/>
        </w:rPr>
        <w:t xml:space="preserve">Pub date: </w:t>
      </w:r>
      <w:r>
        <w:t>2026-02-10 05:01:25+00:00</w:t>
      </w:r>
      <w:r>
        <w:t xml:space="preserve">    </w:t>
      </w:r>
      <w:r>
        <w:rPr>
          <w:b/>
        </w:rPr>
        <w:t xml:space="preserve">DOI: </w:t>
      </w:r>
      <w:hyperlink r:id="rId408">
        <w:r>
          <w:rPr>
            <w:color w:val="1155CC"/>
            <w:u w:val="single"/>
          </w:rPr>
          <w:t>10.1002/adma.202522256</w:t>
        </w:r>
      </w:hyperlink>
    </w:p>
    <w:p>
      <w:pPr>
        <w:spacing w:before="0" w:after="120"/>
      </w:pPr>
      <w:r>
        <w:rPr>
          <w:b/>
        </w:rPr>
        <w:t xml:space="preserve">Notes: </w:t>
      </w:r>
      <w:r>
        <w:t>abstract_source=crossref</w:t>
      </w:r>
    </w:p>
    <w:p>
      <w:pPr>
        <w:spacing w:before="0" w:after="80" w:lineRule="auto" w:line="276"/>
      </w:pPr>
      <w:r>
        <w:rPr>
          <w:b/>
        </w:rPr>
        <w:t xml:space="preserve">摘要（ZH）: </w:t>
      </w:r>
      <w:r>
        <w:t>ABSTACT CES-Cpper-Halide ( Cs-Cu-X) perovskites 可能是在白光发二极管(LED)中用于宽带电子发光(EL)的铅-卤化过氧化物(EL)的替代品,因为其无毒性和独特的自定义超高超升温(STE)字符。 许多努力都致力于提高Cs-Cu-I LED 设备(STE)的EL效率,而还没有基于其基于 ClQ的对应单位的EL报告。 在这项工作中,Cs-Cu-Cl纳米晶体(NCs)的EL首先表现为整体结构调制,其主控装置的外部量效率达到2.02%,高光度为3345 cd m-2。 探索了高效的蓝白EL,以便从光滑中集体产生。</w:t>
      </w:r>
    </w:p>
    <w:p>
      <w:pPr>
        <w:spacing w:before="0" w:after="200" w:lineRule="auto" w:line="276"/>
      </w:pPr>
      <w:r>
        <w:rPr>
          <w:b/>
        </w:rPr>
        <w:t xml:space="preserve">Abstract (EN): </w:t>
      </w:r>
      <w:r>
        <w:t>Cesium–copper–halide (Cs–Cu–X) perovskites are potential substitutes to lead‐halide perovskites for broadband electroluminescence (EL) in white light‐emitting diodes (LED) due to their non‐toxicity and unique self‐trapped exciton (STE) characters. Many efforts have been devoted to pushing up EL efficiencies of Cs–Cu–I LED devices, while there is no report of EL based on their Cl‐based counterparts yet. In this work, the EL of the Cs–Cu–Cl nanocrystals (NCs) was first demonstrated by a holistic structural modulation, whose champion device reached an external quantum efficiency of 2.02% and a high luminance of 3345 cd m</w:t>
      </w:r>
      <w:r>
        <w:t xml:space="preserve"> </w:t>
      </w:r>
      <w:r>
        <w:t>−2</w:t>
      </w:r>
      <w:r>
        <w:t xml:space="preserve"> </w:t>
      </w:r>
      <w:r>
        <w:t>. The efficient bluish‐white EL was explored to collectively derive from the smooth film morphology, exciton inter‐band transition, triplet STE behavior, and promising electron transport ability of the Cs–Cu–Cl NC film. Additionally, the potential photophysical process for the broadband emission was proposed, collectively expanding the Cu‐based perovskite EL family for displays and lighting applications.</w:t>
      </w:r>
    </w:p>
    <w:p>
      <w:pPr>
        <w:spacing w:before="120" w:after="120"/>
      </w:pPr>
      <w:r>
        <w:rPr>
          <w:sz w:val="18"/>
        </w:rPr>
        <w:t>——————————————————————————————————————————————————————————————————————</w:t>
      </w:r>
    </w:p>
    <w:p>
      <w:pPr>
        <w:spacing w:before="160" w:after="40" w:line="240" w:lineRule="auto"/>
      </w:pPr>
      <w:r>
        <w:rPr>
          <w:b/>
        </w:rPr>
        <w:t xml:space="preserve">[257] </w:t>
      </w:r>
      <w:hyperlink r:id="rId409">
        <w:r>
          <w:rPr>
            <w:color w:val="1155CC"/>
            <w:u w:val="single"/>
          </w:rPr>
          <w:t>-稳定地促进持久水中镉-碘电池的政府间化学</w:t>
        </w:r>
      </w:hyperlink>
    </w:p>
    <w:p>
      <w:pPr>
        <w:spacing w:before="0" w:after="80"/>
      </w:pPr>
      <w:r>
        <w:rPr>
          <w:i/>
          <w:sz w:val="20"/>
        </w:rPr>
        <w:t>EN: Imidazolium Cation‐Stabilized Interfacial Chemistry for Durable Aqueous Cadmium‐Iodine Batteries</w:t>
      </w:r>
    </w:p>
    <w:p>
      <w:pPr>
        <w:spacing w:before="0" w:after="120"/>
      </w:pPr>
      <w:r>
        <w:rPr>
          <w:b/>
        </w:rPr>
        <w:t xml:space="preserve">Source: </w:t>
      </w:r>
      <w:r>
        <w:t>Wiley: Angewandte Chemie International Edition: Table of Contents</w:t>
      </w:r>
      <w:r>
        <w:t xml:space="preserve">    </w:t>
      </w:r>
      <w:r>
        <w:rPr>
          <w:b/>
        </w:rPr>
        <w:t xml:space="preserve">Pub date: </w:t>
      </w:r>
      <w:r>
        <w:t>2026-02-10 05:03:08+00:00</w:t>
      </w:r>
      <w:r>
        <w:t xml:space="preserve">    </w:t>
      </w:r>
      <w:r>
        <w:rPr>
          <w:b/>
        </w:rPr>
        <w:t xml:space="preserve">DOI: </w:t>
      </w:r>
      <w:hyperlink r:id="rId410">
        <w:r>
          <w:rPr>
            <w:color w:val="1155CC"/>
            <w:u w:val="single"/>
          </w:rPr>
          <w:t>10.1002/anie.202521510</w:t>
        </w:r>
      </w:hyperlink>
    </w:p>
    <w:p>
      <w:pPr>
        <w:spacing w:before="0" w:after="120"/>
      </w:pPr>
      <w:r>
        <w:rPr>
          <w:b/>
        </w:rPr>
        <w:t xml:space="preserve">Notes: </w:t>
      </w:r>
      <w:r>
        <w:t>abstract_source=crossref</w:t>
      </w:r>
    </w:p>
    <w:p>
      <w:pPr>
        <w:spacing w:before="0" w:after="80" w:lineRule="auto" w:line="276"/>
      </w:pPr>
      <w:r>
        <w:rPr>
          <w:b/>
        </w:rPr>
        <w:t xml:space="preserve">摘要（ZH）: </w:t>
      </w:r>
      <w:r>
        <w:t>ABSTACT 水金属电池由于其内在安全和成本低,是大规模能源储存的有吸引力的候选电池,但是其实际应用受到下列因素的限制:阴极材料的脱脂生长、腐蚀和氢进化反应,以及阴极材料的溶解引起的寄生虫反应。在这里,我们报告了一种耐久的镉碘(Cd/I 2)电池(Cd 2+/Cd 红氧夫妇具有抑制HER的中度潜力,对酸和聚碘化腐蚀具有强烈的抗药性,使Cd金属成为一种高度稳定的阳极。此外,还纳入了一种丁基3-甲基碘醇。</w:t>
      </w:r>
    </w:p>
    <w:p>
      <w:pPr>
        <w:spacing w:before="0" w:after="200" w:lineRule="auto" w:line="276"/>
      </w:pPr>
      <w:r>
        <w:rPr>
          <w:b/>
        </w:rPr>
        <w:t xml:space="preserve">Abstract (EN): </w:t>
      </w:r>
      <w:r>
        <w:t>Aqueous metal batteries are attractive candidates for large‐scale energy storage owing to their intrinsic safety and low cost. However, their practical application is constrained by dendrite growth, corrosion, and hydrogen evolution reaction (HER), as well as dissolution‐induced parasitic reactions of the cathode materials. Here, we report a durable cadmium‐iodine (Cd//I</w:t>
      </w:r>
      <w:r>
        <w:rPr>
          <w:vertAlign w:val="subscript"/>
        </w:rPr>
        <w:t>2</w:t>
      </w:r>
      <w:r>
        <w:t>) battery enabled by a dual‐interfacial chemistry regulation strategy. The Cd</w:t>
      </w:r>
      <w:r>
        <w:t xml:space="preserve"> </w:t>
      </w:r>
      <w:r>
        <w:t>2+</w:t>
      </w:r>
      <w:r>
        <w:t xml:space="preserve"> </w:t>
      </w:r>
      <w:r>
        <w:t>/Cd redox couple offers moderate potential to suppress HER and strong resistance to acidic and polyiodide corrosion, rendering Cd metal a highly stable anode. Moreover, the incorporation of 1‐butyl‐3‐methylimidazolium cation (BMIM</w:t>
      </w:r>
      <w:r>
        <w:t xml:space="preserve"> </w:t>
      </w:r>
      <w:r>
        <w:t>+</w:t>
      </w:r>
      <w:r>
        <w:t xml:space="preserve"> </w:t>
      </w:r>
      <w:r>
        <w:t>) induces preferential adsorption on the Cd anode, forming a functional interphase that lowers local charge density, suppresses dendrite growth, and promotes uniform Cd deposition. At the cathode, strong electrostatic interactions and steric hindrance between BMIM</w:t>
      </w:r>
      <w:r>
        <w:t xml:space="preserve"> </w:t>
      </w:r>
      <w:r>
        <w:t>+</w:t>
      </w:r>
      <w:r>
        <w:t xml:space="preserve"> </w:t>
      </w:r>
      <w:r>
        <w:t>and polyiodide anions effectively mitigate the shuttle effect. Benefiting from these synergistic effects, the Cd//I</w:t>
      </w:r>
      <w:r>
        <w:rPr>
          <w:vertAlign w:val="subscript"/>
        </w:rPr>
        <w:t>2</w:t>
      </w:r>
      <w:r>
        <w:t>battery delivers a high reversible specific capacity of 152.5 mAh g</w:t>
      </w:r>
      <w:r>
        <w:t xml:space="preserve"> </w:t>
      </w:r>
      <w:r>
        <w:t>−1</w:t>
      </w:r>
      <w:r>
        <w:t xml:space="preserve"> </w:t>
      </w:r>
      <w:r>
        <w:t>at 10 A g</w:t>
      </w:r>
      <w:r>
        <w:t xml:space="preserve"> </w:t>
      </w:r>
      <w:r>
        <w:t>−1</w:t>
      </w:r>
      <w:r>
        <w:t xml:space="preserve"> </w:t>
      </w:r>
      <w:r>
        <w:t>and achieves ultralong cycling stability over 50,000 cycles, with an ultralow per‐cycle capacity decay of 0.00032%. Even under a high I</w:t>
      </w:r>
      <w:r>
        <w:rPr>
          <w:vertAlign w:val="subscript"/>
        </w:rPr>
        <w:t>2</w:t>
      </w:r>
      <w:r>
        <w:t>loading of 17.78 mg cm</w:t>
      </w:r>
      <w:r>
        <w:t xml:space="preserve"> </w:t>
      </w:r>
      <w:r>
        <w:t>−2</w:t>
      </w:r>
      <w:r>
        <w:t xml:space="preserve"> </w:t>
      </w:r>
      <w:r>
        <w:t>, the battery maintains 400 cycles with high specific capacity of 173.1 mAh g</w:t>
      </w:r>
      <w:r>
        <w:t xml:space="preserve"> </w:t>
      </w:r>
      <w:r>
        <w:t>−1</w:t>
      </w:r>
      <w:r>
        <w:t xml:space="preserve"> </w:t>
      </w:r>
      <w:r>
        <w:t>, underscoring its potential for practical application.</w:t>
      </w:r>
    </w:p>
    <w:p>
      <w:pPr>
        <w:spacing w:before="120" w:after="120"/>
      </w:pPr>
      <w:r>
        <w:rPr>
          <w:sz w:val="18"/>
        </w:rPr>
        <w:t>——————————————————————————————————————————————————————————————————————</w:t>
      </w:r>
    </w:p>
    <w:p>
      <w:pPr>
        <w:spacing w:before="160" w:after="40" w:line="240" w:lineRule="auto"/>
      </w:pPr>
      <w:r>
        <w:rPr>
          <w:b/>
        </w:rPr>
        <w:t xml:space="preserve">[258] </w:t>
      </w:r>
      <w:hyperlink r:id="rId411">
        <w:r>
          <w:rPr>
            <w:color w:val="1155CC"/>
            <w:u w:val="single"/>
          </w:rPr>
          <w:t>消除低温在碳碳中作用,促进改善二氧化碳酸铵的能源释放</w:t>
        </w:r>
      </w:hyperlink>
    </w:p>
    <w:p>
      <w:pPr>
        <w:spacing w:before="0" w:after="80"/>
      </w:pPr>
      <w:r>
        <w:rPr>
          <w:i/>
          <w:sz w:val="20"/>
        </w:rPr>
        <w:t>EN: Unveiling the Role of Curvature in Carbon for Improved Energy Release of Ammonium Perchlorate</w:t>
      </w:r>
    </w:p>
    <w:p>
      <w:pPr>
        <w:spacing w:before="0" w:after="120"/>
      </w:pPr>
      <w:r>
        <w:rPr>
          <w:b/>
        </w:rPr>
        <w:t xml:space="preserve">Source: </w:t>
      </w:r>
      <w:r>
        <w:t>Wiley: Advanced Materials: Table of Contents</w:t>
      </w:r>
      <w:r>
        <w:t xml:space="preserve">    </w:t>
      </w:r>
      <w:r>
        <w:rPr>
          <w:b/>
        </w:rPr>
        <w:t xml:space="preserve">Pub date: </w:t>
      </w:r>
      <w:r>
        <w:t>2026-02-10 05:03:11+00:00</w:t>
      </w:r>
      <w:r>
        <w:t xml:space="preserve">    </w:t>
      </w:r>
      <w:r>
        <w:rPr>
          <w:b/>
        </w:rPr>
        <w:t xml:space="preserve">DOI: </w:t>
      </w:r>
      <w:hyperlink r:id="rId412">
        <w:r>
          <w:rPr>
            <w:color w:val="1155CC"/>
            <w:u w:val="single"/>
          </w:rPr>
          <w:t>10.1002/adma.202504755</w:t>
        </w:r>
      </w:hyperlink>
    </w:p>
    <w:p>
      <w:pPr>
        <w:spacing w:before="0" w:after="120"/>
      </w:pPr>
      <w:r>
        <w:rPr>
          <w:b/>
        </w:rPr>
        <w:t xml:space="preserve">Notes: </w:t>
      </w:r>
      <w:r>
        <w:t>abstract_source=crossref</w:t>
      </w:r>
    </w:p>
    <w:p>
      <w:pPr>
        <w:spacing w:before="0" w:after="80" w:lineRule="auto" w:line="276"/>
      </w:pPr>
      <w:r>
        <w:rPr>
          <w:b/>
        </w:rPr>
        <w:t xml:space="preserve">摘要（ZH）: </w:t>
      </w:r>
      <w:r>
        <w:t>为弥补这一差距,本研究采用机器学习和密度功能理论,加快筛选固态碳材料,以便从AP公司中增加催化性能释放。高精度碳纳米管(HNCTs)通过调整碳管中心表现出优异的性能,这加强了AP公司分解关键中间体的吸附(例如,HCLO 4)。</w:t>
      </w:r>
    </w:p>
    <w:p>
      <w:pPr>
        <w:spacing w:before="0" w:after="200" w:lineRule="auto" w:line="276"/>
      </w:pPr>
      <w:r>
        <w:rPr>
          <w:b/>
        </w:rPr>
        <w:t xml:space="preserve">Abstract (EN): </w:t>
      </w:r>
      <w:r>
        <w:t>The catalytic role of carbon curvature in the thermal decomposition of ammonium perchlorate (AP) remains largely unexplored. To address this gap, this study employs machine learning and density functional theory to expedite the screening of curved carbon materials for enhanced catalytic energy release from AP. High‐curvature carbon nanotubes (H‐CNTs) exhibit superior performance by tuning the carbon</w:t>
      </w:r>
      <w:r>
        <w:t xml:space="preserve"> </w:t>
      </w:r>
      <w:r>
        <w:t>p</w:t>
      </w:r>
      <w:r>
        <w:t xml:space="preserve"> </w:t>
      </w:r>
      <w:r>
        <w:t>‐band center, which strengthens the adsorption of key intermediates of AP decomposition (e.g., HClO</w:t>
      </w:r>
      <w:r>
        <w:rPr>
          <w:vertAlign w:val="subscript"/>
        </w:rPr>
        <w:t>4</w:t>
      </w:r>
      <w:r>
        <w:t>). H‐CNT lowers the AP decomposition temperature by 103.5°C and dramatically amplifies heat release by a factor of 6.6 (increasing from 250.7 to 1898.5 J g</w:t>
      </w:r>
      <w:r>
        <w:t xml:space="preserve"> </w:t>
      </w:r>
      <w:r>
        <w:t>−1</w:t>
      </w:r>
      <w:r>
        <w:t xml:space="preserve"> </w:t>
      </w:r>
      <w:r>
        <w:t>). In addition, enhanced safety, increased maximum output pressure (from 5.9 to 135.3 kPa) and a markedly improved combustion effect (ignition in just 2 ms) are also observed with high‐curvature CNTs. These findings underscore curvature as a critical design parameter and provide a geometry‐electronic‐activity framework for developing efficient catalysts in energetic materials.</w:t>
      </w:r>
    </w:p>
    <w:p>
      <w:pPr>
        <w:spacing w:before="120" w:after="120"/>
      </w:pPr>
      <w:r>
        <w:rPr>
          <w:sz w:val="18"/>
        </w:rPr>
        <w:t>——————————————————————————————————————————————————————————————————————</w:t>
      </w:r>
    </w:p>
    <w:p>
      <w:pPr>
        <w:spacing w:before="160" w:after="40" w:line="240" w:lineRule="auto"/>
      </w:pPr>
      <w:r>
        <w:rPr>
          <w:b/>
        </w:rPr>
        <w:t xml:space="preserve">[259] </w:t>
      </w:r>
      <w:hyperlink r:id="rId413">
        <w:r>
          <w:rPr>
            <w:color w:val="1155CC"/>
            <w:u w:val="single"/>
          </w:rPr>
          <w:t>三氧化三聚乙烯的散散散钝化,在极端条件下使具有显著增强稳定性的有机光伏发生反转</w:t>
        </w:r>
      </w:hyperlink>
    </w:p>
    <w:p>
      <w:pPr>
        <w:spacing w:before="0" w:after="80"/>
      </w:pPr>
      <w:r>
        <w:rPr>
          <w:i/>
          <w:sz w:val="20"/>
        </w:rPr>
        <w:t>EN: Bulk Passivation of Molybdenum Trioxide Enables Inverted Organic Photovoltaics with Significantly Enhanced Stability under Extreme Conditions</w:t>
      </w:r>
    </w:p>
    <w:p>
      <w:pPr>
        <w:spacing w:before="0" w:after="120"/>
      </w:pPr>
      <w:r>
        <w:rPr>
          <w:b/>
        </w:rPr>
        <w:t xml:space="preserve">Source: </w:t>
      </w:r>
      <w:r>
        <w:t>Wiley: Advanced Materials: Table of Contents</w:t>
      </w:r>
      <w:r>
        <w:t xml:space="preserve">    </w:t>
      </w:r>
      <w:r>
        <w:rPr>
          <w:b/>
        </w:rPr>
        <w:t xml:space="preserve">Pub date: </w:t>
      </w:r>
      <w:r>
        <w:t>2026-02-10 05:04:12+00:00</w:t>
      </w:r>
      <w:r>
        <w:t xml:space="preserve">    </w:t>
      </w:r>
      <w:r>
        <w:rPr>
          <w:b/>
        </w:rPr>
        <w:t xml:space="preserve">DOI: </w:t>
      </w:r>
      <w:hyperlink r:id="rId414">
        <w:r>
          <w:rPr>
            <w:color w:val="1155CC"/>
            <w:u w:val="single"/>
          </w:rPr>
          <w:t>10.1002/adma.202522299</w:t>
        </w:r>
      </w:hyperlink>
    </w:p>
    <w:p>
      <w:pPr>
        <w:spacing w:before="0" w:after="120"/>
      </w:pPr>
      <w:r>
        <w:rPr>
          <w:b/>
        </w:rPr>
        <w:t xml:space="preserve">Notes: </w:t>
      </w:r>
      <w:r>
        <w:t>abstract_source=crossref</w:t>
      </w:r>
    </w:p>
    <w:p>
      <w:pPr>
        <w:spacing w:before="0" w:after="80" w:lineRule="auto" w:line="276"/>
      </w:pPr>
      <w:r>
        <w:rPr>
          <w:b/>
        </w:rPr>
        <w:t xml:space="preserve">摘要（ZH）: </w:t>
      </w:r>
      <w:r>
        <w:t>有机光伏(OPV)取得了显著效率,但实际部署仍受到不稳定性不足的阻碍。在这里,我们发现,降解与三氧化(MOO 3)/活性材料接触区域被掩埋的三氧化(MOO 3)/光化材料接触区域的散射驱动混合和红氧化化学密切相关。为了解决这一问题,我们把1Hisoindole1,1,3(2H)(2H)dione,2,2(oxydi4,1苯乙烯)之二[3a,4,7,7,7a-tetrahyhyl(9CI)](IPE)作为散装消毒器,通过在MO 3中消毒氧空空位与扩散MO 3 物种相互作用,从而抑制再氧化。</w:t>
      </w:r>
    </w:p>
    <w:p>
      <w:pPr>
        <w:spacing w:before="0" w:after="200" w:lineRule="auto" w:line="276"/>
      </w:pPr>
      <w:r>
        <w:rPr>
          <w:b/>
        </w:rPr>
        <w:t xml:space="preserve">Abstract (EN): </w:t>
      </w:r>
      <w:r>
        <w:t>While organic photovoltaics (OPVs) have achieved remarkable efficiencies, their practical deployment remains hindered by insufficient stability. Herein, we find that degradation is strongly associated with diffusion‐driven intermixing and redox chemistry at the buried molybdenum trioxide (MoO</w:t>
      </w:r>
      <w:r>
        <w:rPr>
          <w:vertAlign w:val="subscript"/>
        </w:rPr>
        <w:t>3</w:t>
      </w:r>
      <w:r>
        <w:t>)/photoactive materials contact region. To address this issue, we incorporate 1H‐isoindole‐1,3(2H)‐dione, 2,2’‐(oxydi‐4,1‐phenylene) bis[3a,4,7,7a‐tetrahydro‐(9CI)] (IPE) into the bulk heterojunction as a bulk passivator that interacts with diffusing MoO</w:t>
      </w:r>
      <w:r>
        <w:rPr>
          <w:vertAlign w:val="subscript"/>
        </w:rPr>
        <w:t>3</w:t>
      </w:r>
      <w:r>
        <w:t>species by passivating oxygen vacancies in MoO</w:t>
      </w:r>
      <w:r>
        <w:rPr>
          <w:vertAlign w:val="subscript"/>
        </w:rPr>
        <w:t>3</w:t>
      </w:r>
      <w:r>
        <w:t>, thereby suppressing redox reactions between MoO</w:t>
      </w:r>
      <w:r>
        <w:rPr>
          <w:vertAlign w:val="subscript"/>
        </w:rPr>
        <w:t>3</w:t>
      </w:r>
      <w:r>
        <w:t>and photoactive materials. The IPE‐containing devices achieve a champion efficiency of 19.06% alongside exceptional thermal robustness, retaining 87.5% of their initial efficiency after thermal aging at 170°C for 5 h (vs. 48.8% for control devices). Critically, under harsh environmental stressors, these devices maintain &amp;gt;80% of their initial efficiency after 500 thermal cycles (−40°C to 85°C, ∼60% relative humidity, ISOS‐T‐3) and over 1150‐h continuous maximum power point tracking under 1 Sun illumination (65°C, ∼50% relative humidity, ISOS‐L‐3). This represents one of the highest stability levels reported for OPVs under the stringent ISOS‐T‐3 and ISOS‐L‐3 protocols. This work provides a generalizable bulk modification strategy to mitigate diffusion‐ and redox‐driven degradation at buried contacts, paving the way for the practical deployment of stable, high‐efficiency OPVs.</w:t>
      </w:r>
    </w:p>
    <w:p>
      <w:pPr>
        <w:spacing w:before="120" w:after="120"/>
      </w:pPr>
      <w:r>
        <w:rPr>
          <w:sz w:val="18"/>
        </w:rPr>
        <w:t>——————————————————————————————————————————————————————————————————————</w:t>
      </w:r>
    </w:p>
    <w:p>
      <w:pPr>
        <w:spacing w:before="160" w:after="40" w:line="240" w:lineRule="auto"/>
      </w:pPr>
      <w:r>
        <w:rPr>
          <w:b/>
        </w:rPr>
        <w:t xml:space="preserve">[260] </w:t>
      </w:r>
      <w:hyperlink r:id="rId415">
        <w:r>
          <w:rPr>
            <w:color w:val="1155CC"/>
            <w:u w:val="single"/>
          </w:rPr>
          <w:t>通过Nitrene 插入氟化烃基聚苯(I)</w:t>
        </w:r>
      </w:hyperlink>
    </w:p>
    <w:p>
      <w:pPr>
        <w:spacing w:before="0" w:after="80"/>
      </w:pPr>
      <w:r>
        <w:rPr>
          <w:i/>
          <w:sz w:val="20"/>
        </w:rPr>
        <w:t>EN: A Modular Approach to N‐Fluoroalkyl Amides via Nitrene Insertion Into Fluoroalkylcopper(I)</w:t>
      </w:r>
    </w:p>
    <w:p>
      <w:pPr>
        <w:spacing w:before="0" w:after="120"/>
      </w:pPr>
      <w:r>
        <w:rPr>
          <w:b/>
        </w:rPr>
        <w:t xml:space="preserve">Source: </w:t>
      </w:r>
      <w:r>
        <w:t>Wiley: Angewandte Chemie International Edition: Table of Contents</w:t>
      </w:r>
      <w:r>
        <w:t xml:space="preserve">    </w:t>
      </w:r>
      <w:r>
        <w:rPr>
          <w:b/>
        </w:rPr>
        <w:t xml:space="preserve">Pub date: </w:t>
      </w:r>
      <w:r>
        <w:t>2026-02-10 05:07:09+00:00</w:t>
      </w:r>
      <w:r>
        <w:t xml:space="preserve">    </w:t>
      </w:r>
      <w:r>
        <w:rPr>
          <w:b/>
        </w:rPr>
        <w:t xml:space="preserve">DOI: </w:t>
      </w:r>
      <w:hyperlink r:id="rId416">
        <w:r>
          <w:rPr>
            <w:color w:val="1155CC"/>
            <w:u w:val="single"/>
          </w:rPr>
          <w:t>10.1002/anie.1753273</w:t>
        </w:r>
      </w:hyperlink>
    </w:p>
    <w:p>
      <w:pPr>
        <w:spacing w:before="0" w:after="120"/>
      </w:pPr>
      <w:r>
        <w:rPr>
          <w:b/>
        </w:rPr>
        <w:t xml:space="preserve">Notes: </w:t>
      </w:r>
      <w:r>
        <w:t>abstract_source=crossref</w:t>
      </w:r>
    </w:p>
    <w:p>
      <w:pPr>
        <w:spacing w:before="0" w:after="80" w:lineRule="auto" w:line="276"/>
      </w:pPr>
      <w:r>
        <w:rPr>
          <w:b/>
        </w:rPr>
        <w:t xml:space="preserve">摘要（ZH）: </w:t>
      </w:r>
      <w:r>
        <w:t>我们在此报告第一个由铜介介介的三成分组合组合体,即氟烷基铜([Cu I - CF 3]、[Cu I - CF 2 CO 2 Et]和[Cu I - CF 2 CO 2 Et]、一硝基苯前体(doxazolone)和一电极,其范围很广,并且史无前例地建造了环球N°C。</w:t>
      </w:r>
    </w:p>
    <w:p>
      <w:pPr>
        <w:spacing w:before="0" w:after="200" w:lineRule="auto" w:line="276"/>
      </w:pPr>
      <w:r>
        <w:rPr>
          <w:b/>
        </w:rPr>
        <w:t xml:space="preserve">Abstract (EN): </w:t>
      </w:r>
      <w:r>
        <w:t>We report herein the first copper‐mediated three‐component modular synthesis of</w:t>
      </w:r>
      <w:r>
        <w:t xml:space="preserve"> </w:t>
      </w:r>
      <w:r>
        <w:t>N</w:t>
      </w:r>
      <w:r>
        <w:t xml:space="preserve"> </w:t>
      </w:r>
      <w:r>
        <w:t>‐fluoroalkyl amides from fluoroalkylcopper species ([Cu</w:t>
      </w:r>
      <w:r>
        <w:t xml:space="preserve"> </w:t>
      </w:r>
      <w:r>
        <w:t>I</w:t>
      </w:r>
      <w:r>
        <w:t xml:space="preserve"> </w:t>
      </w:r>
      <w:r>
        <w:t>─CF</w:t>
      </w:r>
      <w:r>
        <w:rPr>
          <w:vertAlign w:val="subscript"/>
        </w:rPr>
        <w:t>3</w:t>
      </w:r>
      <w:r>
        <w:t>], [Cu</w:t>
      </w:r>
      <w:r>
        <w:t xml:space="preserve"> </w:t>
      </w:r>
      <w:r>
        <w:t>I</w:t>
      </w:r>
      <w:r>
        <w:t xml:space="preserve"> </w:t>
      </w:r>
      <w:r>
        <w:t>─CF</w:t>
      </w:r>
      <w:r>
        <w:rPr>
          <w:vertAlign w:val="subscript"/>
        </w:rPr>
        <w:t>2</w:t>
      </w:r>
      <w:r>
        <w:t>CO</w:t>
      </w:r>
      <w:r>
        <w:rPr>
          <w:vertAlign w:val="subscript"/>
        </w:rPr>
        <w:t>2</w:t>
      </w:r>
      <w:r>
        <w:t>Et], and [Cu</w:t>
      </w:r>
      <w:r>
        <w:t xml:space="preserve"> </w:t>
      </w:r>
      <w:r>
        <w:t>I</w:t>
      </w:r>
      <w:r>
        <w:t xml:space="preserve"> </w:t>
      </w:r>
      <w:r>
        <w:t>─C</w:t>
      </w:r>
      <w:r>
        <w:rPr>
          <w:vertAlign w:val="subscript"/>
        </w:rPr>
        <w:t>2</w:t>
      </w:r>
      <w:r>
        <w:t>F</w:t>
      </w:r>
      <w:r>
        <w:rPr>
          <w:vertAlign w:val="subscript"/>
        </w:rPr>
        <w:t>5</w:t>
      </w:r>
      <w:r>
        <w:t>]), a nitrene precursor (dioxazolone), and an electrophile, featuring broad substrate scope and the unprecedented construction of acyclic</w:t>
      </w:r>
      <w:r>
        <w:t xml:space="preserve"> </w:t>
      </w:r>
      <w:r>
        <w:t>N</w:t>
      </w:r>
      <w:r>
        <w:t xml:space="preserve"> </w:t>
      </w:r>
      <w:r>
        <w:t>‐C</w:t>
      </w:r>
      <w:r>
        <w:rPr>
          <w:vertAlign w:val="subscript"/>
        </w:rPr>
        <w:t>2</w:t>
      </w:r>
      <w:r>
        <w:t>F</w:t>
      </w:r>
      <w:r>
        <w:rPr>
          <w:vertAlign w:val="subscript"/>
        </w:rPr>
        <w:t>5</w:t>
      </w:r>
      <w:r>
        <w:t>and</w:t>
      </w:r>
      <w:r>
        <w:t xml:space="preserve"> </w:t>
      </w:r>
      <w:r>
        <w:t>N</w:t>
      </w:r>
      <w:r>
        <w:t xml:space="preserve"> </w:t>
      </w:r>
      <w:r>
        <w:t>‐CF</w:t>
      </w:r>
      <w:r>
        <w:rPr>
          <w:vertAlign w:val="subscript"/>
        </w:rPr>
        <w:t>2</w:t>
      </w:r>
      <w:r>
        <w:t>CO</w:t>
      </w:r>
      <w:r>
        <w:rPr>
          <w:vertAlign w:val="subscript"/>
        </w:rPr>
        <w:t>2</w:t>
      </w:r>
      <w:r>
        <w:t>Et structures. The reaction proceeds via reaction of the dioxazolone with the fluoroalkylcopper complex to generate a nitrene/Cu intermediate, followed by nitrene migratory insertion into the [Cu</w:t>
      </w:r>
      <w:r>
        <w:t xml:space="preserve"> </w:t>
      </w:r>
      <w:r>
        <w:t>I</w:t>
      </w:r>
      <w:r>
        <w:t xml:space="preserve"> </w:t>
      </w:r>
      <w:r>
        <w:t>─C</w:t>
      </w:r>
      <w:r>
        <w:t xml:space="preserve"> </w:t>
      </w:r>
      <w:r>
        <w:t>Rf</w:t>
      </w:r>
      <w:r>
        <w:t xml:space="preserve"> </w:t>
      </w:r>
      <w:r>
        <w:t>] bond as the pivotal step that directly forges the</w:t>
      </w:r>
      <w:r>
        <w:t xml:space="preserve"> </w:t>
      </w:r>
      <w:r>
        <w:t>N–</w:t>
      </w:r>
      <w:r>
        <w:t xml:space="preserve"> </w:t>
      </w:r>
      <w:r>
        <w:t>fluoroalkyl bond. Such a key step was supported by isolation and single‐crystal x‐ray characterization of intermediates [(</w:t>
      </w:r>
      <w:r>
        <w:t xml:space="preserve"> </w:t>
      </w:r>
      <w:r>
        <w:t>L1</w:t>
      </w:r>
      <w:r>
        <w:t xml:space="preserve"> </w:t>
      </w:r>
      <w:r>
        <w:t>)Cu</w:t>
      </w:r>
      <w:r>
        <w:t xml:space="preserve"> </w:t>
      </w:r>
      <w:r>
        <w:t>I</w:t>
      </w:r>
      <w:r>
        <w:t xml:space="preserve"> </w:t>
      </w:r>
      <w:r>
        <w:t>N(CF</w:t>
      </w:r>
      <w:r>
        <w:rPr>
          <w:vertAlign w:val="subscript"/>
        </w:rPr>
        <w:t>3</w:t>
      </w:r>
      <w:r>
        <w:t>)(COAr)]</w:t>
      </w:r>
      <w:r>
        <w:t xml:space="preserve"> </w:t>
      </w:r>
      <w:r>
        <w:t>5c</w:t>
      </w:r>
      <w:r>
        <w:t xml:space="preserve"> </w:t>
      </w:r>
      <w:r>
        <w:t>and [Cu</w:t>
      </w:r>
      <w:r>
        <w:t xml:space="preserve"> </w:t>
      </w:r>
      <w:r>
        <w:t>I</w:t>
      </w:r>
      <w:r>
        <w:t xml:space="preserve"> </w:t>
      </w:r>
      <w:r>
        <w:t>(N(CF</w:t>
      </w:r>
      <w:r>
        <w:rPr>
          <w:vertAlign w:val="subscript"/>
        </w:rPr>
        <w:t>3</w:t>
      </w:r>
      <w:r>
        <w:t>)(COAr))</w:t>
      </w:r>
      <w:r>
        <w:rPr>
          <w:vertAlign w:val="subscript"/>
        </w:rPr>
        <w:t>2</w:t>
      </w:r>
      <w:r>
        <w:t>]</w:t>
      </w:r>
      <w:r>
        <w:t xml:space="preserve"> </w:t>
      </w:r>
      <w:r>
        <w:t>−</w:t>
      </w:r>
      <w:r>
        <w:t>5d</w:t>
      </w:r>
      <w:r>
        <w:t xml:space="preserve"> </w:t>
      </w:r>
      <w:r>
        <w:t>. Leveraging the versatile reactivity of copper, these intermediates react with various electrophiles to access a wide range of</w:t>
      </w:r>
      <w:r>
        <w:t xml:space="preserve"> </w:t>
      </w:r>
      <w:r>
        <w:t>N</w:t>
      </w:r>
      <w:r>
        <w:t xml:space="preserve"> </w:t>
      </w:r>
      <w:r>
        <w:t>‐fluoroalkyl‐</w:t>
      </w:r>
      <w:r>
        <w:t xml:space="preserve"> </w:t>
      </w:r>
      <w:r>
        <w:t>N</w:t>
      </w:r>
      <w:r>
        <w:t xml:space="preserve"> </w:t>
      </w:r>
      <w:r>
        <w:t>‐alkyl(aryl)amides, and the derivatization of several drug molecules further demonstrates the synthetic utility of this approach.</w:t>
      </w:r>
    </w:p>
    <w:p>
      <w:pPr>
        <w:spacing w:before="120" w:after="120"/>
      </w:pPr>
      <w:r>
        <w:rPr>
          <w:sz w:val="18"/>
        </w:rPr>
        <w:t>——————————————————————————————————————————————————————————————————————</w:t>
      </w:r>
    </w:p>
    <w:p>
      <w:pPr>
        <w:spacing w:before="160" w:after="40" w:line="240" w:lineRule="auto"/>
      </w:pPr>
      <w:r>
        <w:rPr>
          <w:b/>
        </w:rPr>
        <w:t xml:space="preserve">[261] </w:t>
      </w:r>
      <w:hyperlink r:id="rId417">
        <w:r>
          <w:rPr>
            <w:color w:val="1155CC"/>
            <w:u w:val="single"/>
          </w:rPr>
          <w:t>CO CO CO Spillover 引导导导C - C CO CO2 将电减少二氧化碳与多碳产品结合</w:t>
        </w:r>
      </w:hyperlink>
    </w:p>
    <w:p>
      <w:pPr>
        <w:spacing w:before="0" w:after="80"/>
      </w:pPr>
      <w:r>
        <w:rPr>
          <w:i/>
          <w:sz w:val="20"/>
        </w:rPr>
        <w:t>EN: CO Spillover‐Induced Directed C─C Coupling for CO2 Electroreduction to Multicarbon Products</w:t>
      </w:r>
    </w:p>
    <w:p>
      <w:pPr>
        <w:spacing w:before="0" w:after="120"/>
      </w:pPr>
      <w:r>
        <w:rPr>
          <w:b/>
        </w:rPr>
        <w:t xml:space="preserve">Source: </w:t>
      </w:r>
      <w:r>
        <w:t>Wiley: Advanced Energy Materials: Table of Contents</w:t>
      </w:r>
      <w:r>
        <w:t xml:space="preserve">    </w:t>
      </w:r>
      <w:r>
        <w:rPr>
          <w:b/>
        </w:rPr>
        <w:t xml:space="preserve">Pub date: </w:t>
      </w:r>
      <w:r>
        <w:t>2026-02-10 05:07:58+00:00</w:t>
      </w:r>
      <w:r>
        <w:t xml:space="preserve">    </w:t>
      </w:r>
      <w:r>
        <w:rPr>
          <w:b/>
        </w:rPr>
        <w:t xml:space="preserve">DOI: </w:t>
      </w:r>
      <w:hyperlink r:id="rId418">
        <w:r>
          <w:rPr>
            <w:color w:val="1155CC"/>
            <w:u w:val="single"/>
          </w:rPr>
          <w:t>10.1002/aenm.202506792</w:t>
        </w:r>
      </w:hyperlink>
    </w:p>
    <w:p>
      <w:pPr>
        <w:spacing w:before="0" w:after="120"/>
      </w:pPr>
      <w:r>
        <w:rPr>
          <w:b/>
        </w:rPr>
        <w:t xml:space="preserve">Notes: </w:t>
      </w:r>
      <w:r>
        <w:t>abstract_source=crossref</w:t>
      </w:r>
    </w:p>
    <w:p>
      <w:pPr>
        <w:spacing w:before="0" w:after="80" w:lineRule="auto" w:line="276"/>
      </w:pPr>
      <w:r>
        <w:rPr>
          <w:b/>
        </w:rPr>
        <w:t xml:space="preserve">摘要（ZH）: </w:t>
      </w:r>
      <w:r>
        <w:t>ABSTACT 高效CO 2  + 聚碳(C 2+ + ) 电解转换受缓慢的 C - C 和 取决于吸附 *CO 的可提供量的动动脉结合的制约。我们证明,金属金属金属交界处直接的 CO 相互扩散的CO CO 溢出,取代常规的 CO 同步扩散,制约了多成分碳基催化剂的C 2+ 形成。我们通过工程COM(M = Ag, Pd) 与调和的CO 约束性强力的接口,在 *CO 溢出率和 C 2+ 部分当前密度之间建立了定量的缩放关系。 优化的 Cu@ Ag 催化剂促进了由 Ag 快速的 *CO 转移 。</w:t>
      </w:r>
    </w:p>
    <w:p>
      <w:pPr>
        <w:spacing w:before="0" w:after="200" w:lineRule="auto" w:line="276"/>
      </w:pPr>
      <w:r>
        <w:rPr>
          <w:b/>
        </w:rPr>
        <w:t xml:space="preserve">Abstract (EN): </w:t>
      </w:r>
      <w:r>
        <w:t>Efficient CO</w:t>
      </w:r>
      <w:r>
        <w:rPr>
          <w:vertAlign w:val="subscript"/>
        </w:rPr>
        <w:t>2</w:t>
      </w:r>
      <w:r>
        <w:t>‐to‐multicarbon (C</w:t>
      </w:r>
      <w:r>
        <w:t xml:space="preserve"> </w:t>
      </w:r>
      <w:r>
        <w:t>2+</w:t>
      </w:r>
      <w:r>
        <w:t xml:space="preserve"> </w:t>
      </w:r>
      <w:r>
        <w:t>) electroconversion is constrained by sluggish C─C coupling kinetics dependent on adsorbed *CO availability. We demonstrate that direct interfacial *CO spillover across metal‐metal junctions, replacing conventional tandem CO diffusion, governs C</w:t>
      </w:r>
      <w:r>
        <w:t xml:space="preserve"> </w:t>
      </w:r>
      <w:r>
        <w:t>2+</w:t>
      </w:r>
      <w:r>
        <w:t xml:space="preserve"> </w:t>
      </w:r>
      <w:r>
        <w:t>formation on multicomponent Cu‐based catalysts. By engineering CuM (M = Ag, Pd) interfaces with tuned CO‐binding strengths, we establish a quantitative scaling relationship between the *CO spillover rate and C</w:t>
      </w:r>
      <w:r>
        <w:t xml:space="preserve"> </w:t>
      </w:r>
      <w:r>
        <w:t>2+</w:t>
      </w:r>
      <w:r>
        <w:t xml:space="preserve"> </w:t>
      </w:r>
      <w:r>
        <w:t>partial current density. The optimized Cu@Ag catalyst promotes rapid *CO transfer from Ag to adjacent Cu sites, lowering the C─C coupling barrier and achieving ∼90% C</w:t>
      </w:r>
      <w:r>
        <w:t xml:space="preserve"> </w:t>
      </w:r>
      <w:r>
        <w:t>2+</w:t>
      </w:r>
      <w:r>
        <w:t xml:space="preserve"> </w:t>
      </w:r>
      <w:r>
        <w:t>Faradaic efficiency at 600 mA cm</w:t>
      </w:r>
      <w:r>
        <w:t xml:space="preserve"> </w:t>
      </w:r>
      <w:r>
        <w:t>−2</w:t>
      </w:r>
      <w:r>
        <w:t xml:space="preserve"> </w:t>
      </w:r>
      <w:r>
        <w:t>in a flow cell. Crucially, cyclic voltammetry under CO and operando attenuated total reflectance surface‐enhanced infrared absorption spectroscopy directly capture dynamic *CO migration and the emergence of *COCHO intermediates, providing explicit experimental evidence for spillover‐driven C─C coupling beyond a conceptual model. These results elevate *CO spillover from a qualitative hypothesis to a measurable design descriptor for building multi‐site interfaces toward efficient, selective, and scalable CO</w:t>
      </w:r>
      <w:r>
        <w:rPr>
          <w:vertAlign w:val="subscript"/>
        </w:rPr>
        <w:t>2</w:t>
      </w:r>
      <w:r>
        <w:t>‐to‐C</w:t>
      </w:r>
      <w:r>
        <w:t xml:space="preserve"> </w:t>
      </w:r>
      <w:r>
        <w:t>2+</w:t>
      </w:r>
      <w:r>
        <w:t xml:space="preserve"> </w:t>
      </w:r>
      <w:r>
        <w:t>electroconversion.</w:t>
      </w:r>
    </w:p>
    <w:p>
      <w:pPr>
        <w:spacing w:before="120" w:after="120"/>
      </w:pPr>
      <w:r>
        <w:rPr>
          <w:sz w:val="18"/>
        </w:rPr>
        <w:t>——————————————————————————————————————————————————————————————————————</w:t>
      </w:r>
    </w:p>
    <w:p>
      <w:pPr>
        <w:spacing w:before="160" w:after="40" w:line="240" w:lineRule="auto"/>
      </w:pPr>
      <w:r>
        <w:rPr>
          <w:b/>
        </w:rPr>
        <w:t xml:space="preserve">[262] </w:t>
      </w:r>
      <w:hyperlink r:id="rId419">
        <w:r>
          <w:rPr>
            <w:color w:val="1155CC"/>
            <w:u w:val="single"/>
          </w:rPr>
          <w:t>建造Alkenes和Thiols光催化硫氧化合成的基纳索lineBridged捐助方受共价有机框架</w:t>
        </w:r>
      </w:hyperlink>
    </w:p>
    <w:p>
      <w:pPr>
        <w:spacing w:before="0" w:after="80"/>
      </w:pPr>
      <w:r>
        <w:rPr>
          <w:i/>
          <w:sz w:val="20"/>
        </w:rPr>
        <w:t>EN: Construction of Quinazoline‐Bridged Donor‐Acceptor Covalent Organic Frameworks for Photocatalytic Sulfoxide Synthesis from Alkenes and Thiols</w:t>
      </w:r>
    </w:p>
    <w:p>
      <w:pPr>
        <w:spacing w:before="0" w:after="120"/>
      </w:pPr>
      <w:r>
        <w:rPr>
          <w:b/>
        </w:rPr>
        <w:t xml:space="preserve">Source: </w:t>
      </w:r>
      <w:r>
        <w:t>Wiley: Advanced Materials: Table of Contents</w:t>
      </w:r>
      <w:r>
        <w:t xml:space="preserve">    </w:t>
      </w:r>
      <w:r>
        <w:rPr>
          <w:b/>
        </w:rPr>
        <w:t xml:space="preserve">Pub date: </w:t>
      </w:r>
      <w:r>
        <w:t>2026-02-10 05:10:31+00:00</w:t>
      </w:r>
      <w:r>
        <w:t xml:space="preserve">    </w:t>
      </w:r>
      <w:r>
        <w:rPr>
          <w:b/>
        </w:rPr>
        <w:t xml:space="preserve">DOI: </w:t>
      </w:r>
      <w:hyperlink r:id="rId420">
        <w:r>
          <w:rPr>
            <w:color w:val="1155CC"/>
            <w:u w:val="single"/>
          </w:rPr>
          <w:t>10.1002/adma.202523654</w:t>
        </w:r>
      </w:hyperlink>
    </w:p>
    <w:p>
      <w:pPr>
        <w:spacing w:before="0" w:after="120"/>
      </w:pPr>
      <w:r>
        <w:rPr>
          <w:b/>
        </w:rPr>
        <w:t xml:space="preserve">Notes: </w:t>
      </w:r>
      <w:r>
        <w:t>abstract_source=crossref</w:t>
      </w:r>
    </w:p>
    <w:p>
      <w:pPr>
        <w:spacing w:before="0" w:after="80" w:lineRule="auto" w:line="276"/>
      </w:pPr>
      <w:r>
        <w:rPr>
          <w:b/>
        </w:rPr>
        <w:t xml:space="preserve">摘要（ZH）: </w:t>
      </w:r>
      <w:r>
        <w:t>作为新兴的晶体多孔材料类别,COF在光化等领域日益引起越来越多的注意。了解COF的联系化学如何影响其构造和光电化学特性以及光催化性能仍然是一项重大的挑战。这里,通过在氨源存在的情况下对1,3,6,6,8(四氯苯基)丙烯(TFPPy)和3,3'二苯基[1,1'-二苯基] 4,4'二胺(BD(Bz))和3,3'二苯基苯二胺(BT(Bz))进行三成份反应,集聚了两种五氯乙烯联苯基苯并呋喃(TF)和BT(Bz)-TF PFy-COF(CF)结合了五氯联苯结构单元、BD(Bz)和BT(PF1b)和BT(Bz)-PFy-COF(OF)的投影体投射管投射体接受器。</w:t>
      </w:r>
    </w:p>
    <w:p>
      <w:pPr>
        <w:spacing w:before="0" w:after="200" w:lineRule="auto" w:line="276"/>
      </w:pPr>
      <w:r>
        <w:rPr>
          <w:b/>
        </w:rPr>
        <w:t xml:space="preserve">Abstract (EN): </w:t>
      </w:r>
      <w:r>
        <w:t>As an emerging class of crystalline porous materials, COFs have attracted increasing attention in fields such as photocatalysis. Understanding how the linkage chemistry of COFs influences their construction and photoelectrochemical properties and photocatalytic performance remains a significant challenge. Herein, two quinazoline‐linked COFs are assembled by the condensation of 1,3,6,8‐tetra (4‐formylphenyl) pyrene (TFPPy) with 3,3'‐dibenzoyl‐[1,1'‐biphenyl]‐4,4'‐diamine (BD(Bz)) and 3,3'‐dibenzoyl‐4,4'‐terphenyl diamine (BT(Bz)) respectively through a three‐component reaction in the presence of an ammonia source. By integrating quinazoline linkage with pyrene structural unit, BD(Bz)‐TFPPy‐COF (COF‐1b) and BT(Bz)‐TFPPy‐COF (COF‐2b) exhibit electron donor‐acceptor properties and possess high chemical stability as well, which demonstrated excellent photocatalytic performance for the selective synthesis of sulfoxides from alkenes and thiols. Incorporation of linkage chemistry and building blocks selection of COFs provides effective strategies for modulating its optoelectronic properties to improve photocatalytic performance.</w:t>
      </w:r>
    </w:p>
    <w:p>
      <w:pPr>
        <w:spacing w:before="120" w:after="120"/>
      </w:pPr>
      <w:r>
        <w:rPr>
          <w:sz w:val="18"/>
        </w:rPr>
        <w:t>——————————————————————————————————————————————————————————————————————</w:t>
      </w:r>
    </w:p>
    <w:p>
      <w:pPr>
        <w:spacing w:before="160" w:after="40" w:line="240" w:lineRule="auto"/>
      </w:pPr>
      <w:r>
        <w:rPr>
          <w:b/>
        </w:rPr>
        <w:t xml:space="preserve">[263] </w:t>
      </w:r>
      <w:hyperlink r:id="rId421">
        <w:r>
          <w:rPr>
            <w:color w:val="1155CC"/>
            <w:u w:val="single"/>
          </w:rPr>
          <w:t>最小化Perovskite太阳能电池中效率损失的纳米胶合体工程</w:t>
        </w:r>
      </w:hyperlink>
    </w:p>
    <w:p>
      <w:pPr>
        <w:spacing w:before="0" w:after="80"/>
      </w:pPr>
      <w:r>
        <w:rPr>
          <w:i/>
          <w:sz w:val="20"/>
        </w:rPr>
        <w:t>EN: Nanoscale Colloids Engineering for Minimizing Efficiency Loss in Scalable Perovskite Solar Cells</w:t>
      </w:r>
    </w:p>
    <w:p>
      <w:pPr>
        <w:spacing w:before="0" w:after="120"/>
      </w:pPr>
      <w:r>
        <w:rPr>
          <w:b/>
        </w:rPr>
        <w:t xml:space="preserve">Source: </w:t>
      </w:r>
      <w:r>
        <w:t>Wiley: Advanced Materials: Table of Contents</w:t>
      </w:r>
      <w:r>
        <w:t xml:space="preserve">    </w:t>
      </w:r>
      <w:r>
        <w:rPr>
          <w:b/>
        </w:rPr>
        <w:t xml:space="preserve">Pub date: </w:t>
      </w:r>
      <w:r>
        <w:t>2026-02-10 05:11:11+00:00</w:t>
      </w:r>
      <w:r>
        <w:t xml:space="preserve">    </w:t>
      </w:r>
      <w:r>
        <w:rPr>
          <w:b/>
        </w:rPr>
        <w:t xml:space="preserve">DOI: </w:t>
      </w:r>
      <w:hyperlink r:id="rId422">
        <w:r>
          <w:rPr>
            <w:color w:val="1155CC"/>
            <w:u w:val="single"/>
          </w:rPr>
          <w:t>10.1002/adma.202520776</w:t>
        </w:r>
      </w:hyperlink>
    </w:p>
    <w:p>
      <w:pPr>
        <w:spacing w:before="0" w:after="120"/>
      </w:pPr>
      <w:r>
        <w:rPr>
          <w:b/>
        </w:rPr>
        <w:t xml:space="preserve">Notes: </w:t>
      </w:r>
      <w:r>
        <w:t>abstract_source=crossref</w:t>
      </w:r>
    </w:p>
    <w:p>
      <w:pPr>
        <w:spacing w:before="0" w:after="80" w:lineRule="auto" w:line="276"/>
      </w:pPr>
      <w:r>
        <w:rPr>
          <w:b/>
        </w:rPr>
        <w:t xml:space="preserve">摘要（ZH）: </w:t>
      </w:r>
      <w:r>
        <w:t>Perovskite太阳能电池(APSC)已经实现了显著的高功率转换效率(PCE),接近硅基太阳能电池的性能,然而,在保持高效率的同时提升PSC仍是一项重大挑战。在这里,我们报告,通过用活离子稳定凝固类固醇,可缩放的PSC效率损失微不足道。 室内阴离子提高了对椰子表面的充电密度,强化了电静电回击,防止了粒子聚集。这极大地将椰子尺寸降至约30海里,促进了同质核分离,使高质量的百草薄膜从小地区可升级到环境空气中的小型模块大小。因此,PSC实现了PCE。</w:t>
      </w:r>
    </w:p>
    <w:p>
      <w:pPr>
        <w:spacing w:before="0" w:after="200" w:lineRule="auto" w:line="276"/>
      </w:pPr>
      <w:r>
        <w:rPr>
          <w:b/>
        </w:rPr>
        <w:t xml:space="preserve">Abstract (EN): </w:t>
      </w:r>
      <w:r>
        <w:t>Perovskite solar cells (PSCs) have achieved significantly high power conversion efficiencies (PCEs), approaching the performance of silicon‐based solar cells. However, scaling up PSCs while maintaining high‐efficiency remains a significant challenge. Here, we report a negligible efficiency loss in scalable PSCs by formate anions stabilized colloids. The formate anions enhance the charge density on colloidal surfaces, strengthening electrostatic repulsion and preventing particle aggregation. This significantly reduces colloidal size to around 30 nm and promotes homogeneous nucleation, allowing the scalable fabrication of high‐quality perovskite thin films from a small area to mini module size in ambient air. As a result, PSCs achieved PCEs of 24.30% (1 cm</w:t>
      </w:r>
      <w:r>
        <w:rPr>
          <w:vertAlign w:val="subscript"/>
        </w:rPr>
        <w:t>2</w:t>
      </w:r>
      <w:r>
        <w:t>) and 24.10% (12.6 cm</w:t>
      </w:r>
      <w:r>
        <w:rPr>
          <w:vertAlign w:val="subscript"/>
        </w:rPr>
        <w:t>2</w:t>
      </w:r>
      <w:r>
        <w:t>, 5 cm  ×  5 cm mini module), with negligible efficiency loss upon scaling. To the best of our knowledge, this represents the highest efficiency reported for mini‐modules. Most importantly, the encapsulated mini module retained 95% of their initial efficiency after 1000 h of operation at maximum power point tracking in ambient air.</w:t>
      </w:r>
    </w:p>
    <w:p>
      <w:pPr>
        <w:spacing w:before="120" w:after="120"/>
      </w:pPr>
      <w:r>
        <w:rPr>
          <w:sz w:val="18"/>
        </w:rPr>
        <w:t>——————————————————————————————————————————————————————————————————————</w:t>
      </w:r>
    </w:p>
    <w:p>
      <w:pPr>
        <w:spacing w:before="160" w:after="40" w:line="240" w:lineRule="auto"/>
      </w:pPr>
      <w:r>
        <w:rPr>
          <w:b/>
        </w:rPr>
        <w:t xml:space="preserve">[264] </w:t>
      </w:r>
      <w:hyperlink r:id="rId423">
        <w:r>
          <w:rPr>
            <w:color w:val="1155CC"/>
            <w:u w:val="single"/>
          </w:rPr>
          <w:t>Ligand对硝基(OH)2的有机芳烃酒精催动电催化脱氧化剂进行Ligand编码</w:t>
        </w:r>
      </w:hyperlink>
    </w:p>
    <w:p>
      <w:pPr>
        <w:spacing w:before="0" w:after="80"/>
      </w:pPr>
      <w:r>
        <w:rPr>
          <w:i/>
          <w:sz w:val="20"/>
        </w:rPr>
        <w:t>EN: Product Ligand‐Modification on Ni(OH)2 for Boosted Electrocatalytic Oxidation of Aromatic Alcohols</w:t>
      </w:r>
    </w:p>
    <w:p>
      <w:pPr>
        <w:spacing w:before="0" w:after="120"/>
      </w:pPr>
      <w:r>
        <w:rPr>
          <w:b/>
        </w:rPr>
        <w:t xml:space="preserve">Source: </w:t>
      </w:r>
      <w:r>
        <w:t>Wiley: Angewandte Chemie International Edition: Table of Contents</w:t>
      </w:r>
      <w:r>
        <w:t xml:space="preserve">    </w:t>
      </w:r>
      <w:r>
        <w:rPr>
          <w:b/>
        </w:rPr>
        <w:t xml:space="preserve">Pub date: </w:t>
      </w:r>
      <w:r>
        <w:t>2026-02-10 05:12:36+00:00</w:t>
      </w:r>
      <w:r>
        <w:t xml:space="preserve">    </w:t>
      </w:r>
      <w:r>
        <w:rPr>
          <w:b/>
        </w:rPr>
        <w:t xml:space="preserve">DOI: </w:t>
      </w:r>
      <w:hyperlink r:id="rId424">
        <w:r>
          <w:rPr>
            <w:color w:val="1155CC"/>
            <w:u w:val="single"/>
          </w:rPr>
          <w:t>10.1002/anie.202525813</w:t>
        </w:r>
      </w:hyperlink>
    </w:p>
    <w:p>
      <w:pPr>
        <w:spacing w:before="0" w:after="120"/>
      </w:pPr>
      <w:r>
        <w:rPr>
          <w:b/>
        </w:rPr>
        <w:t xml:space="preserve">Notes: </w:t>
      </w:r>
      <w:r>
        <w:t>abstract_source=crossref</w:t>
      </w:r>
    </w:p>
    <w:p>
      <w:pPr>
        <w:spacing w:before="0" w:after="80" w:lineRule="auto" w:line="276"/>
      </w:pPr>
      <w:r>
        <w:rPr>
          <w:b/>
        </w:rPr>
        <w:t xml:space="preserve">摘要（ZH）: </w:t>
      </w:r>
      <w:r>
        <w:t>为将生物质衍生的芳香醇转化为增值酸而开发活性电动催化剂具有重大意义。Ni(OH)2作为一种具有成本效益的催化剂被使用,遗憾的是,由于大量能源屏障转化为活跃的NiOOH,而且与反应者的互动不力,催化活动相当低,因此受到相当低的催化活动的影响。为克服这些限制,此处建议了一种新型的“产品离子化”(PLM)战略,仅采用目标分子离心机作为改造单位,同时通过深层的堆叠互动促进Ni(II)/Ni(III)再毒动力学,并大大丰富了催化表面的反应剂。</w:t>
      </w:r>
    </w:p>
    <w:p>
      <w:pPr>
        <w:spacing w:before="0" w:after="200" w:lineRule="auto" w:line="276"/>
      </w:pPr>
      <w:r>
        <w:rPr>
          <w:b/>
        </w:rPr>
        <w:t xml:space="preserve">Abstract (EN): </w:t>
      </w:r>
      <w:r>
        <w:t>The development of active electrocatalysts for converting biomass‐derived aromatic alcohols into value‐added acids is of great significance. Ni(OH)</w:t>
      </w:r>
      <w:r>
        <w:rPr>
          <w:vertAlign w:val="subscript"/>
        </w:rPr>
        <w:t>2</w:t>
      </w:r>
      <w:r>
        <w:t>has been employed as a cost‐effective catalyst, unfortunately, suffering from rather low catalytic activity due to the considerable energy barrier to transform into active NiOOH and the weak interaction with reactants. To address these limitations, a novel “product ligand‐modification” (PLM) strategy has been proposed here simply by adopting the target molecule ligands as modification units, which simultaneously facilitates the Ni(II)/Ni(III) redox kinetics and significantly enriches reactants at the catalytic surface via profound π‐π stacking interaction. The PLM strategy has been demonstrated to exhibit exceptionally high performance in electro‐oxidizing aromatic alcohols into corresponding acids across various product ligand‐Ni(OH)</w:t>
      </w:r>
      <w:r>
        <w:rPr>
          <w:vertAlign w:val="subscript"/>
        </w:rPr>
        <w:t>2</w:t>
      </w:r>
      <w:r>
        <w:t>(PL‐Ni(OH)</w:t>
      </w:r>
      <w:r>
        <w:rPr>
          <w:vertAlign w:val="subscript"/>
        </w:rPr>
        <w:t>2</w:t>
      </w:r>
      <w:r>
        <w:t>) catalysts. As a typical paradigm, the aromatic ligand FDCA‐modified Ni(OH)</w:t>
      </w:r>
      <w:r>
        <w:rPr>
          <w:vertAlign w:val="subscript"/>
        </w:rPr>
        <w:t>2</w:t>
      </w:r>
      <w:r>
        <w:t>catalyst (termed FDCA‐Ni(OH)</w:t>
      </w:r>
      <w:r>
        <w:rPr>
          <w:vertAlign w:val="subscript"/>
        </w:rPr>
        <w:t>2</w:t>
      </w:r>
      <w:r>
        <w:t>) demonstrates significantly enhanced BHMF electrocatalytic oxidation activity, featuring a BHMF conversion rate of &amp;gt;99.4%, FDCA selectivity and yield of 99.2% and 98.6%, and Faradaic efficiency of 99.0%. Furthermore, FDCA‐Ni(OH)</w:t>
      </w:r>
      <w:r>
        <w:rPr>
          <w:vertAlign w:val="subscript"/>
        </w:rPr>
        <w:t>2</w:t>
      </w:r>
      <w:r>
        <w:t>features an excellent stability for over 250 h in a flow electrolyzer to produce FDCA with a &amp;gt;99.0% purity. This PLM strategy offers valuable insights into the performance enhancement of Ni(OH)</w:t>
      </w:r>
      <w:r>
        <w:rPr>
          <w:vertAlign w:val="subscript"/>
        </w:rPr>
        <w:t>2</w:t>
      </w:r>
      <w:r>
        <w:t>catalyst for the targeted conversion of aromatic reactants.</w:t>
      </w:r>
    </w:p>
    <w:p>
      <w:pPr>
        <w:spacing w:before="120" w:after="120"/>
      </w:pPr>
      <w:r>
        <w:rPr>
          <w:sz w:val="18"/>
        </w:rPr>
        <w:t>——————————————————————————————————————————————————————————————————————</w:t>
      </w:r>
    </w:p>
    <w:p>
      <w:pPr>
        <w:spacing w:before="160" w:after="40" w:line="240" w:lineRule="auto"/>
      </w:pPr>
      <w:r>
        <w:rPr>
          <w:b/>
        </w:rPr>
        <w:t xml:space="preserve">[265] </w:t>
      </w:r>
      <w:hyperlink r:id="rId425">
        <w:r>
          <w:rPr>
            <w:color w:val="1155CC"/>
            <w:u w:val="single"/>
          </w:rPr>
          <w:t>以光系统I为基础的光合-呼吸-呼吸电子运输链芯片和二氧化石上的细胞相色素氧化酶</w:t>
        </w:r>
      </w:hyperlink>
    </w:p>
    <w:p>
      <w:pPr>
        <w:spacing w:before="0" w:after="80"/>
      </w:pPr>
      <w:r>
        <w:rPr>
          <w:i/>
          <w:sz w:val="20"/>
        </w:rPr>
        <w:t>EN: A photosynthetic–respiratory electron transport chain chimera based on photosystem I and cytochrome c oxidase on graphene oxide</w:t>
      </w:r>
    </w:p>
    <w:p>
      <w:pPr>
        <w:spacing w:before="0" w:after="120"/>
      </w:pPr>
      <w:r>
        <w:rPr>
          <w:b/>
        </w:rPr>
        <w:t xml:space="preserve">Source: </w:t>
      </w:r>
      <w:r>
        <w:t>Proceedings of the National Academy of Sciences: Keyword search for query</w:t>
      </w:r>
      <w:r>
        <w:t xml:space="preserve">    </w:t>
      </w:r>
      <w:r>
        <w:rPr>
          <w:b/>
        </w:rPr>
        <w:t xml:space="preserve">Pub date: </w:t>
      </w:r>
      <w:r>
        <w:t>2026-02-10 08:00:00+00:00</w:t>
      </w:r>
      <w:r>
        <w:t xml:space="preserve">    </w:t>
      </w:r>
      <w:r>
        <w:rPr>
          <w:b/>
        </w:rPr>
        <w:t xml:space="preserve">DOI: </w:t>
      </w:r>
      <w:hyperlink r:id="rId426">
        <w:r>
          <w:rPr>
            <w:color w:val="1155CC"/>
            <w:u w:val="single"/>
          </w:rPr>
          <w:t>10.1073/pnas.2524884123</w:t>
        </w:r>
      </w:hyperlink>
    </w:p>
    <w:p>
      <w:pPr>
        <w:spacing w:before="0" w:after="120"/>
      </w:pPr>
      <w:r>
        <w:rPr>
          <w:b/>
        </w:rPr>
        <w:t xml:space="preserve">Notes: </w:t>
      </w:r>
      <w:r>
        <w:t>abstract_source=crossref</w:t>
      </w:r>
    </w:p>
    <w:p>
      <w:pPr>
        <w:spacing w:before="0" w:after="80" w:lineRule="auto" w:line="276"/>
      </w:pPr>
      <w:r>
        <w:rPr>
          <w:b/>
        </w:rPr>
        <w:t xml:space="preserve">摘要（ZH）: </w:t>
      </w:r>
      <w:r>
        <w:t>2D纳米纳米材料上的酶蛋白自我组装使可行的生化途径得以建造和功能控制,然而,将光合和呼吸电子运输链的基本要素结合在一起的酶级联仍然遥不可及。在这里,我们调查了在石化氧化纳米纳米表层表面的一号光子系统I和细胞色素氧化酶,通过尼协调点将碳基岩平面连接起来,可忽略不计的寄生虫O 2消耗量,促进了酶的定向固定化。中转吸收和电化学测量提供了证据。</w:t>
      </w:r>
    </w:p>
    <w:p>
      <w:pPr>
        <w:spacing w:before="0" w:after="200" w:lineRule="auto" w:line="276"/>
      </w:pPr>
      <w:r>
        <w:rPr>
          <w:b/>
        </w:rPr>
        <w:t xml:space="preserve">Abstract (EN): </w:t>
      </w:r>
      <w:r>
        <w:t>The self-assembly of enzyme proteins on 2D nanomaterials has enabled the construction and functional control of viable biochemical pathways. However, enzymatic cascades, which combine essential components of the photosynthetic and respiratory electron transport chains in tandem, have thus-far remained elusive. Herein, we have investigated a galvanic biohybrid nanosystem coupling photosystem I and cytochrome</w:t>
      </w:r>
      <w:r>
        <w:t xml:space="preserve"> </w:t>
      </w:r>
      <w:r>
        <w:t>c</w:t>
      </w:r>
      <w:r>
        <w:t xml:space="preserve"> </w:t>
      </w:r>
      <w:r>
        <w:t>oxidase on the surface of graphene oxide nanosheets in colloidal suspension. The oriented immobilization of the enzymes was facilitated by Ni-coordination sites tethered to the carbon basal plane, with negligible parasitic O</w:t>
      </w:r>
      <w:r>
        <w:rPr>
          <w:vertAlign w:val="subscript"/>
        </w:rPr>
        <w:t>2</w:t>
      </w:r>
      <w:r>
        <w:t>consumption. Transient absorption and electrochemical measurements provided evidence of electron transfer between donors and acceptors, leading to light-induced O</w:t>
      </w:r>
      <w:r>
        <w:rPr>
          <w:vertAlign w:val="subscript"/>
        </w:rPr>
        <w:t>2</w:t>
      </w:r>
      <w:r>
        <w:t>consumption of up to 70 out of 120 O</w:t>
      </w:r>
      <w:r>
        <w:rPr>
          <w:vertAlign w:val="subscript"/>
        </w:rPr>
        <w:t>2</w:t>
      </w:r>
      <w:r>
        <w:t>molecules/s/CcO unit. Graphene oxide behaves as an electronic reservoir and as an electroactive support, enabling electron transport, in concert with cytochrome</w:t>
      </w:r>
      <w:r>
        <w:t xml:space="preserve"> </w:t>
      </w:r>
      <w:r>
        <w:t>c</w:t>
      </w:r>
      <w:r>
        <w:t xml:space="preserve"> </w:t>
      </w:r>
      <w:r>
        <w:t>, as well as small-molecule redox mediators and reductants. This study provides a state-of-the-art approach for the exploration of photoelectron transfer in membrane-free suspensions of nanosurface-anchored photosynthetic–respiratory enzymatic chains.</w:t>
      </w:r>
    </w:p>
    <w:p>
      <w:pPr>
        <w:spacing w:before="120" w:after="120"/>
      </w:pPr>
      <w:r>
        <w:rPr>
          <w:sz w:val="18"/>
        </w:rPr>
        <w:t>——————————————————————————————————————————————————————————————————————</w:t>
      </w:r>
    </w:p>
    <w:p>
      <w:pPr>
        <w:spacing w:before="160" w:after="40" w:line="240" w:lineRule="auto"/>
      </w:pPr>
      <w:r>
        <w:rPr>
          <w:b/>
        </w:rPr>
        <w:t xml:space="preserve">[266] </w:t>
      </w:r>
      <w:hyperlink r:id="rId427">
        <w:r>
          <w:rPr>
            <w:color w:val="1155CC"/>
            <w:u w:val="single"/>
          </w:rPr>
          <w:t>甲基硫化物特定非可逆的不可逆生物同化:推进精精密蛋白变异</w:t>
        </w:r>
      </w:hyperlink>
    </w:p>
    <w:p>
      <w:pPr>
        <w:spacing w:before="0" w:after="80"/>
      </w:pPr>
      <w:r>
        <w:rPr>
          <w:i/>
          <w:sz w:val="20"/>
        </w:rPr>
        <w:t>EN: Methionine-specific nonreversible bioconjugation: Advancing precision protein modification</w:t>
      </w:r>
    </w:p>
    <w:p>
      <w:pPr>
        <w:spacing w:before="0" w:after="120"/>
      </w:pPr>
      <w:r>
        <w:rPr>
          <w:b/>
        </w:rPr>
        <w:t xml:space="preserve">Source: </w:t>
      </w:r>
      <w:r>
        <w:t>Proceedings of the National Academy of Sciences: Keyword search for query</w:t>
      </w:r>
      <w:r>
        <w:t xml:space="preserve">    </w:t>
      </w:r>
      <w:r>
        <w:rPr>
          <w:b/>
        </w:rPr>
        <w:t xml:space="preserve">Pub date: </w:t>
      </w:r>
      <w:r>
        <w:t>2026-02-10 08:00:00+00:00</w:t>
      </w:r>
      <w:r>
        <w:t xml:space="preserve">    </w:t>
      </w:r>
      <w:r>
        <w:rPr>
          <w:b/>
        </w:rPr>
        <w:t xml:space="preserve">DOI: </w:t>
      </w:r>
      <w:hyperlink r:id="rId428">
        <w:r>
          <w:rPr>
            <w:color w:val="1155CC"/>
            <w:u w:val="single"/>
          </w:rPr>
          <w:t>10.1073/pnas.2519038123</w:t>
        </w:r>
      </w:hyperlink>
    </w:p>
    <w:p>
      <w:pPr>
        <w:spacing w:before="0" w:after="120"/>
      </w:pPr>
      <w:r>
        <w:rPr>
          <w:b/>
        </w:rPr>
        <w:t xml:space="preserve">Notes: </w:t>
      </w:r>
      <w:r>
        <w:t>abstract_source=crossref</w:t>
      </w:r>
    </w:p>
    <w:p>
      <w:pPr>
        <w:spacing w:before="0" w:after="80" w:lineRule="auto" w:line="276"/>
      </w:pPr>
      <w:r>
        <w:rPr>
          <w:b/>
        </w:rPr>
        <w:t xml:space="preserve">摘要（ZH）: </w:t>
      </w:r>
      <w:r>
        <w:t>我们提出了一个甲基硫磷选择性、不可逆的生物合成战略,在与各种和蛋白质相兼容的温和、水反应条件下使用活性 Allic 溴化物。与常规的 Alylic 溴化物相比,我们的方法提高了共和物稳定性,抑制了在受检查反应条件下的非特定反应性。这种方法使甲硫磷类人能够以甲硫代物和蛋白为首贴标签,并在共价抑制剂设计和蛋白质功能化中提供概念验证应用。作为现有甲硫磷生物合成战略的补充,这种化学扩大了可用于蛋白改变和化学生物学研究的工具包。</w:t>
      </w:r>
    </w:p>
    <w:p>
      <w:pPr>
        <w:spacing w:before="0" w:after="200" w:lineRule="auto" w:line="276"/>
      </w:pPr>
      <w:r>
        <w:rPr>
          <w:b/>
        </w:rPr>
        <w:t xml:space="preserve">Abstract (EN): </w:t>
      </w:r>
      <w:r>
        <w:t>We present a methionine-selective, nonreversible bioconjugation strategy that employs activated allylic bromides under mild, aqueous reaction conditions compatible with various peptides and proteins. Compared with conventional allylic bromides, our method improves conjugate stability and suppresses nonspecific reactivity under the examined reaction conditions. This method enables methionine-preferred labeling of peptides and proteins, and provides proof-of-concept applications in covalent inhibitor design and protein functionalization. As a complementary addition to existing methionine bioconjugation strategies, this chemistry expands the toolkit available for protein modification and chemical biology research.</w:t>
      </w:r>
    </w:p>
    <w:p>
      <w:pPr>
        <w:spacing w:before="120" w:after="120"/>
      </w:pPr>
      <w:r>
        <w:rPr>
          <w:sz w:val="18"/>
        </w:rPr>
        <w:t>——————————————————————————————————————————————————————————————————————</w:t>
      </w:r>
    </w:p>
    <w:p>
      <w:pPr>
        <w:spacing w:before="160" w:after="40" w:line="240" w:lineRule="auto"/>
      </w:pPr>
      <w:r>
        <w:rPr>
          <w:b/>
        </w:rPr>
        <w:t xml:space="preserve">[267] </w:t>
      </w:r>
      <w:hyperlink r:id="rId429">
        <w:r>
          <w:rPr>
            <w:color w:val="1155CC"/>
            <w:u w:val="single"/>
          </w:rPr>
          <w:t>活性液体晶体:从集体行为到离散的丝状</w:t>
        </w:r>
      </w:hyperlink>
    </w:p>
    <w:p>
      <w:pPr>
        <w:spacing w:before="0" w:after="80"/>
      </w:pPr>
      <w:r>
        <w:rPr>
          <w:i/>
          <w:sz w:val="20"/>
        </w:rPr>
        <w:t>EN: Human mitotic spindles as active liquid crystals: From collective behaviors to discrete filaments</w:t>
      </w:r>
    </w:p>
    <w:p>
      <w:pPr>
        <w:spacing w:before="0" w:after="120"/>
      </w:pPr>
      <w:r>
        <w:rPr>
          <w:b/>
        </w:rPr>
        <w:t xml:space="preserve">Source: </w:t>
      </w:r>
      <w:r>
        <w:t>Proceedings of the National Academy of Sciences: Keyword search for query</w:t>
      </w:r>
      <w:r>
        <w:t xml:space="preserve">    </w:t>
      </w:r>
      <w:r>
        <w:rPr>
          <w:b/>
        </w:rPr>
        <w:t xml:space="preserve">Pub date: </w:t>
      </w:r>
      <w:r>
        <w:t>2026-02-10 08:00:00+00:00</w:t>
      </w:r>
      <w:r>
        <w:t xml:space="preserve">    </w:t>
      </w:r>
      <w:r>
        <w:rPr>
          <w:b/>
        </w:rPr>
        <w:t xml:space="preserve">DOI: </w:t>
      </w:r>
      <w:hyperlink r:id="rId430">
        <w:r>
          <w:rPr>
            <w:color w:val="1155CC"/>
            <w:u w:val="single"/>
          </w:rPr>
          <w:t>10.1073/pnas.2520490123</w:t>
        </w:r>
      </w:hyperlink>
    </w:p>
    <w:p>
      <w:pPr>
        <w:spacing w:before="0" w:after="120"/>
      </w:pPr>
      <w:r>
        <w:rPr>
          <w:b/>
        </w:rPr>
        <w:t xml:space="preserve">Notes: </w:t>
      </w:r>
      <w:r>
        <w:t>abstract_source=crossref</w:t>
      </w:r>
    </w:p>
    <w:p>
      <w:pPr>
        <w:spacing w:before="0" w:after="80" w:lineRule="auto" w:line="276"/>
      </w:pPr>
      <w:r>
        <w:rPr>
          <w:b/>
        </w:rPr>
        <w:t xml:space="preserve">摘要（ZH）: </w:t>
      </w:r>
      <w:r>
        <w:t>通过将静态的、纳米分辨率的、大规模电子断层造影和动态的、光解的、两极化的光显微镜,我们测试人体组织培养细胞中线状脊椎的活液体晶晶体连续理论。在微长尺度上,通过光学显微显微镜探测,连续理论准确地捕捉了脊椎形态学和波动光谱,表明当地的相互作用-聚合、对齐、扩散和极地迁移-控制了人类微浮质中MTs的集体行为。</w:t>
      </w:r>
    </w:p>
    <w:p>
      <w:pPr>
        <w:spacing w:before="0" w:after="200" w:lineRule="auto" w:line="276"/>
      </w:pPr>
      <w:r>
        <w:rPr>
          <w:b/>
        </w:rPr>
        <w:t xml:space="preserve">Abstract (EN): </w:t>
      </w:r>
      <w:r>
        <w:t>How thousands of microtubules (MTs) and molecular motors self-organize into spindles remains poorly understood. By combining static, nanometer-resolution, large-scale electron tomography reconstructions and dynamic, optical-resolution, polarized light microscopy, we test an active liquid crystal continuum theory of mitotic spindles in human tissue culture cells. At micron length scales, probed by optical microscopy, the continuum theory accurately captures spindle morphology and fluctuation spectra, indicating that local interactions-polymerization, alignment, diffusion, and polar transport-govern the collective behaviors of MTs in human mitotic spindles. Electron tomography data enables tests of the continuum theory at submicron scales, revealing that chromosome-attached kinetochore microtubules (KMTs) show distinctive lateral organization not explained by the coarse-grained theory, while the non-KMTs that make up the bulk of the spindle follow the theory down to ∼300 nm length scales. At length scales below ∼300 nm, fluctuations arising from the intrinsic discreteness of the microtubule ensemble dominate over the collective correlations predicted from the continuum theory. Taken together, these findings show that an active liquid-crystal theory can quantitatively capture the self-organization of human mitotic spindles on long length scales and provides a means to measure the spindle’s material properties, while also pointing to the existence of additional processes contributing to the behaviors of KMTs.</w:t>
      </w:r>
    </w:p>
    <w:p>
      <w:pPr>
        <w:spacing w:before="120" w:after="120"/>
      </w:pPr>
      <w:r>
        <w:rPr>
          <w:sz w:val="18"/>
        </w:rPr>
        <w:t>——————————————————————————————————————————————————————————————————————</w:t>
      </w:r>
    </w:p>
    <w:p>
      <w:pPr>
        <w:spacing w:before="160" w:after="40" w:line="240" w:lineRule="auto"/>
      </w:pPr>
      <w:r>
        <w:rPr>
          <w:b/>
        </w:rPr>
        <w:t xml:space="preserve">[268] </w:t>
      </w:r>
      <w:hyperlink r:id="rId431">
        <w:r>
          <w:rPr>
            <w:color w:val="1155CC"/>
            <w:u w:val="single"/>
          </w:rPr>
          <w:t>与聚合物一起学习自然的装配语言</w:t>
        </w:r>
      </w:hyperlink>
    </w:p>
    <w:p>
      <w:pPr>
        <w:spacing w:before="0" w:after="80"/>
      </w:pPr>
      <w:r>
        <w:rPr>
          <w:i/>
          <w:sz w:val="20"/>
        </w:rPr>
        <w:t>EN: Learning nature’s assembly language with polymers</w:t>
      </w:r>
    </w:p>
    <w:p>
      <w:pPr>
        <w:spacing w:before="0" w:after="120"/>
      </w:pPr>
      <w:r>
        <w:rPr>
          <w:b/>
        </w:rPr>
        <w:t xml:space="preserve">Source: </w:t>
      </w:r>
      <w:r>
        <w:t>Proceedings of the National Academy of Sciences: Keyword search for query</w:t>
      </w:r>
      <w:r>
        <w:t xml:space="preserve">    </w:t>
      </w:r>
      <w:r>
        <w:rPr>
          <w:b/>
        </w:rPr>
        <w:t xml:space="preserve">Pub date: </w:t>
      </w:r>
      <w:r>
        <w:t>2026-02-10 08:00:00+00:00</w:t>
      </w:r>
      <w:r>
        <w:t xml:space="preserve">    </w:t>
      </w:r>
      <w:r>
        <w:rPr>
          <w:b/>
        </w:rPr>
        <w:t xml:space="preserve">DOI: </w:t>
      </w:r>
      <w:hyperlink r:id="rId432">
        <w:r>
          <w:rPr>
            <w:color w:val="1155CC"/>
            <w:u w:val="single"/>
          </w:rPr>
          <w:t>10.1073/pnas.2519094123</w:t>
        </w:r>
      </w:hyperlink>
    </w:p>
    <w:p>
      <w:pPr>
        <w:spacing w:before="0" w:after="120"/>
      </w:pPr>
      <w:r>
        <w:rPr>
          <w:b/>
        </w:rPr>
        <w:t xml:space="preserve">Notes: </w:t>
      </w:r>
      <w:r>
        <w:t>abstract_source=crossref</w:t>
      </w:r>
    </w:p>
    <w:p>
      <w:pPr>
        <w:spacing w:before="0" w:after="80" w:lineRule="auto" w:line="276"/>
      </w:pPr>
      <w:r>
        <w:rPr>
          <w:b/>
        </w:rPr>
        <w:t xml:space="preserve">摘要（ZH）: </w:t>
      </w:r>
      <w:r>
        <w:t>物质在定序结构中的自我组装在自然和工程设计系统中是无处不在的。 通过分子级结构控制来规划材料的宏观特征是一项巨大的科学挑战,需要使用反向设计方法来设计目标分子以实现特定的自我组装结构。一个作为反向设计算法共同证明基础的模型系统是块状共聚物。在这些系统中,自相容的字段理论(SFCT)提供了一个强大的热力模型,用于预测特定分子序列的自我组装。这项工作提出了一种计算算法,可以学习反向翻译,允许不同分子序列实现目标结构。该算法以发展为基础。</w:t>
      </w:r>
    </w:p>
    <w:p>
      <w:pPr>
        <w:spacing w:before="0" w:after="200" w:lineRule="auto" w:line="276"/>
      </w:pPr>
      <w:r>
        <w:rPr>
          <w:b/>
        </w:rPr>
        <w:t xml:space="preserve">Abstract (EN): </w:t>
      </w:r>
      <w:r>
        <w:t>The self-assembly of matter into ordered structures is ubiquitous throughout nature and engineered systems. Programming a material’s macroscopic properties via molecular-level structural control is a grand scientific challenge, requiring methods for inverse design that can design a targeted molecule to achieve a given self-assembled structure. One model system that serves as a common proving ground for inverse design algorithms is block copolymers. In these systems, self-consistent field-theory (SCFT) provides a robust thermodynamic model for predicting self-assembly for a given molecular sequence. This work presents a computational algorithm which learns the reverse translation, allowing a target structure to be achieved by varying molecular sequence. The algorithm is based on development of an adjoint solution of the SCFT equations allowing incorporation of automatic differentiation. The power of this algorithm is demonstrated by inverse designing polymer sequences to yield equilibrium structures, resolving the long-standing dilemma of navigating the combinatorial explosion of sequence possibilities offered by complex copolymer designs. The inverse designed sequences show that the algorithm learns to modulate unfavorable block interactions to stabilize these complex morphologies. By learning how to program self-assembly at the molecular-level using only a thermodynamic model, this work opens the door to similar computational inverse design across other soft matter systems.</w:t>
      </w:r>
    </w:p>
    <w:p>
      <w:pPr>
        <w:spacing w:before="120" w:after="120"/>
      </w:pPr>
      <w:r>
        <w:rPr>
          <w:sz w:val="18"/>
        </w:rPr>
        <w:t>——————————————————————————————————————————————————————————————————————</w:t>
      </w:r>
    </w:p>
    <w:p>
      <w:pPr>
        <w:spacing w:before="160" w:after="40" w:line="240" w:lineRule="auto"/>
      </w:pPr>
      <w:r>
        <w:rPr>
          <w:b/>
        </w:rPr>
        <w:t xml:space="preserve">[269] </w:t>
      </w:r>
      <w:hyperlink r:id="rId433">
        <w:r>
          <w:rPr>
            <w:color w:val="1155CC"/>
            <w:u w:val="single"/>
          </w:rPr>
          <w:t>正在发育的人类小脑骨骼的突发性直系起源揭示出Bergmann glia的动态层层</w:t>
        </w:r>
      </w:hyperlink>
    </w:p>
    <w:p>
      <w:pPr>
        <w:spacing w:before="0" w:after="80"/>
      </w:pPr>
      <w:r>
        <w:rPr>
          <w:i/>
          <w:sz w:val="20"/>
        </w:rPr>
        <w:t>EN: Spatiotemporal histogenesis of the developing human cerebellum reveals dynamic layering of Bergmann glia</w:t>
      </w:r>
    </w:p>
    <w:p>
      <w:pPr>
        <w:spacing w:before="0" w:after="120"/>
      </w:pPr>
      <w:r>
        <w:rPr>
          <w:b/>
        </w:rPr>
        <w:t xml:space="preserve">Source: </w:t>
      </w:r>
      <w:r>
        <w:t>Proceedings of the National Academy of Sciences: Keyword search for query</w:t>
      </w:r>
      <w:r>
        <w:t xml:space="preserve">    </w:t>
      </w:r>
      <w:r>
        <w:rPr>
          <w:b/>
        </w:rPr>
        <w:t xml:space="preserve">Pub date: </w:t>
      </w:r>
      <w:r>
        <w:t>2026-02-10 08:00:00+00:00</w:t>
      </w:r>
      <w:r>
        <w:t xml:space="preserve">    </w:t>
      </w:r>
      <w:r>
        <w:rPr>
          <w:b/>
        </w:rPr>
        <w:t xml:space="preserve">DOI: </w:t>
      </w:r>
      <w:hyperlink r:id="rId434">
        <w:r>
          <w:rPr>
            <w:color w:val="1155CC"/>
            <w:u w:val="single"/>
          </w:rPr>
          <w:t>10.1073/pnas.2525673123</w:t>
        </w:r>
      </w:hyperlink>
    </w:p>
    <w:p>
      <w:pPr>
        <w:spacing w:before="0" w:after="120"/>
      </w:pPr>
      <w:r>
        <w:rPr>
          <w:b/>
        </w:rPr>
        <w:t xml:space="preserve">Notes: </w:t>
      </w:r>
      <w:r>
        <w:t>abstract_source=crossref</w:t>
      </w:r>
    </w:p>
    <w:p>
      <w:pPr>
        <w:spacing w:before="0" w:after="80" w:lineRule="auto" w:line="276"/>
      </w:pPr>
      <w:r>
        <w:rPr>
          <w:b/>
        </w:rPr>
        <w:t xml:space="preserve">摘要（ZH）: </w:t>
      </w:r>
      <w:r>
        <w:t>Bergmann glia(BG)是小脑发育所必须的一支专门的细球人口队伍,但是它们的发展时间表和人类小脑细胞中的分子特性仍然不为人所知。在这里,我们把详细的组织病理分析与空间记录学和单核RNA序列相结合,以生成人类小脑细胞BG(BG)的发展图册。 历史学显示,BG大约出现在11个受孕后周(PCW)上,最初是Purkinje细胞(PC)迁移到小脑皮层的骨架上。在多层PC安排建立后,BG形成一个与PC(LD)分离的不同平行的平行层,两层在第三季度合并。</w:t>
      </w:r>
    </w:p>
    <w:p>
      <w:pPr>
        <w:spacing w:before="0" w:after="200" w:lineRule="auto" w:line="276"/>
      </w:pPr>
      <w:r>
        <w:rPr>
          <w:b/>
        </w:rPr>
        <w:t xml:space="preserve">Abstract (EN): </w:t>
      </w:r>
      <w:r>
        <w:t>Bergmann glia (BG) are a specialized glial population essential for cerebellar development, yet their developmental timeline and molecular identity in the human cerebellum remain poorly understood. Here, we combined detailed histopathological analysis with spatial transcriptomics and single-nucleus RNA sequencing to generate a developmental atlas of human cerebellar BG. Histology revealed that BG emerge around 11 postconception weeks (PCW), initially serving as a scaffold for Purkinje cells (PCs) migrating into the PC layer of the cerebellar cortex. Following the establishment of a multilayered PC arrangement, BG form a distinct parallel layer separated from the PCs by the lamina dissecans (LD), with both layers merging in the third trimester. This developmental sequence challenges earlier studies that suggested BG appear late in the third trimester. Comparative histology in mice, ferrets, and marmosets indicates that this trilaminar organization, including the LD, is likely unique to humans. Integration of spatial and single-nucleus transcriptomic datasets identified an</w:t>
      </w:r>
      <w:r>
        <w:t xml:space="preserve"> </w:t>
      </w:r>
      <w:r>
        <w:t>ASCL1</w:t>
      </w:r>
      <w:r>
        <w:t xml:space="preserve"> </w:t>
      </w:r>
      <w:r>
        <w:t>+</w:t>
      </w:r>
      <w:r>
        <w:t xml:space="preserve"> </w:t>
      </w:r>
      <w:r>
        <w:t>PTF1A</w:t>
      </w:r>
      <w:r>
        <w:t xml:space="preserve"> </w:t>
      </w:r>
      <w:r>
        <w:t>+</w:t>
      </w:r>
      <w:r>
        <w:t xml:space="preserve"> </w:t>
      </w:r>
      <w:r>
        <w:t>ventricular zone progenitor cluster giving rise to BG, astrocytes, and oligodendrocytes. Pseudotime analyses delineated three gliogenic lineages and revealed two temporally and transcriptionally distinct BG populations, emerging at 11–12PCW and 17PCW, suggesting multiphasic BG ontogeny. Together, these multimodal data link cellular lineage, spatial organization, and molecular identity of human cerebellar glia, providing a framework for future studies on the role of BG in cerebellar function and their potential contributions to vulnerability in neurodevelopmental disorders.</w:t>
      </w:r>
    </w:p>
    <w:p>
      <w:pPr>
        <w:spacing w:before="120" w:after="120"/>
      </w:pPr>
      <w:r>
        <w:rPr>
          <w:sz w:val="18"/>
        </w:rPr>
        <w:t>——————————————————————————————————————————————————————————————————————</w:t>
      </w:r>
    </w:p>
    <w:p>
      <w:pPr>
        <w:spacing w:before="160" w:after="40" w:line="240" w:lineRule="auto"/>
      </w:pPr>
      <w:r>
        <w:rPr>
          <w:b/>
        </w:rPr>
        <w:t xml:space="preserve">[270] </w:t>
      </w:r>
      <w:hyperlink r:id="rId435">
        <w:r>
          <w:rPr>
            <w:color w:val="1155CC"/>
            <w:u w:val="single"/>
          </w:rPr>
          <w:t>一种系统方法将MERTK确定为ZFTA-REELA驱动的脑膜瘤中的治疗脆弱性</w:t>
        </w:r>
      </w:hyperlink>
    </w:p>
    <w:p>
      <w:pPr>
        <w:spacing w:before="0" w:after="80"/>
      </w:pPr>
      <w:r>
        <w:rPr>
          <w:i/>
          <w:sz w:val="20"/>
        </w:rPr>
        <w:t>EN: A systems approach identifies MERTK as a therapeutic vulnerability in ZFTA-RELA-driven ependymomas</w:t>
      </w:r>
    </w:p>
    <w:p>
      <w:pPr>
        <w:spacing w:before="0" w:after="120"/>
      </w:pPr>
      <w:r>
        <w:rPr>
          <w:b/>
        </w:rPr>
        <w:t xml:space="preserve">Source: </w:t>
      </w:r>
      <w:r>
        <w:t>Proceedings of the National Academy of Sciences: Keyword search for query</w:t>
      </w:r>
      <w:r>
        <w:t xml:space="preserve">    </w:t>
      </w:r>
      <w:r>
        <w:rPr>
          <w:b/>
        </w:rPr>
        <w:t xml:space="preserve">Pub date: </w:t>
      </w:r>
      <w:r>
        <w:t>2026-02-10 08:00:00+00:00</w:t>
      </w:r>
      <w:r>
        <w:t xml:space="preserve">    </w:t>
      </w:r>
      <w:r>
        <w:rPr>
          <w:b/>
        </w:rPr>
        <w:t xml:space="preserve">DOI: </w:t>
      </w:r>
      <w:hyperlink r:id="rId436">
        <w:r>
          <w:rPr>
            <w:color w:val="1155CC"/>
            <w:u w:val="single"/>
          </w:rPr>
          <w:t>10.1073/pnas.2514518123</w:t>
        </w:r>
      </w:hyperlink>
    </w:p>
    <w:p>
      <w:pPr>
        <w:spacing w:before="0" w:after="120"/>
      </w:pPr>
      <w:r>
        <w:rPr>
          <w:b/>
        </w:rPr>
        <w:t xml:space="preserve">Notes: </w:t>
      </w:r>
      <w:r>
        <w:t>abstract_source=crossref</w:t>
      </w:r>
    </w:p>
    <w:p>
      <w:pPr>
        <w:spacing w:before="0" w:after="80" w:lineRule="auto" w:line="276"/>
      </w:pPr>
      <w:r>
        <w:rPr>
          <w:b/>
        </w:rPr>
        <w:t xml:space="preserve">摘要（ZH）: </w:t>
      </w:r>
      <w:r>
        <w:t>脑膜瘤(EPN)是罕见的中枢神经系统肿瘤,约占儿童脑内肿瘤的10%,占成人的4%。尽管他们的临床和分子异质性,包括超直肠、后脊椎和脊椎亚型,但治疗仍然限于外科和放射治疗,化疗的惠益微乎其微。在这里,我们对370个人类脑膜瘤样本进行了病理学分析,并确定了两个不同的分子分组:EPN-E1和EPN-E2。 EPN-E1组是用来治疗存放ZFTA-RELA聚变(ZFTA-RELA Fuis)的超临界肿瘤的,这种聚变异性在70%以上的病例中发生,并且与不良的预测有关。为了确定这种攻击性亚型的定向疗法,我们验证了ZFTA-RE。</w:t>
      </w:r>
    </w:p>
    <w:p>
      <w:pPr>
        <w:spacing w:before="0" w:after="200" w:lineRule="auto" w:line="276"/>
      </w:pPr>
      <w:r>
        <w:rPr>
          <w:b/>
        </w:rPr>
        <w:t xml:space="preserve">Abstract (EN): </w:t>
      </w:r>
      <w:r>
        <w:t>Ependymomas (EPN) are rare central nervous system tumors that account for approximately 10% of intracranial tumors in children and 4% in adults. Despite their clinical and molecular heterogeneity, spanning supratentorial, posterior fossa, and spinal subtypes, treatment remains limited to surgery and radiotherapy, with chemotherapy offering minimal benefit. Here, we performed transcriptomic analysis of 370 human ependymoma samples and identified two distinct molecular subgroups: EPN-E1 and EPN-E2. The EPN-E1 cluster is enriched for supratentorial tumors harboring ZFTA-RELA fusions (ZFTA-RELA</w:t>
      </w:r>
      <w:r>
        <w:t xml:space="preserve"> </w:t>
      </w:r>
      <w:r>
        <w:t>fus</w:t>
      </w:r>
      <w:r>
        <w:t xml:space="preserve"> </w:t>
      </w:r>
      <w:r>
        <w:t>), which occur in over 70% of cases and are associated with poor prognosis. To identify targeted therapies for this aggressive subtype, we validated a ZFTA-RELA</w:t>
      </w:r>
      <w:r>
        <w:t xml:space="preserve"> </w:t>
      </w:r>
      <w:r>
        <w:t>fus</w:t>
      </w:r>
      <w:r>
        <w:t xml:space="preserve"> </w:t>
      </w:r>
      <w:r>
        <w:t>mouse model that recapitulates the human EPN-E1 transcriptome and used it for target discovery. Through Kinome Regularization, a machine learning-driven polypharmacology approach, we identified MERTK as a critical regulator of tumor cell viability. Genetic depletion or pharmacologic inhibition of Mertk reduced cell growth ex vivo, and treatment with a clinical-grade MERTK inhibitor significantly suppressed tumor proliferation in vivo. Both human EPN-E1 tumors and ZFTA-RELA</w:t>
      </w:r>
      <w:r>
        <w:t xml:space="preserve"> </w:t>
      </w:r>
      <w:r>
        <w:t>fus</w:t>
      </w:r>
      <w:r>
        <w:t xml:space="preserve"> </w:t>
      </w:r>
      <w:r>
        <w:t>mouse tumors exhibited elevated expression of MERTK and its ligand GAS6, and MERTK inhibition led to suppression of pro-survival signaling pathways including MEK/ERK (Mitogen-Activated Protein Kinase Kinase/Extracellular Signal-Regulated Kinase) and PI3K/AKT (Phosphoinositide 3-Kinase/Protein Kinase B). Notably, over 80% of genes upregulated in ZFTA-RELA</w:t>
      </w:r>
      <w:r>
        <w:t xml:space="preserve"> </w:t>
      </w:r>
      <w:r>
        <w:t>fus</w:t>
      </w:r>
      <w:r>
        <w:t xml:space="preserve"> </w:t>
      </w:r>
      <w:r>
        <w:t>tumors were downregulated following MERTK inhibition, indicating a strong dependency on this pathway for tumor maintenance. These findings define a signaling vulnerability in ZFTA-RELA-driven ependymomas and support the clinical development of MERTK-targeted therapies for patients with the high-risk EPN-E1 subtype.</w:t>
      </w:r>
    </w:p>
    <w:p>
      <w:pPr>
        <w:spacing w:before="120" w:after="120"/>
      </w:pPr>
      <w:r>
        <w:rPr>
          <w:sz w:val="18"/>
        </w:rPr>
        <w:t>——————————————————————————————————————————————————————————————————————</w:t>
      </w:r>
    </w:p>
    <w:p>
      <w:pPr>
        <w:spacing w:before="160" w:after="40" w:line="240" w:lineRule="auto"/>
      </w:pPr>
      <w:r>
        <w:rPr>
          <w:b/>
        </w:rPr>
        <w:t xml:space="preserve">[271] </w:t>
      </w:r>
      <w:hyperlink r:id="rId437">
        <w:r>
          <w:rPr>
            <w:color w:val="1155CC"/>
            <w:u w:val="single"/>
          </w:rPr>
          <w:t>从实验室到工业的强化碱水电解</w:t>
        </w:r>
      </w:hyperlink>
    </w:p>
    <w:p>
      <w:pPr>
        <w:spacing w:before="0" w:after="80"/>
      </w:pPr>
      <w:r>
        <w:rPr>
          <w:i/>
          <w:sz w:val="20"/>
        </w:rPr>
        <w:t>EN: Magnetic field–enhanced alkaline water electrolysis from laboratory to industry</w:t>
      </w:r>
    </w:p>
    <w:p>
      <w:pPr>
        <w:spacing w:before="0" w:after="120"/>
      </w:pPr>
      <w:r>
        <w:rPr>
          <w:b/>
        </w:rPr>
        <w:t xml:space="preserve">Source: </w:t>
      </w:r>
      <w:r>
        <w:t>Proceedings of the National Academy of Sciences: Keyword search for query</w:t>
      </w:r>
      <w:r>
        <w:t xml:space="preserve">    </w:t>
      </w:r>
      <w:r>
        <w:rPr>
          <w:b/>
        </w:rPr>
        <w:t xml:space="preserve">Pub date: </w:t>
      </w:r>
      <w:r>
        <w:t>2026-02-10 08:00:00+00:00</w:t>
      </w:r>
      <w:r>
        <w:t xml:space="preserve">    </w:t>
      </w:r>
      <w:r>
        <w:rPr>
          <w:b/>
        </w:rPr>
        <w:t xml:space="preserve">DOI: </w:t>
      </w:r>
      <w:hyperlink r:id="rId438">
        <w:r>
          <w:rPr>
            <w:color w:val="1155CC"/>
            <w:u w:val="single"/>
          </w:rPr>
          <w:t>10.1073/pnas.2522696123</w:t>
        </w:r>
      </w:hyperlink>
    </w:p>
    <w:p>
      <w:pPr>
        <w:spacing w:before="0" w:after="120"/>
      </w:pPr>
      <w:r>
        <w:rPr>
          <w:b/>
        </w:rPr>
        <w:t xml:space="preserve">Notes: </w:t>
      </w:r>
      <w:r>
        <w:t>abstract_source=crossref</w:t>
      </w:r>
    </w:p>
    <w:p>
      <w:pPr>
        <w:spacing w:before="0" w:after="80" w:lineRule="auto" w:line="276"/>
      </w:pPr>
      <w:r>
        <w:rPr>
          <w:b/>
        </w:rPr>
        <w:t xml:space="preserve">摘要（ZH）: </w:t>
      </w:r>
      <w:r>
        <w:t>碱性水电解水氧化(AWE)的根本限制在于动态活性地点逐渐耗竭,当地活性离子浓度迅速消散,这是常规电化学战略难以克服的一个关键热力抑制因素。 在这里,我们提议了磁场 — — 增强的AWE(ME-AWE)战略,使在阳极附近局部活性铁离子(ME-AWE)能够现场定向浓缩,从而打破浓度极限,扩大动态铁活性地点的覆盖面,而不会提高散装杂质水平。</w:t>
      </w:r>
    </w:p>
    <w:p>
      <w:pPr>
        <w:spacing w:before="0" w:after="200" w:lineRule="auto" w:line="276"/>
      </w:pPr>
      <w:r>
        <w:rPr>
          <w:b/>
        </w:rPr>
        <w:t xml:space="preserve">Abstract (EN): </w:t>
      </w:r>
      <w:r>
        <w:t>The fundamental limitation of water oxidation in alkaline water electrolysis (AWE) lies in the progressive depletion of dynamic active sites and rapid dissipation of local active ion concentration, a critical thermodynamic constraint that conventional electrochemical strategies struggle to overcome. Here, we propose a magnetic field–enhanced AWE (ME-AWE) strategy that enables in-situ directional enrichment of local active iron ions near the anode, thus breaking the concentration limit and boosting the coverage of dynamic iron active sites without elevating bulk impurity levels.</w:t>
      </w:r>
      <w:r>
        <w:t xml:space="preserve"> </w:t>
      </w:r>
      <w:r>
        <w:t>Laboratory-scale</w:t>
      </w:r>
      <w:r>
        <w:t xml:space="preserve"> </w:t>
      </w:r>
      <w:r>
        <w:t>three-electrode experiments confirm improved oxygen evolution reaction (OER) kinetics by the magnetically induced optimization of iron incorporation dynamics and the increase in the coverage of dynamic iron active sites. A</w:t>
      </w:r>
      <w:r>
        <w:t xml:space="preserve"> </w:t>
      </w:r>
      <w:r>
        <w:t>multiphysics model</w:t>
      </w:r>
      <w:r>
        <w:t xml:space="preserve"> </w:t>
      </w:r>
      <w:r>
        <w:t>coupling magnetic field, fluid flow, mass transport, and electrochemical reaction is developed to spatially interpret the mechanism, revealing that the magnetic modulation enables OER kinetics at 0.3 ppm iron equivalent to those at tenfold higher concentration without a magnetic field. Guided by mechanistic insights, an</w:t>
      </w:r>
      <w:r>
        <w:t xml:space="preserve"> </w:t>
      </w:r>
      <w:r>
        <w:t>industry-scale</w:t>
      </w:r>
      <w:r>
        <w:t xml:space="preserve"> </w:t>
      </w:r>
      <w:r>
        <w:t>ME-AWE device is designed and implemented, achieving a 24.9% increase in hydrogen output at 1.8 V. Techno-economic analysis demonstrates that the ME-AWE strategy enables a 10.6% reduction in total AWE capital cost for large-scale hydrogen production plants using off-grid wind power. Built with existing industrial infrastructure, this ME-AWE strategy offers a scalable and low-cost solution for improving AWE efficiency and advancing impurity-assisted catalysis in green hydrogen production.</w:t>
      </w:r>
    </w:p>
    <w:p>
      <w:pPr>
        <w:spacing w:before="120" w:after="120"/>
      </w:pPr>
      <w:r>
        <w:rPr>
          <w:sz w:val="18"/>
        </w:rPr>
        <w:t>——————————————————————————————————————————————————————————————————————</w:t>
      </w:r>
    </w:p>
    <w:p>
      <w:pPr>
        <w:spacing w:before="160" w:after="40" w:line="240" w:lineRule="auto"/>
      </w:pPr>
      <w:r>
        <w:rPr>
          <w:b/>
        </w:rPr>
        <w:t xml:space="preserve">[272] </w:t>
      </w:r>
      <w:hyperlink r:id="rId439">
        <w:r>
          <w:rPr>
            <w:color w:val="1155CC"/>
            <w:u w:val="single"/>
          </w:rPr>
          <w:t>双重量子锁定:氢填充冰中的H2和H2O亚极层动态结合</w:t>
        </w:r>
      </w:hyperlink>
    </w:p>
    <w:p>
      <w:pPr>
        <w:spacing w:before="0" w:after="80"/>
      </w:pPr>
      <w:r>
        <w:rPr>
          <w:i/>
          <w:sz w:val="20"/>
        </w:rPr>
        <w:t>EN: Dual quantum locking: Dynamic coupling of H2 and H2O sublattices in hydrogen-filled ice</w:t>
      </w:r>
    </w:p>
    <w:p>
      <w:pPr>
        <w:spacing w:before="0" w:after="120"/>
      </w:pPr>
      <w:r>
        <w:rPr>
          <w:b/>
        </w:rPr>
        <w:t xml:space="preserve">Source: </w:t>
      </w:r>
      <w:r>
        <w:t>Proceedings of the National Academy of Sciences: Keyword search for query</w:t>
      </w:r>
      <w:r>
        <w:t xml:space="preserve">    </w:t>
      </w:r>
      <w:r>
        <w:rPr>
          <w:b/>
        </w:rPr>
        <w:t xml:space="preserve">Pub date: </w:t>
      </w:r>
      <w:r>
        <w:t>2026-02-10 08:00:00+00:00</w:t>
      </w:r>
      <w:r>
        <w:t xml:space="preserve">    </w:t>
      </w:r>
      <w:r>
        <w:rPr>
          <w:b/>
        </w:rPr>
        <w:t xml:space="preserve">DOI: </w:t>
      </w:r>
      <w:hyperlink r:id="rId440">
        <w:r>
          <w:rPr>
            <w:color w:val="1155CC"/>
            <w:u w:val="single"/>
          </w:rPr>
          <w:t>10.1073/pnas.2526369123</w:t>
        </w:r>
      </w:hyperlink>
    </w:p>
    <w:p>
      <w:pPr>
        <w:spacing w:before="0" w:after="120"/>
      </w:pPr>
      <w:r>
        <w:rPr>
          <w:b/>
        </w:rPr>
        <w:t xml:space="preserve">Notes: </w:t>
      </w:r>
      <w:r>
        <w:t>abstract_source=crossref</w:t>
      </w:r>
    </w:p>
    <w:p>
      <w:pPr>
        <w:spacing w:before="0" w:after="80" w:lineRule="auto" w:line="276"/>
      </w:pPr>
      <w:r>
        <w:rPr>
          <w:b/>
        </w:rPr>
        <w:t xml:space="preserve">摘要（ZH）: </w:t>
      </w:r>
      <w:r>
        <w:t>氢氢化物(HH)是一种独特的材料,由晶晶水框架中的氢分子组成。 在其多个阶段中,填充的冰结构,特别是立方C2级,由于超短H2-H2O距离和1:1的声学测量法,出现了异常强烈的宿主 — — 众人互动,导致两个相互渗透的类似钻石的亚纬度,一个由水分子组成,另一个由氢分子组成。 在高压下,核衡效应既涉及氢分子,又涉及水晶体,从而形成了双压量系统。 在这项工作中,我们探索了压力和温度驱动的中转阶段的顺序。</w:t>
      </w:r>
    </w:p>
    <w:p>
      <w:pPr>
        <w:spacing w:before="0" w:after="200" w:lineRule="auto" w:line="276"/>
      </w:pPr>
      <w:r>
        <w:rPr>
          <w:b/>
        </w:rPr>
        <w:t xml:space="preserve">Abstract (EN): </w:t>
      </w:r>
      <w:r>
        <w:t>Hydrogen hydrates (HH) are a unique class of materials composed of hydrogen molecules confined within crystalline water frameworks. Among their multiple phases, the filled ice structures, particularly the cubic C2 phase, exhibit exceptionally strong host–guest interactions due to ultra-short H</w:t>
      </w:r>
      <w:r>
        <w:rPr>
          <w:vertAlign w:val="subscript"/>
        </w:rPr>
        <w:t>2</w:t>
      </w:r>
      <w:r>
        <w:t>-H</w:t>
      </w:r>
      <w:r>
        <w:rPr>
          <w:vertAlign w:val="subscript"/>
        </w:rPr>
        <w:t>2</w:t>
      </w:r>
      <w:r>
        <w:t>O distances and a 1:1 stoichiometry leading to two interpenetrated identical diamond-like sublattices, one comprised of water molecules, the other of hydrogen molecules. At high pressures, nuclear-quantum effects involving both hydrogen molecules and the water lattice become dominant, giving rise to a dual-lattice quantum system. In this work, we explore the sequence of pressure- and temperature-driven phase transitions in HH, focusing on the interplay between molecular rotation, orientational ordering, lattice symmetry breaking, and hydrogen bond symmetrization. Using a combination of computational modeling based on classical and path-integral molecular dynamics, quantum embedding, and high pressure experiments, including Raman spectroscopy and synchrotron X-ray diffraction at low temperatures and high pressures, we identify signatures of quantum-induced ordering and structural transformations in the C2 phase. Our findings reveal that orientational ordering in HH occurs at much lower pressures than in solid hydrogen, by inducing structural changes in the water network and enhancing the coupling of water and hydrogen dynamics. This work provides insights into the quantum behavior of hydrogen under extreme mechanochemical confinement and establishes hydrogen-filled ices as a promising platform for the design of hydrogen-rich quantum materials.</w:t>
      </w:r>
    </w:p>
    <w:p>
      <w:pPr>
        <w:spacing w:before="120" w:after="120"/>
      </w:pPr>
      <w:r>
        <w:rPr>
          <w:sz w:val="18"/>
        </w:rPr>
        <w:t>——————————————————————————————————————————————————————————————————————</w:t>
      </w:r>
    </w:p>
    <w:p>
      <w:pPr>
        <w:spacing w:before="160" w:after="40" w:line="240" w:lineRule="auto"/>
      </w:pPr>
      <w:r>
        <w:rPr>
          <w:b/>
        </w:rPr>
        <w:t xml:space="preserve">[273] </w:t>
      </w:r>
      <w:hyperlink r:id="rId441">
        <w:r>
          <w:rPr>
            <w:color w:val="1155CC"/>
            <w:u w:val="single"/>
          </w:rPr>
          <w:t>更多的社会互动,更多的两极分化?证据并不存在</w:t>
        </w:r>
      </w:hyperlink>
    </w:p>
    <w:p>
      <w:pPr>
        <w:spacing w:before="0" w:after="80"/>
      </w:pPr>
      <w:r>
        <w:rPr>
          <w:i/>
          <w:sz w:val="20"/>
        </w:rPr>
        <w:t>EN: More social interactions, more polarization? The evidence is not there</w:t>
      </w:r>
    </w:p>
    <w:p>
      <w:pPr>
        <w:spacing w:before="0" w:after="120"/>
      </w:pPr>
      <w:r>
        <w:rPr>
          <w:b/>
        </w:rPr>
        <w:t xml:space="preserve">Source: </w:t>
      </w:r>
      <w:r>
        <w:t>Proceedings of the National Academy of Sciences: Keyword search for query</w:t>
      </w:r>
      <w:r>
        <w:t xml:space="preserve">    </w:t>
      </w:r>
      <w:r>
        <w:rPr>
          <w:b/>
        </w:rPr>
        <w:t xml:space="preserve">Pub date: </w:t>
      </w:r>
      <w:r>
        <w:t>2026-02-10 08:00:00+00:00</w:t>
      </w:r>
      <w:r>
        <w:t xml:space="preserve">    </w:t>
      </w:r>
      <w:r>
        <w:rPr>
          <w:b/>
        </w:rPr>
        <w:t xml:space="preserve">DOI: </w:t>
      </w:r>
      <w:hyperlink r:id="rId442">
        <w:r>
          <w:rPr>
            <w:color w:val="1155CC"/>
            <w:u w:val="single"/>
          </w:rPr>
          <w:t>10.1073/pnas.2533120123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[274] </w:t>
      </w:r>
      <w:hyperlink r:id="rId443">
        <w:r>
          <w:rPr>
            <w:color w:val="1155CC"/>
            <w:u w:val="single"/>
          </w:rPr>
          <w:t>粘粘性珍珠的双模式动态</w:t>
        </w:r>
      </w:hyperlink>
    </w:p>
    <w:p>
      <w:pPr>
        <w:spacing w:before="0" w:after="80"/>
      </w:pPr>
      <w:r>
        <w:rPr>
          <w:i/>
          <w:sz w:val="20"/>
        </w:rPr>
        <w:t>EN: Bimodal dynamics of viscous pearls</w:t>
      </w:r>
    </w:p>
    <w:p>
      <w:pPr>
        <w:spacing w:before="0" w:after="120"/>
      </w:pPr>
      <w:r>
        <w:rPr>
          <w:b/>
        </w:rPr>
        <w:t xml:space="preserve">Source: </w:t>
      </w:r>
      <w:r>
        <w:t>Proceedings of the National Academy of Sciences: Keyword search for query</w:t>
      </w:r>
      <w:r>
        <w:t xml:space="preserve">    </w:t>
      </w:r>
      <w:r>
        <w:rPr>
          <w:b/>
        </w:rPr>
        <w:t xml:space="preserve">Pub date: </w:t>
      </w:r>
      <w:r>
        <w:t>2026-02-10 08:00:00+00:00</w:t>
      </w:r>
      <w:r>
        <w:t xml:space="preserve">    </w:t>
      </w:r>
      <w:r>
        <w:rPr>
          <w:b/>
        </w:rPr>
        <w:t xml:space="preserve">DOI: </w:t>
      </w:r>
      <w:hyperlink r:id="rId444">
        <w:r>
          <w:rPr>
            <w:color w:val="1155CC"/>
            <w:u w:val="single"/>
          </w:rPr>
          <w:t>10.1073/pnas.2530530123</w:t>
        </w:r>
      </w:hyperlink>
    </w:p>
    <w:p>
      <w:pPr>
        <w:spacing w:before="0" w:after="120"/>
      </w:pPr>
      <w:r>
        <w:rPr>
          <w:b/>
        </w:rPr>
        <w:t xml:space="preserve">Notes: </w:t>
      </w:r>
      <w:r>
        <w:t>abstract_source=crossref</w:t>
      </w:r>
    </w:p>
    <w:p>
      <w:pPr>
        <w:spacing w:before="0" w:after="80" w:lineRule="auto" w:line="276"/>
      </w:pPr>
      <w:r>
        <w:rPr>
          <w:b/>
        </w:rPr>
        <w:t xml:space="preserve">摘要（ZH）: </w:t>
      </w:r>
      <w:r>
        <w:t>超级防腐性材料上的小滴子采取珍珠形状,这使得它们高度机动,这是因为低接触线与小动态摩擦交织在一起。当低接触线与小动态摩擦交织在一起时,这种特性特别宝贵。 当滴子是粘性时,我们期望超级防腐性可以最大限度地减少与粘度有关的摩擦。 我们在这里报告,高阻性刺线上的粘结滴子可以有两种下降方式,这取决于它们沉积的方式:要么以预期的快速度运行珍珠,要么更快30至60倍,这决定了超级快运动制度。我们表明,这种效果取决于与子宫接触的脆弱程度。因此,这种接触可以动态地“被侵蚀 ”, 插入一个空气垫子,使这种接触产生 dd 。</w:t>
      </w:r>
    </w:p>
    <w:p>
      <w:pPr>
        <w:spacing w:before="0" w:after="200" w:lineRule="auto" w:line="276"/>
      </w:pPr>
      <w:r>
        <w:rPr>
          <w:b/>
        </w:rPr>
        <w:t xml:space="preserve">Abstract (EN): </w:t>
      </w:r>
      <w:r>
        <w:t>Droplets on super-repellent materials adopt the shape of pearls, which makes them highly mobile, owing to the conjunction of low contact line pinning with small dynamical friction. This property is especially valuable when drops are viscous, a case where we expect super-repellency to minimize the friction associated with viscosity. Here, we report that viscous droplets on highly repellent inclines can have two modes of descent, depending on the way they are deposited: either they run at the fast speed expected for pearls or they are 30 to 60 times quicker, which defines a super-fast regime of motion. We show that this effect relies on the tenuousness of the contact with the substrate. Consequently, this contact can be dynamically “erased” by the insertion of a cushion of air, which makes droplets glide at a speed both high and independent of their viscosity. We characterize these lubricating films (thickness and onset of appearance) and finally show that super-fast pearls initiated on a superhydrophobic (SH) surface can maintain their velocity and shape even on a hydrophilic solid.</w:t>
      </w:r>
    </w:p>
    <w:p>
      <w:pPr>
        <w:spacing w:before="120" w:after="120"/>
      </w:pPr>
      <w:r>
        <w:rPr>
          <w:sz w:val="18"/>
        </w:rPr>
        <w:t>——————————————————————————————————————————————————————————————————————</w:t>
      </w:r>
    </w:p>
    <w:p>
      <w:pPr>
        <w:spacing w:before="160" w:after="40" w:line="240" w:lineRule="auto"/>
      </w:pPr>
      <w:r>
        <w:rPr>
          <w:b/>
        </w:rPr>
        <w:t xml:space="preserve">[275] </w:t>
      </w:r>
      <w:hyperlink r:id="rId445">
        <w:r>
          <w:rPr>
            <w:color w:val="1155CC"/>
            <w:u w:val="single"/>
          </w:rPr>
          <w:t>对Völker等人的答复:关于社会中亲密友谊增加的证据</w:t>
        </w:r>
      </w:hyperlink>
    </w:p>
    <w:p>
      <w:pPr>
        <w:spacing w:before="0" w:after="80"/>
      </w:pPr>
      <w:r>
        <w:rPr>
          <w:i/>
          <w:sz w:val="20"/>
        </w:rPr>
        <w:t>EN: Reply to Völker et al.: On the evidence of increased close friendships in societies</w:t>
      </w:r>
    </w:p>
    <w:p>
      <w:pPr>
        <w:spacing w:before="0" w:after="120"/>
      </w:pPr>
      <w:r>
        <w:rPr>
          <w:b/>
        </w:rPr>
        <w:t xml:space="preserve">Source: </w:t>
      </w:r>
      <w:r>
        <w:t>Proceedings of the National Academy of Sciences: Keyword search for query</w:t>
      </w:r>
      <w:r>
        <w:t xml:space="preserve">    </w:t>
      </w:r>
      <w:r>
        <w:rPr>
          <w:b/>
        </w:rPr>
        <w:t xml:space="preserve">Pub date: </w:t>
      </w:r>
      <w:r>
        <w:t>2026-02-10 08:00:00+00:00</w:t>
      </w:r>
      <w:r>
        <w:t xml:space="preserve">    </w:t>
      </w:r>
      <w:r>
        <w:rPr>
          <w:b/>
        </w:rPr>
        <w:t xml:space="preserve">DOI: </w:t>
      </w:r>
      <w:hyperlink r:id="rId446">
        <w:r>
          <w:rPr>
            <w:color w:val="1155CC"/>
            <w:u w:val="single"/>
          </w:rPr>
          <w:t>10.1073/pnas.2535183123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[276] </w:t>
      </w:r>
      <w:hyperlink r:id="rId447">
        <w:r>
          <w:rPr>
            <w:color w:val="1155CC"/>
            <w:u w:val="single"/>
          </w:rPr>
          <w:t>采用建议应对对策的心理心理能力减少COVID-19大流行期间的感染</w:t>
        </w:r>
      </w:hyperlink>
    </w:p>
    <w:p>
      <w:pPr>
        <w:spacing w:before="0" w:after="80"/>
      </w:pPr>
      <w:r>
        <w:rPr>
          <w:i/>
          <w:sz w:val="20"/>
        </w:rPr>
        <w:t>EN: The psychological ability to adopt recommended coping responses reduced infections during the COVID-19 pandemic</w:t>
      </w:r>
    </w:p>
    <w:p>
      <w:pPr>
        <w:spacing w:before="0" w:after="120"/>
      </w:pPr>
      <w:r>
        <w:rPr>
          <w:b/>
        </w:rPr>
        <w:t xml:space="preserve">Source: </w:t>
      </w:r>
      <w:r>
        <w:t>Proceedings of the National Academy of Sciences: Keyword search for query</w:t>
      </w:r>
      <w:r>
        <w:t xml:space="preserve">    </w:t>
      </w:r>
      <w:r>
        <w:rPr>
          <w:b/>
        </w:rPr>
        <w:t xml:space="preserve">Pub date: </w:t>
      </w:r>
      <w:r>
        <w:t>2026-02-10 08:00:00+00:00</w:t>
      </w:r>
      <w:r>
        <w:t xml:space="preserve">    </w:t>
      </w:r>
      <w:r>
        <w:rPr>
          <w:b/>
        </w:rPr>
        <w:t xml:space="preserve">DOI: </w:t>
      </w:r>
      <w:hyperlink r:id="rId448">
        <w:r>
          <w:rPr>
            <w:color w:val="1155CC"/>
            <w:u w:val="single"/>
          </w:rPr>
          <w:t>10.1073/pnas.2415344123</w:t>
        </w:r>
      </w:hyperlink>
    </w:p>
    <w:p>
      <w:pPr>
        <w:spacing w:before="0" w:after="120"/>
      </w:pPr>
      <w:r>
        <w:rPr>
          <w:b/>
        </w:rPr>
        <w:t xml:space="preserve">Notes: </w:t>
      </w:r>
      <w:r>
        <w:t>abstract_source=crossref</w:t>
      </w:r>
    </w:p>
    <w:p>
      <w:pPr>
        <w:spacing w:before="0" w:after="80" w:lineRule="auto" w:line="276"/>
      </w:pPr>
      <w:r>
        <w:rPr>
          <w:b/>
        </w:rPr>
        <w:t xml:space="preserve">摘要（ZH）: </w:t>
      </w:r>
      <w:r>
        <w:t>在COVID-19大流行期间,研究人员和当局的一个关键问题是了解公众持续参与保护性行为(如身体疏离和卫生保护)的心理动机;虽然在大流行病期间,威胁情绪十分普遍,但健康心理学理论突出了与应对能力有关的评估(例如,能够以成本效益高的方式遵守政府建议的感觉),并争辩说,应对评估是保护自己免受风险的动机的高级预测者。</w:t>
      </w:r>
    </w:p>
    <w:p>
      <w:pPr>
        <w:spacing w:before="0" w:after="200" w:lineRule="auto" w:line="276"/>
      </w:pPr>
      <w:r>
        <w:rPr>
          <w:b/>
        </w:rPr>
        <w:t xml:space="preserve">Abstract (EN): </w:t>
      </w:r>
      <w:r>
        <w:t>During the COVID-19 pandemic, a key question for researchers and authorities was to understand the psychological motivations that sustained public engagement in protective behavior such as physical distancing and hygienic protection. While feelings of threat were rampant during the pandemic, theories of health psychology have highlighted appraisals related to the ability to cope (e.g., the feeling of being able to adhere cost-effectively to government advice) and argued that coping appraisals are superior predictors of motivations to protect the self against risks. In this study, we conducted a massive population-based comparison of the association between, on the one hand, threat appraisals and coping appraisals and, on the other hand, protection against actual infection during the COVID-19 pandemic. We built a unique Danish data infrastructure that links surveys of ~8% of the adult population (N = 386,633) with the individual results of the 123 million COVID-19 tests performed during 22 mo of the COVID-19 pandemic. Controlling for a comprehensive range of sociodemographic measures and employing panel data to bolster internal validity, we observe that stronger coping appraisals are consistently associated with lower individual probability of COVID-19 infection risk. We find no consistent evidence of a similar association for threat appraisals. Threat appraisals rather seem to index individual feelings of infection exposure. As appeals to fear also have unintended negative consequences (including anxiety, fatigue, and stigmatization), the findings offer strong support for relying on coping-oriented public health policy and communication in future societal crises in the domain of health and beyond.</w:t>
      </w:r>
    </w:p>
    <w:p>
      <w:pPr>
        <w:spacing w:before="120" w:after="120"/>
      </w:pPr>
      <w:r>
        <w:rPr>
          <w:sz w:val="18"/>
        </w:rPr>
        <w:t>——————————————————————————————————————————————————————————————————————</w:t>
      </w:r>
    </w:p>
    <w:p>
      <w:pPr>
        <w:spacing w:before="160" w:after="40" w:line="240" w:lineRule="auto"/>
      </w:pPr>
      <w:r>
        <w:rPr>
          <w:b/>
        </w:rPr>
        <w:t xml:space="preserve">[277] </w:t>
      </w:r>
      <w:hyperlink r:id="rId449">
        <w:r>
          <w:rPr>
            <w:color w:val="1155CC"/>
            <w:u w:val="single"/>
          </w:rPr>
          <w:t>物理基因合成共聚体显示,在阿斯特罗萨的横跨阿斯特罗萨埃地区,有来自古代exaploid的基因组块。</w:t>
        </w:r>
      </w:hyperlink>
    </w:p>
    <w:p>
      <w:pPr>
        <w:spacing w:before="0" w:after="80"/>
      </w:pPr>
      <w:r>
        <w:rPr>
          <w:i/>
          <w:sz w:val="20"/>
        </w:rPr>
        <w:t>EN: Phylogenomic synteny reveals paleohexaploid-derived genomic blocks across Asteraceae</w:t>
      </w:r>
    </w:p>
    <w:p>
      <w:pPr>
        <w:spacing w:before="0" w:after="120"/>
      </w:pPr>
      <w:r>
        <w:rPr>
          <w:b/>
        </w:rPr>
        <w:t xml:space="preserve">Source: </w:t>
      </w:r>
      <w:r>
        <w:t>Proceedings of the National Academy of Sciences: Keyword search for query</w:t>
      </w:r>
      <w:r>
        <w:t xml:space="preserve">    </w:t>
      </w:r>
      <w:r>
        <w:rPr>
          <w:b/>
        </w:rPr>
        <w:t xml:space="preserve">Pub date: </w:t>
      </w:r>
      <w:r>
        <w:t>2026-02-10 08:00:00+00:00</w:t>
      </w:r>
      <w:r>
        <w:t xml:space="preserve">    </w:t>
      </w:r>
      <w:r>
        <w:rPr>
          <w:b/>
        </w:rPr>
        <w:t xml:space="preserve">DOI: </w:t>
      </w:r>
      <w:hyperlink r:id="rId450">
        <w:r>
          <w:rPr>
            <w:color w:val="1155CC"/>
            <w:u w:val="single"/>
          </w:rPr>
          <w:t>10.1073/pnas.2426851123</w:t>
        </w:r>
      </w:hyperlink>
    </w:p>
    <w:p>
      <w:pPr>
        <w:spacing w:before="0" w:after="120"/>
      </w:pPr>
      <w:r>
        <w:rPr>
          <w:b/>
        </w:rPr>
        <w:t xml:space="preserve">Notes: </w:t>
      </w:r>
      <w:r>
        <w:t>abstract_source=crossref</w:t>
      </w:r>
    </w:p>
    <w:p>
      <w:pPr>
        <w:spacing w:before="0" w:after="80" w:lineRule="auto" w:line="276"/>
      </w:pPr>
      <w:r>
        <w:rPr>
          <w:b/>
        </w:rPr>
        <w:t xml:space="preserve">摘要（ZH）: </w:t>
      </w:r>
      <w:r>
        <w:t>Asteraceae(Compositae)是最大的开花植物大家庭,在大多数陆地社区普遍存在,而且形态多样化。一个两步的、古老的整个基因组三相繁殖(六氯代多质化)大约与中环球期间家庭进化创新和适应性辐射发生同时发生。尽管它很重要,但这种三相繁殖的后果尚未在Asteroceae基因演变过程中加以追踪。为了做到这一点,我们对23个Asterales基因组进行了综合的速效性植物学学分析。我们确定了16个基因组,这些组可追溯到所有Asterace的普通潮地祖先。每个组都经历了三相繁殖,结果产生了48个基因组(16×3),这些基因组共同代表了祖先Asterace基因组, Exclexcl。</w:t>
      </w:r>
    </w:p>
    <w:p>
      <w:pPr>
        <w:spacing w:before="0" w:after="200" w:lineRule="auto" w:line="276"/>
      </w:pPr>
      <w:r>
        <w:rPr>
          <w:b/>
        </w:rPr>
        <w:t xml:space="preserve">Abstract (EN): </w:t>
      </w:r>
      <w:r>
        <w:t>The Asteraceae (Compositae) is the largest flowering plant family, ubiquitous in most terrestrial communities, and morphologically diverse. A two-step, ancient whole genome triplication (paleohexaploidization) occurred at approximately the same time as the evolutionary innovation and adaptive radiation of the family during the middle Eocene. Despite its importance, the consequences of this triplication have yet to be tracked in context of the Asteraceae genome evolution. To do so, we applied a synteny oriented phylogenomic analysis of 23 Asterales genomes. We identified 16 genomic groups that date back to the common diploid ancestor of all Asteraceae. Each group underwent triplication, resulting in 48 genomic blocks (16 × 3) that collectively represent the ancestral Asteraceae genome, excluding the early-diverging lineages which do not share the second step. We then analyzed the evolutionary dynamics of the 48 genomic blocks across the Asteraceae phylogeny. We found that modern Asteraceae genomes are genetic mosaics of three progenitor genomes, shaped by genomic exchanges, chromosomal rearrangements, and gene fractionation. One hundred fifty-seven genes retained three paleohexaploid-derived syntenic paralogs across most Asteraceae species. Transcription factors and auxin-related genes are significantly overrepresented in these triplets, and expression of the paleohexaploidy paralogs is spatiotemporally differentiated. These genes are involved in the development of floral capitula, a remarkable morphological innovation of the family. The discovery of the 157 triplicated genes can direct further study to understand the evolutionary innovation, and the synteny-phylogenomic framework provides a comparative framework to characterize newly sequenced Asteraceae genomes.</w:t>
      </w:r>
    </w:p>
    <w:p>
      <w:pPr>
        <w:spacing w:before="120" w:after="120"/>
      </w:pPr>
      <w:r>
        <w:rPr>
          <w:sz w:val="18"/>
        </w:rPr>
        <w:t>——————————————————————————————————————————————————————————————————————</w:t>
      </w:r>
    </w:p>
    <w:p>
      <w:pPr>
        <w:spacing w:before="160" w:after="40" w:line="240" w:lineRule="auto"/>
      </w:pPr>
      <w:r>
        <w:rPr>
          <w:b/>
        </w:rPr>
        <w:t xml:space="preserve">[278] </w:t>
      </w:r>
      <w:hyperlink r:id="rId451">
        <w:r>
          <w:rPr>
            <w:color w:val="1155CC"/>
            <w:u w:val="single"/>
          </w:rPr>
          <w:t>整体中央处理横向线输入编码相对于中质量的流程方向的横向线输入</w:t>
        </w:r>
      </w:hyperlink>
    </w:p>
    <w:p>
      <w:pPr>
        <w:spacing w:before="0" w:after="80"/>
      </w:pPr>
      <w:r>
        <w:rPr>
          <w:i/>
          <w:sz w:val="20"/>
        </w:rPr>
        <w:t>EN: Whole-body central processing of lateral line inputs encodes flow direction relative to the center-of-mass</w:t>
      </w:r>
    </w:p>
    <w:p>
      <w:pPr>
        <w:spacing w:before="0" w:after="120"/>
      </w:pPr>
      <w:r>
        <w:rPr>
          <w:b/>
        </w:rPr>
        <w:t xml:space="preserve">Source: </w:t>
      </w:r>
      <w:r>
        <w:t>Proceedings of the National Academy of Sciences: Keyword search for query</w:t>
      </w:r>
      <w:r>
        <w:t xml:space="preserve">    </w:t>
      </w:r>
      <w:r>
        <w:rPr>
          <w:b/>
        </w:rPr>
        <w:t xml:space="preserve">Pub date: </w:t>
      </w:r>
      <w:r>
        <w:t>2026-02-10 08:00:00+00:00</w:t>
      </w:r>
      <w:r>
        <w:t xml:space="preserve">    </w:t>
      </w:r>
      <w:r>
        <w:rPr>
          <w:b/>
        </w:rPr>
        <w:t xml:space="preserve">DOI: </w:t>
      </w:r>
      <w:hyperlink r:id="rId452">
        <w:r>
          <w:rPr>
            <w:color w:val="1155CC"/>
            <w:u w:val="single"/>
          </w:rPr>
          <w:t>10.1073/pnas.2515782123</w:t>
        </w:r>
      </w:hyperlink>
    </w:p>
    <w:p>
      <w:pPr>
        <w:spacing w:before="0" w:after="120"/>
      </w:pPr>
      <w:r>
        <w:rPr>
          <w:b/>
        </w:rPr>
        <w:t xml:space="preserve">Notes: </w:t>
      </w:r>
      <w:r>
        <w:t>abstract_source=crossref</w:t>
      </w:r>
    </w:p>
    <w:p>
      <w:pPr>
        <w:spacing w:before="0" w:after="80" w:lineRule="auto" w:line="276"/>
      </w:pPr>
      <w:r>
        <w:rPr>
          <w:b/>
        </w:rPr>
        <w:t xml:space="preserve">摘要（ZH）: </w:t>
      </w:r>
      <w:r>
        <w:t>从视觉场景到触摸变形和流体运动,动物会解释身体周围的感官流动模式,以构建内部模型和产生适应行为。了解大脑中如何对这种变异进行编码仍然不完整。为了解决这个问题,我们利用幼子斑马鱼的横向线作为对流体运动敏感的可移动系统,并用来引导导航、喂养和避免捕食者。我们通过向身体的神经形态展示任何方向的刺激性,通过高分辨率的钙成像绘制了后脑反应图。我们的调查结果挑战了中央横向线处理缺乏地形结构的概念,即通过揭示一个以自我为中心的空间框架:方向和方向。</w:t>
      </w:r>
    </w:p>
    <w:p>
      <w:pPr>
        <w:spacing w:before="0" w:after="200" w:lineRule="auto" w:line="276"/>
      </w:pPr>
      <w:r>
        <w:rPr>
          <w:b/>
        </w:rPr>
        <w:t xml:space="preserve">Abstract (EN): </w:t>
      </w:r>
      <w:r>
        <w:t>From shifting visual scenes to tactile deformations and fluid motion, animals interpret patterns of sensory flow around their body to construct internal models and produce adaptive behavior. Understanding how such transformations are encoded in the brain remains incomplete. To tackle this question, we leverage the lateral line of larval zebrafish as a tractable system sensitive to fluid motion and used to steer navigation, feed, and avoid predators. By presenting stimuli of either direction to neuromasts along the body, we mapped hindbrain responses via high-resolution calcium imaging. Our findings challenge the notion that central lateral line processing lacks topographic structure by revealing a simple, yet powerful principle centered on an egocentric spatial framework: the direction and location of local flow motions are encoded in reference to the animal’s center-of-mass. Brainstem neurons that encode flow toward the center-of-mass broadly project to form bilateral connections onto reticulospinal neurons that coordinate forward locomotion while those that encode flow away from the center-of-mass displayed a more selective and unilateral projection profile to command neurons eliciting turns. This simple representation enables the brain to register complex flow patterns and provides a robust basis for behavioral action selection. Our finding represents a shift from purely somatotopic encoding toward an integrative representation of axial position and directionality along the horizontal plane combined, revealing a central principle for encoding spatiodirectional cues. This study advances our understanding of how complex mechanosensory inputs select appropriate motor outputs via simple egocentric neural maps in the hindbrain.</w:t>
      </w:r>
    </w:p>
    <w:p>
      <w:pPr>
        <w:spacing w:before="120" w:after="120"/>
      </w:pPr>
      <w:r>
        <w:rPr>
          <w:sz w:val="18"/>
        </w:rPr>
        <w:t>——————————————————————————————————————————————————————————————————————</w:t>
      </w:r>
    </w:p>
    <w:p>
      <w:pPr>
        <w:spacing w:before="160" w:after="40" w:line="240" w:lineRule="auto"/>
      </w:pPr>
      <w:r>
        <w:rPr>
          <w:b/>
        </w:rPr>
        <w:t xml:space="preserve">[279] </w:t>
      </w:r>
      <w:hyperlink r:id="rId453">
        <w:r>
          <w:rPr>
            <w:color w:val="1155CC"/>
            <w:u w:val="single"/>
          </w:rPr>
          <w:t>PIP2和Ca2+装配场门TMEM16A频道之间的 Allosterisc联结</w:t>
        </w:r>
      </w:hyperlink>
    </w:p>
    <w:p>
      <w:pPr>
        <w:spacing w:before="0" w:after="80"/>
      </w:pPr>
      <w:r>
        <w:rPr>
          <w:i/>
          <w:sz w:val="20"/>
        </w:rPr>
        <w:t>EN: Allosteric coupling between PIP2 and Ca2+ binding sites gates TMEM16A channels</w:t>
      </w:r>
    </w:p>
    <w:p>
      <w:pPr>
        <w:spacing w:before="0" w:after="120"/>
      </w:pPr>
      <w:r>
        <w:rPr>
          <w:b/>
        </w:rPr>
        <w:t xml:space="preserve">Source: </w:t>
      </w:r>
      <w:r>
        <w:t>Proceedings of the National Academy of Sciences: Keyword search for query</w:t>
      </w:r>
      <w:r>
        <w:t xml:space="preserve">    </w:t>
      </w:r>
      <w:r>
        <w:rPr>
          <w:b/>
        </w:rPr>
        <w:t xml:space="preserve">Pub date: </w:t>
      </w:r>
      <w:r>
        <w:t>2026-02-10 08:00:00+00:00</w:t>
      </w:r>
      <w:r>
        <w:t xml:space="preserve">    </w:t>
      </w:r>
      <w:r>
        <w:rPr>
          <w:b/>
        </w:rPr>
        <w:t xml:space="preserve">DOI: </w:t>
      </w:r>
      <w:hyperlink r:id="rId454">
        <w:r>
          <w:rPr>
            <w:color w:val="1155CC"/>
            <w:u w:val="single"/>
          </w:rPr>
          <w:t>10.1073/pnas.2506040123</w:t>
        </w:r>
      </w:hyperlink>
    </w:p>
    <w:p>
      <w:pPr>
        <w:spacing w:before="0" w:after="120"/>
      </w:pPr>
      <w:r>
        <w:rPr>
          <w:b/>
        </w:rPr>
        <w:t xml:space="preserve">Notes: </w:t>
      </w:r>
      <w:r>
        <w:t>abstract_source=crossref</w:t>
      </w:r>
    </w:p>
    <w:p>
      <w:pPr>
        <w:spacing w:before="0" w:after="80" w:lineRule="auto" w:line="276"/>
      </w:pPr>
      <w:r>
        <w:rPr>
          <w:b/>
        </w:rPr>
        <w:t xml:space="preserve">摘要（ZH）: </w:t>
      </w:r>
      <w:r>
        <w:t>TMEM16A 频道进行Ca 2+-活性氯-电流,这是基本生理过程的基础,包括上皮分泌、肌肉平稳收缩和感官移植。频道激活需要细胞内2+和信号磷化磷化磷酸丁二甲酯4,5-乙基磷酸酯(PIP 2),但这一双重管制的分子基础仍然不明确。我们通过分子动力模拟和结构制导电生理学,显示PIP 2和Ca 2+合作门TMEM16A通过感光学透视仪显示,PIP 2和Ca 2+合作门TMEM16A</w:t>
      </w:r>
    </w:p>
    <w:p>
      <w:pPr>
        <w:spacing w:before="0" w:after="200" w:lineRule="auto" w:line="276"/>
      </w:pPr>
      <w:r>
        <w:rPr>
          <w:b/>
        </w:rPr>
        <w:t xml:space="preserve">Abstract (EN): </w:t>
      </w:r>
      <w:r>
        <w:t>TMEM16A channels conduct Ca</w:t>
      </w:r>
      <w:r>
        <w:t xml:space="preserve"> </w:t>
      </w:r>
      <w:r>
        <w:t>2+</w:t>
      </w:r>
      <w:r>
        <w:t xml:space="preserve"> </w:t>
      </w:r>
      <w:r>
        <w:t>-activated Cl</w:t>
      </w:r>
      <w:r>
        <w:t xml:space="preserve"> </w:t>
      </w:r>
      <w:r>
        <w:t>−</w:t>
      </w:r>
      <w:r>
        <w:t>currents that underlie essential physiological processes including epithelial secretion, smooth muscle contraction, and sensory transduction. Channel activation requires both intracellular Ca</w:t>
      </w:r>
      <w:r>
        <w:t xml:space="preserve"> </w:t>
      </w:r>
      <w:r>
        <w:t>2+</w:t>
      </w:r>
      <w:r>
        <w:t xml:space="preserve"> </w:t>
      </w:r>
      <w:r>
        <w:t>and the signaling phospholipid phosphatidylinositol 4,5-bisphosphate (PIP</w:t>
      </w:r>
      <w:r>
        <w:rPr>
          <w:vertAlign w:val="subscript"/>
        </w:rPr>
        <w:t>2</w:t>
      </w:r>
      <w:r>
        <w:t>), yet the molecular basis of this dual regulation has remained unclear. Using gating molecular-dynamics simulations and structure-guided electrophysiology, we show that PIP</w:t>
      </w:r>
      <w:r>
        <w:rPr>
          <w:vertAlign w:val="subscript"/>
        </w:rPr>
        <w:t>2</w:t>
      </w:r>
      <w:r>
        <w:t>and Ca</w:t>
      </w:r>
      <w:r>
        <w:t xml:space="preserve"> </w:t>
      </w:r>
      <w:r>
        <w:t>2+</w:t>
      </w:r>
      <w:r>
        <w:t xml:space="preserve"> </w:t>
      </w:r>
      <w:r>
        <w:t>cooperatively gate TMEM16A through an allosterically coupled electrostatic network centered on the α4 helix. Specific PIP</w:t>
      </w:r>
      <w:r>
        <w:rPr>
          <w:vertAlign w:val="subscript"/>
        </w:rPr>
        <w:t>2</w:t>
      </w:r>
      <w:r>
        <w:t>headgroup phosphate interactions are essential for coupling Ca</w:t>
      </w:r>
      <w:r>
        <w:t xml:space="preserve"> </w:t>
      </w:r>
      <w:r>
        <w:t>2+</w:t>
      </w:r>
      <w:r>
        <w:t xml:space="preserve"> </w:t>
      </w:r>
      <w:r>
        <w:t>binding to channel opening, while the PIP</w:t>
      </w:r>
      <w:r>
        <w:rPr>
          <w:vertAlign w:val="subscript"/>
        </w:rPr>
        <w:t>2</w:t>
      </w:r>
      <w:r>
        <w:t>acyl chains engage hydrophobic surfaces of the helix to stabilize the open conformation. Disrupting either component of this lipid–protein interface reduces apparent PIP</w:t>
      </w:r>
      <w:r>
        <w:rPr>
          <w:vertAlign w:val="subscript"/>
        </w:rPr>
        <w:t>2</w:t>
      </w:r>
      <w:r>
        <w:t>affinity and impairs activation, whereas long-chain PIP</w:t>
      </w:r>
      <w:r>
        <w:rPr>
          <w:vertAlign w:val="subscript"/>
        </w:rPr>
        <w:t>2</w:t>
      </w:r>
      <w:r>
        <w:t>fully restores wild-type activity. These interactions act in concert with Ca</w:t>
      </w:r>
      <w:r>
        <w:t xml:space="preserve"> </w:t>
      </w:r>
      <w:r>
        <w:t>2+</w:t>
      </w:r>
      <w:r>
        <w:t xml:space="preserve"> </w:t>
      </w:r>
      <w:r>
        <w:t>-dependent structural rearrangements that widen the conduction pathway and enable Cl</w:t>
      </w:r>
      <w:r>
        <w:t xml:space="preserve"> </w:t>
      </w:r>
      <w:r>
        <w:t>−</w:t>
      </w:r>
      <w:r>
        <w:t>permeation. Our findings establish that both the headgroup phosphates and acyl chains of PIP</w:t>
      </w:r>
      <w:r>
        <w:rPr>
          <w:vertAlign w:val="subscript"/>
        </w:rPr>
        <w:t>2</w:t>
      </w:r>
      <w:r>
        <w:t>play indispensable and complementary roles in TMEM16A gating. This mechanism defines a cooperative lipid–ion activation process that provides a general framework for understanding phosphoinositide regulation of ion channels and offers opportunities for structure-based design of TMEM16A modulators.</w:t>
      </w:r>
    </w:p>
    <w:p>
      <w:pPr>
        <w:spacing w:before="120" w:after="120"/>
      </w:pPr>
      <w:r>
        <w:rPr>
          <w:sz w:val="18"/>
        </w:rPr>
        <w:t>——————————————————————————————————————————————————————————————————————</w:t>
      </w:r>
    </w:p>
    <w:p>
      <w:pPr>
        <w:spacing w:before="160" w:after="40" w:line="240" w:lineRule="auto"/>
      </w:pPr>
      <w:r>
        <w:rPr>
          <w:b/>
        </w:rPr>
        <w:t xml:space="preserve">[280] </w:t>
      </w:r>
      <w:hyperlink r:id="rId455">
        <w:r>
          <w:rPr>
            <w:color w:val="1155CC"/>
            <w:u w:val="single"/>
          </w:rPr>
          <w:t>在穆斯林占多数的国家,宗教标志降低了人们所认为的可信度</w:t>
        </w:r>
      </w:hyperlink>
    </w:p>
    <w:p>
      <w:pPr>
        <w:spacing w:before="0" w:after="80"/>
      </w:pPr>
      <w:r>
        <w:rPr>
          <w:i/>
          <w:sz w:val="20"/>
        </w:rPr>
        <w:t>EN: Religious markers reduce perceived trustworthiness in a Muslim-majority country</w:t>
      </w:r>
    </w:p>
    <w:p>
      <w:pPr>
        <w:spacing w:before="0" w:after="120"/>
      </w:pPr>
      <w:r>
        <w:rPr>
          <w:b/>
        </w:rPr>
        <w:t xml:space="preserve">Source: </w:t>
      </w:r>
      <w:r>
        <w:t>Proceedings of the National Academy of Sciences: Keyword search for query</w:t>
      </w:r>
      <w:r>
        <w:t xml:space="preserve">    </w:t>
      </w:r>
      <w:r>
        <w:rPr>
          <w:b/>
        </w:rPr>
        <w:t xml:space="preserve">Pub date: </w:t>
      </w:r>
      <w:r>
        <w:t>2026-02-10 08:00:00+00:00</w:t>
      </w:r>
      <w:r>
        <w:t xml:space="preserve">    </w:t>
      </w:r>
      <w:r>
        <w:rPr>
          <w:b/>
        </w:rPr>
        <w:t xml:space="preserve">DOI: </w:t>
      </w:r>
      <w:hyperlink r:id="rId456">
        <w:r>
          <w:rPr>
            <w:color w:val="1155CC"/>
            <w:u w:val="single"/>
          </w:rPr>
          <w:t>10.1073/pnas.2512131123</w:t>
        </w:r>
      </w:hyperlink>
    </w:p>
    <w:p>
      <w:pPr>
        <w:spacing w:before="0" w:after="120"/>
      </w:pPr>
      <w:r>
        <w:rPr>
          <w:b/>
        </w:rPr>
        <w:t xml:space="preserve">Notes: </w:t>
      </w:r>
      <w:r>
        <w:t>abstract_source=crossref</w:t>
      </w:r>
    </w:p>
    <w:p>
      <w:pPr>
        <w:spacing w:before="0" w:after="80" w:lineRule="auto" w:line="276"/>
      </w:pPr>
      <w:r>
        <w:rPr>
          <w:b/>
        </w:rPr>
        <w:t xml:space="preserve">摘要（ZH）: </w:t>
      </w:r>
      <w:r>
        <w:t>最初的印象往往取决于可见的暗示,导致人们推断陌生人的外貌和着装的可信赖性。虽然宗教信仰通常与人们所认为的更可信性有关,但人们很少知道穆斯林占多数的社会中如何可见的宗教标志,如服装和美容风格,在穆斯林占多数的社会中形成信任判断,这些信号十分广泛和容易识别。我们利用在土耳其进行具有国家代表性的面对面调查中嵌入的大规模Vignette实验来研究这一问题。我们通过实验性的不同剖面特征,我们确定了穆斯林头巾或胡子对人们所认为的可信赖性的因果关系。 与预期相反,展示这些宗教徽章的个人一般被视为较少。</w:t>
      </w:r>
    </w:p>
    <w:p>
      <w:pPr>
        <w:spacing w:before="0" w:after="200" w:lineRule="auto" w:line="276"/>
      </w:pPr>
      <w:r>
        <w:rPr>
          <w:b/>
        </w:rPr>
        <w:t xml:space="preserve">Abstract (EN): </w:t>
      </w:r>
      <w:r>
        <w:t>First impressions often hinge on visible cues, leading people to infer the trustworthiness of strangers from their appearance and dress. While religiosity is generally associated with greater perceived trustworthiness, little is known about how visible religious markers, such as clothing and grooming styles, shape trust judgments in Muslim-majority societies, where such signals are widespread and easily recognizable. We examine this question using a large-scale vignette experiment embedded in a nationally representative face-to-face survey in Turkey. By experimentally varying profile characteristics, we identify the causal effect of a Muslim headscarf or beard on perceived trustworthiness. Contrary to expectations, individuals displaying these religious badges are generally viewed as less trustworthy than otherwise identical profiles, even by highly religious respondents. Mediation analyses show that these effects arise because religious badges signal multiple attributes, not only religiosity but also political orientation and physical attractiveness—and that these inferred meanings differ by gender: women’s headscarves and men’s beards prompt distinct patterns of inference. These findings show that visible religious markers shape trust judgments through multivalent social inferences rather than perceived piety alone. The results highlight how observers draw on broader social and political associations when interpreting religious markers, providing evidence on how public expressions of religion affect everyday trust judgments.</w:t>
      </w:r>
    </w:p>
    <w:p>
      <w:pPr>
        <w:spacing w:before="120" w:after="120"/>
      </w:pPr>
      <w:r>
        <w:rPr>
          <w:sz w:val="18"/>
        </w:rPr>
        <w:t>——————————————————————————————————————————————————————————————————————</w:t>
      </w:r>
    </w:p>
    <w:p>
      <w:pPr>
        <w:spacing w:before="160" w:after="40" w:line="240" w:lineRule="auto"/>
      </w:pPr>
      <w:r>
        <w:rPr>
          <w:b/>
        </w:rPr>
        <w:t xml:space="preserve">[281] </w:t>
      </w:r>
      <w:hyperlink r:id="rId457">
        <w:r>
          <w:rPr>
            <w:color w:val="1155CC"/>
            <w:u w:val="single"/>
          </w:rPr>
          <w:t>BacA(SbmA) 共生NCRpitedides:蛋白质结构、功能和进化影响</w:t>
        </w:r>
      </w:hyperlink>
    </w:p>
    <w:p>
      <w:pPr>
        <w:spacing w:before="0" w:after="80"/>
      </w:pPr>
      <w:r>
        <w:rPr>
          <w:i/>
          <w:sz w:val="20"/>
        </w:rPr>
        <w:t>EN: BacA(SbmA) importer of legume symbiotic NCR peptides: Protein architecture, function, and evolutionary implications</w:t>
      </w:r>
    </w:p>
    <w:p>
      <w:pPr>
        <w:spacing w:before="0" w:after="120"/>
      </w:pPr>
      <w:r>
        <w:rPr>
          <w:b/>
        </w:rPr>
        <w:t xml:space="preserve">Source: </w:t>
      </w:r>
      <w:r>
        <w:t>Proceedings of the National Academy of Sciences: Keyword search for query</w:t>
      </w:r>
      <w:r>
        <w:t xml:space="preserve">    </w:t>
      </w:r>
      <w:r>
        <w:rPr>
          <w:b/>
        </w:rPr>
        <w:t xml:space="preserve">Pub date: </w:t>
      </w:r>
      <w:r>
        <w:t>2026-02-10 08:00:00+00:00</w:t>
      </w:r>
      <w:r>
        <w:t xml:space="preserve">    </w:t>
      </w:r>
      <w:r>
        <w:rPr>
          <w:b/>
        </w:rPr>
        <w:t xml:space="preserve">DOI: </w:t>
      </w:r>
      <w:hyperlink r:id="rId458">
        <w:r>
          <w:rPr>
            <w:color w:val="1155CC"/>
            <w:u w:val="single"/>
          </w:rPr>
          <w:t>10.1073/pnas.2526811123</w:t>
        </w:r>
      </w:hyperlink>
    </w:p>
    <w:p>
      <w:pPr>
        <w:spacing w:before="0" w:after="120"/>
      </w:pPr>
      <w:r>
        <w:rPr>
          <w:b/>
        </w:rPr>
        <w:t xml:space="preserve">Notes: </w:t>
      </w:r>
      <w:r>
        <w:t>abstract_source=crossref</w:t>
      </w:r>
    </w:p>
    <w:p>
      <w:pPr>
        <w:spacing w:before="0" w:after="80" w:lineRule="auto" w:line="276"/>
      </w:pPr>
      <w:r>
        <w:rPr>
          <w:b/>
        </w:rPr>
        <w:t xml:space="preserve">摘要（ZH）: </w:t>
      </w:r>
      <w:r>
        <w:t>NCR(Ndule-Cystene-Rich)peptides(NCR-Cysteine-Rich)peptides(NCR-Cysteine-Rich)peptides(NCR-Cysteine-Rich)peptides(Nclule-Cysteine-Rich)peptides)的一些成份在形成氮固化共生生物时,导致其共生伙伴最终区别。Sinorhizobium meliloti, 其植物在根结核开发过程中存放了Medicago truncatula和Medicago ativa Exa c. 600 NCReptides, 拥有一种共生基本BCA Sm蛋白质,将某些NCReptides输入到细胞系统。这种进口允许NCReptides的蛋白降解,从而保护内肠细菌免受其内菌。</w:t>
      </w:r>
    </w:p>
    <w:p>
      <w:pPr>
        <w:spacing w:before="0" w:after="200" w:lineRule="auto" w:line="276"/>
      </w:pPr>
      <w:r>
        <w:rPr>
          <w:b/>
        </w:rPr>
        <w:t xml:space="preserve">Abstract (EN): </w:t>
      </w:r>
      <w:r>
        <w:t>Some legumes encode families of NCR (Nodule-Cysteine-Rich) peptides that cause their rhizobial partners to terminally differentiate during the development of a nitrogen-fixing symbiosis.</w:t>
      </w:r>
      <w:r>
        <w:t xml:space="preserve"> </w:t>
      </w:r>
      <w:r>
        <w:t>Sinorhizobium meliloti,</w:t>
      </w:r>
      <w:r>
        <w:t xml:space="preserve"> </w:t>
      </w:r>
      <w:r>
        <w:t>whose plant hosts</w:t>
      </w:r>
      <w:r>
        <w:t xml:space="preserve"> </w:t>
      </w:r>
      <w:r>
        <w:t>Medicago truncatula</w:t>
      </w:r>
      <w:r>
        <w:t xml:space="preserve"> </w:t>
      </w:r>
      <w:r>
        <w:t>and</w:t>
      </w:r>
      <w:r>
        <w:t xml:space="preserve"> </w:t>
      </w:r>
      <w:r>
        <w:t>Medicago sativa</w:t>
      </w:r>
      <w:r>
        <w:t xml:space="preserve"> </w:t>
      </w:r>
      <w:r>
        <w:t>express</w:t>
      </w:r>
      <w:r>
        <w:t xml:space="preserve"> </w:t>
      </w:r>
      <w:r>
        <w:t>ca.</w:t>
      </w:r>
      <w:r>
        <w:t xml:space="preserve"> </w:t>
      </w:r>
      <w:r>
        <w:t>600 NCR peptides during root nodule development, possesses a symbiotically essential BacA</w:t>
      </w:r>
      <w:r>
        <w:t xml:space="preserve"> </w:t>
      </w:r>
      <w:r>
        <w:t>Sm</w:t>
      </w:r>
      <w:r>
        <w:t xml:space="preserve"> </w:t>
      </w:r>
      <w:r>
        <w:t>protein that imports certain NCR peptides into the cytoplasm. This import permits proteolytic degradation of the NCR peptides, thereby protecting the endocytosed bacteria from their antimicrobial peptide-like lethality, while also allowing certain NCR peptides to undergo their symbiotically critical interactions with cytoplasmic components, for example heme-sequestration in the case of NCR247. Our study employed 54</w:t>
      </w:r>
      <w:r>
        <w:t xml:space="preserve"> </w:t>
      </w:r>
      <w:r>
        <w:t>S. meliloti bacA</w:t>
      </w:r>
      <w:r>
        <w:t xml:space="preserve"> </w:t>
      </w:r>
      <w:r>
        <w:t>Sm</w:t>
      </w:r>
      <w:r>
        <w:t xml:space="preserve"> </w:t>
      </w:r>
      <w:r>
        <w:t>missense mutants (35 to cysteine and 19 to glycine) that we tested for protein production, ability to establish a nitrogen-fixing symbiosis, and their susceptibility to killing by higher levels of the NCR247 and the Bac7(1-35) peptides. We also used the Single Cysteine Accessibility Method to make topological inferences. Our detailed genetic, biochemical, structural, and physiological analyses have revealed that BacA</w:t>
      </w:r>
      <w:r>
        <w:t xml:space="preserve"> </w:t>
      </w:r>
      <w:r>
        <w:t>Sm</w:t>
      </w:r>
      <w:r>
        <w:t xml:space="preserve"> </w:t>
      </w:r>
      <w:r>
        <w:t>and SbmAhomodimers function as finely tuned transporters, whose structures can be relatively easily disrupted by single amino acid changes. Our finding that several mutations that differentially separate nitrogen-fixation, NCR247 import, and Bac7(1-35) import map to the lining of the peptide-binding cavity suggests a molecular explanation underlying the paradoxical observation that SbmA/BacAs from pathogens can fully replace BacA</w:t>
      </w:r>
      <w:r>
        <w:t xml:space="preserve"> </w:t>
      </w:r>
      <w:r>
        <w:t>Sm</w:t>
      </w:r>
      <w:r>
        <w:t xml:space="preserve"> </w:t>
      </w:r>
      <w:r>
        <w:t>, whereas BacAs from other rhizobia cannot.</w:t>
      </w:r>
    </w:p>
    <w:p>
      <w:pPr>
        <w:spacing w:before="120" w:after="120"/>
      </w:pPr>
      <w:r>
        <w:rPr>
          <w:sz w:val="18"/>
        </w:rPr>
        <w:t>——————————————————————————————————————————————————————————————————————</w:t>
      </w:r>
    </w:p>
    <w:p>
      <w:pPr>
        <w:spacing w:before="160" w:after="40" w:line="240" w:lineRule="auto"/>
      </w:pPr>
      <w:r>
        <w:rPr>
          <w:b/>
        </w:rPr>
        <w:t xml:space="preserve">[282] </w:t>
      </w:r>
      <w:hyperlink r:id="rId459">
        <w:r>
          <w:rPr>
            <w:color w:val="1155CC"/>
            <w:u w:val="single"/>
          </w:rPr>
          <w:t>实验室规模的高速原地摄影成像</w:t>
        </w:r>
      </w:hyperlink>
    </w:p>
    <w:p>
      <w:pPr>
        <w:spacing w:before="0" w:after="80"/>
      </w:pPr>
      <w:r>
        <w:rPr>
          <w:i/>
          <w:sz w:val="20"/>
        </w:rPr>
        <w:t>EN: High-speed in situ tomographic imaging at lab scale</w:t>
      </w:r>
    </w:p>
    <w:p>
      <w:pPr>
        <w:spacing w:before="0" w:after="120"/>
      </w:pPr>
      <w:r>
        <w:rPr>
          <w:b/>
        </w:rPr>
        <w:t xml:space="preserve">Source: </w:t>
      </w:r>
      <w:r>
        <w:t>Proceedings of the National Academy of Sciences: Keyword search for query</w:t>
      </w:r>
      <w:r>
        <w:t xml:space="preserve">    </w:t>
      </w:r>
      <w:r>
        <w:rPr>
          <w:b/>
        </w:rPr>
        <w:t xml:space="preserve">Pub date: </w:t>
      </w:r>
      <w:r>
        <w:t>2026-02-10 08:00:00+00:00</w:t>
      </w:r>
      <w:r>
        <w:t xml:space="preserve">    </w:t>
      </w:r>
      <w:r>
        <w:rPr>
          <w:b/>
        </w:rPr>
        <w:t xml:space="preserve">DOI: </w:t>
      </w:r>
      <w:hyperlink r:id="rId460">
        <w:r>
          <w:rPr>
            <w:color w:val="1155CC"/>
            <w:u w:val="single"/>
          </w:rPr>
          <w:t>10.1073/pnas.2535455123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[283] </w:t>
      </w:r>
      <w:hyperlink r:id="rId461">
        <w:r>
          <w:rPr>
            <w:color w:val="1155CC"/>
            <w:u w:val="single"/>
          </w:rPr>
          <w:t>将Pt单原子与无定形LDH Nanocheps相结合,作为声动免疫治疗高高效感应敏化器</w:t>
        </w:r>
      </w:hyperlink>
    </w:p>
    <w:p>
      <w:pPr>
        <w:spacing w:before="0" w:after="80"/>
      </w:pPr>
      <w:r>
        <w:rPr>
          <w:i/>
          <w:sz w:val="20"/>
        </w:rPr>
        <w:t>EN: Coupling Pt Single‐Atoms with Amorphous LDH Nanosheets as a High‐Efficiency Sonosensitizer for Sonodynamic Immunotherapy</w:t>
      </w:r>
    </w:p>
    <w:p>
      <w:pPr>
        <w:spacing w:before="0" w:after="120"/>
      </w:pPr>
      <w:r>
        <w:rPr>
          <w:b/>
        </w:rPr>
        <w:t xml:space="preserve">Source: </w:t>
      </w:r>
      <w:r>
        <w:t>Wiley: Advanced Materials: Table of Contents</w:t>
      </w:r>
      <w:r>
        <w:t xml:space="preserve">    </w:t>
      </w:r>
      <w:r>
        <w:rPr>
          <w:b/>
        </w:rPr>
        <w:t xml:space="preserve">Pub date: </w:t>
      </w:r>
      <w:r>
        <w:t>2026-02-10 08:01:09+00:00</w:t>
      </w:r>
      <w:r>
        <w:t xml:space="preserve">    </w:t>
      </w:r>
      <w:r>
        <w:rPr>
          <w:b/>
        </w:rPr>
        <w:t xml:space="preserve">DOI: </w:t>
      </w:r>
      <w:hyperlink r:id="rId462">
        <w:r>
          <w:rPr>
            <w:color w:val="1155CC"/>
            <w:u w:val="single"/>
          </w:rPr>
          <w:t>10.1002/adma.72457</w:t>
        </w:r>
      </w:hyperlink>
    </w:p>
    <w:p>
      <w:pPr>
        <w:spacing w:before="0" w:after="120"/>
      </w:pPr>
      <w:r>
        <w:rPr>
          <w:b/>
        </w:rPr>
        <w:t xml:space="preserve">Notes: </w:t>
      </w:r>
      <w:r>
        <w:t>abstract_source=crossref</w:t>
      </w:r>
    </w:p>
    <w:p>
      <w:pPr>
        <w:spacing w:before="0" w:after="80" w:lineRule="auto" w:line="276"/>
      </w:pPr>
      <w:r>
        <w:rPr>
          <w:b/>
        </w:rPr>
        <w:t xml:space="preserve">摘要（ZH）: </w:t>
      </w:r>
      <w:r>
        <w:t>Sono动力学疗法(SDT)是治疗癌症的最低限度侵入性替代疗法,但是,由于宽带突突突、快速电孔再重组和氧吸附/活化不足,其反应性氧物种生成无机代谢灵敏化剂的活性氧量不足,因此其功效受到限制。 我们在此首次报告,通过将Pt单子原子固定在不固定的COMMMMODH(Pt/aQLDH)上,将Pt/aQLDH固定在高高效的声动免疫疗法的双氢氧化物(Pt/aQLDH)上,通过缺陷工程和单子原子改造的协同作用,Pt/aLDH实现了锐力带宽减(从2.4到0.6 eV)和大量缺陷环境,极大地促进了电源分离和抑制el。</w:t>
      </w:r>
    </w:p>
    <w:p>
      <w:pPr>
        <w:spacing w:before="0" w:after="200" w:lineRule="auto" w:line="276"/>
      </w:pPr>
      <w:r>
        <w:rPr>
          <w:b/>
        </w:rPr>
        <w:t xml:space="preserve">Abstract (EN): </w:t>
      </w:r>
      <w:r>
        <w:t>Sonodynamic therapy (SDT) represents a minimally invasive alternative for cancer treatment. However, its efficacy is constrained by the insufficient reactive oxygen species generation of inorganic sonosensitizers due to wide bandgaps, rapid electron‐hole recombination, and insufficient oxygen adsorption/activation. Herein, we report for the first time a novel sonosensitizer constructed by anchoring Pt single‐atoms onto amorphous CoMgMo‐layered double hydroxide (Pt/a‐LDH) for high‐efficiency sonodynamic immunotherapy. Through the synergy of defect engineering and single‐atom modification, Pt/a‐LDH achieves sharp bandgap reduction (from 2.4 to 0.6 eV) and abundant defective environment, dramatically promoting charge separation and inhibiting electron‐hole recombination (an inhibition rate of 89.8%). Moreover, the unique 2D structure and hydroxyl coordination environment of LDH yield ultrahigh single‐atom loading efficiency and defect density, which significantly promote oxygen adsorption/activation, reduce reaction energy barrier (bond energy from 3.6 to 2.1 eV), and accelerate reaction kinetics. Consequently, Pt/a‐LDH achieves a significant enhancement in sonodynamic performance, generating singlet oxygen at 5.3 and 38.2 times that of CoMgMo‐LDH and TiO</w:t>
      </w:r>
      <w:r>
        <w:rPr>
          <w:vertAlign w:val="subscript"/>
        </w:rPr>
        <w:t>2</w:t>
      </w:r>
      <w:r>
        <w:t>sonosensitizer, respectively. In vivo assays demonstrate that polyethylene glycol‐modified Pt/a‐LDH induces robust immunogenic cell death, activates dendritic cell maturation, stimulates T‐cell infiltration, and reprograms the immunosuppressive tumor microenvironment, offering a new paradigm for high‐performance sonodynamic immunotherapy.</w:t>
      </w:r>
    </w:p>
    <w:p>
      <w:pPr>
        <w:spacing w:before="120" w:after="120"/>
      </w:pPr>
      <w:r>
        <w:rPr>
          <w:sz w:val="18"/>
        </w:rPr>
        <w:t>——————————————————————————————————————————————————————————————————————</w:t>
      </w:r>
    </w:p>
    <w:p>
      <w:pPr>
        <w:spacing w:before="160" w:after="40" w:line="240" w:lineRule="auto"/>
      </w:pPr>
      <w:r>
        <w:rPr>
          <w:b/>
        </w:rPr>
        <w:t xml:space="preserve">[284] </w:t>
      </w:r>
      <w:hyperlink r:id="rId463">
        <w:r>
          <w:rPr>
            <w:color w:val="1155CC"/>
            <w:u w:val="single"/>
          </w:rPr>
          <w:t>废旧LiFePO4电池猫头鹰的电化学再生</w:t>
        </w:r>
      </w:hyperlink>
    </w:p>
    <w:p>
      <w:pPr>
        <w:spacing w:before="0" w:after="80"/>
      </w:pPr>
      <w:r>
        <w:rPr>
          <w:i/>
          <w:sz w:val="20"/>
        </w:rPr>
        <w:t>EN: Redox‐Mediated Electrochemical Regeneration of Spent LiFePO4 Battery Cathodes</w:t>
      </w:r>
    </w:p>
    <w:p>
      <w:pPr>
        <w:spacing w:before="0" w:after="120"/>
      </w:pPr>
      <w:r>
        <w:rPr>
          <w:b/>
        </w:rPr>
        <w:t xml:space="preserve">Source: </w:t>
      </w:r>
      <w:r>
        <w:t>Wiley: Angewandte Chemie International Edition: Table of Contents</w:t>
      </w:r>
      <w:r>
        <w:t xml:space="preserve">    </w:t>
      </w:r>
      <w:r>
        <w:rPr>
          <w:b/>
        </w:rPr>
        <w:t xml:space="preserve">Pub date: </w:t>
      </w:r>
      <w:r>
        <w:t>2026-02-10 08:03:02+00:00</w:t>
      </w:r>
      <w:r>
        <w:t xml:space="preserve">    </w:t>
      </w:r>
      <w:r>
        <w:rPr>
          <w:b/>
        </w:rPr>
        <w:t xml:space="preserve">DOI: </w:t>
      </w:r>
      <w:hyperlink r:id="rId464">
        <w:r>
          <w:rPr>
            <w:color w:val="1155CC"/>
            <w:u w:val="single"/>
          </w:rPr>
          <w:t>10.1002/anie.202520213</w:t>
        </w:r>
      </w:hyperlink>
    </w:p>
    <w:p>
      <w:pPr>
        <w:spacing w:before="0" w:after="120"/>
      </w:pPr>
      <w:r>
        <w:rPr>
          <w:b/>
        </w:rPr>
        <w:t xml:space="preserve">Notes: </w:t>
      </w:r>
      <w:r>
        <w:t>abstract_source=crossref</w:t>
      </w:r>
    </w:p>
    <w:p>
      <w:pPr>
        <w:spacing w:before="0" w:after="80" w:lineRule="auto" w:line="276"/>
      </w:pPr>
      <w:r>
        <w:rPr>
          <w:b/>
        </w:rPr>
        <w:t xml:space="preserve">摘要（ZH）: </w:t>
      </w:r>
      <w:r>
        <w:t>直接回收锂离子电池阴极的ABSTACT直接回收对冶金方法具有相当大的吸引力。在这里,我们展示了一种媒介化电化学方法,直接再生退化的LIFPO 4(LFP),该方法使用一种红氧化介质、铁丙二烯胺四氧乙酸酯,该介质经过电化学还原,并通过一个外部储油层传播,该方法提供在LiOH氧化产生的李+离子面前再生LFP所需的电子。从调解人观测到向退化的LFP材料的快速外向电子转移。这一特征加上调解人良好的水溶性(0.3M),支持该特性以及调解人良好的水溶性(0.3M)。</w:t>
      </w:r>
    </w:p>
    <w:p>
      <w:pPr>
        <w:spacing w:before="0" w:after="200" w:lineRule="auto" w:line="276"/>
      </w:pPr>
      <w:r>
        <w:rPr>
          <w:b/>
        </w:rPr>
        <w:t xml:space="preserve">Abstract (EN): </w:t>
      </w:r>
      <w:r>
        <w:t>Direct recycling of lithium‐ion battery cathodes offers considerable appeal over metallurgical approaches. Here, we demonstrate a mediated electrochemical method for direct regeneration of degraded LiFePO</w:t>
      </w:r>
      <w:r>
        <w:rPr>
          <w:vertAlign w:val="subscript"/>
        </w:rPr>
        <w:t>4</w:t>
      </w:r>
      <w:r>
        <w:t>(LFP). The approach uses a redox mediator, iron propylenediamine tetraacetate, that undergoes electrochemical reduction and is circulated through an external reservoir, where it supplies the electrons needed to regenerate LFP in the presence of Li</w:t>
      </w:r>
      <w:r>
        <w:t xml:space="preserve"> </w:t>
      </w:r>
      <w:r>
        <w:t>+</w:t>
      </w:r>
      <w:r>
        <w:t xml:space="preserve"> </w:t>
      </w:r>
      <w:r>
        <w:t>ions derived from LiOH oxidation. Rapid outer‐sphere electron transfer is observed from the mediator to the degraded LFP material. This feature, together with good aqueous solubility of the mediator (0.3 M), supports current densities up to 100 mA/cm</w:t>
      </w:r>
      <w:r>
        <w:rPr>
          <w:vertAlign w:val="subscript"/>
        </w:rPr>
        <w:t>2</w:t>
      </w:r>
      <w:r>
        <w:t>, and this electrochemical recycling process is demonstrated on 100 g scale.</w:t>
      </w:r>
      <w:r>
        <w:rPr>
          <w:vertAlign w:val="subscript"/>
        </w:rPr>
        <w:t>57</w:t>
      </w:r>
      <w:r>
        <w:t>Fe Mössbauer spectroscopy is used to monitor the correction of structural defects in the degraded LFP, providing the basis for regeneration of LFP that matches the electrochemical performance of pristine LFP.</w:t>
      </w:r>
    </w:p>
    <w:p>
      <w:pPr>
        <w:spacing w:before="120" w:after="120"/>
      </w:pPr>
      <w:r>
        <w:rPr>
          <w:sz w:val="18"/>
        </w:rPr>
        <w:t>——————————————————————————————————————————————————————————————————————</w:t>
      </w:r>
    </w:p>
    <w:p>
      <w:pPr>
        <w:spacing w:before="160" w:after="40" w:line="240" w:lineRule="auto"/>
      </w:pPr>
      <w:r>
        <w:rPr>
          <w:b/>
        </w:rPr>
        <w:t xml:space="preserve">[285] </w:t>
      </w:r>
      <w:hyperlink r:id="rId465">
        <w:r>
          <w:rPr>
            <w:color w:val="1155CC"/>
            <w:u w:val="single"/>
          </w:rPr>
          <w:t>用于强化向成丁二极细胞运送兴奋剂动物的强化环形交付的生物动力工程病毒</w:t>
        </w:r>
      </w:hyperlink>
    </w:p>
    <w:p>
      <w:pPr>
        <w:spacing w:before="0" w:after="80"/>
      </w:pPr>
      <w:r>
        <w:rPr>
          <w:i/>
          <w:sz w:val="20"/>
        </w:rPr>
        <w:t>EN: Bioinspired Engineered Virus‐Mimetic Vesicles for Enhanced Cytosolic Delivery of STING Agonists Into Dendritic Cells</w:t>
      </w:r>
    </w:p>
    <w:p>
      <w:pPr>
        <w:spacing w:before="0" w:after="120"/>
      </w:pPr>
      <w:r>
        <w:rPr>
          <w:b/>
        </w:rPr>
        <w:t xml:space="preserve">Source: </w:t>
      </w:r>
      <w:r>
        <w:t>Wiley: Advanced Materials: Table of Contents</w:t>
      </w:r>
      <w:r>
        <w:t xml:space="preserve">    </w:t>
      </w:r>
      <w:r>
        <w:rPr>
          <w:b/>
        </w:rPr>
        <w:t xml:space="preserve">Pub date: </w:t>
      </w:r>
      <w:r>
        <w:t>2026-02-10 08:03:38+00:00</w:t>
      </w:r>
      <w:r>
        <w:t xml:space="preserve">    </w:t>
      </w:r>
      <w:r>
        <w:rPr>
          <w:b/>
        </w:rPr>
        <w:t xml:space="preserve">DOI: </w:t>
      </w:r>
      <w:hyperlink r:id="rId466">
        <w:r>
          <w:rPr>
            <w:color w:val="1155CC"/>
            <w:u w:val="single"/>
          </w:rPr>
          <w:t>10.1002/adma.202520019</w:t>
        </w:r>
      </w:hyperlink>
    </w:p>
    <w:p>
      <w:pPr>
        <w:spacing w:before="0" w:after="120"/>
      </w:pPr>
      <w:r>
        <w:rPr>
          <w:b/>
        </w:rPr>
        <w:t xml:space="preserve">Notes: </w:t>
      </w:r>
      <w:r>
        <w:t>abstract_source=crossref</w:t>
      </w:r>
    </w:p>
    <w:p>
      <w:pPr>
        <w:spacing w:before="0" w:after="80" w:lineRule="auto" w:line="276"/>
      </w:pPr>
      <w:r>
        <w:rPr>
          <w:b/>
        </w:rPr>
        <w:t xml:space="preserve">摘要（ZH）: </w:t>
      </w:r>
      <w:r>
        <w:t>有效向登革热细胞(DDCs)有效交付对于Ting Actritic Actritic Actritics(DDCs)临床翻译至关重要,然而,目前的循环二核素酸(CDN)疗法由于低效的细胞外投产和目标外激活而导致T细胞耗竭而受阻。在这里,设计了一个高偏异性、登革热病毒模拟平台(CDN@VLP)来利用自然对流法在不成熟的发展中国家精确的细胞外释放。 与传统的脂质纳米粒子相比,CDN@VLP提高了1. 9倍的DC(centy)特定吸收量,同时将肿瘤的非特定细胞内分化量减少14.8倍,在自由CDN剂量的1/40时达到类似的抗声波功效。系统筛选确定了一种最佳的VLP子类型,改进了类型1常规DC的定向累积量。</w:t>
      </w:r>
    </w:p>
    <w:p>
      <w:pPr>
        <w:spacing w:before="0" w:after="200" w:lineRule="auto" w:line="276"/>
      </w:pPr>
      <w:r>
        <w:rPr>
          <w:b/>
        </w:rPr>
        <w:t xml:space="preserve">Abstract (EN): </w:t>
      </w:r>
      <w:r>
        <w:t>Effective delivery to dendritic cells (DCs) is crucial for the clinical translation of STING agonists, however, current cyclic dinucleotide (CDN) therapies are hindered by inefficient cytosolic delivery and off‐target activation‐induced T cell exhaustion. Here, a high‐fidelity, dengue virus‐mimetic platform (CDN@VLP) is engineered to leverage natural tropism for precise cytosolic release in immature DCs. Compared to conventional lipid nanoparticles, CDN@VLP enhances DC‐specific uptake by 1.9‐fold while reducing non‐specific T cell internalization in tumors by 14.8‐fold, achieving comparable antitumor efficacy at one‐fortieth the dose of free CDN. Systematic screening identifies an optimal VLP subtype that improves targeted accumulation in type 1 conventional DCs (cDC1s)—a subset essential for STING pathway activation—by 2.3‐fold and amplifies durable type I interferon responses, resulting in a 12.8‐fold increase in IFN‐β production. Transcriptomic analysis further reveals that CDN@VLP promotes cDC1 recruitment into tumors by enhancing the secretion of key chemokines (XCL1, CCL4, and CCL5), suggesting an additional mechanism of action. By mimicking viral tropism, the CDN@VLP platform establishes a paradigm for precision STING activation, overcoming the trade‐off between potency and specificity in cDC1‐targeted immunotherapy.</w:t>
      </w:r>
    </w:p>
    <w:p>
      <w:pPr>
        <w:spacing w:before="120" w:after="120"/>
      </w:pPr>
      <w:r>
        <w:rPr>
          <w:sz w:val="18"/>
        </w:rPr>
        <w:t>——————————————————————————————————————————————————————————————————————</w:t>
      </w:r>
    </w:p>
    <w:p>
      <w:pPr>
        <w:spacing w:before="160" w:after="40" w:line="240" w:lineRule="auto"/>
      </w:pPr>
      <w:r>
        <w:rPr>
          <w:b/>
        </w:rPr>
        <w:t xml:space="preserve">[286] </w:t>
      </w:r>
      <w:hyperlink r:id="rId467">
        <w:r>
          <w:rPr>
            <w:color w:val="1155CC"/>
            <w:u w:val="single"/>
          </w:rPr>
          <w:t>建筑和微环境管理MOF/COF热界面中短期传输隧道的建设和微环境管理</w:t>
        </w:r>
      </w:hyperlink>
    </w:p>
    <w:p>
      <w:pPr>
        <w:spacing w:before="0" w:after="80"/>
      </w:pPr>
      <w:r>
        <w:rPr>
          <w:i/>
          <w:sz w:val="20"/>
        </w:rPr>
        <w:t>EN: Construction and Microenvironment Regulation of Short Charge Transfer Tunnel at MOF/COF Heterointerfaces for Visible‐Light‐Driven Hydrogen Evolution</w:t>
      </w:r>
    </w:p>
    <w:p>
      <w:pPr>
        <w:spacing w:before="0" w:after="120"/>
      </w:pPr>
      <w:r>
        <w:rPr>
          <w:b/>
        </w:rPr>
        <w:t xml:space="preserve">Source: </w:t>
      </w:r>
      <w:r>
        <w:t>Wiley: Advanced Materials: Table of Contents</w:t>
      </w:r>
      <w:r>
        <w:t xml:space="preserve">    </w:t>
      </w:r>
      <w:r>
        <w:rPr>
          <w:b/>
        </w:rPr>
        <w:t xml:space="preserve">Pub date: </w:t>
      </w:r>
      <w:r>
        <w:t>2026-02-10 08:08:02+00:00</w:t>
      </w:r>
      <w:r>
        <w:t xml:space="preserve">    </w:t>
      </w:r>
      <w:r>
        <w:rPr>
          <w:b/>
        </w:rPr>
        <w:t xml:space="preserve">DOI: </w:t>
      </w:r>
      <w:hyperlink r:id="rId468">
        <w:r>
          <w:rPr>
            <w:color w:val="1155CC"/>
            <w:u w:val="single"/>
          </w:rPr>
          <w:t>10.1002/adma.202522294</w:t>
        </w:r>
      </w:hyperlink>
    </w:p>
    <w:p>
      <w:pPr>
        <w:spacing w:before="0" w:after="120"/>
      </w:pPr>
      <w:r>
        <w:rPr>
          <w:b/>
        </w:rPr>
        <w:t xml:space="preserve">Notes: </w:t>
      </w:r>
      <w:r>
        <w:t>abstract_source=crossref</w:t>
      </w:r>
    </w:p>
    <w:p>
      <w:pPr>
        <w:spacing w:before="0" w:after="80" w:lineRule="auto" w:line="276"/>
      </w:pPr>
      <w:r>
        <w:rPr>
          <w:b/>
        </w:rPr>
        <w:t xml:space="preserve">摘要（ZH）: </w:t>
      </w:r>
      <w:r>
        <w:t>提高电子传输效率是提高光化催化生产率的一个关键问题。 在此, 我们提出一个定位单原子和建立短距离电子传输路径的战略。 通过将含氮单分离离子体纳入 UIO#66NH 2, Pt单原子可以同时由氮原子和空的Zrxoxo群落组成。 随后, 含有Pt的UIO用TpPa1压缩。 因此, TPPPA到Pt的分子级电子传输路径已经在TPPA和UIO之间的热界面中建立。 通过合理调整功能组的位置(H、 QCl和 OCH 3) 。</w:t>
      </w:r>
    </w:p>
    <w:p>
      <w:pPr>
        <w:spacing w:before="0" w:after="200" w:lineRule="auto" w:line="276"/>
      </w:pPr>
      <w:r>
        <w:rPr>
          <w:b/>
        </w:rPr>
        <w:t xml:space="preserve">Abstract (EN): </w:t>
      </w:r>
      <w:r>
        <w:t>Raising electron transfer efficiency is a crucial issue in improving photocatalytic productivity. Herein, we propose a strategy for anchoring single atoms and the establishment of a short‐distance electron transport pathway. By incorporating nitrogen‐containing monodentate ligands into UIO‐66‐NH</w:t>
      </w:r>
      <w:r>
        <w:rPr>
          <w:vertAlign w:val="subscript"/>
        </w:rPr>
        <w:t>2</w:t>
      </w:r>
      <w:r>
        <w:t>, Pt single atom could be co‐anchored by both the nitrogen atom and the vacant Zr‐oxo cluster. Subsequently, the Pt‐containing UIO was condensed with TpPa‐1. Thereby, a molecular‐level electron transfer pathway from TpPa to Pt has been established at the heterointerface between TpPa and UIO. By rationally adjusting the positions of the functional groups (‐H, ‐Cl, and ‐OCH</w:t>
      </w:r>
      <w:r>
        <w:rPr>
          <w:vertAlign w:val="subscript"/>
        </w:rPr>
        <w:t>3</w:t>
      </w:r>
      <w:r>
        <w:t>) in the monodentate ligand, their involvement in the pathway was precisely regulated. They functioned as electron relays when positioned at the ortho‐position of the amino group, thereby facilitating the electron delivery. Cl exhibited a more pronounced effect compared to OCH</w:t>
      </w:r>
      <w:r>
        <w:rPr>
          <w:vertAlign w:val="subscript"/>
        </w:rPr>
        <w:t>3</w:t>
      </w:r>
      <w:r>
        <w:t>, UPT‐</w:t>
      </w:r>
      <w:r>
        <w:t xml:space="preserve"> </w:t>
      </w:r>
      <w:r>
        <w:t>o</w:t>
      </w:r>
      <w:r>
        <w:t xml:space="preserve"> </w:t>
      </w:r>
      <w:r>
        <w:t>‐Cl achieved the maximum H</w:t>
      </w:r>
      <w:r>
        <w:rPr>
          <w:vertAlign w:val="subscript"/>
        </w:rPr>
        <w:t>2</w:t>
      </w:r>
      <w:r>
        <w:t>yield of 14.21 mmol g</w:t>
      </w:r>
      <w:r>
        <w:t xml:space="preserve"> </w:t>
      </w:r>
      <w:r>
        <w:t>−1</w:t>
      </w:r>
      <w:r>
        <w:t xml:space="preserve"> </w:t>
      </w:r>
      <w:r>
        <w:t>h</w:t>
      </w:r>
      <w:r>
        <w:t xml:space="preserve"> </w:t>
      </w:r>
      <w:r>
        <w:t>−1</w:t>
      </w:r>
      <w:r>
        <w:t xml:space="preserve"> </w:t>
      </w:r>
      <w:r>
        <w:t>. Mechanism calculations revealed that the groups located along the pathway would regulate the microenvironment of the constructed tunnels, resulting in a higher electron density and enhanced ability to adsorb H intermediates of the Pt sites. This research reports a strategy for precisely regulating the microenvironment adjacent to the active site, providing new insights into enhancing carrier mobility and utilization efficiency.</w:t>
      </w:r>
    </w:p>
    <w:p>
      <w:pPr>
        <w:spacing w:before="120" w:after="120"/>
      </w:pPr>
      <w:r>
        <w:rPr>
          <w:sz w:val="18"/>
        </w:rPr>
        <w:t>——————————————————————————————————————————————————————————————————————</w:t>
      </w:r>
    </w:p>
    <w:p>
      <w:pPr>
        <w:spacing w:before="160" w:after="40" w:line="240" w:lineRule="auto"/>
      </w:pPr>
      <w:r>
        <w:rPr>
          <w:b/>
        </w:rPr>
        <w:t xml:space="preserve">[287] </w:t>
      </w:r>
      <w:hyperlink r:id="rId469">
        <w:r>
          <w:rPr>
            <w:color w:val="1155CC"/>
            <w:u w:val="single"/>
          </w:rPr>
          <w:t>BiVO4光电层上用于增强和耐用太阳氧化水的NiFeOX和Cobalt-集集水氢氧基乙酸纳米铁石的理性设计</w:t>
        </w:r>
      </w:hyperlink>
    </w:p>
    <w:p>
      <w:pPr>
        <w:spacing w:before="0" w:after="80"/>
      </w:pPr>
      <w:r>
        <w:rPr>
          <w:i/>
          <w:sz w:val="20"/>
        </w:rPr>
        <w:t>EN: Rational Design of NiFeOX and Cobalt‐Integrated Hydroxyapatite Nanoarchitecture on BiVO4 Photoanode for Enhanced and Durable Solar to Water Oxidation</w:t>
      </w:r>
    </w:p>
    <w:p>
      <w:pPr>
        <w:spacing w:before="0" w:after="120"/>
      </w:pPr>
      <w:r>
        <w:rPr>
          <w:b/>
        </w:rPr>
        <w:t xml:space="preserve">Source: </w:t>
      </w:r>
      <w:r>
        <w:t>Wiley: Advanced Energy Materials: Table of Contents</w:t>
      </w:r>
      <w:r>
        <w:t xml:space="preserve">    </w:t>
      </w:r>
      <w:r>
        <w:rPr>
          <w:b/>
        </w:rPr>
        <w:t xml:space="preserve">Pub date: </w:t>
      </w:r>
      <w:r>
        <w:t>2026-02-10 08:08:47+00:00</w:t>
      </w:r>
      <w:r>
        <w:t xml:space="preserve">    </w:t>
      </w:r>
      <w:r>
        <w:rPr>
          <w:b/>
        </w:rPr>
        <w:t xml:space="preserve">DOI: </w:t>
      </w:r>
      <w:hyperlink r:id="rId470">
        <w:r>
          <w:rPr>
            <w:color w:val="1155CC"/>
            <w:u w:val="single"/>
          </w:rPr>
          <w:t>10.1002/aenm.202505403</w:t>
        </w:r>
      </w:hyperlink>
    </w:p>
    <w:p>
      <w:pPr>
        <w:spacing w:before="0" w:after="120"/>
      </w:pPr>
      <w:r>
        <w:rPr>
          <w:b/>
        </w:rPr>
        <w:t xml:space="preserve">Notes: </w:t>
      </w:r>
      <w:r>
        <w:t>abstract_source=crossref</w:t>
      </w:r>
    </w:p>
    <w:p>
      <w:pPr>
        <w:spacing w:before="0" w:after="80" w:lineRule="auto" w:line="276"/>
      </w:pPr>
      <w:r>
        <w:rPr>
          <w:b/>
        </w:rPr>
        <w:t xml:space="preserve">摘要（ZH）: </w:t>
      </w:r>
      <w:r>
        <w:t>ABSTACT 太阳能驱动光电化学(PEC) 水分分离为太阳能转换燃料提供了一个可持续的途径;然而,其实际应用却受到氧气进化反应迟缓的动能反应和严重的地表电重组的阻碍。BVO 4 (BVO)是一种很有希望的光电材料,但受到低效率的电荷分离和有限的操作稳定性的影响。在此,我们报告了一项双重催化战略,其中钴集成氢氧酸盐(CoHAP)与NiFeO X纳米表协同结合,以同时增强OER的活动和耐久性。优化的BVO/NiFO X/CoHAP光电。</w:t>
      </w:r>
    </w:p>
    <w:p>
      <w:pPr>
        <w:spacing w:before="0" w:after="200" w:lineRule="auto" w:line="276"/>
      </w:pPr>
      <w:r>
        <w:rPr>
          <w:b/>
        </w:rPr>
        <w:t xml:space="preserve">Abstract (EN): </w:t>
      </w:r>
      <w:r>
        <w:t>Solar‐driven photoelectrochemical (PEC) water splitting offers a sustainable route to solar‐to‐fuel conversion; however, its practical application is hindered by sluggish oxygen evolution reaction (OER) kinetics and severe surface charge recombination. BiVO</w:t>
      </w:r>
      <w:r>
        <w:rPr>
          <w:vertAlign w:val="subscript"/>
        </w:rPr>
        <w:t>4</w:t>
      </w:r>
      <w:r>
        <w:t>(BVO) is a promising photoanode material but suffers from inefficient charge separation and limited operational stability. Herein, we report a dual‐catalyst strategy in which cobalt‐incorporated hydroxyapatite (Co‐HAP) is synergistically integrated with NiFeO</w:t>
      </w:r>
      <w:r>
        <w:t xml:space="preserve"> </w:t>
      </w:r>
      <w:r>
        <w:t>X</w:t>
      </w:r>
      <w:r>
        <w:t xml:space="preserve"> </w:t>
      </w:r>
      <w:r>
        <w:t>nanosheets to simultaneously enhance OER activity and durability. The optimized BVO/NiFeO</w:t>
      </w:r>
      <w:r>
        <w:t xml:space="preserve"> </w:t>
      </w:r>
      <w:r>
        <w:t>X</w:t>
      </w:r>
      <w:r>
        <w:t xml:space="preserve"> </w:t>
      </w:r>
      <w:r>
        <w:t>/Co‐HAP photoanode achieves a photocurrent density of 6.36 mA·cm</w:t>
      </w:r>
      <w:r>
        <w:t xml:space="preserve"> </w:t>
      </w:r>
      <w:r>
        <w:t>−2</w:t>
      </w:r>
      <w:r>
        <w:t xml:space="preserve"> </w:t>
      </w:r>
      <w:r>
        <w:t>at 1.23 V vs reversible hydrogen electrode (RHE) under AM 1.5G illumination in neutral phosphate electrolyte, nearly sevenfold higher than pristine BVO. Comprehensive analyses reveal that the NiFeO</w:t>
      </w:r>
      <w:r>
        <w:t xml:space="preserve"> </w:t>
      </w:r>
      <w:r>
        <w:t>X</w:t>
      </w:r>
      <w:r>
        <w:t xml:space="preserve"> </w:t>
      </w:r>
      <w:r>
        <w:t>/Co‐HAP nanosheet framework promotes efficient interfacial charge extraction, establishes a favorable surface electric field, and suppresses hole‐electron recombination. The 2D nanoarchitecture provides abundant Co active sites, while interfacial NiFeO</w:t>
      </w:r>
      <w:r>
        <w:t xml:space="preserve"> </w:t>
      </w:r>
      <w:r>
        <w:t>X</w:t>
      </w:r>
      <w:r>
        <w:t xml:space="preserve"> </w:t>
      </w:r>
      <w:r>
        <w:t>accelerates hole extraction and facilitates electron transfer from Ni to V sites, thereby mitigating V</w:t>
      </w:r>
      <w:r>
        <w:t xml:space="preserve"> </w:t>
      </w:r>
      <w:r>
        <w:t>5+</w:t>
      </w:r>
      <w:r>
        <w:t xml:space="preserve"> </w:t>
      </w:r>
      <w:r>
        <w:t>dissolution. Notably, the photoanode demonstrates extended operational stability of ≈120 h in a phosphate electrolyte. This work highlights a robust design strategy that leverages the synergistic ion‐exchange capacity of HAP and the charge‐extraction ability of NiFe catalysts to advance efficient and durable PEC water‐splitting systems.</w:t>
      </w:r>
    </w:p>
    <w:p>
      <w:pPr>
        <w:spacing w:before="120" w:after="120"/>
      </w:pPr>
      <w:r>
        <w:rPr>
          <w:sz w:val="18"/>
        </w:rPr>
        <w:t>——————————————————————————————————————————————————————————————————————</w:t>
      </w:r>
    </w:p>
    <w:p>
      <w:pPr>
        <w:spacing w:before="160" w:after="40" w:line="240" w:lineRule="auto"/>
      </w:pPr>
      <w:r>
        <w:rPr>
          <w:b/>
        </w:rPr>
        <w:t xml:space="preserve">[288] </w:t>
      </w:r>
      <w:hyperlink r:id="rId471">
        <w:r>
          <w:rPr>
            <w:color w:val="1155CC"/>
            <w:u w:val="single"/>
          </w:rPr>
          <w:t>CdS/ZnSe 量子集成集束对 Doton-Rod: 有效光化催化剂 NO3toNH3 转换的电源分离和利用</w:t>
        </w:r>
      </w:hyperlink>
    </w:p>
    <w:p>
      <w:pPr>
        <w:spacing w:before="0" w:after="80"/>
      </w:pPr>
      <w:r>
        <w:rPr>
          <w:i/>
          <w:sz w:val="20"/>
        </w:rPr>
        <w:t>EN: CdS/ZnSe Quantum Dot Assembled Clusters vs. Dot‐on‐Rod: Charge Separation and Utilization for Efficient Photocatalytic NO3−‐to‐NH3 Conversion</w:t>
      </w:r>
    </w:p>
    <w:p>
      <w:pPr>
        <w:spacing w:before="0" w:after="120"/>
      </w:pPr>
      <w:r>
        <w:rPr>
          <w:b/>
        </w:rPr>
        <w:t xml:space="preserve">Source: </w:t>
      </w:r>
      <w:r>
        <w:t>Wiley: Advanced Materials: Table of Contents</w:t>
      </w:r>
      <w:r>
        <w:t xml:space="preserve">    </w:t>
      </w:r>
      <w:r>
        <w:rPr>
          <w:b/>
        </w:rPr>
        <w:t xml:space="preserve">Pub date: </w:t>
      </w:r>
      <w:r>
        <w:t>2026-02-10 08:11:33+00:00</w:t>
      </w:r>
      <w:r>
        <w:t xml:space="preserve">    </w:t>
      </w:r>
      <w:r>
        <w:rPr>
          <w:b/>
        </w:rPr>
        <w:t xml:space="preserve">DOI: </w:t>
      </w:r>
      <w:hyperlink r:id="rId472">
        <w:r>
          <w:rPr>
            <w:color w:val="1155CC"/>
            <w:u w:val="single"/>
          </w:rPr>
          <w:t>10.1002/adma.202517410</w:t>
        </w:r>
      </w:hyperlink>
    </w:p>
    <w:p>
      <w:pPr>
        <w:spacing w:before="0" w:after="120"/>
      </w:pPr>
      <w:r>
        <w:rPr>
          <w:b/>
        </w:rPr>
        <w:t xml:space="preserve">Notes: </w:t>
      </w:r>
      <w:r>
        <w:t>abstract_source=crossref</w:t>
      </w:r>
    </w:p>
    <w:p>
      <w:pPr>
        <w:spacing w:before="0" w:after="80" w:lineRule="auto" w:line="276"/>
      </w:pPr>
      <w:r>
        <w:rPr>
          <w:b/>
        </w:rPr>
        <w:t xml:space="preserve">摘要（ZH）: </w:t>
      </w:r>
      <w:r>
        <w:t>ABSTACT 光电催化剂3号,即用半导体纳米晶体减少氨(NH 3)合成的前景充满希望,氨(NH 3)合成通常依赖于光吸收宽光、有效电荷分离和高地表反应。然而,此处所表述的事实与普遍接受的以下事实相反,即长寿命电荷分离有利于更高的光电催化效率,即ZnSe@CdS dot-on-rods以更好的电阻分离,出乎意料地产生NH 3,效率低得多(4.10mmol h-1g cat.-1)。</w:t>
      </w:r>
    </w:p>
    <w:p>
      <w:pPr>
        <w:spacing w:before="0" w:after="200" w:lineRule="auto" w:line="276"/>
      </w:pPr>
      <w:r>
        <w:rPr>
          <w:b/>
        </w:rPr>
        <w:t xml:space="preserve">Abstract (EN): </w:t>
      </w:r>
      <w:r>
        <w:t>Photocatalytic NO</w:t>
      </w:r>
      <w:r>
        <w:rPr>
          <w:vertAlign w:val="subscript"/>
        </w:rPr>
        <w:t>3</w:t>
      </w:r>
      <w:r>
        <w:t>−</w:t>
      </w:r>
      <w:r>
        <w:t>reduction with semiconductor nanocrystals has promising prospects for ammonia (NH</w:t>
      </w:r>
      <w:r>
        <w:rPr>
          <w:vertAlign w:val="subscript"/>
        </w:rPr>
        <w:t>3</w:t>
      </w:r>
      <w:r>
        <w:t>) synthesis, which typically relies on broad light absorption, efficient charge separation, and high surface reactivity. Represented herein is, however, contrary to the widely accepted facts that long‐lived charge separation favors higher photocatalytic efficiency, i.e. ZnSe@CdS dot‐on‐rods with better charge separation unexpectedly yield NH</w:t>
      </w:r>
      <w:r>
        <w:rPr>
          <w:vertAlign w:val="subscript"/>
        </w:rPr>
        <w:t>3</w:t>
      </w:r>
      <w:r>
        <w:t>with much lower efficiency (4.10 mmol h</w:t>
      </w:r>
      <w:r>
        <w:t xml:space="preserve"> </w:t>
      </w:r>
      <w:r>
        <w:t>−1</w:t>
      </w:r>
      <w:r>
        <w:t xml:space="preserve"> </w:t>
      </w:r>
      <w:r>
        <w:t>g</w:t>
      </w:r>
      <w:r>
        <w:t xml:space="preserve"> </w:t>
      </w:r>
      <w:r>
        <w:t>cat.</w:t>
      </w:r>
      <w:r>
        <w:t xml:space="preserve"> </w:t>
      </w:r>
      <w:r>
        <w:t>−1</w:t>
      </w:r>
      <w:r>
        <w:t xml:space="preserve"> </w:t>
      </w:r>
      <w:r>
        <w:t>) than CdS/ZnSe assembled clusters (53.85 mmol h</w:t>
      </w:r>
      <w:r>
        <w:t xml:space="preserve"> </w:t>
      </w:r>
      <w:r>
        <w:t>−1</w:t>
      </w:r>
      <w:r>
        <w:t xml:space="preserve"> </w:t>
      </w:r>
      <w:r>
        <w:t>g</w:t>
      </w:r>
      <w:r>
        <w:t xml:space="preserve"> </w:t>
      </w:r>
      <w:r>
        <w:t>cat.</w:t>
      </w:r>
      <w:r>
        <w:t xml:space="preserve"> </w:t>
      </w:r>
      <w:r>
        <w:t>−1</w:t>
      </w:r>
      <w:r>
        <w:t xml:space="preserve"> </w:t>
      </w:r>
      <w:r>
        <w:t>). Mechanistic studies reveal that the intimate binding of ZnSe on CdS in dot‐on‐rods accelerates charge separation by 3 orders of magnitude, while the electron transfer from CdS to NO</w:t>
      </w:r>
      <w:r>
        <w:rPr>
          <w:vertAlign w:val="subscript"/>
        </w:rPr>
        <w:t>3</w:t>
      </w:r>
      <w:r>
        <w:t>−</w:t>
      </w:r>
      <w:r>
        <w:t>and the hole transfer from ZnSe to 1‐phenylethanol proceed at 10</w:t>
      </w:r>
      <w:r>
        <w:rPr>
          <w:vertAlign w:val="subscript"/>
        </w:rPr>
        <w:t>8</w:t>
      </w:r>
      <w:r>
        <w:t>s</w:t>
      </w:r>
      <w:r>
        <w:t xml:space="preserve"> </w:t>
      </w:r>
      <w:r>
        <w:t>−1</w:t>
      </w:r>
      <w:r>
        <w:t xml:space="preserve"> </w:t>
      </w:r>
      <w:r>
        <w:t>. As a result, the comparable charge transfer rates in the assembled cluster of ZnSe and CdS quantum dots enable effective utilization of separated electrons and holes timely for photocatalytic NO</w:t>
      </w:r>
      <w:r>
        <w:rPr>
          <w:vertAlign w:val="subscript"/>
        </w:rPr>
        <w:t>3</w:t>
      </w:r>
      <w:r>
        <w:t>−</w:t>
      </w:r>
      <w:r>
        <w:t>‐to‐NH</w:t>
      </w:r>
      <w:r>
        <w:rPr>
          <w:vertAlign w:val="subscript"/>
        </w:rPr>
        <w:t>3</w:t>
      </w:r>
      <w:r>
        <w:t>reaction, while the imbalance of fast charge separation and slow utilization of electrons and holes in dot‐on‐rods leads to inferior NH</w:t>
      </w:r>
      <w:r>
        <w:rPr>
          <w:vertAlign w:val="subscript"/>
        </w:rPr>
        <w:t>3</w:t>
      </w:r>
      <w:r>
        <w:t>yield. The kinetic balance for photocatalytic NO</w:t>
      </w:r>
      <w:r>
        <w:rPr>
          <w:vertAlign w:val="subscript"/>
        </w:rPr>
        <w:t>3</w:t>
      </w:r>
      <w:r>
        <w:t>−</w:t>
      </w:r>
      <w:r>
        <w:t>‐to‐NH</w:t>
      </w:r>
      <w:r>
        <w:rPr>
          <w:vertAlign w:val="subscript"/>
        </w:rPr>
        <w:t>3</w:t>
      </w:r>
      <w:r>
        <w:t>reaction offers valuable guidance for orchestrating multi‐step photochemical events to realize elegant transformations.</w:t>
      </w:r>
    </w:p>
    <w:p>
      <w:pPr>
        <w:spacing w:before="120" w:after="120"/>
      </w:pPr>
      <w:r>
        <w:rPr>
          <w:sz w:val="18"/>
        </w:rPr>
        <w:t>——————————————————————————————————————————————————————————————————————</w:t>
      </w:r>
    </w:p>
    <w:p>
      <w:pPr>
        <w:spacing w:before="160" w:after="40" w:line="240" w:lineRule="auto"/>
      </w:pPr>
      <w:r>
        <w:rPr>
          <w:b/>
        </w:rPr>
        <w:t xml:space="preserve">[289] </w:t>
      </w:r>
      <w:hyperlink r:id="rId473">
        <w:r>
          <w:rPr>
            <w:color w:val="1155CC"/>
            <w:u w:val="single"/>
          </w:rPr>
          <w:t>由声波光谱制作的反地球磁动力学</w:t>
        </w:r>
      </w:hyperlink>
    </w:p>
    <w:p>
      <w:pPr>
        <w:spacing w:before="0" w:after="80"/>
      </w:pPr>
      <w:r>
        <w:rPr>
          <w:i/>
          <w:sz w:val="20"/>
        </w:rPr>
        <w:t>EN: Broadband Excitation of Antiferromagnetic Dynamics by Acoustic Phonons</w:t>
      </w:r>
    </w:p>
    <w:p>
      <w:pPr>
        <w:spacing w:before="0" w:after="120"/>
      </w:pPr>
      <w:r>
        <w:rPr>
          <w:b/>
        </w:rPr>
        <w:t xml:space="preserve">Source: </w:t>
      </w:r>
      <w:r>
        <w:t>Wiley: Advanced Materials: Table of Contents</w:t>
      </w:r>
      <w:r>
        <w:t xml:space="preserve">    </w:t>
      </w:r>
      <w:r>
        <w:rPr>
          <w:b/>
        </w:rPr>
        <w:t xml:space="preserve">Pub date: </w:t>
      </w:r>
      <w:r>
        <w:t>2026-02-10 08:17:23+00:00</w:t>
      </w:r>
      <w:r>
        <w:t xml:space="preserve">    </w:t>
      </w:r>
      <w:r>
        <w:rPr>
          <w:b/>
        </w:rPr>
        <w:t xml:space="preserve">DOI: </w:t>
      </w:r>
      <w:hyperlink r:id="rId474">
        <w:r>
          <w:rPr>
            <w:color w:val="1155CC"/>
            <w:u w:val="single"/>
          </w:rPr>
          <w:t>10.1002/adma.202521359</w:t>
        </w:r>
      </w:hyperlink>
    </w:p>
    <w:p>
      <w:pPr>
        <w:spacing w:before="0" w:after="120"/>
      </w:pPr>
      <w:r>
        <w:rPr>
          <w:b/>
        </w:rPr>
        <w:t xml:space="preserve">Notes: </w:t>
      </w:r>
      <w:r>
        <w:t>abstract_source=crossref</w:t>
      </w:r>
    </w:p>
    <w:p>
      <w:pPr>
        <w:spacing w:before="0" w:after="80" w:lineRule="auto" w:line="276"/>
      </w:pPr>
      <w:r>
        <w:rPr>
          <w:b/>
        </w:rPr>
        <w:t xml:space="preserve">摘要（ZH）: </w:t>
      </w:r>
      <w:r>
        <w:t>超快脊椎动物的核心是ABSTRACT 蒸发反地磁动力学。 共振抗地磁磁镁一般是单色的,限制在抗地磁大型动物和刺激源之间的分散交叉点。 宽带振动可以通过以不连贯的方式引入电子旋转来促成,尽管伴之以Joule加热的高能量消耗。 这里,我们展示了由Rayleigh-type地表声波(RãSAW)进行的2D 抗地磁甘油 CrSBR的反地磁动力学的宽带振动。通过从声波声波向上宽至脊柱场的角动动力转移,混杂的大型动物得到有效的刺激。</w:t>
      </w:r>
    </w:p>
    <w:p>
      <w:pPr>
        <w:spacing w:before="0" w:after="200" w:lineRule="auto" w:line="276"/>
      </w:pPr>
      <w:r>
        <w:rPr>
          <w:b/>
        </w:rPr>
        <w:t xml:space="preserve">Abstract (EN): </w:t>
      </w:r>
      <w:r>
        <w:t>Excitation of antiferromagnetic dynamics is at the core of ultrafast spintronics. Coherent excitation of antiferromagnetic magnons is typically monochromatic, confined at dispersion intersections between antiferromagnetic magnons and the excitation source. Broadband excitation can be enabled by introducing electron spins in an incoherent manner, albeit accompanied by high energy consumption from Joule heating. Here, we demonstrate a broadband excitation of antiferromagnetic dynamics of 2D antiferromagnet CrSBr without Joule heating, by Rayleigh‐type surface acoustic wave (R‐SAW). Incoherent magnons are efficiently excited via the angular momentum transfer from acoustic phonons, across a wide range up to the spin‐flop field. The collinear alignment between the Néel vector and phonon angular momenta induces strong excitation of magnons with high phonon dissipation, whereas orthogonal alignment suppresses dissipation, as revealed by R‐SAW transmission. Our work uncovers a mutual interplay between phonon transport and antiferromagnetic order parameters, offering a broadband, low‐loss route to manipulate antiferromagnetic dynamics.</w:t>
      </w:r>
    </w:p>
    <w:p>
      <w:pPr>
        <w:spacing w:before="120" w:after="120"/>
      </w:pPr>
      <w:r>
        <w:rPr>
          <w:sz w:val="18"/>
        </w:rPr>
        <w:t>——————————————————————————————————————————————————————————————————————</w:t>
      </w:r>
    </w:p>
    <w:p>
      <w:pPr>
        <w:spacing w:before="160" w:after="40" w:line="240" w:lineRule="auto"/>
      </w:pPr>
      <w:r>
        <w:rPr>
          <w:b/>
        </w:rPr>
        <w:t xml:space="preserve">[290] </w:t>
      </w:r>
      <w:hyperlink r:id="rId475">
        <w:r>
          <w:rPr>
            <w:color w:val="1155CC"/>
            <w:u w:val="single"/>
          </w:rPr>
          <w:t>通过控制过量排放,对废液铁磷酸氢电池进行高效非侵入再恢复</w:t>
        </w:r>
      </w:hyperlink>
    </w:p>
    <w:p>
      <w:pPr>
        <w:spacing w:before="0" w:after="80"/>
      </w:pPr>
      <w:r>
        <w:rPr>
          <w:i/>
          <w:sz w:val="20"/>
        </w:rPr>
        <w:t>EN: Efficient Non‐Invasive Rejuvenation of Spent Lithium Iron Phosphate Batteries Through Controlled Overdischarge</w:t>
      </w:r>
    </w:p>
    <w:p>
      <w:pPr>
        <w:spacing w:before="0" w:after="120"/>
      </w:pPr>
      <w:r>
        <w:rPr>
          <w:b/>
        </w:rPr>
        <w:t xml:space="preserve">Source: </w:t>
      </w:r>
      <w:r>
        <w:t>Wiley: Advanced Materials: Table of Contents</w:t>
      </w:r>
      <w:r>
        <w:t xml:space="preserve">    </w:t>
      </w:r>
      <w:r>
        <w:rPr>
          <w:b/>
        </w:rPr>
        <w:t xml:space="preserve">Pub date: </w:t>
      </w:r>
      <w:r>
        <w:t>2026-02-10 08:20:47+00:00</w:t>
      </w:r>
      <w:r>
        <w:t xml:space="preserve">    </w:t>
      </w:r>
      <w:r>
        <w:rPr>
          <w:b/>
        </w:rPr>
        <w:t xml:space="preserve">DOI: </w:t>
      </w:r>
      <w:hyperlink r:id="rId476">
        <w:r>
          <w:rPr>
            <w:color w:val="1155CC"/>
            <w:u w:val="single"/>
          </w:rPr>
          <w:t>10.1002/adma.202522927</w:t>
        </w:r>
      </w:hyperlink>
    </w:p>
    <w:p>
      <w:pPr>
        <w:spacing w:before="0" w:after="120"/>
      </w:pPr>
      <w:r>
        <w:rPr>
          <w:b/>
        </w:rPr>
        <w:t xml:space="preserve">Notes: </w:t>
      </w:r>
      <w:r>
        <w:t>abstract_source=crossref</w:t>
      </w:r>
    </w:p>
    <w:p>
      <w:pPr>
        <w:spacing w:before="0" w:after="80" w:lineRule="auto" w:line="276"/>
      </w:pPr>
      <w:r>
        <w:rPr>
          <w:b/>
        </w:rPr>
        <w:t xml:space="preserve">摘要（ZH）: </w:t>
      </w:r>
      <w:r>
        <w:t>ABSTACT回收锂铁磷酸盐(LFP)电池因其金属价值低和常规冶金工艺的能源密集度高而面临严重的经济和环境挑战,虽然直接再循环方法为锂补充提供了途径,但往往受到严格的杂质控制和限制可缩放的复杂操作条件的阻碍。在这里,我们引入了控制过度排放(COD)协议,作为重振耗竭的LFP电池的非侵入性战略。COD有选择地将固态电解密相交点、释放被困的李+和减少李/氟反厂缺陷同时抑制铜的溶解。COD协议</w:t>
      </w:r>
    </w:p>
    <w:p>
      <w:pPr>
        <w:spacing w:before="0" w:after="200" w:lineRule="auto" w:line="276"/>
      </w:pPr>
      <w:r>
        <w:rPr>
          <w:b/>
        </w:rPr>
        <w:t xml:space="preserve">Abstract (EN): </w:t>
      </w:r>
      <w:r>
        <w:t>Recycling lithium iron phosphate (LFP) batteries presents critical economic and environmental challenges because of their low metal value and high energy intensity of conventional metallurgical processes. While direct recycling methods offer a pathway for lithium replenishment, they are often hindered by stringent impurity controls and complex operating conditions that limit scalability. Here, we introduce a controlled overdischarge (COD) protocol as a non‐invasive strategy to rejuvenate spent LFP (S‐LFP) batteries. COD selectively decomposes the solid‐electrolyte interphase, releasing trapped Li</w:t>
      </w:r>
      <w:r>
        <w:t xml:space="preserve"> </w:t>
      </w:r>
      <w:r>
        <w:t>+</w:t>
      </w:r>
      <w:r>
        <w:t xml:space="preserve"> </w:t>
      </w:r>
      <w:r>
        <w:t>and reducing Li/Fe antisite defects while simultaneously suppressing copper dissolution. The COD protocol recovers 9.56% of lost capacity and extends lifespan by over 200 cycles. Furthermore, compared to metallurgical recycling, this method markedly lowers greenhouse gas emissions to 168 g kg</w:t>
      </w:r>
      <w:r>
        <w:t xml:space="preserve"> </w:t>
      </w:r>
      <w:r>
        <w:t>−1</w:t>
      </w:r>
      <w:r>
        <w:t xml:space="preserve"> </w:t>
      </w:r>
      <w:r>
        <w:t>and energy consumption to 3 MJ kg</w:t>
      </w:r>
      <w:r>
        <w:t xml:space="preserve"> </w:t>
      </w:r>
      <w:r>
        <w:t>−1</w:t>
      </w:r>
      <w:r>
        <w:t xml:space="preserve"> </w:t>
      </w:r>
      <w:r>
        <w:t>of feedstock. These findings highlight COD as a sustainable and scalable alternative for S‐LFP battery recycling.</w:t>
      </w:r>
    </w:p>
    <w:p>
      <w:pPr>
        <w:spacing w:before="120" w:after="120"/>
      </w:pPr>
      <w:r>
        <w:rPr>
          <w:sz w:val="18"/>
        </w:rPr>
        <w:t>——————————————————————————————————————————————————————————————————————</w:t>
      </w:r>
    </w:p>
    <w:p>
      <w:pPr>
        <w:spacing w:before="160" w:after="40" w:line="240" w:lineRule="auto"/>
      </w:pPr>
      <w:r>
        <w:rPr>
          <w:b/>
        </w:rPr>
        <w:t xml:space="preserve">[291] </w:t>
      </w:r>
      <w:hyperlink r:id="rId477">
        <w:r>
          <w:rPr>
            <w:color w:val="1155CC"/>
            <w:u w:val="single"/>
          </w:rPr>
          <w:t>[ASAP] 干扰动力学,而非溶解热动力学,金属钠电池的可逆性管理</w:t>
        </w:r>
      </w:hyperlink>
    </w:p>
    <w:p>
      <w:pPr>
        <w:spacing w:before="0" w:after="80"/>
      </w:pPr>
      <w:r>
        <w:rPr>
          <w:i/>
          <w:sz w:val="20"/>
        </w:rPr>
        <w:t>EN: [ASAP] Interfacial Kinetics, Not Solvation Thermodynamics, Govern the Reversibility of Sodium Metal Batteries</w:t>
      </w:r>
    </w:p>
    <w:p>
      <w:pPr>
        <w:spacing w:before="0" w:after="120"/>
      </w:pPr>
      <w:r>
        <w:rPr>
          <w:b/>
        </w:rPr>
        <w:t xml:space="preserve">Source: </w:t>
      </w:r>
      <w:r>
        <w:t>ACS Energy Letters: Latest Articles (ACS Publications)</w:t>
      </w:r>
      <w:r>
        <w:t xml:space="preserve">    </w:t>
      </w:r>
      <w:r>
        <w:rPr>
          <w:b/>
        </w:rPr>
        <w:t xml:space="preserve">Pub date: </w:t>
      </w:r>
      <w:r>
        <w:t>2026-02-10 09:17:45+00:00</w:t>
      </w:r>
      <w:r>
        <w:t xml:space="preserve">    </w:t>
      </w:r>
      <w:r>
        <w:rPr>
          <w:b/>
        </w:rPr>
        <w:t xml:space="preserve">DOI: </w:t>
      </w:r>
      <w:hyperlink r:id="rId478">
        <w:r>
          <w:rPr>
            <w:color w:val="1155CC"/>
            <w:u w:val="single"/>
          </w:rPr>
          <w:t>10.1021/acsenergylett.5c03848</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[292] </w:t>
      </w:r>
      <w:hyperlink r:id="rId479">
        <w:r>
          <w:rPr>
            <w:color w:val="1155CC"/>
            <w:u w:val="single"/>
          </w:rPr>
          <w:t>[ASAP]通过氧化碳铵中途通过二醇,通过借用氢来获取γ-/-契拉尔基通</w:t>
        </w:r>
      </w:hyperlink>
    </w:p>
    <w:p>
      <w:pPr>
        <w:spacing w:before="0" w:after="80"/>
      </w:pPr>
      <w:r>
        <w:rPr>
          <w:i/>
          <w:sz w:val="20"/>
        </w:rPr>
        <w:t>EN: [ASAP] Enantioconvergent Indole Alkylation Using Diols via Oxocarbenium Intermediate by Borrowing Hydrogen To Access γ-/δ-Chiral Ketones</w:t>
      </w:r>
    </w:p>
    <w:p>
      <w:pPr>
        <w:spacing w:before="0" w:after="120"/>
      </w:pPr>
      <w:r>
        <w:rPr>
          <w:b/>
        </w:rPr>
        <w:t xml:space="preserve">Source: </w:t>
      </w:r>
      <w:r>
        <w:t>Journal of the American Chemical Society: Latest Articles (ACS Publications)</w:t>
      </w:r>
      <w:r>
        <w:t xml:space="preserve">    </w:t>
      </w:r>
      <w:r>
        <w:rPr>
          <w:b/>
        </w:rPr>
        <w:t xml:space="preserve">Pub date: </w:t>
      </w:r>
      <w:r>
        <w:t>2026-02-10 09:55:09+00:00</w:t>
      </w:r>
      <w:r>
        <w:t xml:space="preserve">    </w:t>
      </w:r>
      <w:r>
        <w:rPr>
          <w:b/>
        </w:rPr>
        <w:t xml:space="preserve">DOI: </w:t>
      </w:r>
      <w:hyperlink r:id="rId480">
        <w:r>
          <w:rPr>
            <w:color w:val="1155CC"/>
            <w:u w:val="single"/>
          </w:rPr>
          <w:t>10.1021/jacs.5c22793</w:t>
        </w:r>
      </w:hyperlink>
    </w:p>
    <w:p>
      <w:pPr>
        <w:spacing w:before="0" w:after="120"/>
      </w:pPr>
      <w:r>
        <w:rPr>
          <w:b/>
        </w:rPr>
        <w:t xml:space="preserve">Notes: </w:t>
      </w:r>
      <w:r>
        <w:t>abstract_source=pubmed</w:t>
      </w:r>
    </w:p>
    <w:p>
      <w:pPr>
        <w:spacing w:before="0" w:after="80" w:lineRule="auto" w:line="276"/>
      </w:pPr>
      <w:r>
        <w:rPr>
          <w:b/>
        </w:rPr>
        <w:t xml:space="preserve">摘要（ZH）: </w:t>
      </w:r>
      <w:r>
        <w:t>在现代化学合成中,用远程立体中心对手性碳基化合物进行非对称合成,仍然是具有吸引力但又具有挑战性的目标。在这里,我们报告对简单的种族二醇的γ-和-先天氯酮采取了一种对应方法,通过借用氢催化氢来进行正式的单球烷烷藻介质。 机械学调查显示,一个在转变过程中发挥关键作用的瞬时氧化氧基中间体参与其中。 开发一个新的一类以手性火龙骨为主的irida周期催化剂,对于实现高水平的对应选择性至关重要。 这种级联动催化过程在没有光学分解试剂的情况下进行,能够有效地合成高Y的多种γ-和-先天氯酮。</w:t>
      </w:r>
    </w:p>
    <w:p>
      <w:pPr>
        <w:spacing w:before="0" w:after="200" w:lineRule="auto" w:line="276"/>
      </w:pPr>
      <w:r>
        <w:rPr>
          <w:b/>
        </w:rPr>
        <w:t xml:space="preserve">Abstract (EN): </w:t>
      </w:r>
      <w:r>
        <w:t>The asymmetric synthesis of chiral carbonyl compounds bearing remote stereocenters remains an attractive, yet challenging, goal in modern chemical synthesis. Herein, we report an enantioconvergent approach to γ- and δ-chiral ketones from simple racemic diols through a formal indole alkylation mediated by borrowing hydrogen catalysis. Mechanistic investigations revealed the involvement of a transient oxocarbenium intermediate that plays a key role in the transformation. The development of a new class of iridacycle catalysts featuring a chiral pyrroline backbone proved to be essential for achieving high levels of enantioselectivity. This cascade catalysis process proceeds without stoichiometric reagents and enables the efficient synthesis of a broad range of γ- and δ-chiral ketones in high yields and enantiopurity.</w:t>
      </w:r>
    </w:p>
    <w:p>
      <w:pPr>
        <w:spacing w:before="120" w:after="120"/>
      </w:pPr>
      <w:r>
        <w:rPr>
          <w:sz w:val="18"/>
        </w:rPr>
        <w:t>——————————————————————————————————————————————————————————————————————</w:t>
      </w:r>
    </w:p>
    <w:p>
      <w:pPr>
        <w:spacing w:before="160" w:after="40" w:line="240" w:lineRule="auto"/>
      </w:pPr>
      <w:r>
        <w:rPr>
          <w:b/>
        </w:rPr>
        <w:t xml:space="preserve">[293] </w:t>
      </w:r>
      <w:hyperlink r:id="rId481">
        <w:r>
          <w:rPr>
            <w:color w:val="1155CC"/>
            <w:u w:val="single"/>
          </w:rPr>
          <w:t>[ASAP]在Alkaline条件下五价钚的可及性和反应性</w:t>
        </w:r>
      </w:hyperlink>
    </w:p>
    <w:p>
      <w:pPr>
        <w:spacing w:before="0" w:after="80"/>
      </w:pPr>
      <w:r>
        <w:rPr>
          <w:i/>
          <w:sz w:val="20"/>
        </w:rPr>
        <w:t>EN: [ASAP] Accessibility and Reactivity of Pentavalent Plutonium under Alkaline Conditions</w:t>
      </w:r>
    </w:p>
    <w:p>
      <w:pPr>
        <w:spacing w:before="0" w:after="120"/>
      </w:pPr>
      <w:r>
        <w:rPr>
          <w:b/>
        </w:rPr>
        <w:t xml:space="preserve">Source: </w:t>
      </w:r>
      <w:r>
        <w:t>Journal of the American Chemical Society: Latest Articles (ACS Publications)</w:t>
      </w:r>
      <w:r>
        <w:t xml:space="preserve">    </w:t>
      </w:r>
      <w:r>
        <w:rPr>
          <w:b/>
        </w:rPr>
        <w:t xml:space="preserve">Pub date: </w:t>
      </w:r>
      <w:r>
        <w:t>2026-02-10 09:55:43+00:00</w:t>
      </w:r>
      <w:r>
        <w:t xml:space="preserve">    </w:t>
      </w:r>
      <w:r>
        <w:rPr>
          <w:b/>
        </w:rPr>
        <w:t xml:space="preserve">DOI: </w:t>
      </w:r>
      <w:hyperlink r:id="rId482">
        <w:r>
          <w:rPr>
            <w:color w:val="1155CC"/>
            <w:u w:val="single"/>
          </w:rPr>
          <w:t>10.1021/jacs.5c16525</w:t>
        </w:r>
      </w:hyperlink>
    </w:p>
    <w:p>
      <w:pPr>
        <w:spacing w:before="0" w:after="120"/>
      </w:pPr>
      <w:r>
        <w:rPr>
          <w:b/>
        </w:rPr>
        <w:t xml:space="preserve">Notes: </w:t>
      </w:r>
      <w:r>
        <w:t>abstract_source=pubmed</w:t>
      </w:r>
    </w:p>
    <w:p>
      <w:pPr>
        <w:spacing w:before="0" w:after="80" w:lineRule="auto" w:line="276"/>
      </w:pPr>
      <w:r>
        <w:rPr>
          <w:b/>
        </w:rPr>
        <w:t xml:space="preserve">摘要（ZH）: </w:t>
      </w:r>
      <w:r>
        <w:t>钚表现出一种特别复杂和丰富的水化学,这是由于动态的红氧化平衡导致四个不同的氧化状态以水溶液共存。在这一平衡中,五价钚是钚中最可溶和主要的氧化状态之一,对碱性水溶液而言,是中和的,与环境化学和高放射性废物中遇到的极端化学环境有关。尽管如此,在这种条件下普(V)的基本化学仍然不太为人所知。在这里,根据E1/2=0.19 V vs HgO/0.29 Vs NHE电子化学可变钚(VI/V)夫妇的观察,我们展示了在碱性介质中普(V)的红氧化途径,允许我们进行电解基因学。</w:t>
      </w:r>
    </w:p>
    <w:p>
      <w:pPr>
        <w:spacing w:before="0" w:after="200" w:lineRule="auto" w:line="276"/>
      </w:pPr>
      <w:r>
        <w:rPr>
          <w:b/>
        </w:rPr>
        <w:t xml:space="preserve">Abstract (EN): </w:t>
      </w:r>
      <w:r>
        <w:t>Plutonium exhibits a particularly complex and rich aqueous chemistry due to a dynamic redox equilibrium that can result in the coexistence of four different oxidation states in aqueous solution. Within this equilibrium, pentavalent plutonium is among the most soluble and dominant oxidation states of Pu in neutral to alkaline aqueous solutions of relevance to environmental chemistries and the extreme chemical environments encountered in high-level radioactive wastes. Despite this, the fundamental chemistry of Pu(V) under such conditions remains poorly understood. Here, we demonstrate the redox accessibility of Pu(V) in alkaline media based on the observations of an electrochemically reversible Pu(VI/V) couple at E1/2 = 0.19 V vs Hg/HgO (0.29 V vs NHE), allowing us to electrolytically generate Pu(V) in alkaline solution. These Pu(V) solutions remained stable under ambient conditions for at least 9 days before precipitation of crystalline Na2[PuVO2(OH)3]·2H2O, the first structurally characterized Pu(V) hydroxide. The modest potential of the Pu(VI/V) redox couple allowed us to reproduce Na2[PuVO2(OH)3]·2H2O synthetically as well as isolate two additional novel Pu(V)-bearing hydroxide phases Na[PuVO2(OH)2(H2O)]·2.5H2O and K2[PuVO2(OH)3]·2H2O as single crystals from alkaline reactions under mild hydrothermal conditions (&lt;200 °C) using Na2O2 and KO2 as reductants. This reactivity is rationalized and informed by our electrochemical measurements. The properties of the Pu(V) solids were further characterized by using vibrational and optical spectroscopy.</w:t>
      </w:r>
    </w:p>
    <w:p>
      <w:pPr>
        <w:spacing w:before="120" w:after="120"/>
      </w:pPr>
      <w:r>
        <w:rPr>
          <w:sz w:val="18"/>
        </w:rPr>
        <w:t>——————————————————————————————————————————————————————————————————————</w:t>
      </w:r>
    </w:p>
    <w:p>
      <w:pPr>
        <w:spacing w:before="160" w:after="40" w:line="240" w:lineRule="auto"/>
      </w:pPr>
      <w:r>
        <w:rPr>
          <w:b/>
        </w:rPr>
        <w:t xml:space="preserve">[294] </w:t>
      </w:r>
      <w:hyperlink r:id="rId483">
        <w:r>
          <w:rPr>
            <w:color w:val="1155CC"/>
            <w:u w:val="single"/>
          </w:rPr>
          <w:t>[ASAP]N2和H2的分子分子Molybdenum Nitride 提供机械透视,从N2和H2成光驱动的氨合成合成</w:t>
        </w:r>
      </w:hyperlink>
    </w:p>
    <w:p>
      <w:pPr>
        <w:spacing w:before="0" w:after="80"/>
      </w:pPr>
      <w:r>
        <w:rPr>
          <w:i/>
          <w:sz w:val="20"/>
        </w:rPr>
        <w:t>EN: [ASAP] Hydrosilylation of a Molecular Molybdenum Nitride Provides Mechanistic Insights into Photodriven Ammonia Synthesis from N2 and H2</w:t>
      </w:r>
    </w:p>
    <w:p>
      <w:pPr>
        <w:spacing w:before="0" w:after="120"/>
      </w:pPr>
      <w:r>
        <w:rPr>
          <w:b/>
        </w:rPr>
        <w:t xml:space="preserve">Source: </w:t>
      </w:r>
      <w:r>
        <w:t>Journal of the American Chemical Society: Latest Articles (ACS Publications)</w:t>
      </w:r>
      <w:r>
        <w:t xml:space="preserve">    </w:t>
      </w:r>
      <w:r>
        <w:rPr>
          <w:b/>
        </w:rPr>
        <w:t xml:space="preserve">Pub date: </w:t>
      </w:r>
      <w:r>
        <w:t>2026-02-10 09:59:17+00:00</w:t>
      </w:r>
      <w:r>
        <w:t xml:space="preserve">    </w:t>
      </w:r>
      <w:r>
        <w:rPr>
          <w:b/>
        </w:rPr>
        <w:t xml:space="preserve">DOI: </w:t>
      </w:r>
      <w:hyperlink r:id="rId484">
        <w:r>
          <w:rPr>
            <w:color w:val="1155CC"/>
            <w:u w:val="single"/>
          </w:rPr>
          <w:t>10.1021/jacs.5c22220</w:t>
        </w:r>
      </w:hyperlink>
    </w:p>
    <w:p>
      <w:pPr>
        <w:spacing w:before="0" w:after="120"/>
      </w:pPr>
      <w:r>
        <w:rPr>
          <w:b/>
        </w:rPr>
        <w:t xml:space="preserve">Notes: </w:t>
      </w:r>
      <w:r>
        <w:t>abstract_source=pubmed</w:t>
      </w:r>
    </w:p>
    <w:p>
      <w:pPr>
        <w:spacing w:before="0" w:after="80" w:lineRule="auto" w:line="276"/>
      </w:pPr>
      <w:r>
        <w:rPr>
          <w:b/>
        </w:rPr>
        <w:t xml:space="preserve">摘要（ZH）: </w:t>
      </w:r>
      <w:r>
        <w:t>在60°C时将Ph2SiH2添加到[(depe)2Mo(N)][BarrF4][(depe = 1,2之二(二乙基磷酸酯)乙酯,BArF4 = B(3,5-(CF3)2C6H3,4)),在60°C时产生硅聚二酰二烯氢化合物,跨[(depe)2Mo(NSiHPh2H2)H [BarF4],在光驱动氨的氢化中拟议中间综合体的替代体。在光驱动氢化中首次支持N-H(depe)2Mo(NSiHH2)MO(NSiH2)H)H [BARF4)的TH(TH)溶液与[[(depe)2)2MH5][BArF4] 76%的产量下生产出来。这种转变是在没有贵金属光光光化光分析器的情况下发生的,表明,只需要在光驱动氢氧化物跨板标签和跨质粘合体粘合体的</w:t>
      </w:r>
    </w:p>
    <w:p>
      <w:pPr>
        <w:spacing w:before="0" w:after="200" w:lineRule="auto" w:line="276"/>
      </w:pPr>
      <w:r>
        <w:rPr>
          <w:b/>
        </w:rPr>
        <w:t xml:space="preserve">Abstract (EN): </w:t>
      </w:r>
      <w:r>
        <w:t>Addition of Ph2SiH2 to [(depe)2Mo(N)][BArF4] (depe = 1,2-bis(diethylphosphino)ethane, BArF4 = B(3,5-(CF3)2C6H3)4) at 60 °C generated the silyl imido molybdenum hydride complex, trans-[(depe)2Mo(NSiHPh2)H][BArF4], a surrogate for a proposed intermediate complex in the photodriven hydrogenation to free ammonia. Irradiation of a THF solution of trans-[(depe)2Mo(NSiHPh2)H][BArF4] with blue light under H2 produced free amine along with [(depe)2MoH5][BArF4] in 76% yield. This transformation occurred in the absence of a precious metal photocatalyst, suggesting that it was needed only for the initial addition of H2 to the molybdenum nitride during the first N-H bond-forming step in the photodriven hydrogenation. Deuterium labeling and crossover studies support concerted Si-H bond addition across the Mo≡N bond, enabled by the nucleophilicity of the nitride. Subsequent hydrogenation involves an intramolecular H migration from Mo to the imido ligand, as supported by electronic absorption spectroscopy, transient absorption spectroscopy, initial rate measurements, and deuterium kinetic isotope effect measurements. These findings provide insights into the photodriven hydrogenation of [(depe)2Mo(N)][BArF4] to ammonia and the role of the photocatalyst in this transformation.</w:t>
      </w:r>
    </w:p>
    <w:p>
      <w:pPr>
        <w:spacing w:before="120" w:after="120"/>
      </w:pPr>
      <w:r>
        <w:rPr>
          <w:sz w:val="18"/>
        </w:rPr>
        <w:t>——————————————————————————————————————————————————————————————————————</w:t>
      </w:r>
    </w:p>
    <w:p>
      <w:pPr>
        <w:spacing w:before="160" w:after="40" w:line="240" w:lineRule="auto"/>
      </w:pPr>
      <w:r>
        <w:rPr>
          <w:b/>
        </w:rPr>
        <w:t xml:space="preserve">[295] </w:t>
      </w:r>
      <w:hyperlink r:id="rId485">
        <w:r>
          <w:rPr>
            <w:color w:val="1155CC"/>
            <w:u w:val="single"/>
          </w:rPr>
          <w:t>[ASAP] 用于实用碱性水电解的氧化性氧化NbOx纳米岛屿封闭的有机原子原子团</w:t>
        </w:r>
      </w:hyperlink>
    </w:p>
    <w:p>
      <w:pPr>
        <w:spacing w:before="0" w:after="80"/>
      </w:pPr>
      <w:r>
        <w:rPr>
          <w:i/>
          <w:sz w:val="20"/>
        </w:rPr>
        <w:t>EN: [ASAP] Oxophilic NbOx Nanoisland-Confined Os Atomic Clusters for Practical Alkaline Water Electrolysis</w:t>
      </w:r>
    </w:p>
    <w:p>
      <w:pPr>
        <w:spacing w:before="0" w:after="120"/>
      </w:pPr>
      <w:r>
        <w:rPr>
          <w:b/>
        </w:rPr>
        <w:t xml:space="preserve">Source: </w:t>
      </w:r>
      <w:r>
        <w:t>Journal of the American Chemical Society: Latest Articles (ACS Publications)</w:t>
      </w:r>
      <w:r>
        <w:t xml:space="preserve">    </w:t>
      </w:r>
      <w:r>
        <w:rPr>
          <w:b/>
        </w:rPr>
        <w:t xml:space="preserve">Pub date: </w:t>
      </w:r>
      <w:r>
        <w:t>2026-02-10 10:02:36+00:00</w:t>
      </w:r>
      <w:r>
        <w:t xml:space="preserve">    </w:t>
      </w:r>
      <w:r>
        <w:rPr>
          <w:b/>
        </w:rPr>
        <w:t xml:space="preserve">DOI: </w:t>
      </w:r>
      <w:hyperlink r:id="rId486">
        <w:r>
          <w:rPr>
            <w:color w:val="1155CC"/>
            <w:u w:val="single"/>
          </w:rPr>
          <w:t>10.1021/jacs.5c21251</w:t>
        </w:r>
      </w:hyperlink>
    </w:p>
    <w:p>
      <w:pPr>
        <w:spacing w:before="0" w:after="120"/>
      </w:pPr>
      <w:r>
        <w:rPr>
          <w:b/>
        </w:rPr>
        <w:t xml:space="preserve">Notes: </w:t>
      </w:r>
      <w:r>
        <w:t>abstract_source=pubmed</w:t>
      </w:r>
    </w:p>
    <w:p>
      <w:pPr>
        <w:spacing w:before="0" w:after="80" w:lineRule="auto" w:line="276"/>
      </w:pPr>
      <w:r>
        <w:rPr>
          <w:b/>
        </w:rPr>
        <w:t xml:space="preserve">摘要（ZH）: </w:t>
      </w:r>
      <w:r>
        <w:t>具有高质量活度和坚固耐久性的具有成本效益的原子聚(AC)催化剂的合理设计,对于碱性氢进化反应(HER)的实际操作来说仍是一项巨大的挑战,这主要是由于电解/电极界面的脱水动力学缓慢,以及空调体向聚积的固有趋势。我们在此报告一个设计概念,利用NbOx纳米岛屿,以较充分衍生碳为基础的NbOx纳米岛屿,在空间上限制和稳定有机碳并稳定有机碳,加强在离子交换膜水电解中高效碱性碳化的相互水分解能力。我们发现,NbOx纳米岛屿创造了一个结构封闭的环境,为稳定有机碳解解层再次带来强大的内部金属支持互动。</w:t>
      </w:r>
    </w:p>
    <w:p>
      <w:pPr>
        <w:spacing w:before="0" w:after="200" w:lineRule="auto" w:line="276"/>
      </w:pPr>
      <w:r>
        <w:rPr>
          <w:b/>
        </w:rPr>
        <w:t xml:space="preserve">Abstract (EN): </w:t>
      </w:r>
      <w:r>
        <w:t>Rational design of cost-effective atomic cluster (AC) catalysts with high mass activity and robust durability remains a huge challenge for the practical alkaline hydrogen evolution reaction (HER), primarily due to sluggish water dissociation kinetics at the electrolyte/electrode interface and inherent tendency of ACs to agglomerate. Herein, we report a design concept by employing NbOx nanoislands anchored on fullerene-derived carbon (FDC) to spatially confine and stabilize Os ACs and enhance interfacial water dissociation ability for efficient alkaline HER catalysis in an anion exchange membrane water electrolysis (AEMWE). We find that the NbOx nanoislands create a structurally confined environment that induces strong interfacial metal-support interactions for stabilizing the Os ACs against aggregation and enhancing the operational stability. Moreover, oxophilic NbOx domains optimize interfacial water organization with enriched "free" hydrogen-bonded water at the reaction interface and strengthen the adsorption of hydroxyl species to accelerate water dissociation for a sufficient proton supplement. The resulting NbOx-Os@FDC catalyst achieves an ultralow overpotential of 14 mV at 10 mA cm-2 and an exceptional mass activity of 2.42 A mgOs-1 at -0.1 V vs RHE. Particularly, NbOx-Os@FDC-based AEMWE with an ultralow Os loading realizes an industrial-level current density of 1 A cm-2 at 1.74 V with high durability.</w:t>
      </w:r>
    </w:p>
    <w:p>
      <w:pPr>
        <w:spacing w:before="120" w:after="120"/>
      </w:pPr>
      <w:r>
        <w:rPr>
          <w:sz w:val="18"/>
        </w:rPr>
        <w:t>——————————————————————————————————————————————————————————————————————</w:t>
      </w:r>
    </w:p>
    <w:p>
      <w:pPr>
        <w:spacing w:before="160" w:after="40" w:line="240" w:lineRule="auto"/>
      </w:pPr>
      <w:r>
        <w:rPr>
          <w:b/>
        </w:rPr>
        <w:t xml:space="preserve">[296] </w:t>
      </w:r>
      <w:hyperlink r:id="rId487">
        <w:r>
          <w:rPr>
            <w:color w:val="1155CC"/>
            <w:u w:val="single"/>
          </w:rPr>
          <w:t>[ASAP]将内分泌叶叶脱氧核糖核糖分脱脱脱氧核糖分解为对称和周长的流星体诱导</w:t>
        </w:r>
      </w:hyperlink>
    </w:p>
    <w:p>
      <w:pPr>
        <w:spacing w:before="0" w:after="80"/>
      </w:pPr>
      <w:r>
        <w:rPr>
          <w:i/>
          <w:sz w:val="20"/>
        </w:rPr>
        <w:t>EN: [ASAP] Relocation of Endocytic Leaflet DNA Probes for Asymmetric and Week-Long Lysosomal Labeling</w:t>
      </w:r>
    </w:p>
    <w:p>
      <w:pPr>
        <w:spacing w:before="0" w:after="120"/>
      </w:pPr>
      <w:r>
        <w:rPr>
          <w:b/>
        </w:rPr>
        <w:t xml:space="preserve">Source: </w:t>
      </w:r>
      <w:r>
        <w:t>Journal of the American Chemical Society: Latest Articles (ACS Publications)</w:t>
      </w:r>
      <w:r>
        <w:t xml:space="preserve">    </w:t>
      </w:r>
      <w:r>
        <w:rPr>
          <w:b/>
        </w:rPr>
        <w:t xml:space="preserve">Pub date: </w:t>
      </w:r>
      <w:r>
        <w:t>2026-02-10 10:35:18+00:00</w:t>
      </w:r>
      <w:r>
        <w:t xml:space="preserve">    </w:t>
      </w:r>
      <w:r>
        <w:rPr>
          <w:b/>
        </w:rPr>
        <w:t xml:space="preserve">DOI: </w:t>
      </w:r>
      <w:hyperlink r:id="rId488">
        <w:r>
          <w:rPr>
            <w:color w:val="1155CC"/>
            <w:u w:val="single"/>
          </w:rPr>
          <w:t>10.1021/jacs.5c21974</w:t>
        </w:r>
      </w:hyperlink>
    </w:p>
    <w:p>
      <w:pPr>
        <w:spacing w:before="0" w:after="120"/>
      </w:pPr>
      <w:r>
        <w:rPr>
          <w:b/>
        </w:rPr>
        <w:t xml:space="preserve">Notes: </w:t>
      </w:r>
      <w:r>
        <w:t>abstract_source=pubmed</w:t>
      </w:r>
    </w:p>
    <w:p>
      <w:pPr>
        <w:spacing w:before="0" w:after="80" w:lineRule="auto" w:line="276"/>
      </w:pPr>
      <w:r>
        <w:rPr>
          <w:b/>
        </w:rPr>
        <w:t xml:space="preserve">摘要（ZH）: </w:t>
      </w:r>
      <w:r>
        <w:t>活细胞中淋巴素的可视化对于理解其生理功能至关重要;然而,大多数针对淋巴内部的探测器往往破坏光化,显示信号渗漏,无法支持长期成像。为了应对这些挑战,我们开发了RELAY(将内分泌 Leaflet tAg 重新定位为modifY 器官贝类),一种在地形上保留标签的战略,将等离子膜的内叶标签转移到以细胞粒子成形的体外散物上。RELAY使用脂-细胞膜聚膜聚聚聚,在等离子膜的细胞细胞内传散物上用磷酸盐(PS)脊柱固定荧光DNA探针,然后是内分泌贩运,以保存分子表层的表层,并将探测器转移到淋巴外。</w:t>
      </w:r>
    </w:p>
    <w:p>
      <w:pPr>
        <w:spacing w:before="0" w:after="200" w:lineRule="auto" w:line="276"/>
      </w:pPr>
      <w:r>
        <w:rPr>
          <w:b/>
        </w:rPr>
        <w:t xml:space="preserve">Abstract (EN): </w:t>
      </w:r>
      <w:r>
        <w:t>Visualization of lysosomes in living cells is essential for understanding their physiological functions; yet, most probes that target the lysosomal interior often disrupt luminal chemistry, exhibit signal leakage, and fail to support long-term imaging. To address these challenges, we developed RELAY (Relocation of Endocytic Leaflet tAg to modifY organelles), a topology-preserving labeling strategy to transfer the inner-leaflet tags on the plasma membrane to the cytosol-facing outer leaflet of lysosomes. RELAY employs liposome-cell membrane fusion to anchor fluorescent DNA probes with phosphorothioate (PS) backbones on the cytoplasmic inner leaflet of the plasma membrane, followed by endocytic trafficking that preserves the membrane topology and relocates the probes onto the lysosomal outer surface. Because this labeling occurs on the lysosomal exterior that is protected from luminal degradation and the PS backbone resists nuclease degradation, RELAY enables highly stable asymmetric labeling that sustains week-long lysosome imaging in living cells. Using this approach, we visualized lysosomal dynamics during cellular senescence and discovered random, unidirectional, intercellular lysosomal transfer in cell-cell communications via tunnelling nanotubes. Holding the capability for prolonged, high-fidelity visualization of lysosomes, RELAY facilitates the exploration of their biological functions.</w:t>
      </w:r>
    </w:p>
    <w:p>
      <w:pPr>
        <w:spacing w:before="120" w:after="120"/>
      </w:pPr>
      <w:r>
        <w:rPr>
          <w:sz w:val="18"/>
        </w:rPr>
        <w:t>——————————————————————————————————————————————————————————————————————</w:t>
      </w:r>
    </w:p>
    <w:p>
      <w:pPr>
        <w:spacing w:before="160" w:after="40" w:line="240" w:lineRule="auto"/>
      </w:pPr>
      <w:r>
        <w:rPr>
          <w:b/>
        </w:rPr>
        <w:t xml:space="preserve">[297] </w:t>
      </w:r>
      <w:hyperlink r:id="rId489">
        <w:r>
          <w:rPr>
            <w:color w:val="1155CC"/>
            <w:u w:val="single"/>
          </w:rPr>
          <w:t>[ASAP] 向过渡-金属氧化化 的剖质质交叉化的氧化原地方环境的前提</w:t>
        </w:r>
      </w:hyperlink>
    </w:p>
    <w:p>
      <w:pPr>
        <w:spacing w:before="0" w:after="80"/>
      </w:pPr>
      <w:r>
        <w:rPr>
          <w:i/>
          <w:sz w:val="20"/>
        </w:rPr>
        <w:t>EN: [ASAP] Prerequisite of Oxygen Local Environment for Facile Proton Intercalation into Transition-Metal Oxides</w:t>
      </w:r>
    </w:p>
    <w:p>
      <w:pPr>
        <w:spacing w:before="0" w:after="120"/>
      </w:pPr>
      <w:r>
        <w:rPr>
          <w:b/>
        </w:rPr>
        <w:t xml:space="preserve">Source: </w:t>
      </w:r>
      <w:r>
        <w:t>Journal of the American Chemical Society: Latest Articles (ACS Publications)</w:t>
      </w:r>
      <w:r>
        <w:t xml:space="preserve">    </w:t>
      </w:r>
      <w:r>
        <w:rPr>
          <w:b/>
        </w:rPr>
        <w:t xml:space="preserve">Pub date: </w:t>
      </w:r>
      <w:r>
        <w:t>2026-02-10 10:36:17+00:00</w:t>
      </w:r>
      <w:r>
        <w:t xml:space="preserve">    </w:t>
      </w:r>
      <w:r>
        <w:rPr>
          <w:b/>
        </w:rPr>
        <w:t xml:space="preserve">DOI: </w:t>
      </w:r>
      <w:hyperlink r:id="rId490">
        <w:r>
          <w:rPr>
            <w:color w:val="1155CC"/>
            <w:u w:val="single"/>
          </w:rPr>
          <w:t>10.1021/jacs.5c22803</w:t>
        </w:r>
      </w:hyperlink>
    </w:p>
    <w:p>
      <w:pPr>
        <w:spacing w:before="0" w:after="120"/>
      </w:pPr>
      <w:r>
        <w:rPr>
          <w:b/>
        </w:rPr>
        <w:t xml:space="preserve">Notes: </w:t>
      </w:r>
      <w:r>
        <w:t>abstract_source=pubmed</w:t>
      </w:r>
    </w:p>
    <w:p>
      <w:pPr>
        <w:spacing w:before="0" w:after="80" w:lineRule="auto" w:line="276"/>
      </w:pPr>
      <w:r>
        <w:rPr>
          <w:b/>
        </w:rPr>
        <w:t xml:space="preserve">摘要（ZH）: </w:t>
      </w:r>
      <w:r>
        <w:t>氢氢是在未来能源系统中可以发挥核心作用的丰富元素。当轻量氢离子(质子,H+)在法拉达贮存中用作充电载体时,它能够快速固态传导,为高容量、快速充电的电化学能源储存提供巨大潜力。然而,基于质子的系统的发展由于缺乏合适的质子宿主材料而受到限制。在这项研究中,我们调查了使用VO2多元形态作为模型系统的质子(de)在过渡性金属氧化物中的隔热机制,重点是拉蒂氧环境的作用。我们的调查结果显示,质子偏好地占据了协调不力和结构上有利的氧点。此外,还发现,质子占据了节能和结构上较有利的节制的氧点。</w:t>
      </w:r>
    </w:p>
    <w:p>
      <w:pPr>
        <w:spacing w:before="0" w:after="200" w:lineRule="auto" w:line="276"/>
      </w:pPr>
      <w:r>
        <w:rPr>
          <w:b/>
        </w:rPr>
        <w:t xml:space="preserve">Abstract (EN): </w:t>
      </w:r>
      <w:r>
        <w:t>Hydrogen is an abundant element poised to play a central role in future energy systems. When a lightweight hydrogen ion (proton, H+) is used as a charge carrier in Faradaic storage, it enables rapid solid-state conduction, offering strong potential for high-capacity, fast-charging electrochemical energy storage. However, the development of proton-based systems has been limited by the scarcity of suitable proton-host materials. In this study, we investigate the mechanisms of proton (de)intercalation in transition metal oxides using VO2 polymorphs as a model system, with a focus on the role of lattice oxygen environments. Our findings reveal that protons preferentially occupy less-coordinated oxygen sites, which are energetically and structurally favorable. In addition, the presence of continuous H···O hydrogen-bonding networks facilitates solid-state proton transport via a Grotthuss-like mechanism. These insights provide a foundation for identifying and designing new proton-host materials, offering a promising strategy and design principle for advancing high-rate, high-capacity energy storage systems.</w:t>
      </w:r>
    </w:p>
    <w:p>
      <w:pPr>
        <w:spacing w:before="120" w:after="120"/>
      </w:pPr>
      <w:r>
        <w:rPr>
          <w:sz w:val="18"/>
        </w:rPr>
        <w:t>——————————————————————————————————————————————————————————————————————</w:t>
      </w:r>
    </w:p>
    <w:p>
      <w:pPr>
        <w:spacing w:before="160" w:after="40" w:line="240" w:lineRule="auto"/>
      </w:pPr>
      <w:r>
        <w:rPr>
          <w:b/>
        </w:rPr>
        <w:t xml:space="preserve">[298] </w:t>
      </w:r>
      <w:hyperlink r:id="rId491">
        <w:r>
          <w:rPr>
            <w:color w:val="1155CC"/>
            <w:u w:val="single"/>
          </w:rPr>
          <w:t>[ASAP] 脑膜金属-有机框架促进光(电子)化学C-聚合</w:t>
        </w:r>
      </w:hyperlink>
    </w:p>
    <w:p>
      <w:pPr>
        <w:spacing w:before="0" w:after="80"/>
      </w:pPr>
      <w:r>
        <w:rPr>
          <w:i/>
          <w:sz w:val="20"/>
        </w:rPr>
        <w:t>EN: [ASAP] Lithium-Ion-Induced Structural Constriction of Diatomic Metal–Organic Frameworks Promoting Photo(electro)chemical C–C Coupling</w:t>
      </w:r>
    </w:p>
    <w:p>
      <w:pPr>
        <w:spacing w:before="0" w:after="120"/>
      </w:pPr>
      <w:r>
        <w:rPr>
          <w:b/>
        </w:rPr>
        <w:t xml:space="preserve">Source: </w:t>
      </w:r>
      <w:r>
        <w:t>Journal of the American Chemical Society: Latest Articles (ACS Publications)</w:t>
      </w:r>
      <w:r>
        <w:t xml:space="preserve">    </w:t>
      </w:r>
      <w:r>
        <w:rPr>
          <w:b/>
        </w:rPr>
        <w:t xml:space="preserve">Pub date: </w:t>
      </w:r>
      <w:r>
        <w:t>2026-02-10 10:38:39+00:00</w:t>
      </w:r>
      <w:r>
        <w:t xml:space="preserve">    </w:t>
      </w:r>
      <w:r>
        <w:rPr>
          <w:b/>
        </w:rPr>
        <w:t xml:space="preserve">DOI: </w:t>
      </w:r>
      <w:hyperlink r:id="rId492">
        <w:r>
          <w:rPr>
            <w:color w:val="1155CC"/>
            <w:u w:val="single"/>
          </w:rPr>
          <w:t>10.1021/jacs.5c21800</w:t>
        </w:r>
      </w:hyperlink>
    </w:p>
    <w:p>
      <w:pPr>
        <w:spacing w:before="0" w:after="120"/>
      </w:pPr>
      <w:r>
        <w:rPr>
          <w:b/>
        </w:rPr>
        <w:t xml:space="preserve">Notes: </w:t>
      </w:r>
      <w:r>
        <w:t>abstract_source=pubmed</w:t>
      </w:r>
    </w:p>
    <w:p>
      <w:pPr>
        <w:spacing w:before="0" w:after="80" w:lineRule="auto" w:line="276"/>
      </w:pPr>
      <w:r>
        <w:rPr>
          <w:b/>
        </w:rPr>
        <w:t xml:space="preserve">摘要（ZH）: </w:t>
      </w:r>
      <w:r>
        <w:t>金属- 有机框架( MOFs) 骨骼内部的电挤是传统上被忽视的, 但它却代表了催化效率方面的一个关键瓶颈。 在这里, 我们展示了一部新型的 Li+ 定位二亚原子 MOF 作为一种催化催化剂, 以减缓光电化 C- C 组合过程中的当前挤压。 我们使用 li+ 集成 ZnPc- Pd2DAC MOF 组合的 ZnPc- Pd2 DAC 组合 MOF, 我们演示了当地电场和锂离子穿梭效应之间的相互作用如何导致对二亚体节点的动态结构转变。 我们的发现显示, 相继在铬光谱中心对李+ 进行充电, 然后在 Pd2 节点以 Li( 1-  + + ) 进行排泄, 推动沿 MOF scafold 的利离电迁移。 这个过程驱动了 Pd2 节点的弹性结构演变,</w:t>
      </w:r>
    </w:p>
    <w:p>
      <w:pPr>
        <w:spacing w:before="0" w:after="200" w:lineRule="auto" w:line="276"/>
      </w:pPr>
      <w:r>
        <w:rPr>
          <w:b/>
        </w:rPr>
        <w:t xml:space="preserve">Abstract (EN): </w:t>
      </w:r>
      <w:r>
        <w:t>Electron crowding within the skeletons of metal-organic frameworks (MOFs) has traditionally been overlooked, yet it represents a critical bottleneck in catalytic efficiency. Herein, we present a novel Li+-positioning diatomic MOF as a cathodic catalyst to mitigate current crowding during photoelectrochemical C-C coupling. Using the Li+-incorporated ZnPc-Pd2DAC MOF, we demonstrate how the interplay between a local electric field and the lithium-ion shuttle effect induces a dynamic structural transformation of the diatomic nodes. Our findings reveal that sequential charging of Li+ at the chromophore center, followed by its discharging as Li(1-δ)+ at the Pd2 node, facilitates Li-ion electromigration along the MOF scaffold. This process drives the elastic structural evolution of the Pd2 nodes, effectively alleviating electron crowding at the geometric constriction sites during electrolysis. Consequently, the formed *CO intermediates align parallel to each other with negligible geometrical distortion and strong dipole-dipole interactions. Furthermore, the significant overlap between the (Pd-d) and *CO orbitals facilitates the splitting of the bonding and antibonding orbitals, thereby lowering the energy levels of the *C1 species. As a result of the minimized electron crowding, the (ZnPc-Pd2DAC)@Li-3 catalyst exhibits a high current density and superior selectivity for CH4 and acetate compared to its pristine counterparts. This work provides crucial insights into the electrochemical structural evolution of MOF catalysts, advancing the development of novel photocathode materials.</w:t>
      </w:r>
    </w:p>
    <w:p>
      <w:pPr>
        <w:spacing w:before="120" w:after="120"/>
      </w:pPr>
      <w:r>
        <w:rPr>
          <w:sz w:val="18"/>
        </w:rPr>
        <w:t>——————————————————————————————————————————————————————————————————————</w:t>
      </w:r>
    </w:p>
    <w:p>
      <w:pPr>
        <w:spacing w:before="160" w:after="40" w:line="240" w:lineRule="auto"/>
      </w:pPr>
      <w:r>
        <w:rPr>
          <w:b/>
        </w:rPr>
        <w:t xml:space="preserve">[299] </w:t>
      </w:r>
      <w:hyperlink r:id="rId493">
        <w:r>
          <w:rPr>
            <w:color w:val="1155CC"/>
            <w:u w:val="single"/>
          </w:rPr>
          <w:t>[ASAP] 多指标协调化学使可腐蚀硅阳极的导管导导团的电离交叉链接能够适应性地互连</w:t>
        </w:r>
      </w:hyperlink>
    </w:p>
    <w:p>
      <w:pPr>
        <w:spacing w:before="0" w:after="80"/>
      </w:pPr>
      <w:r>
        <w:rPr>
          <w:i/>
          <w:sz w:val="20"/>
        </w:rPr>
        <w:t>EN: [ASAP] Multidentate Coordination Chemistry Enables Adaptive Ionic Cross-Linking of Conductive Binder for Reversible Silicon Anodes</w:t>
      </w:r>
    </w:p>
    <w:p>
      <w:pPr>
        <w:spacing w:before="0" w:after="120"/>
      </w:pPr>
      <w:r>
        <w:rPr>
          <w:b/>
        </w:rPr>
        <w:t xml:space="preserve">Source: </w:t>
      </w:r>
      <w:r>
        <w:t>Journal of the American Chemical Society: Latest Articles (ACS Publications)</w:t>
      </w:r>
      <w:r>
        <w:t xml:space="preserve">    </w:t>
      </w:r>
      <w:r>
        <w:rPr>
          <w:b/>
        </w:rPr>
        <w:t xml:space="preserve">Pub date: </w:t>
      </w:r>
      <w:r>
        <w:t>2026-02-10 10:40:43+00:00</w:t>
      </w:r>
      <w:r>
        <w:t xml:space="preserve">    </w:t>
      </w:r>
      <w:r>
        <w:rPr>
          <w:b/>
        </w:rPr>
        <w:t xml:space="preserve">DOI: </w:t>
      </w:r>
      <w:hyperlink r:id="rId494">
        <w:r>
          <w:rPr>
            <w:color w:val="1155CC"/>
            <w:u w:val="single"/>
          </w:rPr>
          <w:t>10.1021/jacs.5c22740</w:t>
        </w:r>
      </w:hyperlink>
    </w:p>
    <w:p>
      <w:pPr>
        <w:spacing w:before="0" w:after="120"/>
      </w:pPr>
      <w:r>
        <w:rPr>
          <w:b/>
        </w:rPr>
        <w:t xml:space="preserve">Notes: </w:t>
      </w:r>
      <w:r>
        <w:t>abstract_source=pubmed</w:t>
      </w:r>
    </w:p>
    <w:p>
      <w:pPr>
        <w:spacing w:before="0" w:after="80" w:lineRule="auto" w:line="276"/>
      </w:pPr>
      <w:r>
        <w:rPr>
          <w:b/>
        </w:rPr>
        <w:t xml:space="preserve">摘要（ZH）: </w:t>
      </w:r>
      <w:r>
        <w:t>传感装束器为硅阳极的体积不稳定提供了潜在的解决办法;然而,它们的低分子量和有限的机械强力要求可逆的相互作用,以建立稳定、适应性的交叉连接网络。在这个概念的基础上,协调其可逆动态结合成为建设这种适应性的聚合物网络的关键战略,尽管其结构-财产关系仍然难以找到。这项工作旨在揭开由离子协调结构管理硅阳极导体性能的主要机制,并为离子-交叉连接的装束器制定普遍、基于协调的设计战略。</w:t>
      </w:r>
    </w:p>
    <w:p>
      <w:pPr>
        <w:spacing w:before="0" w:after="200" w:lineRule="auto" w:line="276"/>
      </w:pPr>
      <w:r>
        <w:rPr>
          <w:b/>
        </w:rPr>
        <w:t xml:space="preserve">Abstract (EN): </w:t>
      </w:r>
      <w:r>
        <w:t>Conductive binders present a potential solution to the volumetric instability of silicon anodes; yet their low molecular weight and limited mechanical robustness demand reversible interactions to establish stable, adaptive cross-linked networks. Building on this concept, coordination bonds with their reversible dynamics serve as a key strategy for constructing such adaptive polymer networks, though their structure-property relationships remain elusive. This work seeks to unveil the key mechanism by which ionic coordination structures govern the performance of conductive binders in silicon anodes and to establish a universal, coordination-based design strategy for ion-cross-linked binders. It is revealed that the multidentate bridge coordination between carboxylate groups and Fe3+ simultaneously reinforces mechanical strength and maintains uniform polymer-silicon interactions, achieving the balance essential for stable cycling. Benefiting from such coordination structure, the Fe3+-coordinated conductive binder well accommodates silicon's volume fluctuations, enabling reversible electrode deformation. The enhanced structural adaptability also spatially confines the growth of the solid-electrolyte interphase, preventing its thickening and the dilution of the LiF-rich phase by undesirable species. As a result, the rational binder design translates into a significant boost in the electrochemical performance of the silicon electrodes. Rooted in coordination chemistry, this work offers theoretical insights into the design of adaptive networks for high-volume-changing battery materials.</w:t>
      </w:r>
    </w:p>
    <w:p>
      <w:pPr>
        <w:spacing w:before="120" w:after="120"/>
      </w:pPr>
      <w:r>
        <w:rPr>
          <w:sz w:val="18"/>
        </w:rPr>
        <w:t>——————————————————————————————————————————————————————————————————————</w:t>
      </w:r>
    </w:p>
    <w:p>
      <w:pPr>
        <w:spacing w:before="160" w:after="40" w:line="240" w:lineRule="auto"/>
      </w:pPr>
      <w:r>
        <w:rPr>
          <w:b/>
        </w:rPr>
        <w:t xml:space="preserve">[300] </w:t>
      </w:r>
      <w:hyperlink r:id="rId495">
        <w:r>
          <w:rPr>
            <w:color w:val="1155CC"/>
            <w:u w:val="single"/>
          </w:rPr>
          <w:t>[ASAP] 激进SAM酶BlsE可以作为脱水酶、脱氢gen酶,或经单活性沙丁酸残留物突变后产生的电聚酶进行操作。</w:t>
        </w:r>
      </w:hyperlink>
    </w:p>
    <w:p>
      <w:pPr>
        <w:spacing w:before="0" w:after="80"/>
      </w:pPr>
      <w:r>
        <w:rPr>
          <w:i/>
          <w:sz w:val="20"/>
        </w:rPr>
        <w:t>EN: [ASAP] The Radical SAM Enzyme BlsE Can Operate as a Dehydratase, Dehydrogenase, or Epimerase upon Mutation of a Single Active Site Serine Residue</w:t>
      </w:r>
    </w:p>
    <w:p>
      <w:pPr>
        <w:spacing w:before="0" w:after="120"/>
      </w:pPr>
      <w:r>
        <w:rPr>
          <w:b/>
        </w:rPr>
        <w:t xml:space="preserve">Source: </w:t>
      </w:r>
      <w:r>
        <w:t>Journal of the American Chemical Society: Latest Articles (ACS Publications)</w:t>
      </w:r>
      <w:r>
        <w:t xml:space="preserve">    </w:t>
      </w:r>
      <w:r>
        <w:rPr>
          <w:b/>
        </w:rPr>
        <w:t xml:space="preserve">Pub date: </w:t>
      </w:r>
      <w:r>
        <w:t>2026-02-10 11:23:27+00:00</w:t>
      </w:r>
      <w:r>
        <w:t xml:space="preserve">    </w:t>
      </w:r>
      <w:r>
        <w:rPr>
          <w:b/>
        </w:rPr>
        <w:t xml:space="preserve">DOI: </w:t>
      </w:r>
      <w:hyperlink r:id="rId496">
        <w:r>
          <w:rPr>
            <w:color w:val="1155CC"/>
            <w:u w:val="single"/>
          </w:rPr>
          <w:t>10.1021/jacs.5c18279</w:t>
        </w:r>
      </w:hyperlink>
    </w:p>
    <w:p>
      <w:pPr>
        <w:spacing w:before="0" w:after="120"/>
      </w:pPr>
      <w:r>
        <w:rPr>
          <w:b/>
        </w:rPr>
        <w:t xml:space="preserve">Notes: </w:t>
      </w:r>
      <w:r>
        <w:t>abstract_source=pubmed</w:t>
      </w:r>
    </w:p>
    <w:p>
      <w:pPr>
        <w:spacing w:before="0" w:after="80" w:lineRule="auto" w:line="276"/>
      </w:pPr>
      <w:r>
        <w:rPr>
          <w:b/>
        </w:rPr>
        <w:t xml:space="preserve">摘要（ZH）: </w:t>
      </w:r>
      <w:r>
        <w:t>S-Adinosylmethionine(SAM)酶是多种多用途生物催化剂,催化了广泛的激进媒介变异。虽然本地酶通常会催化产生生物合成相关特定产品的反应,但活性场地或基底本身的结构变异会干扰这一严格控制的过程,导致反应结果的变化。BlsE是一种Twitch Trip SAM diol-dyatase,它参与了对BlsE-催化反应的真菌爆炸性 S. Mutagenization和口腔测量分析的生物合成。尽管与约束基底缺乏直接互动,但Ser275对催化结果至关重要。BlsE-S275A变异体倾向于脱水,而不是脱水,其余脱水半导体则倾向于脱水。</w:t>
      </w:r>
    </w:p>
    <w:p>
      <w:pPr>
        <w:spacing w:before="0" w:after="200" w:lineRule="auto" w:line="276"/>
      </w:pPr>
      <w:r>
        <w:rPr>
          <w:b/>
        </w:rPr>
        <w:t xml:space="preserve">Abstract (EN): </w:t>
      </w:r>
      <w:r>
        <w:t>Radical S-adenosylmethionine (SAM) enzymes are versatile biocatalysts catalyzing a broad range of radical-mediated transformations. While the native enzymes typically catalyze reactions that yield specific products of biosynthetic relevance, structural variation of the active site or the substrate itself can perturb this tightly controlled process, leading to changes in the reaction outcome. BlsE is a twitch radical SAM diol-dehydratase involved in the biosynthesis of the fungicide blasticidin S. Mutagenesis and stoichiometric analysis of the BlsE-catalyzed reaction identify Ser275 as critical to the catalytic outcome despite a lack of direct interactions with the bound substrate. The BlsE-S275A mutant is biased toward dehydrogenation instead of dehydration, and the residual dehydration product produced by this mutant exhibits a reversed protonation stereoselectivity compared to the wild-type enzyme. Moreover, the residue at position 275 is poised for H atom transfer if swapped for a cysteine such that the S275C mutant operates as a C4' epimerase that accepts at least eight different cytosylglucoronic acid analogues. These results indicate that a common substrate radical intermediate can be quenched in different ways to afford dehydration, dehydrogenation, and epimerization products, thereby demonstrating the ease with which radical SAM enzymes can gain new functions. Importantly, a comparison with other radical SAM diol-dehydrogenases and diol-dehydratases also reveals the importance of active site preorganization in radical-mediated reactions to facilitate specific reaction outcomes over others. Such overarching mechanistic principles bring us one step closer to engineering biocatalysts based on radical SAM chemistry.</w:t>
      </w:r>
    </w:p>
    <w:p>
      <w:pPr>
        <w:spacing w:before="120" w:after="120"/>
      </w:pPr>
      <w:r>
        <w:rPr>
          <w:sz w:val="18"/>
        </w:rPr>
        <w:t>——————————————————————————————————————————————————————————————————————</w:t>
      </w:r>
    </w:p>
    <w:p>
      <w:pPr>
        <w:spacing w:before="160" w:after="40" w:line="240" w:lineRule="auto"/>
      </w:pPr>
      <w:r>
        <w:rPr>
          <w:b/>
        </w:rPr>
        <w:t xml:space="preserve">[301] </w:t>
      </w:r>
      <w:hyperlink r:id="rId497">
        <w:r>
          <w:rPr>
            <w:color w:val="1155CC"/>
            <w:u w:val="single"/>
          </w:rPr>
          <w:t>通过RuLa DUUIAtom 催化解析,将聚碳酸盐废物选择性循环循环到Cyclohexanol</w:t>
        </w:r>
      </w:hyperlink>
    </w:p>
    <w:p>
      <w:pPr>
        <w:spacing w:before="0" w:after="80"/>
      </w:pPr>
      <w:r>
        <w:rPr>
          <w:i/>
          <w:sz w:val="20"/>
        </w:rPr>
        <w:t>EN: Selective Upcycling of Polycarbonate Waste to Cyclohexanol via RuLa Dual‐Atom Catalysis</w:t>
      </w:r>
    </w:p>
    <w:p>
      <w:pPr>
        <w:spacing w:before="0" w:after="120"/>
      </w:pPr>
      <w:r>
        <w:rPr>
          <w:b/>
        </w:rPr>
        <w:t xml:space="preserve">Source: </w:t>
      </w:r>
      <w:r>
        <w:t>Wiley: Angewandte Chemie International Edition: Table of Contents</w:t>
      </w:r>
      <w:r>
        <w:t xml:space="preserve">    </w:t>
      </w:r>
      <w:r>
        <w:rPr>
          <w:b/>
        </w:rPr>
        <w:t xml:space="preserve">Pub date: </w:t>
      </w:r>
      <w:r>
        <w:t>2026-02-10 11:25:26+00:00</w:t>
      </w:r>
      <w:r>
        <w:t xml:space="preserve">    </w:t>
      </w:r>
      <w:r>
        <w:rPr>
          <w:b/>
        </w:rPr>
        <w:t xml:space="preserve">DOI: </w:t>
      </w:r>
      <w:hyperlink r:id="rId498">
        <w:r>
          <w:rPr>
            <w:color w:val="1155CC"/>
            <w:u w:val="single"/>
          </w:rPr>
          <w:t>10.1002/anie.202524681</w:t>
        </w:r>
      </w:hyperlink>
    </w:p>
    <w:p>
      <w:pPr>
        <w:spacing w:before="0" w:after="120"/>
      </w:pPr>
      <w:r>
        <w:rPr>
          <w:b/>
        </w:rPr>
        <w:t xml:space="preserve">Notes: </w:t>
      </w:r>
      <w:r>
        <w:t>abstract_source=crossref</w:t>
      </w:r>
    </w:p>
    <w:p>
      <w:pPr>
        <w:spacing w:before="0" w:after="80" w:lineRule="auto" w:line="276"/>
      </w:pPr>
      <w:r>
        <w:rPr>
          <w:b/>
        </w:rPr>
        <w:t xml:space="preserve">摘要（ZH）: </w:t>
      </w:r>
      <w:r>
        <w:t>Cyclohexanol是尼龙制造的关键中间体,然而,其工业合成依赖于在 &amp;lt;5%的单子转换,即高能浪费和原子效率高的过程,需要广泛的再循环,并产生大量排放。在这里,我们引入了氧原子高效合成战略,通过非氧化催化途径将聚碳酸盐(PC)废物直接转化成环己烷醇。 该方法利用聚合物的内在氧功能作为氢氧化合物组的内建源,从而消除常规氧化步骤。</w:t>
      </w:r>
    </w:p>
    <w:p>
      <w:pPr>
        <w:spacing w:before="0" w:after="200" w:lineRule="auto" w:line="276"/>
      </w:pPr>
      <w:r>
        <w:rPr>
          <w:b/>
        </w:rPr>
        <w:t xml:space="preserve">Abstract (EN): </w:t>
      </w:r>
      <w:r>
        <w:t>Cyclohexanol is a key intermediate for nylon manufacture, yet its industrial synthesis relies on partial oxidation of cyclohexane at ∼2 MPa with &amp;lt;5% single‐pass conversion, an energetically wasteful and atom‐inefficient process that demands extensive recycle and generates substantial emissions. Here, we introduce an oxygen‐atom‐efficient synthetic strategy that transforms polycarbonate (PC) waste directly into cyclohexanol through a non‐oxidative catalytic route. The method leverages the intrinsic oxygen functionality of the polymer as a built‐in source of hydroxyl groups, thereby eliminating the conventional oxidation step. A RuLa dual‐atom (RuLa‐DA) catalyst anchored on CoAl oxide enables cooperative hydrogen activation and spillover through moderated Ru–H binding, driving selective aromatic‐ring hydrogenation under mild gas‐phase conditions. Operating at 0.25 MPa and a 4.2 s residence time, the tandem hydropyrolysis–hydrogenation process affords a 69.9% yield and 95.4% selectivity for cyclohexanol, maintaining &amp;gt;95% selectivity for post‐consumer PC over 100 feed cycles. Life‐cycle and techno‐economic analyses indicate the potential environmental and economic advantages, showing a 35% cost reduction and a threefold lower carbon footprint relative to the fossil route. This oxygen‐retentive hydrogenation paradigm establishes a general approach for valorizing oxygen‐rich substrates and suggests a conceptually viable pathway toward atom‐economical synthesis and circular chemical manufacturing.</w:t>
      </w:r>
    </w:p>
    <w:p>
      <w:pPr>
        <w:spacing w:before="120" w:after="120"/>
      </w:pPr>
      <w:r>
        <w:rPr>
          <w:sz w:val="18"/>
        </w:rPr>
        <w:t>——————————————————————————————————————————————————————————————————————</w:t>
      </w:r>
    </w:p>
    <w:p>
      <w:pPr>
        <w:spacing w:before="160" w:after="40" w:line="240" w:lineRule="auto"/>
      </w:pPr>
      <w:r>
        <w:rPr>
          <w:b/>
        </w:rPr>
        <w:t xml:space="preserve">[302] </w:t>
      </w:r>
      <w:hyperlink r:id="rId499">
        <w:r>
          <w:rPr>
            <w:color w:val="1155CC"/>
            <w:u w:val="single"/>
          </w:rPr>
          <w:t>低温条件下聚乙烯在盒状酸中的聚乙烯在盒状酸中的水氧化:非极性塑料自由循环循环催化战略</w:t>
        </w:r>
      </w:hyperlink>
    </w:p>
    <w:p>
      <w:pPr>
        <w:spacing w:before="0" w:after="80"/>
      </w:pPr>
      <w:r>
        <w:rPr>
          <w:i/>
          <w:sz w:val="20"/>
        </w:rPr>
        <w:t>EN: Aqua‐Oxidation of Polyethylene Into Carboxylic Acids Under Mild Conditions: A Catalyst‐Free Upcycling Strategy for Nonpolar Plastics</w:t>
      </w:r>
    </w:p>
    <w:p>
      <w:pPr>
        <w:spacing w:before="0" w:after="120"/>
      </w:pPr>
      <w:r>
        <w:rPr>
          <w:b/>
        </w:rPr>
        <w:t xml:space="preserve">Source: </w:t>
      </w:r>
      <w:r>
        <w:t>Wiley: Angewandte Chemie International Edition: Table of Contents</w:t>
      </w:r>
      <w:r>
        <w:t xml:space="preserve">    </w:t>
      </w:r>
      <w:r>
        <w:rPr>
          <w:b/>
        </w:rPr>
        <w:t xml:space="preserve">Pub date: </w:t>
      </w:r>
      <w:r>
        <w:t>2026-02-10 11:28:59+00:00</w:t>
      </w:r>
      <w:r>
        <w:t xml:space="preserve">    </w:t>
      </w:r>
      <w:r>
        <w:rPr>
          <w:b/>
        </w:rPr>
        <w:t xml:space="preserve">DOI: </w:t>
      </w:r>
      <w:hyperlink r:id="rId500">
        <w:r>
          <w:rPr>
            <w:color w:val="1155CC"/>
            <w:u w:val="single"/>
          </w:rPr>
          <w:t>10.1002/anie.202523067</w:t>
        </w:r>
      </w:hyperlink>
    </w:p>
    <w:p>
      <w:pPr>
        <w:spacing w:before="0" w:after="120"/>
      </w:pPr>
      <w:r>
        <w:rPr>
          <w:b/>
        </w:rPr>
        <w:t xml:space="preserve">Notes: </w:t>
      </w:r>
      <w:r>
        <w:t>abstract_source=crossref</w:t>
      </w:r>
    </w:p>
    <w:p>
      <w:pPr>
        <w:spacing w:before="0" w:after="80" w:lineRule="auto" w:line="276"/>
      </w:pPr>
      <w:r>
        <w:rPr>
          <w:b/>
        </w:rPr>
        <w:t xml:space="preserve">摘要（ZH）: </w:t>
      </w:r>
      <w:r>
        <w:t>ABSTACT 非催化聚氯乙烯循环利用在消除催化剂成本和提高操作稳定性方面提供了独特的优势,在消除催化剂成本和增强操作稳定性方面具有明显的优势,但在温和条件下仍然极具挑战性。在这里,我们制定了一种水氧化战略,将聚乙烯在160°C的碳酸转换成碳酸,不使用任何催化剂或有机溶剂。 箱状酸的产量高达97.8%湿重,其中72.1%由C 4-C 10二oxylic酸组成。 H 2 O 和O 2在水氧化中的作用在现场的液相光谱反应器中得到了进一步调查。</w:t>
      </w:r>
    </w:p>
    <w:p>
      <w:pPr>
        <w:spacing w:before="0" w:after="200" w:lineRule="auto" w:line="276"/>
      </w:pPr>
      <w:r>
        <w:rPr>
          <w:b/>
        </w:rPr>
        <w:t xml:space="preserve">Abstract (EN): </w:t>
      </w:r>
      <w:r>
        <w:t>Noncatalytic polyolefin upcycling offers distinct advantages in eliminating catalyst costs and enhancing operational stability, yet it remains highly challenging under mild conditions. Herein, we develop an aqua‐oxidation strategy that converts polyethylene into carboxylic acids at 160°C without using any catalysts or organic solvents. The mass yield of carboxylic acid is up to 97.8 wt%, of which 72.1% is comprised by C</w:t>
      </w:r>
      <w:r>
        <w:rPr>
          <w:vertAlign w:val="subscript"/>
        </w:rPr>
        <w:t>4</w:t>
      </w:r>
      <w:r>
        <w:t>–C</w:t>
      </w:r>
      <w:r>
        <w:rPr>
          <w:vertAlign w:val="subscript"/>
        </w:rPr>
        <w:t>10</w:t>
      </w:r>
      <w:r>
        <w:t>dicarboxylic acids. The roles of H</w:t>
      </w:r>
      <w:r>
        <w:rPr>
          <w:vertAlign w:val="subscript"/>
        </w:rPr>
        <w:t>2</w:t>
      </w:r>
      <w:r>
        <w:t>O and O</w:t>
      </w:r>
      <w:r>
        <w:rPr>
          <w:vertAlign w:val="subscript"/>
        </w:rPr>
        <w:t>2</w:t>
      </w:r>
      <w:r>
        <w:t>play in aqua‐oxidation were further investigated in an in situ liquid‐phase spectroscopic reactor filled with isotope‐labeled D</w:t>
      </w:r>
      <w:r>
        <w:rPr>
          <w:vertAlign w:val="subscript"/>
        </w:rPr>
        <w:t>2</w:t>
      </w:r>
      <w:r>
        <w:t>O. It reveals that O</w:t>
      </w:r>
      <w:r>
        <w:rPr>
          <w:vertAlign w:val="subscript"/>
        </w:rPr>
        <w:t>2</w:t>
      </w:r>
      <w:r>
        <w:t>governs the effective initiation and oxidation of polyethylene. Whereas H</w:t>
      </w:r>
      <w:r>
        <w:rPr>
          <w:vertAlign w:val="subscript"/>
        </w:rPr>
        <w:t>2</w:t>
      </w:r>
      <w:r>
        <w:t>O serves as a key medium to intensify oxygen–polyethylene interaction uniformly and inhibit localized oxidation, promoting selective upcycling to narrow‐distributed acids. Moreover, this strategy allows for upcycling diverse commercial polyolefins with additives. This study presents a breakthrough in the noncatalytic upcycling of polyolefins under mild conditions and demonstrates the potential of this eco‐friendly and streamlined strategy for advancing plastic circularity.</w:t>
      </w:r>
    </w:p>
    <w:p>
      <w:pPr>
        <w:spacing w:before="120" w:after="120"/>
      </w:pPr>
      <w:r>
        <w:rPr>
          <w:sz w:val="18"/>
        </w:rPr>
        <w:t>——————————————————————————————————————————————————————————————————————</w:t>
      </w:r>
    </w:p>
    <w:p>
      <w:pPr>
        <w:spacing w:before="160" w:after="40" w:line="240" w:lineRule="auto"/>
      </w:pPr>
      <w:r>
        <w:rPr>
          <w:b/>
        </w:rPr>
        <w:t xml:space="preserve">[303] </w:t>
      </w:r>
      <w:hyperlink r:id="rId501">
        <w:r>
          <w:rPr>
            <w:color w:val="1155CC"/>
            <w:u w:val="single"/>
          </w:rPr>
          <w:t>[ASAP] 用于卤素捆绑-经检测的二分化和溶解中可移动的裂变诱导的四氯双氯超价碘(III)</w:t>
        </w:r>
      </w:hyperlink>
    </w:p>
    <w:p>
      <w:pPr>
        <w:spacing w:before="0" w:after="80"/>
      </w:pPr>
      <w:r>
        <w:rPr>
          <w:i/>
          <w:sz w:val="20"/>
        </w:rPr>
        <w:t>EN: [ASAP] Chiral Cyclic Hypervalent Iodine(III) for Halogen Bonding–Mediated Dimerization and Modulable Chirality Induction in Solution</w:t>
      </w:r>
    </w:p>
    <w:p>
      <w:pPr>
        <w:spacing w:before="0" w:after="120"/>
      </w:pPr>
      <w:r>
        <w:rPr>
          <w:b/>
        </w:rPr>
        <w:t xml:space="preserve">Source: </w:t>
      </w:r>
      <w:r>
        <w:t>Journal of the American Chemical Society: Latest Articles (ACS Publications)</w:t>
      </w:r>
      <w:r>
        <w:t xml:space="preserve">    </w:t>
      </w:r>
      <w:r>
        <w:rPr>
          <w:b/>
        </w:rPr>
        <w:t xml:space="preserve">Pub date: </w:t>
      </w:r>
      <w:r>
        <w:t>2026-02-10 11:31:39+00:00</w:t>
      </w:r>
      <w:r>
        <w:t xml:space="preserve">    </w:t>
      </w:r>
      <w:r>
        <w:rPr>
          <w:b/>
        </w:rPr>
        <w:t xml:space="preserve">DOI: </w:t>
      </w:r>
      <w:hyperlink r:id="rId502">
        <w:r>
          <w:rPr>
            <w:color w:val="1155CC"/>
            <w:u w:val="single"/>
          </w:rPr>
          <w:t>10.1021/jacs.5c22565</w:t>
        </w:r>
      </w:hyperlink>
    </w:p>
    <w:p>
      <w:pPr>
        <w:spacing w:before="0" w:after="120"/>
      </w:pPr>
      <w:r>
        <w:rPr>
          <w:b/>
        </w:rPr>
        <w:t xml:space="preserve">Notes: </w:t>
      </w:r>
      <w:r>
        <w:t>abstract_source=pubmed</w:t>
      </w:r>
    </w:p>
    <w:p>
      <w:pPr>
        <w:spacing w:before="0" w:after="80" w:lineRule="auto" w:line="276"/>
      </w:pPr>
      <w:r>
        <w:rPr>
          <w:b/>
        </w:rPr>
        <w:t xml:space="preserve">摘要（ZH）: </w:t>
      </w:r>
      <w:r>
        <w:t>通过卤素结合,主要由于溶解对传统的卤素结合相互作用产生的明显破坏性影响,在通过卤素结合建造手性功能材料的解决方案阶段存在挑战。在这项工作中,我们描述了卤素结合的中间手性诱导溶液,以便能够建造具有金枪鱼特性和广泛基质多功能的离散国家手性手性手性材料。一个中央手力场被引入一个循环性超价碘(III)支架(称为I(III)),它单独组合成固态和低极性卤素溶剂中的碳化抗电溶液,由四重卤素和氢结合网络稳定。</w:t>
      </w:r>
    </w:p>
    <w:p>
      <w:pPr>
        <w:spacing w:before="0" w:after="200" w:lineRule="auto" w:line="276"/>
      </w:pPr>
      <w:r>
        <w:rPr>
          <w:b/>
        </w:rPr>
        <w:t xml:space="preserve">Abstract (EN): </w:t>
      </w:r>
      <w:r>
        <w:t>A challenge exists in the solution-phase construction of chiral functional materials via halogen bonding, largely due to the pronounced disruptive influence of solvation on conventional halogen bonding interactions. In this work, we describe halogen bond-mediated chirality induction in solution, enabling the construction of discrete-state chiroptical materials with tunable properties and broad substrate versatility. A central chiral site was introduced into a cyclic hypervalent iodine(III) scaffold (denoted as I(III)), which individually assembles into cationic antielectrostatic halogen-bonded dimers in the solid state and low-polarity solvents, stabilized by a quadrupled halogen and hydrogen bonding network. I(III) exhibits strong binding affinity toward both neutral and anionic halogen bond acceptors, with association constants on the order of ∼104 M-1. This robust interaction enables efficient chirality induction in both the ground and excited states. The resulting halogen-bonded complexes display solvent-responsive behavior, exhibiting mirror-image chiroptical properties in dichloromethane and tetrahydrofuran. It demonstrates excellent adaptability toward diverse halogen bond acceptors, enabling effective chirality induction across a range of systems. This versatility facilitates the realization of full-color circularly polarized luminescence.</w:t>
      </w:r>
    </w:p>
    <w:p>
      <w:pPr>
        <w:spacing w:before="120" w:after="120"/>
      </w:pPr>
      <w:r>
        <w:rPr>
          <w:sz w:val="18"/>
        </w:rPr>
        <w:t>——————————————————————————————————————————————————————————————————————</w:t>
      </w:r>
    </w:p>
    <w:p>
      <w:pPr>
        <w:spacing w:before="160" w:after="40" w:line="240" w:lineRule="auto"/>
      </w:pPr>
      <w:r>
        <w:rPr>
          <w:b/>
        </w:rPr>
        <w:t xml:space="preserve">[304] </w:t>
      </w:r>
      <w:hyperlink r:id="rId503">
        <w:r>
          <w:rPr>
            <w:color w:val="1155CC"/>
            <w:u w:val="single"/>
          </w:rPr>
          <w:t>安眠药:合成有机化学中有价值的试剂</w:t>
        </w:r>
      </w:hyperlink>
    </w:p>
    <w:p>
      <w:pPr>
        <w:spacing w:before="0" w:after="80"/>
      </w:pPr>
      <w:r>
        <w:rPr>
          <w:i/>
          <w:sz w:val="20"/>
        </w:rPr>
        <w:t>EN: Anomeric Amides: Valuable Reagents in Synthetic Organic Chemistry</w:t>
      </w:r>
    </w:p>
    <w:p>
      <w:pPr>
        <w:spacing w:before="0" w:after="120"/>
      </w:pPr>
      <w:r>
        <w:rPr>
          <w:b/>
        </w:rPr>
        <w:t xml:space="preserve">Source: </w:t>
      </w:r>
      <w:r>
        <w:t>Wiley: Angewandte Chemie International Edition: Table of Contents</w:t>
      </w:r>
      <w:r>
        <w:t xml:space="preserve">    </w:t>
      </w:r>
      <w:r>
        <w:rPr>
          <w:b/>
        </w:rPr>
        <w:t xml:space="preserve">Pub date: </w:t>
      </w:r>
      <w:r>
        <w:t>2026-02-10 11:38:36+00:00</w:t>
      </w:r>
      <w:r>
        <w:t xml:space="preserve">    </w:t>
      </w:r>
      <w:r>
        <w:rPr>
          <w:b/>
        </w:rPr>
        <w:t xml:space="preserve">DOI: </w:t>
      </w:r>
      <w:hyperlink r:id="rId504">
        <w:r>
          <w:rPr>
            <w:color w:val="1155CC"/>
            <w:u w:val="single"/>
          </w:rPr>
          <w:t>10.1002/anie.202525799</w:t>
        </w:r>
      </w:hyperlink>
    </w:p>
    <w:p>
      <w:pPr>
        <w:spacing w:before="0" w:after="120"/>
      </w:pPr>
      <w:r>
        <w:rPr>
          <w:b/>
        </w:rPr>
        <w:t xml:space="preserve">Notes: </w:t>
      </w:r>
      <w:r>
        <w:t>abstract_source=crossref</w:t>
      </w:r>
    </w:p>
    <w:p>
      <w:pPr>
        <w:spacing w:before="0" w:after="80" w:lineRule="auto" w:line="276"/>
      </w:pPr>
      <w:r>
        <w:rPr>
          <w:b/>
        </w:rPr>
        <w:t xml:space="preserve">摘要（ZH）: </w:t>
      </w:r>
      <w:r>
        <w:t>寻求合成工具以实现分子复杂性是极为重要的,近年来,为分子的后阶段功能化制定了战略,在这一积极研究领域,非美亚胺因其广泛的合成应用而成为有价值的试剂,它们继续吸引科学界越来越多的兴趣,这次小型审查的目的是讨论和突出最近在各种合成转化中使用非美亚胺方面取得的进展。</w:t>
      </w:r>
    </w:p>
    <w:p>
      <w:pPr>
        <w:spacing w:before="0" w:after="200" w:lineRule="auto" w:line="276"/>
      </w:pPr>
      <w:r>
        <w:rPr>
          <w:b/>
        </w:rPr>
        <w:t xml:space="preserve">Abstract (EN): </w:t>
      </w:r>
      <w:r>
        <w:t>The quest for synthetic tools to achieve molecular complexity is of paramount importance. In recent years, strategies have been developed for the late‐stage functionalization of molecules. Anomeric amides have emerged as valuable reagents in this active research area due to their broad range of synthetic applications, and they continue to draw growing interest from the scientific community. This minireview aims to discuss and highlight recent progress in using anomeric amides across a variety of synthetic transformations.</w:t>
      </w:r>
    </w:p>
    <w:p>
      <w:pPr>
        <w:spacing w:before="120" w:after="120"/>
      </w:pPr>
      <w:r>
        <w:rPr>
          <w:sz w:val="18"/>
        </w:rPr>
        <w:t>——————————————————————————————————————————————————————————————————————</w:t>
      </w:r>
    </w:p>
    <w:p>
      <w:pPr>
        <w:spacing w:before="160" w:after="40" w:line="240" w:lineRule="auto"/>
      </w:pPr>
      <w:r>
        <w:rPr>
          <w:b/>
        </w:rPr>
        <w:t xml:space="preserve">[305] </w:t>
      </w:r>
      <w:hyperlink r:id="rId505">
        <w:r>
          <w:rPr>
            <w:color w:val="1155CC"/>
            <w:u w:val="single"/>
          </w:rPr>
          <w:t>Zwitititionic Moleculule-Driven 双极水道和水间动力学协同聚合促进高效藻碱水解</w:t>
        </w:r>
      </w:hyperlink>
    </w:p>
    <w:p>
      <w:pPr>
        <w:spacing w:before="0" w:after="80"/>
      </w:pPr>
      <w:r>
        <w:rPr>
          <w:i/>
          <w:sz w:val="20"/>
        </w:rPr>
        <w:t>EN: Zwitterionic ‐Molecule‐Driven Synergistic Coupling of Dual OER Pathways and Interfacial Water Dynamics for Efficient Alkaline Water Electrolysis</w:t>
      </w:r>
    </w:p>
    <w:p>
      <w:pPr>
        <w:spacing w:before="0" w:after="120"/>
      </w:pPr>
      <w:r>
        <w:rPr>
          <w:b/>
        </w:rPr>
        <w:t xml:space="preserve">Source: </w:t>
      </w:r>
      <w:r>
        <w:t>Wiley: Advanced Energy Materials: Table of Contents</w:t>
      </w:r>
      <w:r>
        <w:t xml:space="preserve">    </w:t>
      </w:r>
      <w:r>
        <w:rPr>
          <w:b/>
        </w:rPr>
        <w:t xml:space="preserve">Pub date: </w:t>
      </w:r>
      <w:r>
        <w:t>2026-02-10 11:40:41+00:00</w:t>
      </w:r>
      <w:r>
        <w:t xml:space="preserve">    </w:t>
      </w:r>
      <w:r>
        <w:rPr>
          <w:b/>
        </w:rPr>
        <w:t xml:space="preserve">DOI: </w:t>
      </w:r>
      <w:hyperlink r:id="rId506">
        <w:r>
          <w:rPr>
            <w:color w:val="1155CC"/>
            <w:u w:val="single"/>
          </w:rPr>
          <w:t>10.1002/aenm.70749</w:t>
        </w:r>
      </w:hyperlink>
    </w:p>
    <w:p>
      <w:pPr>
        <w:spacing w:before="0" w:after="120"/>
      </w:pPr>
      <w:r>
        <w:rPr>
          <w:b/>
        </w:rPr>
        <w:t xml:space="preserve">Notes: </w:t>
      </w:r>
      <w:r>
        <w:t>abstract_source=crossref</w:t>
      </w:r>
    </w:p>
    <w:p>
      <w:pPr>
        <w:spacing w:before="0" w:after="80" w:lineRule="auto" w:line="276"/>
      </w:pPr>
      <w:r>
        <w:rPr>
          <w:b/>
        </w:rPr>
        <w:t xml:space="preserve">摘要（ZH）: </w:t>
      </w:r>
      <w:r>
        <w:t>ABSTACT 将氧进化反应的吸附进化机制(AEM)和压轴氧(LOM)机制(LOM)结合在一起,同时对氢进化反应的氢进化反应的干涉水结构(OER)进行调控,为实现整个水分的高效和稳定提供了有希望但探索不足的战略。这里,在FeNiOOH接口中嵌入了一个带有zwitter的小型分子,使AEM、LOM和气溶化动态之间的三方协同关系成为可能。AEM、LOM和气溶化动态之间有可能形成一种三方协同关系。Arendo光谱学和理论研究发现了一个空间分离的双向机制,在这个机制中,“rginine”诱发的N-M-Omotifs通过增强共价激活LOM路径,而邻近的O-M-O单元则通过电子调节来推进AEM路线。</w:t>
      </w:r>
    </w:p>
    <w:p>
      <w:pPr>
        <w:spacing w:before="0" w:after="200" w:lineRule="auto" w:line="276"/>
      </w:pPr>
      <w:r>
        <w:rPr>
          <w:b/>
        </w:rPr>
        <w:t xml:space="preserve">Abstract (EN): </w:t>
      </w:r>
      <w:r>
        <w:t>Coupling the adsorbate evolution mechanism (AEM) and lattice oxygen mechanism (LOM) for oxygen evolution reaction (OER), along with tuning interfacial water structure for hydrogen evolution reaction (HER), offers a promising yet underexplored strategy for achieving efficient and stable overall water splitting. Here, a zwitterion‐bearing small molecule is anchored at the FeNiOOH interface, making possible a tripartite synergy among AEM, LOM, and interfacial solvation dynamics. Operando spectroscopic and theoretical studies uncover a spatially separated dual‐path mechanism, where arginine‐induced N─M─O motifs activate the LOM pathway via enhanced covalency, while adjacent O─M─O units are electronically modulated to promote the AEM route. Additionally, hydrogen bonding between arginine and interfacial water disrupts the hydrogen‐bond network and increases the fraction of weakly bound water molecules, thereby facilitating water dissociation during HER. The Arg@FeNiOOH catalyst exhibits overpotentials of 271 mV (OER) and 222 mV (HER) at 500 mA cm</w:t>
      </w:r>
      <w:r>
        <w:t xml:space="preserve"> </w:t>
      </w:r>
      <w:r>
        <w:t>−</w:t>
      </w:r>
      <w:r>
        <w:rPr>
          <w:vertAlign w:val="subscript"/>
        </w:rPr>
        <w:t>2</w:t>
      </w:r>
      <w:r>
        <w:t>, maintaining stability over 250 h. This work demonstrates a generalizable interfacial strategy that integrates dual‐pathway coexistence with interfacial water structure modulation to achieve efficient and durable alkaline water splitting.</w:t>
      </w:r>
    </w:p>
    <w:p>
      <w:pPr>
        <w:spacing w:before="120" w:after="120"/>
      </w:pPr>
      <w:r>
        <w:rPr>
          <w:sz w:val="18"/>
        </w:rPr>
        <w:t>——————————————————————————————————————————————————————————————————————</w:t>
      </w:r>
    </w:p>
    <w:p>
      <w:pPr>
        <w:spacing w:before="160" w:after="40" w:line="240" w:lineRule="auto"/>
      </w:pPr>
      <w:r>
        <w:rPr>
          <w:b/>
        </w:rPr>
        <w:t xml:space="preserve">[306] </w:t>
      </w:r>
      <w:hyperlink r:id="rId507">
        <w:r>
          <w:rPr>
            <w:color w:val="1155CC"/>
            <w:u w:val="single"/>
          </w:rPr>
          <w:t>CuDriven Ferroonic 结构与多层Thio磷酸盐CuVP2S6中的压力磁力</w:t>
        </w:r>
      </w:hyperlink>
    </w:p>
    <w:p>
      <w:pPr>
        <w:spacing w:before="0" w:after="80"/>
      </w:pPr>
      <w:r>
        <w:rPr>
          <w:i/>
          <w:sz w:val="20"/>
        </w:rPr>
        <w:t>EN: Cu+‐Driven Ferroionic Structure and Pressure‐Tunable Magnetism in Layered Thiophosphate CuVP2S6</w:t>
      </w:r>
    </w:p>
    <w:p>
      <w:pPr>
        <w:spacing w:before="0" w:after="120"/>
      </w:pPr>
      <w:r>
        <w:rPr>
          <w:b/>
        </w:rPr>
        <w:t xml:space="preserve">Source: </w:t>
      </w:r>
      <w:r>
        <w:t>Wiley: Advanced Materials: Table of Contents</w:t>
      </w:r>
      <w:r>
        <w:t xml:space="preserve">    </w:t>
      </w:r>
      <w:r>
        <w:rPr>
          <w:b/>
        </w:rPr>
        <w:t xml:space="preserve">Pub date: </w:t>
      </w:r>
      <w:r>
        <w:t>2026-02-10 11:41:29+00:00</w:t>
      </w:r>
      <w:r>
        <w:t xml:space="preserve">    </w:t>
      </w:r>
      <w:r>
        <w:rPr>
          <w:b/>
        </w:rPr>
        <w:t xml:space="preserve">DOI: </w:t>
      </w:r>
      <w:hyperlink r:id="rId508">
        <w:r>
          <w:rPr>
            <w:color w:val="1155CC"/>
            <w:u w:val="single"/>
          </w:rPr>
          <w:t>10.1002/adma.202520850</w:t>
        </w:r>
      </w:hyperlink>
    </w:p>
    <w:p>
      <w:pPr>
        <w:spacing w:before="0" w:after="120"/>
      </w:pPr>
      <w:r>
        <w:rPr>
          <w:b/>
        </w:rPr>
        <w:t xml:space="preserve">Notes: </w:t>
      </w:r>
      <w:r>
        <w:t>abstract_source=crossref</w:t>
      </w:r>
    </w:p>
    <w:p>
      <w:pPr>
        <w:spacing w:before="0" w:after="80" w:lineRule="auto" w:line="276"/>
      </w:pPr>
      <w:r>
        <w:rPr>
          <w:b/>
        </w:rPr>
        <w:t xml:space="preserve">摘要（ZH）: </w:t>
      </w:r>
      <w:r>
        <w:t>二维(2D) Van der Waals(VdW)磁铁磁铁为探索基本物理和低维功能提供了一个多功能平台,带有移动Cu+离子的金属硫磷酸盐(MTPs)呈现了一种铁状状态,极化产生于多个几乎退化地点之间的离子再分配。 CuVP 2 S 6 将V亚拉曲的内在铁磁铁与Cu + 驱动的铁质配置自由单独结合起来,使得能够直接探索离子动态如何影响磁性相互作用。</w:t>
      </w:r>
    </w:p>
    <w:p>
      <w:pPr>
        <w:spacing w:before="0" w:after="200" w:lineRule="auto" w:line="276"/>
      </w:pPr>
      <w:r>
        <w:rPr>
          <w:b/>
        </w:rPr>
        <w:t xml:space="preserve">Abstract (EN): </w:t>
      </w:r>
      <w:r>
        <w:t>Two‐dimensional (2D) van der Waals (vdW) magnets offer a versatile platform to explore fundamental physics and low‐dimensional functionalities. Metal thiophosphates (MTPs) with mobile Cu</w:t>
      </w:r>
      <w:r>
        <w:t xml:space="preserve"> </w:t>
      </w:r>
      <w:r>
        <w:t>+</w:t>
      </w:r>
      <w:r>
        <w:t xml:space="preserve"> </w:t>
      </w:r>
      <w:r>
        <w:t>ions exhibit a ferroionic state, where polarization arises from ionic redistribution among multiple nearly degenerate sites. CuVP</w:t>
      </w:r>
      <w:r>
        <w:rPr>
          <w:vertAlign w:val="subscript"/>
        </w:rPr>
        <w:t>2</w:t>
      </w:r>
      <w:r>
        <w:t>S</w:t>
      </w:r>
      <w:r>
        <w:rPr>
          <w:vertAlign w:val="subscript"/>
        </w:rPr>
        <w:t>6</w:t>
      </w:r>
      <w:r>
        <w:t>uniquely combines intrinsic ferromagnetism from the V sublattice with Cu</w:t>
      </w:r>
      <w:r>
        <w:t xml:space="preserve"> </w:t>
      </w:r>
      <w:r>
        <w:t>+</w:t>
      </w:r>
      <w:r>
        <w:t xml:space="preserve"> </w:t>
      </w:r>
      <w:r>
        <w:t>‐driven ferroionic configurational freedom, enabling direct exploration of how ionic dynamics influence magnetic interactions. Herein, high‐quality CuVP</w:t>
      </w:r>
      <w:r>
        <w:rPr>
          <w:vertAlign w:val="subscript"/>
        </w:rPr>
        <w:t>2</w:t>
      </w:r>
      <w:r>
        <w:t>S</w:t>
      </w:r>
      <w:r>
        <w:rPr>
          <w:vertAlign w:val="subscript"/>
        </w:rPr>
        <w:t>6</w:t>
      </w:r>
      <w:r>
        <w:t>single crystals are synthesized, and their structural and physical properties are systematically investigated. Temperature‐dependent neutron diffraction elucidates a ferroionic structure with dynamic distributions of copper ions across multiple crystallographic sites. The versatile occupations are driven by local symmetry‐controlled orbital interactions between copper ions and surrounding ligands through a second‐order Jahn–Teller mechanism. Magnetic measurements identify a ferromagnetic (FM) transition below 3.3 K. The pressure‐controlled magnetocrystalline anisotropy and interlayer exchange interactions mediated by Cu</w:t>
      </w:r>
      <w:r>
        <w:t xml:space="preserve"> </w:t>
      </w:r>
      <w:r>
        <w:t>+</w:t>
      </w:r>
      <w:r>
        <w:t xml:space="preserve"> </w:t>
      </w:r>
      <w:r>
        <w:t>migration are demonstrated, boosting the Curie temperature remarkably by over 60% and inducing a soft‐to‐hard FM transition unparalleled within the MTP family. These results demonstrate that ionic configurational freedom provides an efficient route to control magnetism, opening new possibilities for spintronic applications.</w:t>
      </w:r>
    </w:p>
    <w:p>
      <w:pPr>
        <w:spacing w:before="120" w:after="120"/>
      </w:pPr>
      <w:r>
        <w:rPr>
          <w:sz w:val="18"/>
        </w:rPr>
        <w:t>——————————————————————————————————————————————————————————————————————</w:t>
      </w:r>
    </w:p>
    <w:p>
      <w:pPr>
        <w:spacing w:before="160" w:after="40" w:line="240" w:lineRule="auto"/>
      </w:pPr>
      <w:r>
        <w:rPr>
          <w:b/>
        </w:rPr>
        <w:t xml:space="preserve">[307] </w:t>
      </w:r>
      <w:hyperlink r:id="rId509">
        <w:r>
          <w:rPr>
            <w:color w:val="1155CC"/>
            <w:u w:val="single"/>
          </w:rPr>
          <w:t>用于机械氢氢生产双重支持小原子的质子供给调解螺旋叠叠叠层编程</w:t>
        </w:r>
      </w:hyperlink>
    </w:p>
    <w:p>
      <w:pPr>
        <w:spacing w:before="0" w:after="80"/>
      </w:pPr>
      <w:r>
        <w:rPr>
          <w:i/>
          <w:sz w:val="20"/>
        </w:rPr>
        <w:t>EN: Proton Provision‐Conversion‐Spillover Cascade Programming on Dual Supported Pt Atoms for Robust Hydrogen Production</w:t>
      </w:r>
    </w:p>
    <w:p>
      <w:pPr>
        <w:spacing w:before="0" w:after="120"/>
      </w:pPr>
      <w:r>
        <w:rPr>
          <w:b/>
        </w:rPr>
        <w:t xml:space="preserve">Source: </w:t>
      </w:r>
      <w:r>
        <w:t>Wiley: Advanced Materials: Table of Contents</w:t>
      </w:r>
      <w:r>
        <w:t xml:space="preserve">    </w:t>
      </w:r>
      <w:r>
        <w:rPr>
          <w:b/>
        </w:rPr>
        <w:t xml:space="preserve">Pub date: </w:t>
      </w:r>
      <w:r>
        <w:t>2026-02-10 11:42:12+00:00</w:t>
      </w:r>
      <w:r>
        <w:t xml:space="preserve">    </w:t>
      </w:r>
      <w:r>
        <w:rPr>
          <w:b/>
        </w:rPr>
        <w:t xml:space="preserve">DOI: </w:t>
      </w:r>
      <w:hyperlink r:id="rId510">
        <w:r>
          <w:rPr>
            <w:color w:val="1155CC"/>
            <w:u w:val="single"/>
          </w:rPr>
          <w:t>10.1002/adma.202522479</w:t>
        </w:r>
      </w:hyperlink>
    </w:p>
    <w:p>
      <w:pPr>
        <w:spacing w:before="0" w:after="120"/>
      </w:pPr>
      <w:r>
        <w:rPr>
          <w:b/>
        </w:rPr>
        <w:t xml:space="preserve">Notes: </w:t>
      </w:r>
      <w:r>
        <w:t>abstract_source=crossref</w:t>
      </w:r>
    </w:p>
    <w:p>
      <w:pPr>
        <w:spacing w:before="0" w:after="80" w:lineRule="auto" w:line="276"/>
      </w:pPr>
      <w:r>
        <w:rPr>
          <w:b/>
        </w:rPr>
        <w:t xml:space="preserve">摘要（ZH）: </w:t>
      </w:r>
      <w:r>
        <w:t>理性质子工程为提高单原子催化剂(SACs)的氢进化反应(HER)性能提供了强有力的战略。 值得注意的是,在多个反应步骤中实现协调一致的质子管理是一种高效的方法,但比单步监管更难执行。 在这里,我们提议为酸性热中的Pt SACs提供多米诺型质子(dominotype) 提供“conversion spillerover pt SAC 编程 ”, 由超硫道松散氮化碳(主要1-2原子层、1子Nm)所包装的TiN纳米电线作为双子支持端平板(Ptnc 1@TiN Worms)的提示所促成。 实验和理论结果显示,这个平台触发了尖径。</w:t>
      </w:r>
    </w:p>
    <w:p>
      <w:pPr>
        <w:spacing w:before="0" w:after="200" w:lineRule="auto" w:line="276"/>
      </w:pPr>
      <w:r>
        <w:rPr>
          <w:b/>
        </w:rPr>
        <w:t xml:space="preserve">Abstract (EN): </w:t>
      </w:r>
      <w:r>
        <w:t>Rational proton engineering offers a powerful strategy for enhancing the hydrogen evolution reaction (HER) performance of single‐atom catalysts (SACs). Notably, achieving concerted proton management across multiple reaction steps presents a highly efficient approach, yet it remains more challenging to implement than single‐step regulation. Here, we propose a domino‐type proton provision‐conversion‐spillover programming for Pt SACs in acidic HER, enabled by ultrathin porous nitrogen‐doped carbon (main 1–2 atomic layers, sub‐1 nm) encapsulated TiN nanowires with tips as dual‐support tip‐platform (Pt‐NC</w:t>
      </w:r>
      <w:r>
        <w:rPr>
          <w:vertAlign w:val="subscript"/>
        </w:rPr>
        <w:t>1</w:t>
      </w:r>
      <w:r>
        <w:t>@TiN NWs). Experimental and theoretical results demonstrate that this platform triggers tip‐distance‐spillover domino effects to drive a proton cascade throughout HER. Specifically, NC</w:t>
      </w:r>
      <w:r>
        <w:rPr>
          <w:vertAlign w:val="subscript"/>
        </w:rPr>
        <w:t>1</w:t>
      </w:r>
      <w:r>
        <w:t>@TiN nanotips induce tip‐enhanced effect that promotes interfacial proton accessibility. Concurrently, the short‐distance Pt/TiN vertical coupling optimizes electronic modulation of unsaturated Pt‐N</w:t>
      </w:r>
      <w:r>
        <w:rPr>
          <w:vertAlign w:val="subscript"/>
        </w:rPr>
        <w:t>2</w:t>
      </w:r>
      <w:r>
        <w:t>sites to enhance their intrinsic activity. Exposed TiN sites function as hydrogen spillover centers to facilitate H</w:t>
      </w:r>
      <w:r>
        <w:rPr>
          <w:vertAlign w:val="subscript"/>
        </w:rPr>
        <w:t>2</w:t>
      </w:r>
      <w:r>
        <w:t>desorption. Consequently, Pt‐NC</w:t>
      </w:r>
      <w:r>
        <w:rPr>
          <w:vertAlign w:val="subscript"/>
        </w:rPr>
        <w:t>1</w:t>
      </w:r>
      <w:r>
        <w:t>@TiN NWs achieve a superior Pt mass activity of 153.5 A/mg</w:t>
      </w:r>
      <w:r>
        <w:t xml:space="preserve"> </w:t>
      </w:r>
      <w:r>
        <w:t>Pt</w:t>
      </w:r>
      <w:r>
        <w:t xml:space="preserve"> </w:t>
      </w:r>
      <w:r>
        <w:t>@‐100 mV, surpassing Pt/C by two orders of magnitude. Notably, it reaches 2 A/cm</w:t>
      </w:r>
      <w:r>
        <w:rPr>
          <w:vertAlign w:val="subscript"/>
        </w:rPr>
        <w:t>2</w:t>
      </w:r>
      <w:r>
        <w:t>at low cell voltage of 1.75 V and sustains stable operation at 1 A/cm</w:t>
      </w:r>
      <w:r>
        <w:rPr>
          <w:vertAlign w:val="subscript"/>
        </w:rPr>
        <w:t>2</w:t>
      </w:r>
      <w:r>
        <w:t>for 1200 h in proton exchange membrane water electrolyzer (PEMWE). This work indicates the potential of harnessing multi‐step domino processes for advanced catalyst design.</w:t>
      </w:r>
    </w:p>
    <w:p>
      <w:pPr>
        <w:spacing w:before="120" w:after="120"/>
      </w:pPr>
      <w:r>
        <w:rPr>
          <w:sz w:val="18"/>
        </w:rPr>
        <w:t>——————————————————————————————————————————————————————————————————————</w:t>
      </w:r>
    </w:p>
    <w:p>
      <w:pPr>
        <w:spacing w:before="160" w:after="40" w:line="240" w:lineRule="auto"/>
      </w:pPr>
      <w:r>
        <w:rPr>
          <w:b/>
        </w:rPr>
        <w:t xml:space="preserve">[308] </w:t>
      </w:r>
      <w:hyperlink r:id="rId511">
        <w:r>
          <w:rPr>
            <w:color w:val="1155CC"/>
            <w:u w:val="single"/>
          </w:rPr>
          <w:t>通过同步波状旋式聚变调控和磁磁流动力效应, 建设宽度- 温度- 里- S 电池</w:t>
        </w:r>
      </w:hyperlink>
    </w:p>
    <w:p>
      <w:pPr>
        <w:spacing w:before="0" w:after="80"/>
      </w:pPr>
      <w:r>
        <w:rPr>
          <w:i/>
          <w:sz w:val="20"/>
        </w:rPr>
        <w:t>EN: Constructing Wide‐Temperature‐Range Li–S Batteries Through Synergistic Boride Spin‐Polarization Coupling Regulation and Magnetohydrodynamic Effects</w:t>
      </w:r>
    </w:p>
    <w:p>
      <w:pPr>
        <w:spacing w:before="0" w:after="120"/>
      </w:pPr>
      <w:r>
        <w:rPr>
          <w:b/>
        </w:rPr>
        <w:t xml:space="preserve">Source: </w:t>
      </w:r>
      <w:r>
        <w:t>Wiley: Angewandte Chemie International Edition: Table of Contents</w:t>
      </w:r>
      <w:r>
        <w:t xml:space="preserve">    </w:t>
      </w:r>
      <w:r>
        <w:rPr>
          <w:b/>
        </w:rPr>
        <w:t xml:space="preserve">Pub date: </w:t>
      </w:r>
      <w:r>
        <w:t>2026-02-10 11:47:26+00:00</w:t>
      </w:r>
      <w:r>
        <w:t xml:space="preserve">    </w:t>
      </w:r>
      <w:r>
        <w:rPr>
          <w:b/>
        </w:rPr>
        <w:t xml:space="preserve">DOI: </w:t>
      </w:r>
      <w:hyperlink r:id="rId512">
        <w:r>
          <w:rPr>
            <w:color w:val="1155CC"/>
            <w:u w:val="single"/>
          </w:rPr>
          <w:t>10.1002/anie.202519187</w:t>
        </w:r>
      </w:hyperlink>
    </w:p>
    <w:p>
      <w:pPr>
        <w:spacing w:before="0" w:after="120"/>
      </w:pPr>
      <w:r>
        <w:rPr>
          <w:b/>
        </w:rPr>
        <w:t xml:space="preserve">Notes: </w:t>
      </w:r>
      <w:r>
        <w:t>abstract_source=crossref</w:t>
      </w:r>
    </w:p>
    <w:p>
      <w:pPr>
        <w:spacing w:before="0" w:after="80" w:lineRule="auto" w:line="276"/>
      </w:pPr>
      <w:r>
        <w:rPr>
          <w:b/>
        </w:rPr>
        <w:t xml:space="preserve">摘要（ZH）: </w:t>
      </w:r>
      <w:r>
        <w:t>ABSTACT Lithi - 硫电池尽管具有高具体容量、高理论能量密度、环境良性以及低成本相关独有优势,但仍面临严峻的挑战,包括多硫化阻塞、缓慢的再氧化动能和不受控制的锂脱丁酸增长。 在这里,我们提议了一项磁场合作监管战略,通过旋转工程和磁流体动力效应同时优化硫化阴极和锂。 设计了带有纳米体结构的双极FeNi-B(FeNi-B ), 外部磁场触发了三极轨道电子旋转重新布局。 与此同时,通过驱动锂螺旋,实现了离子和无脱氧沉积的统一分布。</w:t>
      </w:r>
    </w:p>
    <w:p>
      <w:pPr>
        <w:spacing w:before="0" w:after="200" w:lineRule="auto" w:line="276"/>
      </w:pPr>
      <w:r>
        <w:rPr>
          <w:b/>
        </w:rPr>
        <w:t xml:space="preserve">Abstract (EN): </w:t>
      </w:r>
      <w:r>
        <w:t>Lithium–sulfur batteries, despite their high specific capacity, high theoretical energy density, environmental benignity, and low cost‐related unique advantages, face critical challenges including polysulfide shuttling, sluggish redox kinetics, and uncontrolled lithium dendrite growth. Here, we propose a magnetic field cooperative regulation strategy that concurrently optimizes both sulfur cathode and lithium via spin engineering and magnetohydrodynamic (MHD) effects. Bilayer‐hollow FeNi boride bipyramids (FeNi─B) with nanoreactor architectures were designed, in which an external magnetic field triggers 3d‐orbital electron spin rearrangement. Simultaneously, the uniform distribution of ions and dendrite‐free deposition were achieved by driving lithium‐ion spiral convection through MHD effects. It is worth noting that the optimized cells exhibit exceptional cycling stability under extreme conditions (−40°C). Density functional theory and multiphysics simulations jointly reveal two mechanisms: Spin‐polarization‐enhanced adsorption energy for sulfur species and lithium protection via Lorentz‐force‐mediated ion transport. This work establishes a novel paradigm for designing magnetic field‐responsive electrocatalysts and manipulating spin‐orbit coupling, offering broad implications for multiphysical‐field strategies in next‐generation batteries.</w:t>
      </w:r>
    </w:p>
    <w:p>
      <w:pPr>
        <w:spacing w:before="120" w:after="120"/>
      </w:pPr>
      <w:r>
        <w:rPr>
          <w:sz w:val="18"/>
        </w:rPr>
        <w:t>——————————————————————————————————————————————————————————————————————</w:t>
      </w:r>
    </w:p>
    <w:p>
      <w:pPr>
        <w:spacing w:before="160" w:after="40" w:line="240" w:lineRule="auto"/>
      </w:pPr>
      <w:r>
        <w:rPr>
          <w:b/>
        </w:rPr>
        <w:t xml:space="preserve">[309] </w:t>
      </w:r>
      <w:hyperlink r:id="rId513">
        <w:r>
          <w:rPr>
            <w:color w:val="1155CC"/>
            <w:u w:val="single"/>
          </w:rPr>
          <w:t>用于可缩放UltraLow-Low-Los 编程光子片的成成像材料变化</w:t>
        </w:r>
      </w:hyperlink>
    </w:p>
    <w:p>
      <w:pPr>
        <w:spacing w:before="0" w:after="80"/>
      </w:pPr>
      <w:r>
        <w:rPr>
          <w:i/>
          <w:sz w:val="20"/>
        </w:rPr>
        <w:t>EN: Elemental Selenium Phase‐Change Material for Scalable Ultra‐Low‐Loss Programmable Photonics</w:t>
      </w:r>
    </w:p>
    <w:p>
      <w:pPr>
        <w:spacing w:before="0" w:after="120"/>
      </w:pPr>
      <w:r>
        <w:rPr>
          <w:b/>
        </w:rPr>
        <w:t xml:space="preserve">Source: </w:t>
      </w:r>
      <w:r>
        <w:t>Wiley: Advanced Materials: Table of Contents</w:t>
      </w:r>
      <w:r>
        <w:t xml:space="preserve">    </w:t>
      </w:r>
      <w:r>
        <w:rPr>
          <w:b/>
        </w:rPr>
        <w:t xml:space="preserve">Pub date: </w:t>
      </w:r>
      <w:r>
        <w:t>2026-02-10 11:48:09+00:00</w:t>
      </w:r>
      <w:r>
        <w:t xml:space="preserve">    </w:t>
      </w:r>
      <w:r>
        <w:rPr>
          <w:b/>
        </w:rPr>
        <w:t xml:space="preserve">DOI: </w:t>
      </w:r>
      <w:hyperlink r:id="rId514">
        <w:r>
          <w:rPr>
            <w:color w:val="1155CC"/>
            <w:u w:val="single"/>
          </w:rPr>
          <w:t>10.1002/adma.202520056</w:t>
        </w:r>
      </w:hyperlink>
    </w:p>
    <w:p>
      <w:pPr>
        <w:spacing w:before="0" w:after="120"/>
      </w:pPr>
      <w:r>
        <w:rPr>
          <w:b/>
        </w:rPr>
        <w:t xml:space="preserve">Notes: </w:t>
      </w:r>
      <w:r>
        <w:t>abstract_source=crossref</w:t>
      </w:r>
    </w:p>
    <w:p>
      <w:pPr>
        <w:spacing w:before="0" w:after="80" w:lineRule="auto" w:line="276"/>
      </w:pPr>
      <w:r>
        <w:rPr>
          <w:b/>
        </w:rPr>
        <w:t xml:space="preserve">摘要（ZH）: </w:t>
      </w:r>
      <w:r>
        <w:t>ABSTACT 卤化物相位变化光子通过非挥发性光源控制,使可重新配置的光谱发生了革命性革命性的变化。虽然低损相位变化材料(PCM)接近零消减系数(k   0)释放了理想的相位唯一调制(k   0),但其成份复杂性的增加阻碍了统一的制造和转换稳定性。在这里,我们引入了一个元素解决方案:瓦法氏度(8英寸)薄膜(Se),实现前所未有的统一,完全接近红外线透明,以及可见范围内的超低损失,同时保持了100万(10-6)无降解的可逆循环。</w:t>
      </w:r>
    </w:p>
    <w:p>
      <w:pPr>
        <w:spacing w:before="0" w:after="200" w:lineRule="auto" w:line="276"/>
      </w:pPr>
      <w:r>
        <w:rPr>
          <w:b/>
        </w:rPr>
        <w:t xml:space="preserve">Abstract (EN): </w:t>
      </w:r>
      <w:r>
        <w:t>Chalcogenide phase‐change photonics has revolutionized reconfigurable optics by enabling nonvolatile light‐matter control. While low‐loss phase‐change materials (PCMs) with near‐zero extinction coefficients (</w:t>
      </w:r>
      <w:r>
        <w:t xml:space="preserve"> </w:t>
      </w:r>
      <w:r>
        <w:t>k</w:t>
      </w:r>
      <w:r>
        <w:t xml:space="preserve"> </w:t>
      </w:r>
      <w:r>
        <w:t>≈ 0) unlock ideal phase‐only modulation, their growing compositional complexity hinders uniform fabrication and switching stability. Here, we introduce an elemental solution: wafer‐scale (8‐inch) selenium (Se) thin films achieving unprecedented uniformity, full near‐infrared transparency, and ultralow losses across the visible range, meanwhile sustaining one million (10</w:t>
      </w:r>
      <w:r>
        <w:rPr>
          <w:vertAlign w:val="subscript"/>
        </w:rPr>
        <w:t>6</w:t>
      </w:r>
      <w:r>
        <w:t>) reversible cycles without degradation. First‐principles calculations reveal that the giant refractive index switching (Δ</w:t>
      </w:r>
      <w:r>
        <w:t xml:space="preserve"> </w:t>
      </w:r>
      <w:r>
        <w:t>n</w:t>
      </w:r>
      <w:r>
        <w:t xml:space="preserve"> </w:t>
      </w:r>
      <w:r>
        <w:t>≈ 0.6) stems from the unique fracture‐reconfiguration dynamics of Se helical chains. Furthermore, we demonstrate a manufacturable, etch‐free platform with laser‐reconfigurable patterns for dynamic image generation and Gaussian‐vortex beam conversion. By harmonizing atomic simplicity with device‐grade scalability, this elemental PCM establishes a new paradigm for high‐performance programmable photonics.</w:t>
      </w:r>
    </w:p>
    <w:p>
      <w:pPr>
        <w:spacing w:before="120" w:after="120"/>
      </w:pPr>
      <w:r>
        <w:rPr>
          <w:sz w:val="18"/>
        </w:rPr>
        <w:t>——————————————————————————————————————————————————————————————————————</w:t>
      </w:r>
    </w:p>
    <w:p>
      <w:pPr>
        <w:spacing w:before="160" w:after="40" w:line="240" w:lineRule="auto"/>
      </w:pPr>
      <w:r>
        <w:rPr>
          <w:b/>
        </w:rPr>
        <w:t xml:space="preserve">[310] </w:t>
      </w:r>
      <w:hyperlink r:id="rId515">
        <w:r>
          <w:rPr>
            <w:color w:val="1155CC"/>
            <w:u w:val="single"/>
          </w:rPr>
          <w:t>太阳动力辐射冷却/热处理高级伤热管理</w:t>
        </w:r>
      </w:hyperlink>
    </w:p>
    <w:p>
      <w:pPr>
        <w:spacing w:before="0" w:after="80"/>
      </w:pPr>
      <w:r>
        <w:rPr>
          <w:i/>
          <w:sz w:val="20"/>
        </w:rPr>
        <w:t>EN: Solar‐Powered Radiation Cooling/Heating for Advanced Thermal Management of Wound</w:t>
      </w:r>
    </w:p>
    <w:p>
      <w:pPr>
        <w:spacing w:before="0" w:after="120"/>
      </w:pPr>
      <w:r>
        <w:rPr>
          <w:b/>
        </w:rPr>
        <w:t xml:space="preserve">Source: </w:t>
      </w:r>
      <w:r>
        <w:t>Wiley: Advanced Materials: Table of Contents</w:t>
      </w:r>
      <w:r>
        <w:t xml:space="preserve">    </w:t>
      </w:r>
      <w:r>
        <w:rPr>
          <w:b/>
        </w:rPr>
        <w:t xml:space="preserve">Pub date: </w:t>
      </w:r>
      <w:r>
        <w:t>2026-02-10 11:51:19+00:00</w:t>
      </w:r>
      <w:r>
        <w:t xml:space="preserve">    </w:t>
      </w:r>
      <w:r>
        <w:rPr>
          <w:b/>
        </w:rPr>
        <w:t xml:space="preserve">DOI: </w:t>
      </w:r>
      <w:hyperlink r:id="rId516">
        <w:r>
          <w:rPr>
            <w:color w:val="1155CC"/>
            <w:u w:val="single"/>
          </w:rPr>
          <w:t>10.1002/adma.202520985</w:t>
        </w:r>
      </w:hyperlink>
    </w:p>
    <w:p>
      <w:pPr>
        <w:spacing w:before="0" w:after="120"/>
      </w:pPr>
      <w:r>
        <w:rPr>
          <w:b/>
        </w:rPr>
        <w:t xml:space="preserve">Notes: </w:t>
      </w:r>
      <w:r>
        <w:t>abstract_source=crossref</w:t>
      </w:r>
    </w:p>
    <w:p>
      <w:pPr>
        <w:spacing w:before="0" w:after="80" w:lineRule="auto" w:line="276"/>
      </w:pPr>
      <w:r>
        <w:rPr>
          <w:b/>
        </w:rPr>
        <w:t xml:space="preserve">摘要（ZH）: </w:t>
      </w:r>
      <w:r>
        <w:t>积极供暖和冷却技术在生物组织再生中广泛使用,但是,由于日益强调环境可持续性,在不增加能源投入的情况下进行热交换越来越受到重视,这一视角审查了温度对创伤愈合的影响,并探讨了被动放射冷却和被动热暖热处理热伤口管理的潜力,强调了这些优势,概述了相关的应用情景,并确定了当前的挑战,目的是为生物医学领域提出新的零能源创伤治疗战略。</w:t>
      </w:r>
    </w:p>
    <w:p>
      <w:pPr>
        <w:spacing w:before="0" w:after="200" w:lineRule="auto" w:line="276"/>
      </w:pPr>
      <w:r>
        <w:rPr>
          <w:b/>
        </w:rPr>
        <w:t xml:space="preserve">Abstract (EN): </w:t>
      </w:r>
      <w:r>
        <w:t>Active heating and cooling techniques are widely used in biological tissue regeneration. However, given the growing emphasis on environmental sustainability, heat exchange without additional energy input is receiving increasing attention. This Perspective examines the influence of temperature on wound healing and explores the potential of passive radiative cooling and passive radiative heating for thermal wound management. The advantages are highlighted, relevant application scenarios outlined, and current challenges identified, with the aim of proposing novel zero‐energy wound treatment strategies for the biomedical field.</w:t>
      </w:r>
    </w:p>
    <w:p>
      <w:pPr>
        <w:spacing w:before="120" w:after="120"/>
      </w:pPr>
      <w:r>
        <w:rPr>
          <w:sz w:val="18"/>
        </w:rPr>
        <w:t>——————————————————————————————————————————————————————————————————————</w:t>
      </w:r>
    </w:p>
    <w:p>
      <w:pPr>
        <w:spacing w:before="160" w:after="40" w:line="240" w:lineRule="auto"/>
      </w:pPr>
      <w:r>
        <w:rPr>
          <w:b/>
        </w:rPr>
        <w:t xml:space="preserve">[311] </w:t>
      </w:r>
      <w:hyperlink r:id="rId517">
        <w:r>
          <w:rPr>
            <w:color w:val="1155CC"/>
            <w:u w:val="single"/>
          </w:rPr>
          <w:t>Membrane Ion 频道交叉点的合成功能和神经化信息处理</w:t>
        </w:r>
      </w:hyperlink>
    </w:p>
    <w:p>
      <w:pPr>
        <w:spacing w:before="0" w:after="80"/>
      </w:pPr>
      <w:r>
        <w:rPr>
          <w:i/>
          <w:sz w:val="20"/>
        </w:rPr>
        <w:t>EN: Synaptic Functionality and Neuromorphic Information Processing in Membrane Ion Channel Junctions</w:t>
      </w:r>
    </w:p>
    <w:p>
      <w:pPr>
        <w:spacing w:before="0" w:after="120"/>
      </w:pPr>
      <w:r>
        <w:rPr>
          <w:b/>
        </w:rPr>
        <w:t xml:space="preserve">Source: </w:t>
      </w:r>
      <w:r>
        <w:t>Wiley: Advanced Materials: Table of Contents</w:t>
      </w:r>
      <w:r>
        <w:t xml:space="preserve">    </w:t>
      </w:r>
      <w:r>
        <w:rPr>
          <w:b/>
        </w:rPr>
        <w:t xml:space="preserve">Pub date: </w:t>
      </w:r>
      <w:r>
        <w:t>2026-02-10 11:54:44+00:00</w:t>
      </w:r>
      <w:r>
        <w:t xml:space="preserve">    </w:t>
      </w:r>
      <w:r>
        <w:rPr>
          <w:b/>
        </w:rPr>
        <w:t xml:space="preserve">DOI: </w:t>
      </w:r>
      <w:hyperlink r:id="rId518">
        <w:r>
          <w:rPr>
            <w:color w:val="1155CC"/>
            <w:u w:val="single"/>
          </w:rPr>
          <w:t>10.1002/adma.202519525</w:t>
        </w:r>
      </w:hyperlink>
    </w:p>
    <w:p>
      <w:pPr>
        <w:spacing w:before="0" w:after="120"/>
      </w:pPr>
      <w:r>
        <w:rPr>
          <w:b/>
        </w:rPr>
        <w:t xml:space="preserve">Notes: </w:t>
      </w:r>
      <w:r>
        <w:t>abstract_source=crossref</w:t>
      </w:r>
    </w:p>
    <w:p>
      <w:pPr>
        <w:spacing w:before="0" w:after="80" w:lineRule="auto" w:line="276"/>
      </w:pPr>
      <w:r>
        <w:rPr>
          <w:b/>
        </w:rPr>
        <w:t xml:space="preserve">摘要（ZH）: </w:t>
      </w:r>
      <w:r>
        <w:t>ABSTACT 人类大脑通过调节离子通过薄膜通道的传输,以高能效的方式,执行复杂的记忆和计算任务。 这些信号机制激励了纳米氟化物医疗器的开发,并效仿了合成行为。在这里,我们描述了由光学A频道连接的水滴组成的膜离子频道突触(MICS ), 实现了神经形态功能。 多指标类集调查显示,通过电压依赖的信道形成和离子传输动态产生的歇斯底里电流-电压行为,中间离子运输。 多指标类集和多指标类集还模仿了一系列合成行为,包括联合学习。 我们还通过手写数字分类,展示其在储油层计算中的应用。</w:t>
      </w:r>
    </w:p>
    <w:p>
      <w:pPr>
        <w:spacing w:before="0" w:after="200" w:lineRule="auto" w:line="276"/>
      </w:pPr>
      <w:r>
        <w:rPr>
          <w:b/>
        </w:rPr>
        <w:t xml:space="preserve">Abstract (EN): </w:t>
      </w:r>
      <w:r>
        <w:t>The human brain performs complex memory and computational tasks with high energy efficiency by regulating ion transport through membrane channels. These signaling mechanisms have been inspiring the development of nanofluidic memristors that emulate synaptic behavior. Here, we describe a membrane ion channel synapse (MICS), constructed from aqueous droplets linked by gramicidin A channels, that achieves neuromorphic functionality. MICS exhibits memristive ion transport with hysteretic current–voltage behavior arising from voltage‐dependent channel formation and ion transport dynamics. MICS emulates a range of synaptic behaviors including associative learning. We further demonstrate its application in reservoir computing by performing handwritten digit classification and tic‐tac‐toe game and explore the system parameters that improve the computational performance. This droplet‐based biomimetic synapse offers a potentially scalable and energy‐efficient platform for next‐generation neuromorphic computing systems.</w:t>
      </w:r>
    </w:p>
    <w:p>
      <w:pPr>
        <w:spacing w:before="120" w:after="120"/>
      </w:pPr>
      <w:r>
        <w:rPr>
          <w:sz w:val="18"/>
        </w:rPr>
        <w:t>——————————————————————————————————————————————————————————————————————</w:t>
      </w:r>
    </w:p>
    <w:p>
      <w:pPr>
        <w:spacing w:before="160" w:after="40" w:line="240" w:lineRule="auto"/>
      </w:pPr>
      <w:r>
        <w:rPr>
          <w:b/>
        </w:rPr>
        <w:t xml:space="preserve">[312] </w:t>
      </w:r>
      <w:hyperlink r:id="rId519">
        <w:r>
          <w:rPr>
            <w:color w:val="1155CC"/>
            <w:u w:val="single"/>
          </w:rPr>
          <w:t>[ASAP] 在带单电金属金属金属-金属键的全封闭的射电激光地对地平面中,方向解解电相向放松和一致性</w:t>
        </w:r>
      </w:hyperlink>
    </w:p>
    <w:p>
      <w:pPr>
        <w:spacing w:before="0" w:after="80"/>
      </w:pPr>
      <w:r>
        <w:rPr>
          <w:i/>
          <w:sz w:val="20"/>
        </w:rPr>
        <w:t>EN: [ASAP] Orientationally Resolved Electron-Spin Relaxation and Coherence in Fullerene-Encapsulated Rare-Earth Dimers with a Single-Electron Metal–Metal Bond</w:t>
      </w:r>
    </w:p>
    <w:p>
      <w:pPr>
        <w:spacing w:before="0" w:after="120"/>
      </w:pPr>
      <w:r>
        <w:rPr>
          <w:b/>
        </w:rPr>
        <w:t xml:space="preserve">Source: </w:t>
      </w:r>
      <w:r>
        <w:t>Journal of the American Chemical Society: Latest Articles (ACS Publications)</w:t>
      </w:r>
      <w:r>
        <w:t xml:space="preserve">    </w:t>
      </w:r>
      <w:r>
        <w:rPr>
          <w:b/>
        </w:rPr>
        <w:t xml:space="preserve">Pub date: </w:t>
      </w:r>
      <w:r>
        <w:t>2026-02-10 12:13:55+00:00</w:t>
      </w:r>
      <w:r>
        <w:t xml:space="preserve">    </w:t>
      </w:r>
      <w:r>
        <w:rPr>
          <w:b/>
        </w:rPr>
        <w:t xml:space="preserve">DOI: </w:t>
      </w:r>
      <w:hyperlink r:id="rId520">
        <w:r>
          <w:rPr>
            <w:color w:val="1155CC"/>
            <w:u w:val="single"/>
          </w:rPr>
          <w:t>10.1021/jacs.5c22495</w:t>
        </w:r>
      </w:hyperlink>
    </w:p>
    <w:p>
      <w:pPr>
        <w:spacing w:before="0" w:after="120"/>
      </w:pPr>
      <w:r>
        <w:rPr>
          <w:b/>
        </w:rPr>
        <w:t xml:space="preserve">Notes: </w:t>
      </w:r>
      <w:r>
        <w:t>abstract_source=pubmed</w:t>
      </w:r>
    </w:p>
    <w:p>
      <w:pPr>
        <w:spacing w:before="0" w:after="80" w:lineRule="auto" w:line="276"/>
      </w:pPr>
      <w:r>
        <w:rPr>
          <w:b/>
        </w:rPr>
        <w:t xml:space="preserve">摘要（ZH）: </w:t>
      </w:r>
      <w:r>
        <w:t>使用单电子金属金属金属-金属链的稀土硬币具有很强的超硬度,金属原子与无等价电的交换相互作用,碳笼内稳定的碳笼为量子信息处理和感测的应用提供了可能性,但需要调查其异常的旋转状态和动态。在这里,我们向M25+硬币提交了一份系统的EPR研究,其构成从Y2(S=1/2)到YGd(S=4)到Gd2(S=15/2)不等。高频W波段 EPR光谱分析促进了对不同分子方向和T1亚素谱的分析,并允许个人解析---mS+1在高斯潘Gd Tnortallofullenes的转变。关于Y2@C80(CH2Ph),我们展示了更充分的理解。</w:t>
      </w:r>
    </w:p>
    <w:p>
      <w:pPr>
        <w:spacing w:before="0" w:after="200" w:lineRule="auto" w:line="276"/>
      </w:pPr>
      <w:r>
        <w:rPr>
          <w:b/>
        </w:rPr>
        <w:t xml:space="preserve">Abstract (EN): </w:t>
      </w:r>
      <w:r>
        <w:t>Rare-earth dimers with single-electron metal-metal bonds feature strong hyperfine and exchange interactions between metal atoms and an unpaired valence electron. Their stabilization inside carbon cages opens the possibility for applications in quantum information processing and sensing but requires investigation of their unusual spin states and dynamics. Herein, we present a systematic EPR study of dimetallofullerenes M2@C80(CH2Ph) with M25+ dimers, whose composition varied from Y2 (S = 1/2) through YGd (S = 4) to Gd2 (S = 15/2). High-field W-band EPR spectroscopy facilitated the analysis of different molecular orientations and T1 anisotropy and allowed resolution of individual |mS⟩ → |mS + 1⟩ transitions in high-spin Gd dimetallofullerenes. For Y2@C80(CH2Ph), we demonstrated that fullerene isomerism strongly influences the molecular and spin dynamics of metal dimers. The pronounced difference in spin-lattice relaxation times T1 was found for the Ih and D5h cage isomers and rationalized by Raman spectroscopic study and calculations of spin-phonon couplings. Lateral metal modes, which play the main role in the spin-lattice relaxation of endohedral metallofullerenes, were found at higher frequencies in the D5h isomer, in line with its longer T1. The orientational dependence of spin decoherence was ascribed to the rotational motion of the Y2@C80(CH2Ph) molecules in glassy toluene. Substitution of Y with Gd accelerated spin-lattice relaxation and decoherence. A similar T1 and phase-memory relaxation time (Tm) of YGd@C80(CH2Ph) and Gd2@C80(CH2Ph) proved that the effect does not scale with the number of Gd atoms. While the Rabi frequency is constant across the whole spectrum in Y2@C80(CH2Ph), YGd@C80(CH2Ph) and Gd2@C80(CH2Ph) exhibit variations in the Rabi frequencies for their |mS⟩ → |mS + 1⟩ transitions.</w:t>
      </w:r>
    </w:p>
    <w:p>
      <w:pPr>
        <w:spacing w:before="120" w:after="120"/>
      </w:pPr>
      <w:r>
        <w:rPr>
          <w:sz w:val="18"/>
        </w:rPr>
        <w:t>——————————————————————————————————————————————————————————————————————</w:t>
      </w:r>
    </w:p>
    <w:p>
      <w:pPr>
        <w:spacing w:before="160" w:after="40" w:line="240" w:lineRule="auto"/>
      </w:pPr>
      <w:r>
        <w:rPr>
          <w:b/>
        </w:rPr>
        <w:t xml:space="preserve">[313] </w:t>
      </w:r>
      <w:hyperlink r:id="rId521">
        <w:r>
          <w:rPr>
            <w:color w:val="1155CC"/>
            <w:u w:val="single"/>
          </w:rPr>
          <w:t>[ASAP] 高能抗生素固态锂-基于静电 -- -- 核循环协同的硫电池</w:t>
        </w:r>
      </w:hyperlink>
    </w:p>
    <w:p>
      <w:pPr>
        <w:spacing w:before="0" w:after="80"/>
      </w:pPr>
      <w:r>
        <w:rPr>
          <w:i/>
          <w:sz w:val="20"/>
        </w:rPr>
        <w:t>EN: [ASAP] High-Energy Quasi-Solid-State Lithium–Sulfur Batteries Based on Electrostatic–Nucleophilic Synergy</w:t>
      </w:r>
    </w:p>
    <w:p>
      <w:pPr>
        <w:spacing w:before="0" w:after="120"/>
      </w:pPr>
      <w:r>
        <w:rPr>
          <w:b/>
        </w:rPr>
        <w:t xml:space="preserve">Source: </w:t>
      </w:r>
      <w:r>
        <w:t>ACS Energy Letters: Latest Articles (ACS Publications)</w:t>
      </w:r>
      <w:r>
        <w:t xml:space="preserve">    </w:t>
      </w:r>
      <w:r>
        <w:rPr>
          <w:b/>
        </w:rPr>
        <w:t xml:space="preserve">Pub date: </w:t>
      </w:r>
      <w:r>
        <w:t>2026-02-10 12:23:24+00:00</w:t>
      </w:r>
      <w:r>
        <w:t xml:space="preserve">    </w:t>
      </w:r>
      <w:r>
        <w:rPr>
          <w:b/>
        </w:rPr>
        <w:t xml:space="preserve">DOI: </w:t>
      </w:r>
      <w:hyperlink r:id="rId522">
        <w:r>
          <w:rPr>
            <w:color w:val="1155CC"/>
            <w:u w:val="single"/>
          </w:rPr>
          <w:t>10.1021/acsenergylett.5c04332</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[314] </w:t>
      </w:r>
      <w:hyperlink r:id="rId523">
        <w:r>
          <w:rPr>
            <w:color w:val="1155CC"/>
            <w:u w:val="single"/>
          </w:rPr>
          <w:t>[ASAP] 长长二氯酸盐是克-多性细菌中抗微生物农药的直接分子目标a</w:t>
        </w:r>
      </w:hyperlink>
    </w:p>
    <w:p>
      <w:pPr>
        <w:spacing w:before="0" w:after="80"/>
      </w:pPr>
      <w:r>
        <w:rPr>
          <w:i/>
          <w:sz w:val="20"/>
        </w:rPr>
        <w:t>EN: [ASAP] Wall Teichoic Acids Are Direct Molecular Targets of Antimicrobial Peptides in Gram-Positive Bacteria</w:t>
      </w:r>
    </w:p>
    <w:p>
      <w:pPr>
        <w:spacing w:before="0" w:after="120"/>
      </w:pPr>
      <w:r>
        <w:rPr>
          <w:b/>
        </w:rPr>
        <w:t xml:space="preserve">Source: </w:t>
      </w:r>
      <w:r>
        <w:t>Journal of the American Chemical Society: Latest Articles (ACS Publications)</w:t>
      </w:r>
      <w:r>
        <w:t xml:space="preserve">    </w:t>
      </w:r>
      <w:r>
        <w:rPr>
          <w:b/>
        </w:rPr>
        <w:t xml:space="preserve">Pub date: </w:t>
      </w:r>
      <w:r>
        <w:t>2026-02-10 12:53:46+00:00</w:t>
      </w:r>
      <w:r>
        <w:t xml:space="preserve">    </w:t>
      </w:r>
      <w:r>
        <w:rPr>
          <w:b/>
        </w:rPr>
        <w:t xml:space="preserve">DOI: </w:t>
      </w:r>
      <w:hyperlink r:id="rId524">
        <w:r>
          <w:rPr>
            <w:color w:val="1155CC"/>
            <w:u w:val="single"/>
          </w:rPr>
          <w:t>10.1021/jacs.5c18971</w:t>
        </w:r>
      </w:hyperlink>
    </w:p>
    <w:p>
      <w:pPr>
        <w:spacing w:before="0" w:after="120"/>
      </w:pPr>
      <w:r>
        <w:rPr>
          <w:b/>
        </w:rPr>
        <w:t xml:space="preserve">Notes: </w:t>
      </w:r>
      <w:r>
        <w:t>abstract_source=pubmed</w:t>
      </w:r>
    </w:p>
    <w:p>
      <w:pPr>
        <w:spacing w:before="0" w:after="80" w:lineRule="auto" w:line="276"/>
      </w:pPr>
      <w:r>
        <w:rPr>
          <w:b/>
        </w:rPr>
        <w:t xml:space="preserve">摘要（ZH）: </w:t>
      </w:r>
      <w:r>
        <w:t>长期以来,人们认识到,液态抗微生物浸泡剂(AMPs)具有破坏细菌膜的能力,但它们与其他细胞囊囊肿成分的相互作用仍然不易理解,而这种知识对于将AMPs重新设计为下一代抗生素或根据菌株特定活动对之进行定制至关重要。这里我们用固态和溶液NMR显示,cationic AMPs直接与模范细菌细胞壁壁壁壁壁壁壁壁的二乙酸聚合物(WTAs)有关。三种具有代表性的氨膜扰动模型通过不同模式,表现出与WTA磷酸类不同联。净化的WTA的溶液NMR进一步揭示了ptide聚合物的相互作用以及负责识别的残留物。这些发现扩大了AMP的经典观点。</w:t>
      </w:r>
    </w:p>
    <w:p>
      <w:pPr>
        <w:spacing w:before="0" w:after="200" w:lineRule="auto" w:line="276"/>
      </w:pPr>
      <w:r>
        <w:rPr>
          <w:b/>
        </w:rPr>
        <w:t xml:space="preserve">Abstract (EN): </w:t>
      </w:r>
      <w:r>
        <w:t>Lytic antimicrobial peptides (AMPs) are long recognized for their ability to disrupt bacterial membranes, yet their interactions with other cell-envelope components remain poorly understood. Such knowledge is essential for redesigning AMPs as next-generation antibiotics or tailoring them for strain-specific activity. Here we show, using solid-state and solution NMR, that cationic AMPs engage directly with wall teichoic acids (WTAs)─anionic polymers in the Gram-positive bacteria cell wall. Three representative AMPs acting through different mode of membrane disruption display distinct binding to WTA phosphate groups. Solution NMR of purified WTAs further reveals peptide polymer interactions as well as the residues responsible for recognition. These findings broaden the classical view of AMP action beyond membrane permeabilization, highlighting WTAs as key molecular targets and paving the way for the rational design of peptide antibiotics with tailored specificity.</w:t>
      </w:r>
    </w:p>
    <w:p>
      <w:pPr>
        <w:spacing w:before="120" w:after="120"/>
      </w:pPr>
      <w:r>
        <w:rPr>
          <w:sz w:val="18"/>
        </w:rPr>
        <w:t>——————————————————————————————————————————————————————————————————————</w:t>
      </w:r>
    </w:p>
    <w:p>
      <w:pPr>
        <w:spacing w:before="160" w:after="40" w:line="240" w:lineRule="auto"/>
      </w:pPr>
      <w:r>
        <w:rPr>
          <w:b/>
        </w:rPr>
        <w:t xml:space="preserve">[315] </w:t>
      </w:r>
      <w:hyperlink r:id="rId525">
        <w:r>
          <w:rPr>
            <w:color w:val="1155CC"/>
            <w:u w:val="single"/>
          </w:rPr>
          <w:t>[ASAP] 将Ullmann同质结合扩大至交叉结合:</w:t>
        </w:r>
      </w:hyperlink>
    </w:p>
    <w:p>
      <w:pPr>
        <w:spacing w:before="0" w:after="80"/>
      </w:pPr>
      <w:r>
        <w:rPr>
          <w:i/>
          <w:sz w:val="20"/>
        </w:rPr>
        <w:t>EN: [ASAP] Expanding Ullmann Homocoupling to Cross-Coupling: Electrochemical Copper-Catalyzed Cross-Electrophile Coupling of Alkyl and Aryl Halides</w:t>
      </w:r>
    </w:p>
    <w:p>
      <w:pPr>
        <w:spacing w:before="0" w:after="120"/>
      </w:pPr>
      <w:r>
        <w:rPr>
          <w:b/>
        </w:rPr>
        <w:t xml:space="preserve">Source: </w:t>
      </w:r>
      <w:r>
        <w:t>Journal of the American Chemical Society: Latest Articles (ACS Publications)</w:t>
      </w:r>
      <w:r>
        <w:t xml:space="preserve">    </w:t>
      </w:r>
      <w:r>
        <w:rPr>
          <w:b/>
        </w:rPr>
        <w:t xml:space="preserve">Pub date: </w:t>
      </w:r>
      <w:r>
        <w:t>2026-02-10 13:42:58+00:00</w:t>
      </w:r>
      <w:r>
        <w:t xml:space="preserve">    </w:t>
      </w:r>
      <w:r>
        <w:rPr>
          <w:b/>
        </w:rPr>
        <w:t xml:space="preserve">DOI: </w:t>
      </w:r>
      <w:hyperlink r:id="rId526">
        <w:r>
          <w:rPr>
            <w:color w:val="1155CC"/>
            <w:u w:val="single"/>
          </w:rPr>
          <w:t>10.1021/jacs.5c20694</w:t>
        </w:r>
      </w:hyperlink>
    </w:p>
    <w:p>
      <w:pPr>
        <w:spacing w:before="0" w:after="120"/>
      </w:pPr>
      <w:r>
        <w:rPr>
          <w:b/>
        </w:rPr>
        <w:t xml:space="preserve">Notes: </w:t>
      </w:r>
      <w:r>
        <w:t>abstract_source=pubmed</w:t>
      </w:r>
    </w:p>
    <w:p>
      <w:pPr>
        <w:spacing w:before="0" w:after="80" w:lineRule="auto" w:line="276"/>
      </w:pPr>
      <w:r>
        <w:rPr>
          <w:b/>
        </w:rPr>
        <w:t xml:space="preserve">摘要（ZH）: </w:t>
      </w:r>
      <w:r>
        <w:t>C-C债券的建造是有机合成中的关键转变,传统的Ullmann型和Hurtley公司在建造C(sp3)-C(sp2)-C(sp2)债券时的反应依赖于有机金属金属试剂或带有活性甲基元件的基质,这些要求大大限制了其实际适用性。我们在此报告使用两种现成的有机卤化物,我们报告一种电离和电化学铜催化的跨子营养化联结。虽然C-C债券建造中报告的第一批金属是C-C型和Hurtley公司,但目前由Ni公司主导跨慢营养联结。这项工作表明,电子化学碳的分离可以实现高效的跨子营养联结。我们的协议适用于多种丙基溴和(乙基)碘化物或溴。</w:t>
      </w:r>
    </w:p>
    <w:p>
      <w:pPr>
        <w:spacing w:before="0" w:after="200" w:lineRule="auto" w:line="276"/>
      </w:pPr>
      <w:r>
        <w:rPr>
          <w:b/>
        </w:rPr>
        <w:t xml:space="preserve">Abstract (EN): </w:t>
      </w:r>
      <w:r>
        <w:t>The construction of C-C bonds is a pivotal transformation in organic synthesis. Traditional Ullmann type and Hurtley reactions for constructing C(sp3)-C(sp2) bonds rely on organometallic reagents or substrates with active methylene units. These requirements significantly limit their practical applicability. Herein, employing two readily available organic halides, we report a ligand-enabled, electrochemical copper-catalyzed cross-electrophile coupling. Although Cu is the first metal reported for C-C bond construction, cross-electrophile coupling nowadays is dominated by Ni. This work demonstrates that efficient cross-electrophile coupling can be realized by electrochemical Cu catalysis. Our protocol is applicable to a wide range of propargyl bromides and (hetero)aryl iodides or bromides, delivering the desired products in good yields with high cross-selectivity. The use of an orthodimethylamine-substituted diamine ligand is crucial for promoting the reaction and suppressing cathodic Cu deposition. We attribute this effect to an intramolecular H···N H-bonding, which facilitates hyperconjugation between the NMe2 moiety and the nitrogen atom coordinated to the Cu center. Mechanistic studies indicate that the reaction follows a radical pathway, contrasting with the SN2 pathway reported previously. This work establishes a foundation for electrochemical Cu-catalyzed cross-electrophile coupling and provides a new paradigm for Cu-catalyzed C-C bond formation via radical intermediates.</w:t>
      </w:r>
    </w:p>
    <w:p>
      <w:pPr>
        <w:spacing w:before="120" w:after="120"/>
      </w:pPr>
      <w:r>
        <w:rPr>
          <w:sz w:val="18"/>
        </w:rPr>
        <w:t>——————————————————————————————————————————————————————————————————————</w:t>
      </w:r>
    </w:p>
    <w:p>
      <w:pPr>
        <w:spacing w:before="160" w:after="40" w:line="240" w:lineRule="auto"/>
      </w:pPr>
      <w:r>
        <w:rPr>
          <w:b/>
        </w:rPr>
        <w:t xml:space="preserve">[316] </w:t>
      </w:r>
      <w:hyperlink r:id="rId527">
        <w:r>
          <w:rPr>
            <w:color w:val="1155CC"/>
            <w:u w:val="single"/>
          </w:rPr>
          <w:t>[ASAP] 与Alkynes和Alkenylboronic Esters合体的超速苯化二苯乙烯酯</w:t>
        </w:r>
      </w:hyperlink>
    </w:p>
    <w:p>
      <w:pPr>
        <w:spacing w:before="0" w:after="80"/>
      </w:pPr>
      <w:r>
        <w:rPr>
          <w:i/>
          <w:sz w:val="20"/>
        </w:rPr>
        <w:t>EN: [ASAP] Copper-Catalyzed Enantioconvergent Radical Deborylative Coupling of Racemic Benzylboronic Esters with Alkynes and Alkenylboronic Esters</w:t>
      </w:r>
    </w:p>
    <w:p>
      <w:pPr>
        <w:spacing w:before="0" w:after="120"/>
      </w:pPr>
      <w:r>
        <w:rPr>
          <w:b/>
        </w:rPr>
        <w:t xml:space="preserve">Source: </w:t>
      </w:r>
      <w:r>
        <w:t>Journal of the American Chemical Society: Latest Articles (ACS Publications)</w:t>
      </w:r>
      <w:r>
        <w:t xml:space="preserve">    </w:t>
      </w:r>
      <w:r>
        <w:rPr>
          <w:b/>
        </w:rPr>
        <w:t xml:space="preserve">Pub date: </w:t>
      </w:r>
      <w:r>
        <w:t>2026-02-10 13:59:43+00:00</w:t>
      </w:r>
      <w:r>
        <w:t xml:space="preserve">    </w:t>
      </w:r>
      <w:r>
        <w:rPr>
          <w:b/>
        </w:rPr>
        <w:t xml:space="preserve">DOI: </w:t>
      </w:r>
      <w:hyperlink r:id="rId528">
        <w:r>
          <w:rPr>
            <w:color w:val="1155CC"/>
            <w:u w:val="single"/>
          </w:rPr>
          <w:t>10.1021/jacs.5c21668</w:t>
        </w:r>
      </w:hyperlink>
    </w:p>
    <w:p>
      <w:pPr>
        <w:spacing w:before="0" w:after="120"/>
      </w:pPr>
      <w:r>
        <w:rPr>
          <w:b/>
        </w:rPr>
        <w:t xml:space="preserve">Notes: </w:t>
      </w:r>
      <w:r>
        <w:t>abstract_source=pubmed</w:t>
      </w:r>
    </w:p>
    <w:p>
      <w:pPr>
        <w:spacing w:before="0" w:after="80" w:lineRule="auto" w:line="276"/>
      </w:pPr>
      <w:r>
        <w:rPr>
          <w:b/>
        </w:rPr>
        <w:t xml:space="preserve">摘要（ZH）: </w:t>
      </w:r>
      <w:r>
        <w:t>具有挑战性,因为典型的双电子转基因变异与立体保持同步,阻碍对等相异脱氧变异。我们在此报告一项激进战略,使苯球变异的C(sp3)-C(sp)能够与正丙烷结合。该战略的成功取决于两个关键要素:激进复式抽象化通过产生正丙基而使抗异异变成为抗异变;铜/立体多立体N、N、N、P-直立催化剂促进理想的丙型。</w:t>
      </w:r>
    </w:p>
    <w:p>
      <w:pPr>
        <w:spacing w:before="0" w:after="200" w:lineRule="auto" w:line="276"/>
      </w:pPr>
      <w:r>
        <w:rPr>
          <w:b/>
        </w:rPr>
        <w:t xml:space="preserve">Abstract (EN): </w:t>
      </w:r>
      <w:r>
        <w:t>Transition metal-catalyzed enantioconvergent deborylative C-C coupling of racemic alkylboronic esters represents a powerful tool to construct chiral C-C bonds given their availability, stability, and functional group tolerance. However, it is challenging, as the classic two-electron transmetalation occurs concertedly with stereoretention, hindering the enantioconvergent deborylative transformations. Herein, we report a radical strategy that enables the copper-catalyzed enantioconvergent deborylative C(sp3)-C(sp) coupling of benzylboronic esters with alkynes. The success of this strategy relies on two key elements: radical boron abstraction enables the enantioconvergent transformation by generating a prochiral radical; copper/chiral multidentate N,N,P-ligand catalyst promotes the desired pathways, ensuring chemo- and enantioselectivity. The strategy is orthogonal to the halide-based coupling, tolerating electron-rich aromatic rings, proceeding rapidly, and requiring low catalyst loading. We further demonstrate the generality by extending it to an enantioconvergent deborylative C(sp3)-C(sp2) coupling with alkenylboronic esters.</w:t>
      </w:r>
    </w:p>
    <w:p>
      <w:pPr>
        <w:spacing w:before="120" w:after="120"/>
      </w:pPr>
      <w:r>
        <w:rPr>
          <w:sz w:val="18"/>
        </w:rPr>
        <w:t>——————————————————————————————————————————————————————————————————————</w:t>
      </w:r>
    </w:p>
    <w:p>
      <w:pPr>
        <w:spacing w:before="160" w:after="40" w:line="240" w:lineRule="auto"/>
      </w:pPr>
      <w:r>
        <w:rPr>
          <w:b/>
        </w:rPr>
        <w:t xml:space="preserve">[317] </w:t>
      </w:r>
      <w:hyperlink r:id="rId529">
        <w:r>
          <w:rPr>
            <w:color w:val="1155CC"/>
            <w:u w:val="single"/>
          </w:rPr>
          <w:t>[ASAP]在Situ Heterochiral Helix 相交的触发双边分子进化</w:t>
        </w:r>
      </w:hyperlink>
    </w:p>
    <w:p>
      <w:pPr>
        <w:spacing w:before="0" w:after="80"/>
      </w:pPr>
      <w:r>
        <w:rPr>
          <w:i/>
          <w:sz w:val="20"/>
        </w:rPr>
        <w:t>EN: [ASAP] In Situ Heterochiral Helix Coupling Triggered Supramolecular Evolution</w:t>
      </w:r>
    </w:p>
    <w:p>
      <w:pPr>
        <w:spacing w:before="0" w:after="120"/>
      </w:pPr>
      <w:r>
        <w:rPr>
          <w:b/>
        </w:rPr>
        <w:t xml:space="preserve">Source: </w:t>
      </w:r>
      <w:r>
        <w:t>Journal of the American Chemical Society: Latest Articles (ACS Publications)</w:t>
      </w:r>
      <w:r>
        <w:t xml:space="preserve">    </w:t>
      </w:r>
      <w:r>
        <w:rPr>
          <w:b/>
        </w:rPr>
        <w:t xml:space="preserve">Pub date: </w:t>
      </w:r>
      <w:r>
        <w:t>2026-02-10 14:54:59+00:00</w:t>
      </w:r>
      <w:r>
        <w:t xml:space="preserve">    </w:t>
      </w:r>
      <w:r>
        <w:rPr>
          <w:b/>
        </w:rPr>
        <w:t xml:space="preserve">DOI: </w:t>
      </w:r>
      <w:hyperlink r:id="rId530">
        <w:r>
          <w:rPr>
            <w:color w:val="1155CC"/>
            <w:u w:val="single"/>
          </w:rPr>
          <w:t>10.1021/jacs.5c18564</w:t>
        </w:r>
      </w:hyperlink>
    </w:p>
    <w:p>
      <w:pPr>
        <w:spacing w:before="0" w:after="120"/>
      </w:pPr>
      <w:r>
        <w:rPr>
          <w:b/>
        </w:rPr>
        <w:t xml:space="preserve">Notes: </w:t>
      </w:r>
      <w:r>
        <w:t>abstract_source=openalex</w:t>
      </w:r>
    </w:p>
    <w:p>
      <w:pPr>
        <w:spacing w:before="0" w:after="80" w:lineRule="auto" w:line="276"/>
      </w:pPr>
      <w:r>
        <w:rPr>
          <w:b/>
        </w:rPr>
        <w:t xml:space="preserve">摘要（ZH）: </w:t>
      </w:r>
      <w:r>
        <w:t>在现场精确地匹配手工艺结构(例如,在蛋白质的二级结构之间配对的立体补充配对)对于指导生物结构的演变至关重要。迄今为止,通过自我组合,实现了静态地构造各种立体选择性对(单极同质或异异丙肝体阵列、同质双/三重相向等),然而,动态地掌握与直接结构演变的螺旋结合仍然极具挑战性,因为复杂的手艺转移和配对的复杂程度增加。在此,我们引入立体化学战略(种族化或美化的混合性)来控制异丙基螺旋(&lt;i&gt;P &lt;/i&gt;和 &lt;i&gt;M &lt;i&gt;/i&gt;)。</w:t>
      </w:r>
    </w:p>
    <w:p>
      <w:pPr>
        <w:spacing w:before="0" w:after="200" w:lineRule="auto" w:line="276"/>
      </w:pPr>
      <w:r>
        <w:rPr>
          <w:b/>
        </w:rPr>
        <w:t xml:space="preserve">Abstract (EN): </w:t>
      </w:r>
      <w:r>
        <w:t>In situ precise matching of chiral structures (e.g., stereocomplementary pairs between secondary structures of proteins) is essential for directing the evolution of biostructures. To date, static construction of diverse stereoselective pairs (parallel homochiral or heterochiral helical array, homochiral double/triple helices, etc.) is realized by self-assembly. However, dynamically mastering helix coupling to direct structure evolution remains highly challenging due to the increased complexity of intricate chirality transfer and matching. Herein, we introduce stereochemical strategies (homochirality to racemization or mesomerization) to control heterochiral helix (&lt;i&gt;P&lt;/i&gt; and &lt;i&gt;M&lt;/i&gt;) coupling for evolving primary nanofibers into superstructures. A homochiral system is confined to initial nanofibers without evolution for over one year. In contrast, the racemization and mesomerization strategies can trigger evolution from nanofibers to superstructures after 7 h or 12 months, respectively, which are both driven by in situ generating heterochiral &lt;i&gt;P&lt;/i&gt;-&lt;i&gt;M&lt;/i&gt; helix coupling through the spatially matched hydrogen bonds. In a meso-system, the chiral transfer follows a strict unidirectional pathway: l-chiral terminals exclusively lead to &lt;i&gt;M&lt;/i&gt;-helicity and D-terminals form &lt;i&gt;P&lt;/i&gt;-helicity. However, L-fragments in a racemic system can assemble into both &lt;i&gt;M&lt;/i&gt; and &lt;i&gt;P&lt;/i&gt; helices through an additional conformational transformation facilitated by CH···π interactions between heterochiral fragments, revealing a rare bifurcated chirality transfer mechanism. Obviously, homochiral systems cannot achieve such helix coupling due to a lack of heterochiral interaction. This strategy thus opens a stereochemistry-controlled avenue to the in situ control of helical pairs for structural evolution.</w:t>
      </w:r>
    </w:p>
    <w:p>
      <w:pPr>
        <w:spacing w:before="120" w:after="120"/>
      </w:pPr>
      <w:r>
        <w:rPr>
          <w:sz w:val="18"/>
        </w:rPr>
        <w:t>——————————————————————————————————————————————————————————————————————</w:t>
      </w:r>
    </w:p>
    <w:p>
      <w:pPr>
        <w:spacing w:before="160" w:after="40" w:line="240" w:lineRule="auto"/>
      </w:pPr>
      <w:r>
        <w:rPr>
          <w:b/>
        </w:rPr>
        <w:t xml:space="preserve">[318] </w:t>
      </w:r>
      <w:hyperlink r:id="rId531">
        <w:r>
          <w:rPr>
            <w:color w:val="1155CC"/>
            <w:u w:val="single"/>
          </w:rPr>
          <w:t>[ASAP] 机械透视技术进入带有碳碳酸碳酸碳化电解添加剂的水用锌-碘电池的硬铁生长</w:t>
        </w:r>
      </w:hyperlink>
    </w:p>
    <w:p>
      <w:pPr>
        <w:spacing w:before="0" w:after="80"/>
      </w:pPr>
      <w:r>
        <w:rPr>
          <w:i/>
          <w:sz w:val="20"/>
        </w:rPr>
        <w:t>EN: [ASAP] Mechanistic Insights into Dendrite Growth in Aqueous Zinc-Ion Batteries with Trace Propylene Carbonate Electrolyte Additive</w:t>
      </w:r>
    </w:p>
    <w:p>
      <w:pPr>
        <w:spacing w:before="0" w:after="120"/>
      </w:pPr>
      <w:r>
        <w:rPr>
          <w:b/>
        </w:rPr>
        <w:t xml:space="preserve">Source: </w:t>
      </w:r>
      <w:r>
        <w:t>ACS Energy Letters: Latest Articles (ACS Publications)</w:t>
      </w:r>
      <w:r>
        <w:t xml:space="preserve">    </w:t>
      </w:r>
      <w:r>
        <w:rPr>
          <w:b/>
        </w:rPr>
        <w:t xml:space="preserve">Pub date: </w:t>
      </w:r>
      <w:r>
        <w:t>2026-02-10 14:57:39+00:00</w:t>
      </w:r>
      <w:r>
        <w:t xml:space="preserve">    </w:t>
      </w:r>
      <w:r>
        <w:rPr>
          <w:b/>
        </w:rPr>
        <w:t xml:space="preserve">DOI: </w:t>
      </w:r>
      <w:hyperlink r:id="rId532">
        <w:r>
          <w:rPr>
            <w:color w:val="1155CC"/>
            <w:u w:val="single"/>
          </w:rPr>
          <w:t>10.1021/acsenergylett.5c04147</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[319] </w:t>
      </w:r>
      <w:hyperlink r:id="rId533">
        <w:r>
          <w:rPr>
            <w:color w:val="1155CC"/>
            <w:u w:val="single"/>
          </w:rPr>
          <w:t>[ASAP] COZr2H3.49的微弱 -- -- 主动 -- -- 火磁阶段的负负热膨胀</w:t>
        </w:r>
      </w:hyperlink>
    </w:p>
    <w:p>
      <w:pPr>
        <w:spacing w:before="0" w:after="80"/>
      </w:pPr>
      <w:r>
        <w:rPr>
          <w:i/>
          <w:sz w:val="20"/>
        </w:rPr>
        <w:t>EN: [ASAP] Uniaxial Negative Thermal Expansion in a Weak-Itinerant-Ferromagnetic Phase of CoZr2H3.49</w:t>
      </w:r>
    </w:p>
    <w:p>
      <w:pPr>
        <w:spacing w:before="0" w:after="120"/>
      </w:pPr>
      <w:r>
        <w:rPr>
          <w:b/>
        </w:rPr>
        <w:t xml:space="preserve">Source: </w:t>
      </w:r>
      <w:r>
        <w:t>Journal of the American Chemical Society: Latest Articles (ACS Publications)</w:t>
      </w:r>
      <w:r>
        <w:t xml:space="preserve">    </w:t>
      </w:r>
      <w:r>
        <w:rPr>
          <w:b/>
        </w:rPr>
        <w:t xml:space="preserve">Pub date: </w:t>
      </w:r>
      <w:r>
        <w:t>2026-02-10 15:02:39+00:00</w:t>
      </w:r>
      <w:r>
        <w:t xml:space="preserve">    </w:t>
      </w:r>
      <w:r>
        <w:rPr>
          <w:b/>
        </w:rPr>
        <w:t xml:space="preserve">DOI: </w:t>
      </w:r>
      <w:hyperlink r:id="rId534">
        <w:r>
          <w:rPr>
            <w:color w:val="1155CC"/>
            <w:u w:val="single"/>
          </w:rPr>
          <w:t>10.1021/jacs.5c22412</w:t>
        </w:r>
      </w:hyperlink>
    </w:p>
    <w:p>
      <w:pPr>
        <w:spacing w:before="0" w:after="120"/>
      </w:pPr>
      <w:r>
        <w:rPr>
          <w:b/>
        </w:rPr>
        <w:t xml:space="preserve">Notes: </w:t>
      </w:r>
      <w:r>
        <w:t>abstract_source=pubmed</w:t>
      </w:r>
    </w:p>
    <w:p>
      <w:pPr>
        <w:spacing w:before="0" w:after="80" w:lineRule="auto" w:line="276"/>
      </w:pPr>
      <w:r>
        <w:rPr>
          <w:b/>
        </w:rPr>
        <w:t xml:space="preserve">摘要（ZH）: </w:t>
      </w:r>
      <w:r>
        <w:t>我们报告说,观测到的单轴负热膨胀(NTE)完全出现在氢化CoZr2H3.49.粉末同步器X射线分解的微弱-活性极地磁阶段(NTE),发现Curie温度下加热(TC=139K)时,轴轴合力合同,而轴合力显示正热膨胀。磁化测量与Arrott地块分析相结合,得出了Rhodes-Wohlfarth比率为3.49,确定了铁磁体的循环性质。在CoZr2H3.49中观察到的单轴NTE明显与CoZr2超导体中光柱驱动型反射热膨胀形成反差,这表明氢插入转换器转换了电子结构和非氧化NTE的装置。</w:t>
      </w:r>
    </w:p>
    <w:p>
      <w:pPr>
        <w:spacing w:before="0" w:after="200" w:lineRule="auto" w:line="276"/>
      </w:pPr>
      <w:r>
        <w:rPr>
          <w:b/>
        </w:rPr>
        <w:t xml:space="preserve">Abstract (EN): </w:t>
      </w:r>
      <w:r>
        <w:t>We report an observation of uniaxial negative thermal expansion (NTE) that emerges exclusively in the weak-itinerant-ferromagnetic phase of hydrogenated CoZr2H3.49. Powder synchrotron X-ray diffraction revealed that the c-axis contracts upon heating below the Curie temperature (TC = 139 K), whereas the a-axis shows a positive thermal expansion. Magnetization measurements combined with Arrott plot analyses yielded a Rhodes-Wohlfarth ratio of 3.49, establishing the itinerant nature of the ferromagnetism. The observed uniaxial NTE in CoZr2H3.49 clearly contrasts with the phonon-driven type anomalous thermal expansion in CoZr2 superconductors, which demonstrates that hydrogen insertion switches both the electronic structure and the mechanisms of the uniaxial NTE. The uniaxial NTE is likely associated with an enhanced sharpening of the antibonding Co3dz2 density of states, which favors the expansion of the one-dimensional Co-Co chain along the c-axis as the temperature decreases in the ferromagnetic state. These results establish the CoZr2Hx system as a platform for investigating the interplay among superconductivity, itinerant ferromagnetism, and NTE.</w:t>
      </w:r>
    </w:p>
    <w:p>
      <w:pPr>
        <w:spacing w:before="120" w:after="120"/>
      </w:pPr>
      <w:r>
        <w:rPr>
          <w:sz w:val="18"/>
        </w:rPr>
        <w:t>——————————————————————————————————————————————————————————————————————</w:t>
      </w:r>
    </w:p>
    <w:p>
      <w:pPr>
        <w:spacing w:before="160" w:after="40" w:line="240" w:lineRule="auto"/>
      </w:pPr>
      <w:r>
        <w:rPr>
          <w:b/>
        </w:rPr>
        <w:t xml:space="preserve">[320] </w:t>
      </w:r>
      <w:hyperlink r:id="rId535">
        <w:r>
          <w:rPr>
            <w:color w:val="1155CC"/>
            <w:u w:val="single"/>
          </w:rPr>
          <w:t>[ASAP] 用于确定胆碱酯酶二二硝基蛋白</w:t>
        </w:r>
      </w:hyperlink>
    </w:p>
    <w:p>
      <w:pPr>
        <w:spacing w:before="0" w:after="80"/>
      </w:pPr>
      <w:r>
        <w:rPr>
          <w:i/>
          <w:sz w:val="20"/>
        </w:rPr>
        <w:t>EN: [ASAP] Modular Vinyl Phosphonamidates for Cysteine-Directed Protein Targeting</w:t>
      </w:r>
    </w:p>
    <w:p>
      <w:pPr>
        <w:spacing w:before="0" w:after="120"/>
      </w:pPr>
      <w:r>
        <w:rPr>
          <w:b/>
        </w:rPr>
        <w:t xml:space="preserve">Source: </w:t>
      </w:r>
      <w:r>
        <w:t>Journal of the American Chemical Society: Latest Articles (ACS Publications)</w:t>
      </w:r>
      <w:r>
        <w:t xml:space="preserve">    </w:t>
      </w:r>
      <w:r>
        <w:rPr>
          <w:b/>
        </w:rPr>
        <w:t xml:space="preserve">Pub date: </w:t>
      </w:r>
      <w:r>
        <w:t>2026-02-10 15:03:26+00:00</w:t>
      </w:r>
      <w:r>
        <w:t xml:space="preserve">    </w:t>
      </w:r>
      <w:r>
        <w:rPr>
          <w:b/>
        </w:rPr>
        <w:t xml:space="preserve">DOI: </w:t>
      </w:r>
      <w:hyperlink r:id="rId536">
        <w:r>
          <w:rPr>
            <w:color w:val="1155CC"/>
            <w:u w:val="single"/>
          </w:rPr>
          <w:t>10.1021/jacs.5c22349</w:t>
        </w:r>
      </w:hyperlink>
    </w:p>
    <w:p>
      <w:pPr>
        <w:spacing w:before="0" w:after="120"/>
      </w:pPr>
      <w:r>
        <w:rPr>
          <w:b/>
        </w:rPr>
        <w:t xml:space="preserve">Notes: </w:t>
      </w:r>
      <w:r>
        <w:t>abstract_source=pubmed</w:t>
      </w:r>
    </w:p>
    <w:p>
      <w:pPr>
        <w:spacing w:before="0" w:after="80" w:lineRule="auto" w:line="276"/>
      </w:pPr>
      <w:r>
        <w:rPr>
          <w:b/>
        </w:rPr>
        <w:t xml:space="preserve">摘要（ZH）: </w:t>
      </w:r>
      <w:r>
        <w:t>聚氨酯抑制剂和化学探测器针对固溶的细胞细胞素残留物,已成为药物发现和蛋白质组系的有力工具。在本研究中,我们引进了氯乙烯磷亚胺酸酯(VPAs)作为新型的新型潜潜生细胞细胞细胞电极,并评估其活性、选择性和开发共价抑制剂的潜力。与成熟的氯乙酰胺胺和丙烯二烯二烯二烯电极相比,VPAs对模型硫醇谷丁酮的内在反应力明显较低。此外,VPA衍生的共价碎片在人体细胞解析过程中只表现出非常有限的非特定反应性。我们受这些结果的鼓励,我们开发了经林业发展局批准的共价抑制剂Afatinib和Ibrutinb的功能化衍生物,并评价了它们接触该物质的能力。</w:t>
      </w:r>
    </w:p>
    <w:p>
      <w:pPr>
        <w:spacing w:before="0" w:after="200" w:lineRule="auto" w:line="276"/>
      </w:pPr>
      <w:r>
        <w:rPr>
          <w:b/>
        </w:rPr>
        <w:t xml:space="preserve">Abstract (EN): </w:t>
      </w:r>
      <w:r>
        <w:t>Covalent inhibitors and chemical probes targeting ligandable cysteine residues have emerged as powerful tools for drug discovery and proteomics. In this study, we introduce vinyl phosphonamidates (VPAs) as a novel class of latent cysteine electrophiles and assess their reactivity, selectivity, and potential for developing covalent inhibitors. Compared to well-established chloroacetamide and acrylamide electrophiles, VPAs exhibit a significantly lower intrinsic reactivity toward the model thiol glutathione. Moreover, VPA-derived covalent fragments displayed only very limited nonspecific reactivity in human cell lysate. Encouraged by these results, we developed VPA-functionalized derivatives of the FDA-approved covalent inhibitors Afatinib and Ibrutinib and evaluated their ability to engage the target protein by gel-based and mass spectrometry-based activity-based protein profiling (ABPP). Compared to commonly employed Michael acceptor-based electrophilic groups, VPA-functionalized drug ligands displayed significantly less off-targets while maintaining inhibitor efficiency. Furthermore, we leveraged the modular nature and accessibility of VPAs to develop a bifunctional proteolysis targeting chimera (PROTAC) for targeted protein degradation. The demonstrated selectivity and modularity, as exemplified by the incorporation of various ligands on the phosphorus O-substituent, of the vinyl phosphonamidate group as a cysteine-directed electrophile highlight its ability to expand the chemical space in the development of covalent inhibitors with a favorable proteome-wide reactivity profile.</w:t>
      </w:r>
    </w:p>
    <w:p>
      <w:pPr>
        <w:spacing w:before="120" w:after="120"/>
      </w:pPr>
      <w:r>
        <w:rPr>
          <w:sz w:val="18"/>
        </w:rPr>
        <w:t>——————————————————————————————————————————————————————————————————————</w:t>
      </w:r>
    </w:p>
    <w:p>
      <w:pPr>
        <w:spacing w:before="160" w:after="40" w:line="240" w:lineRule="auto"/>
      </w:pPr>
      <w:r>
        <w:rPr>
          <w:b/>
        </w:rPr>
        <w:t xml:space="preserve">[321] </w:t>
      </w:r>
      <w:hyperlink r:id="rId537">
        <w:r>
          <w:rPr>
            <w:color w:val="1155CC"/>
            <w:u w:val="single"/>
          </w:rPr>
          <w:t>[ASAP] 在半导体接口进行现场选择性排减量激发,促进超长热电传输</w:t>
        </w:r>
      </w:hyperlink>
    </w:p>
    <w:p>
      <w:pPr>
        <w:spacing w:before="0" w:after="80"/>
      </w:pPr>
      <w:r>
        <w:rPr>
          <w:i/>
          <w:sz w:val="20"/>
        </w:rPr>
        <w:t>EN: [ASAP] Site-Selective Excitation of Defects Promotes Ultrafast Hot-Electron Transfer at the Semiconductor Interface</w:t>
      </w:r>
    </w:p>
    <w:p>
      <w:pPr>
        <w:spacing w:before="0" w:after="120"/>
      </w:pPr>
      <w:r>
        <w:rPr>
          <w:b/>
        </w:rPr>
        <w:t xml:space="preserve">Source: </w:t>
      </w:r>
      <w:r>
        <w:t>Journal of the American Chemical Society: Latest Articles (ACS Publications)</w:t>
      </w:r>
      <w:r>
        <w:t xml:space="preserve">    </w:t>
      </w:r>
      <w:r>
        <w:rPr>
          <w:b/>
        </w:rPr>
        <w:t xml:space="preserve">Pub date: </w:t>
      </w:r>
      <w:r>
        <w:t>2026-02-10 16:49:58+00:00</w:t>
      </w:r>
      <w:r>
        <w:t xml:space="preserve">    </w:t>
      </w:r>
      <w:r>
        <w:rPr>
          <w:b/>
        </w:rPr>
        <w:t xml:space="preserve">DOI: </w:t>
      </w:r>
      <w:hyperlink r:id="rId538">
        <w:r>
          <w:rPr>
            <w:color w:val="1155CC"/>
            <w:u w:val="single"/>
          </w:rPr>
          <w:t>10.1021/jacs.5c18179</w:t>
        </w:r>
      </w:hyperlink>
    </w:p>
    <w:p>
      <w:pPr>
        <w:spacing w:before="0" w:after="120"/>
      </w:pPr>
      <w:r>
        <w:rPr>
          <w:b/>
        </w:rPr>
        <w:t xml:space="preserve">Notes: </w:t>
      </w:r>
      <w:r>
        <w:t>abstract_source=pubmed</w:t>
      </w:r>
    </w:p>
    <w:p>
      <w:pPr>
        <w:spacing w:before="0" w:after="80" w:lineRule="auto" w:line="276"/>
      </w:pPr>
      <w:r>
        <w:rPr>
          <w:b/>
        </w:rPr>
        <w:t xml:space="preserve">摘要（ZH）: </w:t>
      </w:r>
      <w:r>
        <w:t>然而,对于光吸收和表面化学反应之间的关键步骤,即光吸收和表面化学反应之间的一个关键步骤,光诱发工程是操纵光催化材料的光吸收和充电捕捉的有效战略,并提高太阳能转换效率,但对于光诱发电荷从这些缺陷转移到表面吸附物种的机制知之甚少。迄今为止,尚未直接检测到半导体光催化剂向吸附分子的热电荷转移。将时间解析光电光电子光谱和第一原则计算相结合,我们展示了超快热电极从TRTIO2到丙酮的超快热电子传输(15 fs),通过丙酮粘附在其中的Ti3+缺陷的选址选择性引用(d-d过渡)。</w:t>
      </w:r>
    </w:p>
    <w:p>
      <w:pPr>
        <w:spacing w:before="0" w:after="200" w:lineRule="auto" w:line="276"/>
      </w:pPr>
      <w:r>
        <w:rPr>
          <w:b/>
        </w:rPr>
        <w:t xml:space="preserve">Abstract (EN): </w:t>
      </w:r>
      <w:r>
        <w:t>Defect engineering is an effective strategy to manipulate light absorption and charge trapping in photocatalytic materials and improve their solar energy conversion efficiency. However, little is known about the mechanism of photoinduced charge transfer from these defects to surface-adsorbed species, a key step linking light absorption and surface chemical reactions. Thus far, hot-charge transfer from semiconductor photocatalysts to adsorbed molecules has not yet been directly detected. Combining time-resolved photoelectron spectroscopy and first-principles calculations, we demonstrate the ultrafast hot-electron transfer (∼15 fs) from rutile TiO2 to acetone through the site-selective excitation (d-d transition) of Ti3+ defects where acetone is adsorbed. The high-lying 3d excited states of the Ti3+ ions (2.5-2.8 eV above the Fermi level) and their hybridization with adsorbate orbitals provide suitable interfacial level alignment and strong electronic coupling, thus promoting hot-electron transfer. Such a defect-mediated process may be a general phenomenon in adsorbate/semiconductor systems for light harvesting.</w:t>
      </w:r>
    </w:p>
    <w:p>
      <w:pPr>
        <w:spacing w:before="120" w:after="120"/>
      </w:pPr>
      <w:r>
        <w:rPr>
          <w:sz w:val="18"/>
        </w:rPr>
        <w:t>——————————————————————————————————————————————————————————————————————</w:t>
      </w:r>
    </w:p>
    <w:p>
      <w:pPr>
        <w:spacing w:before="160" w:after="40" w:line="240" w:lineRule="auto"/>
      </w:pPr>
      <w:r>
        <w:rPr>
          <w:b/>
        </w:rPr>
        <w:t xml:space="preserve">[322] </w:t>
      </w:r>
      <w:hyperlink r:id="rId539">
        <w:r>
          <w:rPr>
            <w:color w:val="1155CC"/>
            <w:u w:val="single"/>
          </w:rPr>
          <w:t>[ASAP] 由聚合母体支持的可再循环的IPN光电催化剂:从可溶性聚合物到核心聚聚虫粉刷碎壳纳米结构</w:t>
        </w:r>
      </w:hyperlink>
    </w:p>
    <w:p>
      <w:pPr>
        <w:spacing w:before="0" w:after="80"/>
      </w:pPr>
      <w:r>
        <w:rPr>
          <w:i/>
          <w:sz w:val="20"/>
        </w:rPr>
        <w:t>EN: [ASAP] Recyclable IPN Photocatalysts Supported by Polymer Matrices: From Soluble Copolymers to Core-Polymer Brush Shell Nanostructures</w:t>
      </w:r>
    </w:p>
    <w:p>
      <w:pPr>
        <w:spacing w:before="0" w:after="120"/>
      </w:pPr>
      <w:r>
        <w:rPr>
          <w:b/>
        </w:rPr>
        <w:t xml:space="preserve">Source: </w:t>
      </w:r>
      <w:r>
        <w:t>Journal of the American Chemical Society: Latest Articles (ACS Publications)</w:t>
      </w:r>
      <w:r>
        <w:t xml:space="preserve">    </w:t>
      </w:r>
      <w:r>
        <w:rPr>
          <w:b/>
        </w:rPr>
        <w:t xml:space="preserve">Pub date: </w:t>
      </w:r>
      <w:r>
        <w:t>2026-02-10 17:52:11+00:00</w:t>
      </w:r>
      <w:r>
        <w:t xml:space="preserve">    </w:t>
      </w:r>
      <w:r>
        <w:rPr>
          <w:b/>
        </w:rPr>
        <w:t xml:space="preserve">DOI: </w:t>
      </w:r>
      <w:hyperlink r:id="rId540">
        <w:r>
          <w:rPr>
            <w:color w:val="1155CC"/>
            <w:u w:val="single"/>
          </w:rPr>
          <w:t>10.1021/jacs.5c22227</w:t>
        </w:r>
      </w:hyperlink>
    </w:p>
    <w:p>
      <w:pPr>
        <w:spacing w:before="0" w:after="120"/>
      </w:pPr>
      <w:r>
        <w:rPr>
          <w:b/>
        </w:rPr>
        <w:t xml:space="preserve">Notes: </w:t>
      </w:r>
      <w:r>
        <w:t>abstract_source=pubmed</w:t>
      </w:r>
    </w:p>
    <w:p>
      <w:pPr>
        <w:spacing w:before="0" w:after="80" w:lineRule="auto" w:line="276"/>
      </w:pPr>
      <w:r>
        <w:rPr>
          <w:b/>
        </w:rPr>
        <w:t xml:space="preserve">摘要（ZH）: </w:t>
      </w:r>
      <w:r>
        <w:t>功能聚合材料最近成为有机光化催化剂(PCs)的有希望的支持,然而,PC设计和聚合物结构对催化性能的影响仍未得到充分探讨。在本研究中,我们提出了一种多用途战略,用于使用带有异眼微离子共聚物(IPN)核心的以小分子为基体的分子激活。这些个人计算机具有热活性延迟荧光作用特性和长期的兴奋状态,尽管它们也存在妨碍其可循环性的内在化学脆弱性。一个IPN衍生物图书馆被合成、定性并融入了可溶性共聚物(通过利用受控的激进聚合)或从惰性硅纳米粒子(NPs)中熔化,以产生PC-载荷。</w:t>
      </w:r>
    </w:p>
    <w:p>
      <w:pPr>
        <w:spacing w:before="0" w:after="200" w:lineRule="auto" w:line="276"/>
      </w:pPr>
      <w:r>
        <w:rPr>
          <w:b/>
        </w:rPr>
        <w:t xml:space="preserve">Abstract (EN): </w:t>
      </w:r>
      <w:r>
        <w:t>Functional polymeric materials have recently emerged as promising supports for organic photocatalysts (PCs), yet the effects of PC design and polymer architecture on catalytic performance remain underexplored. In this study, we present a versatile strategy for small-molecule activation using carbazolyl-dicyanobenzene-based PCs featuring an isophthalonitrile (IPN) core. These PCs feature thermally activated delayed fluorescence (TADF) properties and long-lived excited states, although they also suffer from an intrinsic chemical fragility that hampers their recyclability. A library of IPN derivatives was synthesized, characterized, and integrated into either soluble copolymers (by exploiting controlled radical polymerization) or grafted from inert silica nanoparticles (NPs) to yield PC-loaded spherical polymer brushes. Although soluble copolymers showed catalytic activity comparable to that of free PCs while testing model Povarov-type cycloadditions, PC recovery was only modest and relied on precipitation steps. In contrast, PC-loaded brushes on NPs achieved high yields and enabled efficient catalyst recovery and reuse (≥90%) over multiple cycles. This comparative approach highlights how the nature of the polymeric support, soluble vs. nanostructured, critically influences both catalytic performance and recyclability. More generally, the incorporation of IPN PCs into advanced polymer scaffolds is demonstrated to enhance their applicability, cost-efficiency, and sustainability.</w:t>
      </w:r>
    </w:p>
    <w:p>
      <w:pPr>
        <w:spacing w:before="120" w:after="120"/>
      </w:pPr>
      <w:r>
        <w:rPr>
          <w:sz w:val="18"/>
        </w:rPr>
        <w:t>——————————————————————————————————————————————————————————————————————</w:t>
      </w:r>
    </w:p>
    <w:p>
      <w:pPr>
        <w:spacing w:before="160" w:after="40" w:line="240" w:lineRule="auto"/>
      </w:pPr>
      <w:r>
        <w:rPr>
          <w:b/>
        </w:rPr>
        <w:t xml:space="preserve">[323] </w:t>
      </w:r>
      <w:hyperlink r:id="rId541">
        <w:r>
          <w:rPr>
            <w:color w:val="1155CC"/>
            <w:u w:val="single"/>
          </w:rPr>
          <w:t>[ASAP]</w:t>
        </w:r>
      </w:hyperlink>
    </w:p>
    <w:p>
      <w:pPr>
        <w:spacing w:before="0" w:after="80"/>
      </w:pPr>
      <w:r>
        <w:rPr>
          <w:i/>
          <w:sz w:val="20"/>
        </w:rPr>
        <w:t>EN: [ASAP] Cebulassopins, Antiproliferative Lasso Peptides from a Split Biosynthetic Operon</w:t>
      </w:r>
    </w:p>
    <w:p>
      <w:pPr>
        <w:spacing w:before="0" w:after="120"/>
      </w:pPr>
      <w:r>
        <w:rPr>
          <w:b/>
        </w:rPr>
        <w:t xml:space="preserve">Source: </w:t>
      </w:r>
      <w:r>
        <w:t>Journal of the American Chemical Society: Latest Articles (ACS Publications)</w:t>
      </w:r>
      <w:r>
        <w:t xml:space="preserve">    </w:t>
      </w:r>
      <w:r>
        <w:rPr>
          <w:b/>
        </w:rPr>
        <w:t xml:space="preserve">Pub date: </w:t>
      </w:r>
      <w:r>
        <w:t>2026-02-10 19:01:36+00:00</w:t>
      </w:r>
      <w:r>
        <w:t xml:space="preserve">    </w:t>
      </w:r>
      <w:r>
        <w:rPr>
          <w:b/>
        </w:rPr>
        <w:t xml:space="preserve">DOI: </w:t>
      </w:r>
      <w:hyperlink r:id="rId542">
        <w:r>
          <w:rPr>
            <w:color w:val="1155CC"/>
            <w:u w:val="single"/>
          </w:rPr>
          <w:t>10.1021/jacs.5c14658</w:t>
        </w:r>
      </w:hyperlink>
    </w:p>
    <w:p>
      <w:pPr>
        <w:spacing w:before="0" w:after="120"/>
      </w:pPr>
      <w:r>
        <w:rPr>
          <w:b/>
        </w:rPr>
        <w:t xml:space="preserve">Notes: </w:t>
      </w:r>
      <w:r>
        <w:t>abstract_source=pubmed</w:t>
      </w:r>
    </w:p>
    <w:p>
      <w:pPr>
        <w:spacing w:before="0" w:after="80" w:lineRule="auto" w:line="276"/>
      </w:pPr>
      <w:r>
        <w:rPr>
          <w:b/>
        </w:rPr>
        <w:t xml:space="preserve">摘要（ZH）: </w:t>
      </w:r>
      <w:r>
        <w:t>激光粒子是一种分解合成的和后翻译合成的百草枯类,其分解理论合成的百草枯第一例,即多种前体被编码成若干Mbps,远离变异酶。除了结构特征外,计算1和2的三维表层表层外,我们还发现,是具有亚微米抑制浓度的抗生素剂,对人类肺癌细胞具有亚微米抑制浓度。</w:t>
      </w:r>
    </w:p>
    <w:p>
      <w:pPr>
        <w:spacing w:before="0" w:after="200" w:lineRule="auto" w:line="276"/>
      </w:pPr>
      <w:r>
        <w:rPr>
          <w:b/>
        </w:rPr>
        <w:t xml:space="preserve">Abstract (EN): </w:t>
      </w:r>
      <w:r>
        <w:t>Lasso peptides are a class of ribosomally synthesized and post-translationally modified peptides distinguished by their lasso-like, threaded topology. Common to all lasso peptides biosynthetic gene clusters examined so far is an arrangement whereby the precursor peptide is encoded adjacent to the macrolactam synthetase and other modification genes. Here we report the cebulassopins A-D (1-4), the first example of lasso peptides synthesized by a split operon whereby multiple precursors are encoded several Mbps distant from the modification enzymes. Aside from characterizing their structures and calculating the three-dimensional topology of 1 and 2, we also find that the cebulassopins are potent antiproliferative agents with sub-μM inhibitory concentrations against human lung carcinoma cells. These results set the stage for further biological examination and exploration of other split lasso peptide gene clusters.</w:t>
      </w:r>
    </w:p>
    <w:p>
      <w:pPr>
        <w:spacing w:before="120" w:after="120"/>
      </w:pPr>
      <w:r>
        <w:rPr>
          <w:sz w:val="18"/>
        </w:rPr>
        <w:t>——————————————————————————————————————————————————————————————————————</w:t>
      </w:r>
    </w:p>
    <w:p>
      <w:pPr>
        <w:spacing w:before="160" w:after="40" w:line="240" w:lineRule="auto"/>
      </w:pPr>
      <w:r>
        <w:rPr>
          <w:b/>
        </w:rPr>
        <w:t xml:space="preserve">[324] </w:t>
      </w:r>
      <w:hyperlink r:id="rId543">
        <w:r>
          <w:rPr>
            <w:color w:val="1155CC"/>
            <w:u w:val="single"/>
          </w:rPr>
          <w:t>[ASAP] 水产生的自动蒸汽氧化物</w:t>
        </w:r>
      </w:hyperlink>
    </w:p>
    <w:p>
      <w:pPr>
        <w:spacing w:before="0" w:after="80"/>
      </w:pPr>
      <w:r>
        <w:rPr>
          <w:i/>
          <w:sz w:val="20"/>
        </w:rPr>
        <w:t>EN: [ASAP] A Subnanometric Ruthenium Cluster Catalyst Boosts Water-Induced Autoexhaust Soot Oxidation</w:t>
      </w:r>
    </w:p>
    <w:p>
      <w:pPr>
        <w:spacing w:before="0" w:after="120"/>
      </w:pPr>
      <w:r>
        <w:rPr>
          <w:b/>
        </w:rPr>
        <w:t xml:space="preserve">Source: </w:t>
      </w:r>
      <w:r>
        <w:t>Journal of the American Chemical Society: Latest Articles (ACS Publications)</w:t>
      </w:r>
      <w:r>
        <w:t xml:space="preserve">    </w:t>
      </w:r>
      <w:r>
        <w:rPr>
          <w:b/>
        </w:rPr>
        <w:t xml:space="preserve">Pub date: </w:t>
      </w:r>
      <w:r>
        <w:t>2026-02-10 20:25:06+00:00</w:t>
      </w:r>
      <w:r>
        <w:t xml:space="preserve">    </w:t>
      </w:r>
      <w:r>
        <w:rPr>
          <w:b/>
        </w:rPr>
        <w:t xml:space="preserve">DOI: </w:t>
      </w:r>
      <w:hyperlink r:id="rId544">
        <w:r>
          <w:rPr>
            <w:color w:val="1155CC"/>
            <w:u w:val="single"/>
          </w:rPr>
          <w:t>10.1021/jacs.5c21837</w:t>
        </w:r>
      </w:hyperlink>
    </w:p>
    <w:p>
      <w:pPr>
        <w:spacing w:before="0" w:after="120"/>
      </w:pPr>
      <w:r>
        <w:rPr>
          <w:b/>
        </w:rPr>
        <w:t xml:space="preserve">Notes: </w:t>
      </w:r>
      <w:r>
        <w:t>abstract_source=pubmed</w:t>
      </w:r>
    </w:p>
    <w:p>
      <w:pPr>
        <w:spacing w:before="0" w:after="80" w:lineRule="auto" w:line="276"/>
      </w:pPr>
      <w:r>
        <w:rPr>
          <w:b/>
        </w:rPr>
        <w:t xml:space="preserve">摘要（ZH）: </w:t>
      </w:r>
      <w:r>
        <w:t>调整材料的表面原子结构是提高深氧化反应过程中催化性性能的有效战略,例如自动排泄烟尘氧化。在此,以CeO2 纳米晶体(Ru/CeO2-C)立立方体支持的亚硝酸锌(Ru)集聚的强效催化剂,以接触 {100}表面材料的表面原子结构(Ru/CeO2-C)为目的,目的是实现高性能的酸氧化。鲁集聚体和CeO2-{100}方的异体结构界面引发一种强大的相互作用,促进H2O的分离。Ru/CeO2-C催化剂展示了在烟氧化过程中依赖水的强效催化活动和热稳定性。在水蒸气作为一种通常的催化抑制剂存在的情况下,它的价值为T50(半份烟氧化的温度)和TOF(翻转的裂痕)。</w:t>
      </w:r>
    </w:p>
    <w:p>
      <w:pPr>
        <w:spacing w:before="0" w:after="200" w:lineRule="auto" w:line="276"/>
      </w:pPr>
      <w:r>
        <w:rPr>
          <w:b/>
        </w:rPr>
        <w:t xml:space="preserve">Abstract (EN): </w:t>
      </w:r>
      <w:r>
        <w:t>Tailoring the surface atomic structure of materials is an efficient strategy to improve catalytic performances during deep oxidation reactions, such as autoexhaust soot oxidation. Herein, a robust catalyst of subnanometric ruthenium (Ru) clusters supported on a cubic CeO2 nanocrystal with exposed {100} facets (Ru/CeO2-C) is designed to realize high performance for soot oxidation. The heterostructure interface between Ru clusters and CeO2-{100} facets induces a strong interaction that facilitates the dissociation of H2O. The Ru/CeO2-C catalyst exhibits impressive water-dependent catalytic activity and thermal stability during soot oxidation. In the presence of water vapor as a usual catalytic inhibitory poison, its value of T50 (temperature of half of soot oxidation) and TOF (turnover frequency) is 312 °C and 1.21 h-1, respectively, and the rate of soot oxidation is 1.38-fold of the absence of water. Comprehensive experimental and theoretical calculations analyses substantiate that the interfacial Ru&amp;+-Ov-Ce3+ bond chain structure significantly promotes H2O dissociation and O2 activation, resulting in the generation of highly reactive oxygen species (OH*/OOH*). The generated OH*/NO2 species can attack the edge carbon atoms of soot, leading to the formation of surface oxygen complexes that act as crucial reaction intermediates. The water vapor acts as an "initiator" and can enhance the decomposition of the surface oxygen complexes through hydrolysis and decarboxylation to promote soot oxidation. This finding has significant implications for filling the knowledge gaps in the water-promoted catalytic oxidation of the autoexhaust carbon particle and designing an effective water-resistant catalyst for autoexhaust purification.</w:t>
      </w:r>
    </w:p>
    <w:p>
      <w:pPr>
        <w:spacing w:before="120" w:after="120"/>
      </w:pPr>
      <w:r>
        <w:rPr>
          <w:sz w:val="18"/>
        </w:rPr>
        <w:t>——————————————————————————————————————————————————————————————————————</w:t>
      </w:r>
    </w:p>
    <w:p>
      <w:pPr>
        <w:spacing w:before="160" w:after="40" w:line="240" w:lineRule="auto"/>
      </w:pPr>
      <w:r>
        <w:rPr>
          <w:b/>
        </w:rPr>
        <w:t xml:space="preserve">[325] </w:t>
      </w:r>
      <w:hyperlink r:id="rId545">
        <w:r>
          <w:rPr>
            <w:color w:val="1155CC"/>
            <w:u w:val="single"/>
          </w:rPr>
          <w:t>[ASAP] 地表卤素消化能使超稳定的金属硫化物能用于高效甲醇光电活</w:t>
        </w:r>
      </w:hyperlink>
    </w:p>
    <w:p>
      <w:pPr>
        <w:spacing w:before="0" w:after="80"/>
      </w:pPr>
      <w:r>
        <w:rPr>
          <w:i/>
          <w:sz w:val="20"/>
        </w:rPr>
        <w:t>EN: [ASAP] Surface Halogen Passivation Enables Ultra-Stable Metal Sulfide for Efficient Methanol Photoactivation</w:t>
      </w:r>
    </w:p>
    <w:p>
      <w:pPr>
        <w:spacing w:before="0" w:after="120"/>
      </w:pPr>
      <w:r>
        <w:rPr>
          <w:b/>
        </w:rPr>
        <w:t xml:space="preserve">Source: </w:t>
      </w:r>
      <w:r>
        <w:t>Journal of the American Chemical Society: Latest Articles (ACS Publications)</w:t>
      </w:r>
      <w:r>
        <w:t xml:space="preserve">    </w:t>
      </w:r>
      <w:r>
        <w:rPr>
          <w:b/>
        </w:rPr>
        <w:t xml:space="preserve">Pub date: </w:t>
      </w:r>
      <w:r>
        <w:t>2026-02-10 20:25:37+00:00</w:t>
      </w:r>
      <w:r>
        <w:t xml:space="preserve">    </w:t>
      </w:r>
      <w:r>
        <w:rPr>
          <w:b/>
        </w:rPr>
        <w:t xml:space="preserve">DOI: </w:t>
      </w:r>
      <w:hyperlink r:id="rId546">
        <w:r>
          <w:rPr>
            <w:color w:val="1155CC"/>
            <w:u w:val="single"/>
          </w:rPr>
          <w:t>10.1021/jacs.5c19863</w:t>
        </w:r>
      </w:hyperlink>
    </w:p>
    <w:p>
      <w:pPr>
        <w:spacing w:before="0" w:after="120"/>
      </w:pPr>
      <w:r>
        <w:rPr>
          <w:b/>
        </w:rPr>
        <w:t xml:space="preserve">Notes: </w:t>
      </w:r>
      <w:r>
        <w:t>abstract_source=pubmed</w:t>
      </w:r>
    </w:p>
    <w:p>
      <w:pPr>
        <w:spacing w:before="0" w:after="80" w:lineRule="auto" w:line="276"/>
      </w:pPr>
      <w:r>
        <w:rPr>
          <w:b/>
        </w:rPr>
        <w:t xml:space="preserve">摘要（ZH）: </w:t>
      </w:r>
      <w:r>
        <w:t>过渡性硫化物金属硫化物在高增值化学合成中表现出很有希望的光催化活动;然而,在反应过程中,它们受到大量光腐蚀和快速失能的影响。在本研究中,我们提出了一种表面卤素(Cl、Br和I)消能战略,以提高光催化物的稳定性,这将为防止化学攻击提供防护屏障,防止氧化性和再处理性地表退化。我们以CdS典型的金属硫化物催化剂作为具有代表性的模型,表明引入的卤化物可以有效抑制在连续光辐照下硫化物或镉离子的表面渗漏,这与Pristine CdS观察到的广泛结构损害形成鲜明对比。此外,卤素对硫化物的催化剂也具有代表性。</w:t>
      </w:r>
    </w:p>
    <w:p>
      <w:pPr>
        <w:spacing w:before="0" w:after="200" w:lineRule="auto" w:line="276"/>
      </w:pPr>
      <w:r>
        <w:rPr>
          <w:b/>
        </w:rPr>
        <w:t xml:space="preserve">Abstract (EN): </w:t>
      </w:r>
      <w:r>
        <w:t>Transition metal sulfides exhibit promising photocatalytic activity for high-value-added chemical synthesis; however, they suffer from significant photocorrosion and rapid deactivation during reactions. In this study, we propose a surface halogen (Cl, Br, and I) passivation strategy to improve the stability of photocatalysts, which would provide a protective barrier against chemical attack, preventing oxidative and reductive surface degradation. By taking the typical metal sulfide catalysts of CdS as a representative model, we show that the introduced surface halogen can effectively suppress surface leakage of sulfur or cadmium ions under continuous photoirradiation, in stark contrast to the extensive structural damage observed in pristine CdS. Moreover, the halogen-passivated catalyst showed exceptional photocatalytic efficiency attributable to accelerated charge-transfer kinetics that expedite exciton dissociation and interfacial electron transport. These improvements enable effective methanol activation and selective C(sp3)-H methylation of heteroarenes even at ultralow irradiance, where the Cl-passivated CdS achieves a yield up to 90%, far exceeding the trace yield of pristine CdS. This study provides fundamental insights into the role of surface halogen passivation in optimizing photostability and electronic structure in photocatalysis.</w:t>
      </w:r>
    </w:p>
    <w:p>
      <w:pPr>
        <w:spacing w:before="120" w:after="120"/>
      </w:pPr>
      <w:r>
        <w:rPr>
          <w:sz w:val="18"/>
        </w:rPr>
        <w:t>——————————————————————————————————————————————————————————————————————</w:t>
      </w:r>
    </w:p>
    <w:p>
      <w:pPr>
        <w:spacing w:before="160" w:after="40" w:line="240" w:lineRule="auto"/>
      </w:pPr>
      <w:r>
        <w:rPr>
          <w:b/>
        </w:rPr>
        <w:t xml:space="preserve">[326] </w:t>
      </w:r>
      <w:hyperlink r:id="rId547">
        <w:r>
          <w:rPr>
            <w:color w:val="1155CC"/>
            <w:u w:val="single"/>
          </w:rPr>
          <w:t>现代加勒比珊瑚礁营养简化的化石同位素证据</w:t>
        </w:r>
      </w:hyperlink>
    </w:p>
    <w:p>
      <w:pPr>
        <w:spacing w:before="0" w:after="80"/>
      </w:pPr>
      <w:r>
        <w:rPr>
          <w:i/>
          <w:sz w:val="20"/>
        </w:rPr>
        <w:t>EN: Fossil isotope evidence for trophic simplification on modern Caribbean reefs</w:t>
      </w:r>
    </w:p>
    <w:p>
      <w:pPr>
        <w:spacing w:before="0" w:after="120"/>
      </w:pPr>
      <w:r>
        <w:rPr>
          <w:b/>
        </w:rPr>
        <w:t xml:space="preserve">Source: </w:t>
      </w:r>
      <w:r>
        <w:t>Nature</w:t>
      </w:r>
      <w:r>
        <w:t xml:space="preserve">    </w:t>
      </w:r>
      <w:r>
        <w:rPr>
          <w:b/>
        </w:rPr>
        <w:t xml:space="preserve">Pub date: </w:t>
      </w:r>
      <w:r>
        <w:t>2026-02-11 00:00:00+00:00</w:t>
      </w:r>
    </w:p>
    <w:p>
      <w:pPr>
        <w:spacing w:before="0" w:after="120"/>
      </w:pPr>
      <w:r>
        <w:rPr>
          <w:b/>
        </w:rPr>
        <w:t xml:space="preserve">Notes: </w:t>
      </w:r>
      <w:r>
        <w:t>abstract_source=nature_html</w:t>
      </w:r>
    </w:p>
    <w:p>
      <w:pPr>
        <w:spacing w:before="0" w:after="80" w:lineRule="auto" w:line="276"/>
      </w:pPr>
      <w:r>
        <w:rPr>
          <w:b/>
        </w:rPr>
        <w:t xml:space="preserve">摘要（ZH）: </w:t>
      </w:r>
      <w:r>
        <w:t>加勒比珊瑚礁的珊瑚和鱼类社区经历了人类驱动的重大变化,112,3,4,4,4,4,4,然而,由于重建人类影响前珊瑚礁的营养结构方面的挑战,这些变化如何影响营养动态仍不为人所熟知。 化石蛋白氮同位素(15N/14N)分析的进展现在使得古老营养动力5,660能够重建,因为15N-14N比率反映了动物的营养位置。 我们在这里对现代和史前(7 000岁)鱼卵石和来自加勒比巴拿马和多米尼加共和国的珊瑚采用这种方法,重点是低到中营养水平的鱼类。 我们发现,尽管高营养级鱼类的营养水平随着时间的推移通常下降,但会增加或再增加。</w:t>
      </w:r>
    </w:p>
    <w:p>
      <w:pPr>
        <w:spacing w:before="0" w:after="200" w:lineRule="auto" w:line="276"/>
      </w:pPr>
      <w:r>
        <w:rPr>
          <w:b/>
        </w:rPr>
        <w:t xml:space="preserve">Abstract (EN): </w:t>
      </w:r>
      <w:r>
        <w:t>Caribbean reefs have experienced major human-driven changes to their coral and fish communities1,2,3,4, yet how these changes have affected trophic dynamics remains poorly understood owing to challenges in reconstructing the trophic structure of pre-human-impact reefs. Advances in fossil-bound protein nitrogen isotope (15N/14N) analysis now enable the reconstruction of ancient trophic dynamics5,6, as the 15N to 14N ratio reflects an animal’s trophic position7. Here we apply this method to modern and prehistoric (7,000-year-old) fish otoliths (ear stones) and corals from Caribbean Panama and the Dominican Republic, focusing on fishes occupying low to middle trophic levels. We find that although the trophic level typically declined in high-trophic-level fishes over time, it increased or remained unchanged in low-trophic-level fishes, indicating that modern food chains are 60–70% shorter than on the prehistoric reefs in both Panama and the Dominican Republic. Furthermore, across all trophic groups, we observed a marked reduction in dietary variation, with a 20–70% lower trophic range on the modern reefs compared to the prehistoric reefs. This pattern is best explained by less dietary specialization in modern reefs, consistent with less ecological complexity than in prehistoric reefs. These differences document and quantify the trophic simplification that has occurred on modern Caribbean reefs, a change that may increase their vulnerability to ecosystem collapse.</w:t>
      </w:r>
    </w:p>
    <w:p>
      <w:pPr>
        <w:spacing w:before="120" w:after="120"/>
      </w:pPr>
      <w:r>
        <w:rPr>
          <w:sz w:val="18"/>
        </w:rPr>
        <w:t>——————————————————————————————————————————————————————————————————————</w:t>
      </w:r>
    </w:p>
    <w:p>
      <w:pPr>
        <w:spacing w:before="160" w:after="40" w:line="240" w:lineRule="auto"/>
      </w:pPr>
      <w:r>
        <w:rPr>
          <w:b/>
        </w:rPr>
        <w:t xml:space="preserve">[327] </w:t>
      </w:r>
      <w:hyperlink r:id="rId548">
        <w:r>
          <w:rPr>
            <w:color w:val="1155CC"/>
            <w:u w:val="single"/>
          </w:rPr>
          <w:t>天体细胞使阿米格达达拉神经神经表示器能够支持内存</w:t>
        </w:r>
      </w:hyperlink>
    </w:p>
    <w:p>
      <w:pPr>
        <w:spacing w:before="0" w:after="80"/>
      </w:pPr>
      <w:r>
        <w:rPr>
          <w:i/>
          <w:sz w:val="20"/>
        </w:rPr>
        <w:t>EN: Astrocytes enable amygdala neural representations supporting memory</w:t>
      </w:r>
    </w:p>
    <w:p>
      <w:pPr>
        <w:spacing w:before="0" w:after="120"/>
      </w:pPr>
      <w:r>
        <w:rPr>
          <w:b/>
        </w:rPr>
        <w:t xml:space="preserve">Source: </w:t>
      </w:r>
      <w:r>
        <w:t>Nature</w:t>
      </w:r>
      <w:r>
        <w:t xml:space="preserve">    </w:t>
      </w:r>
      <w:r>
        <w:rPr>
          <w:b/>
        </w:rPr>
        <w:t xml:space="preserve">Pub date: </w:t>
      </w:r>
      <w:r>
        <w:t>2026-02-11 00:00:00+00:00</w:t>
      </w:r>
    </w:p>
    <w:p>
      <w:pPr>
        <w:spacing w:before="0" w:after="120"/>
      </w:pPr>
      <w:r>
        <w:rPr>
          <w:b/>
        </w:rPr>
        <w:t xml:space="preserve">Notes: </w:t>
      </w:r>
      <w:r>
        <w:t>abstract_source=nature_html</w:t>
      </w:r>
    </w:p>
    <w:p>
      <w:pPr>
        <w:spacing w:before="0" w:after="80" w:lineRule="auto" w:line="276"/>
      </w:pPr>
      <w:r>
        <w:rPr>
          <w:b/>
        </w:rPr>
        <w:t xml:space="preserve">摘要（ZH）: </w:t>
      </w:r>
      <w:r>
        <w:t>对先前遇到的威胁进行脑系统调节的脑系统调节反应提供了至关重要的生存功能。 恐惧记忆和灭绝的根基是ABLA 1,2,3,4,4,5,6,6,7,7,但非中中细胞(包括天体细胞)对这些过程的贡献仍未解决。 在这里,在硫化钙(Ca2+)成像和因果天体操控中,我们发现BLA天体细胞动态跟踪恐惧状态,支持恐惧记忆恢复和灭绝。 通过将天体操控与活性BLA神经性Ca2+成像和电子生理记录相结合,我们显示,天体细胞Ca2+信号可以让恐惧记忆检索和灭绝的神经编码,并通过BLA-前方电路读出。 我们的发现揭示了一种天体操过程。</w:t>
      </w:r>
    </w:p>
    <w:p>
      <w:pPr>
        <w:spacing w:before="0" w:after="200" w:lineRule="auto" w:line="276"/>
      </w:pPr>
      <w:r>
        <w:rPr>
          <w:b/>
        </w:rPr>
        <w:t xml:space="preserve">Abstract (EN): </w:t>
      </w:r>
      <w:r>
        <w:t>Brain systems mediating responses to previously encountered threats provide critical survival functions. Fear memory and extinction are underpinned by neural representations in the basolateral amygdala (BLA)1,2,3,4,5,6,7, but the contribution of non-neuronal cells, including astrocytes, to these processes remains unresolved. Here, using in vivo calcium (Ca2+) imaging and causal astrocyte manipulations, we find that BLA astrocytes dynamically track fear state and support fear memory retrieval and extinction. By combining astrocyte manipulations with in vivo BLA neuronal Ca2+ imaging and electrophysiological recordings, we show that astrocyte Ca2+ signalling enables neuronal encoding of fear memory retrieval and extinction, and readout through a BLA–prefrontal circuit. Our findings reveal a key role for astrocytes in the generation and adaptation of fear-state-related neural representations, revising neurocentric models of critical amygdala-mediated adaptive functions.</w:t>
      </w:r>
    </w:p>
    <w:p>
      <w:pPr>
        <w:spacing w:before="120" w:after="120"/>
      </w:pPr>
      <w:r>
        <w:rPr>
          <w:sz w:val="18"/>
        </w:rPr>
        <w:t>——————————————————————————————————————————————————————————————————————</w:t>
      </w:r>
    </w:p>
    <w:p>
      <w:pPr>
        <w:spacing w:before="160" w:after="40" w:line="240" w:lineRule="auto"/>
      </w:pPr>
      <w:r>
        <w:rPr>
          <w:b/>
        </w:rPr>
        <w:t xml:space="preserve">[328] </w:t>
      </w:r>
      <w:hyperlink r:id="rId549">
        <w:r>
          <w:rPr>
            <w:color w:val="1155CC"/>
            <w:u w:val="single"/>
          </w:rPr>
          <w:t>通过外围血细胞对脑脂质进行基于睡眠的清除</w:t>
        </w:r>
      </w:hyperlink>
    </w:p>
    <w:p>
      <w:pPr>
        <w:spacing w:before="0" w:after="80"/>
      </w:pPr>
      <w:r>
        <w:rPr>
          <w:i/>
          <w:sz w:val="20"/>
        </w:rPr>
        <w:t>EN: Sleep-dependent clearance of brain lipids by peripheral blood cells</w:t>
      </w:r>
    </w:p>
    <w:p>
      <w:pPr>
        <w:spacing w:before="0" w:after="120"/>
      </w:pPr>
      <w:r>
        <w:rPr>
          <w:b/>
        </w:rPr>
        <w:t xml:space="preserve">Source: </w:t>
      </w:r>
      <w:r>
        <w:t>Nature</w:t>
      </w:r>
      <w:r>
        <w:t xml:space="preserve">    </w:t>
      </w:r>
      <w:r>
        <w:rPr>
          <w:b/>
        </w:rPr>
        <w:t xml:space="preserve">Pub date: </w:t>
      </w:r>
      <w:r>
        <w:t>2026-02-11 00:00:00+00:00</w:t>
      </w:r>
    </w:p>
    <w:p>
      <w:pPr>
        <w:spacing w:before="0" w:after="120"/>
      </w:pPr>
      <w:r>
        <w:rPr>
          <w:b/>
        </w:rPr>
        <w:t xml:space="preserve">Notes: </w:t>
      </w:r>
      <w:r>
        <w:t>abstract_source=nature_html</w:t>
      </w:r>
    </w:p>
    <w:p>
      <w:pPr>
        <w:spacing w:before="0" w:after="80" w:lineRule="auto" w:line="276"/>
      </w:pPr>
      <w:r>
        <w:rPr>
          <w:b/>
        </w:rPr>
        <w:t xml:space="preserve">摘要（ZH）: </w:t>
      </w:r>
      <w:r>
        <w:t>睡眠通常通过大脑中心镜头来观察,对外围的作用知之甚少,1,2。 我们在这里为Drosophipilla环流中的边缘大型类似细胞(Haemocytes)确定了睡眠功能,表明睡眠中脑部的血细胞在睡眠中追踪,并吸收了因与后醒有关的氧化性损害而累积在皮质凝胶中的脂肪。我们通过在血液细胞中表现的地貌感应器屏幕,发现食人被击倒——Nimrod受体家庭的成员之一—— 减少睡眠睡眠。食人的损失还扰乱了脑和脂肪摄入中的血细胞分位化,这导致乙酰COA和乙酰蛋白的大脑水平提高,包括甲状腺激素蛋白PGC1α和DRP1。</w:t>
      </w:r>
    </w:p>
    <w:p>
      <w:pPr>
        <w:spacing w:before="0" w:after="200" w:lineRule="auto" w:line="276"/>
      </w:pPr>
      <w:r>
        <w:rPr>
          <w:b/>
        </w:rPr>
        <w:t xml:space="preserve">Abstract (EN): </w:t>
      </w:r>
      <w:r>
        <w:t>Sleep is viewed typically through a brain-centric lens, with little known about the role of the periphery1,2. Here we identify a sleep function for peripheral macrophage-like cells (haemocytes) in the Drosophila circulation, showing that haemocytes track to the brain during sleep and take up lipids accumulated in cortex glia due to wake-associated oxidative damage. Through a screen of phagocytic receptors expressed in haemocytes, we discovered that knockdown of eater—a member of the Nimrod receptor family—reduces sleep. Loss of eater also disrupts haemocyte localization to the brain and lipid uptake, which results in increased brain levels of acetyl-CoA and acetylated proteins, including mitochondrial proteins PGC1α and DRP1. Dysregulation of mitochondria, reflected in high oxidation and reduced NAD+, is accompanied by impaired memory and lifespan. Thus, peripheral blood cells, which we suggest are precursors of mammalian microglia, perform a daily function of sleep to maintain brain function and fitness.</w:t>
      </w:r>
    </w:p>
    <w:p>
      <w:pPr>
        <w:spacing w:before="120" w:after="120"/>
      </w:pPr>
      <w:r>
        <w:rPr>
          <w:sz w:val="18"/>
        </w:rPr>
        <w:t>——————————————————————————————————————————————————————————————————————</w:t>
      </w:r>
    </w:p>
    <w:p>
      <w:pPr>
        <w:spacing w:before="160" w:after="40" w:line="240" w:lineRule="auto"/>
      </w:pPr>
      <w:r>
        <w:rPr>
          <w:b/>
        </w:rPr>
        <w:t xml:space="preserve">[329] </w:t>
      </w:r>
      <w:hyperlink r:id="rId550">
        <w:r>
          <w:rPr>
            <w:color w:val="1155CC"/>
            <w:u w:val="single"/>
          </w:rPr>
          <w:t>针对过量胆固醇沉积过量的胆固醇,缓解二级淋巴血肿</w:t>
        </w:r>
      </w:hyperlink>
    </w:p>
    <w:p>
      <w:pPr>
        <w:spacing w:before="0" w:after="80"/>
      </w:pPr>
      <w:r>
        <w:rPr>
          <w:i/>
          <w:sz w:val="20"/>
        </w:rPr>
        <w:t>EN: Targeting excessive cholesterol deposition alleviates secondary lymphoedema</w:t>
      </w:r>
    </w:p>
    <w:p>
      <w:pPr>
        <w:spacing w:before="0" w:after="120"/>
      </w:pPr>
      <w:r>
        <w:rPr>
          <w:b/>
        </w:rPr>
        <w:t xml:space="preserve">Source: </w:t>
      </w:r>
      <w:r>
        <w:t>Nature</w:t>
      </w:r>
      <w:r>
        <w:t xml:space="preserve">    </w:t>
      </w:r>
      <w:r>
        <w:rPr>
          <w:b/>
        </w:rPr>
        <w:t xml:space="preserve">Pub date: </w:t>
      </w:r>
      <w:r>
        <w:t>2026-02-11 00:00:00+00:00</w:t>
      </w:r>
    </w:p>
    <w:p>
      <w:pPr>
        <w:spacing w:before="0" w:after="120"/>
      </w:pPr>
      <w:r>
        <w:rPr>
          <w:b/>
        </w:rPr>
        <w:t xml:space="preserve">Notes: </w:t>
      </w:r>
      <w:r>
        <w:t>abstract_source=nature_html</w:t>
      </w:r>
    </w:p>
    <w:p>
      <w:pPr>
        <w:spacing w:before="0" w:after="80" w:lineRule="auto" w:line="276"/>
      </w:pPr>
      <w:r>
        <w:rPr>
          <w:b/>
        </w:rPr>
        <w:t xml:space="preserve">摘要（ZH）: </w:t>
      </w:r>
      <w:r>
        <w:t>淋巴肿是淋巴排水受损引起的慢性衰弱性疾病,其特点是组织肿胀、脂肪膨胀、炎和纤维化1,2.然而,驱发淋巴血肿的确切机制不易理解,虽然已知淋巴船将胆固醇从外围组织运回系统循环3,但淋巴船将胆固醇从外围组织运回到系统循环3 损伤淋巴体排水对人体胆固醇净化的重要性及其与淋巴血肿的相关性仍不得而知。我们在这里表明,淋巴排水在人体淋巴水中的不足导致淋巴表皮肤组织及淋巴船周围出现过量的胆固醇累积。</w:t>
      </w:r>
    </w:p>
    <w:p>
      <w:pPr>
        <w:spacing w:before="0" w:after="200" w:lineRule="auto" w:line="276"/>
      </w:pPr>
      <w:r>
        <w:rPr>
          <w:b/>
        </w:rPr>
        <w:t xml:space="preserve">Abstract (EN): </w:t>
      </w:r>
      <w:r>
        <w:t>Lymphoedema is a chronic debilitating disease caused by impaired lymphatic drainage and is characterized by tissue swelling, fat expansion, inflammation and fibrosis1,2. However, the exact mechanisms that drive lymphoedema are poorly understood. Although lymphatic vessels are known to transport cholesterol from peripheral tissues back to the systemic circulation3, the importance of impaired lymphatic drainage for cholesterol clearance in humans and its relevance to lymphoedema remain unknown. Here we show that lymphatic drainage insufficiency in human lymphoedema leads to excessive cholesterol accumulation in the lymphoedematous dermal tissue and around lymphatic vessels. Cholesterol deposition resulted in dermal adipose tissue remodelling, characterized by adipocyte hypertrophy and dysfunction, progressing to death and dermal fibrosis. Surgical intervention improved lymphatic drainage and reduced cholesterol deposition. Using two mouse models that reproduce features of human lymphoedema, we demonstrated that tissue swelling and dermal adipose tissue remodelling were ameliorated by the cholesterol-depleting agent cyclodextrin. Mechanistically, we demonstrated that cyclodextrin restored lymphatic drainage by promoting the regeneration of lymphatic vessels. This study unravels the role of impaired cholesterol clearance in driving lymphoedema and identifies tissue cholesterol as a promising therapeutic target for this currently incurable disease.</w:t>
      </w:r>
    </w:p>
    <w:p>
      <w:pPr>
        <w:spacing w:before="120" w:after="120"/>
      </w:pPr>
      <w:r>
        <w:rPr>
          <w:sz w:val="18"/>
        </w:rPr>
        <w:t>——————————————————————————————————————————————————————————————————————</w:t>
      </w:r>
    </w:p>
    <w:p>
      <w:pPr>
        <w:spacing w:before="160" w:after="40" w:line="240" w:lineRule="auto"/>
      </w:pPr>
      <w:r>
        <w:rPr>
          <w:b/>
        </w:rPr>
        <w:t xml:space="preserve">[330] </w:t>
      </w:r>
      <w:hyperlink r:id="rId551">
        <w:r>
          <w:rPr>
            <w:color w:val="1155CC"/>
            <w:u w:val="single"/>
          </w:rPr>
          <w:t>考虑用户随机性的HVAC系统自适应型建模和控制框架</w:t>
        </w:r>
      </w:hyperlink>
    </w:p>
    <w:p>
      <w:pPr>
        <w:spacing w:before="0" w:after="80"/>
      </w:pPr>
      <w:r>
        <w:rPr>
          <w:i/>
          <w:sz w:val="20"/>
        </w:rPr>
        <w:t>EN: A self-adaptive modeling and control framework for HVAC systems considering user stochasticity</w:t>
      </w:r>
    </w:p>
    <w:p>
      <w:pPr>
        <w:spacing w:before="0" w:after="120"/>
      </w:pPr>
      <w:r>
        <w:rPr>
          <w:b/>
        </w:rPr>
        <w:t xml:space="preserve">Source: </w:t>
      </w:r>
      <w:r>
        <w:t>ScienceDirect Publication: Applied Energy</w:t>
      </w:r>
      <w:r>
        <w:t xml:space="preserve">    </w:t>
      </w:r>
      <w:r>
        <w:rPr>
          <w:b/>
        </w:rPr>
        <w:t xml:space="preserve">Pub date: </w:t>
      </w:r>
      <w:r>
        <w:t>2026-02-11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[331] </w:t>
      </w:r>
      <w:hyperlink r:id="rId552">
        <w:r>
          <w:rPr>
            <w:color w:val="1155CC"/>
            <w:u w:val="single"/>
          </w:rPr>
          <w:t>铝红氧化催化,能够对正烷进行环氧化。</w:t>
        </w:r>
      </w:hyperlink>
    </w:p>
    <w:p>
      <w:pPr>
        <w:spacing w:before="0" w:after="80"/>
      </w:pPr>
      <w:r>
        <w:rPr>
          <w:i/>
          <w:sz w:val="20"/>
        </w:rPr>
        <w:t>EN: Aluminium redox catalysis enables cyclotrimerization of alkynes</w:t>
      </w:r>
    </w:p>
    <w:p>
      <w:pPr>
        <w:spacing w:before="0" w:after="120"/>
      </w:pPr>
      <w:r>
        <w:rPr>
          <w:b/>
        </w:rPr>
        <w:t xml:space="preserve">Source: </w:t>
      </w:r>
      <w:r>
        <w:t>Nature</w:t>
      </w:r>
      <w:r>
        <w:t xml:space="preserve">    </w:t>
      </w:r>
      <w:r>
        <w:rPr>
          <w:b/>
        </w:rPr>
        <w:t xml:space="preserve">Pub date: </w:t>
      </w:r>
      <w:r>
        <w:t>2026-02-11 00:00:00+00:00</w:t>
      </w:r>
    </w:p>
    <w:p>
      <w:pPr>
        <w:spacing w:before="0" w:after="120"/>
      </w:pPr>
      <w:r>
        <w:rPr>
          <w:b/>
        </w:rPr>
        <w:t xml:space="preserve">Notes: </w:t>
      </w:r>
      <w:r>
        <w:t>abstract_source=nature_html</w:t>
      </w:r>
    </w:p>
    <w:p>
      <w:pPr>
        <w:spacing w:before="0" w:after="80" w:lineRule="auto" w:line="276"/>
      </w:pPr>
      <w:r>
        <w:rPr>
          <w:b/>
        </w:rPr>
        <w:t xml:space="preserve">摘要（ZH）: </w:t>
      </w:r>
      <w:r>
        <w:t>铝在历史上主要利用了与稳定的+III氧化状态2 相关的内在刘易斯酸性。 由于铝具有独特的低电子密度(1.61),是p区块元素中最低的(1.61),而且没有惰性皮效应,铝在进行催化再氧化转化方面构成了巨大的内在挑战。 我们在这里报告了低价铝(carbazolylumynylene3)的红氧化催化能力,它产生了完全的 Al(I)/Al(III)催化循环,包括氧化添加、双重插入、分子内异构体化和再消化-常规的机械化步骤。</w:t>
      </w:r>
    </w:p>
    <w:p>
      <w:pPr>
        <w:spacing w:before="0" w:after="200" w:lineRule="auto" w:line="276"/>
      </w:pPr>
      <w:r>
        <w:rPr>
          <w:b/>
        </w:rPr>
        <w:t xml:space="preserve">Abstract (EN): </w:t>
      </w:r>
      <w:r>
        <w:t>Aluminium comprises over 8% of Earth’s crust and is the most abundant metallic constituent1. Historically, aluminium catalysis has predominantly exploited the inherent Lewis acidity associated with its stable +III oxidation state2. Owing to its uniquely low electronegativity (1.61)—the lowest among p-block elements—and the absence of an inert-pair effect, aluminium presents formidable intrinsic challenges for engaging in catalytic redox transformations. Here we report the redox catalytic capability of a low-valent aluminium species, carbazolylaluminylene3, which carries out a complete Al(I)/Al(III) catalytic cycle encompassing oxidative addition, double insertion, intramolecular isomerization and reductive elimination—fundamental mechanistic steps conventionally exclusive to transition-metal catalysis. Leveraging this Al(I)/Al(III) redox cycle, we achieve highly efficient and regioselective Reppe cyclotrimerization of alkynes4,5, producing diverse benzene derivatives with a turnover number of up to 2,290. Through X-ray crystallographic and quantum chemical analyses, we elucidate how the dynamic nitrogen geometry within the carbazolyl ligand framework precisely modulates the aluminium coordination environment, thereby facilitating the catalytic cycle. This work fundamentally advances the conceptual understanding of main-group redox catalysis. It further sets a compelling precedent for future catalyst design and sustainable synthetic methodologies centred on aluminium redox transformations.</w:t>
      </w:r>
    </w:p>
    <w:p>
      <w:pPr>
        <w:spacing w:before="120" w:after="120"/>
      </w:pPr>
      <w:r>
        <w:rPr>
          <w:sz w:val="18"/>
        </w:rPr>
        <w:t>——————————————————————————————————————————————————————————————————————</w:t>
      </w:r>
    </w:p>
    <w:p>
      <w:pPr>
        <w:spacing w:before="160" w:after="40" w:line="240" w:lineRule="auto"/>
      </w:pPr>
      <w:r>
        <w:rPr>
          <w:b/>
        </w:rPr>
        <w:t xml:space="preserve">[332] </w:t>
      </w:r>
      <w:hyperlink r:id="rId553">
        <w:r>
          <w:rPr>
            <w:color w:val="1155CC"/>
            <w:u w:val="single"/>
          </w:rPr>
          <w:t>Kitaev 最小链条的单点对等读数</w:t>
        </w:r>
      </w:hyperlink>
    </w:p>
    <w:p>
      <w:pPr>
        <w:spacing w:before="0" w:after="80"/>
      </w:pPr>
      <w:r>
        <w:rPr>
          <w:i/>
          <w:sz w:val="20"/>
        </w:rPr>
        <w:t>EN: Single-shot parity readout of a minimal Kitaev chain</w:t>
      </w:r>
    </w:p>
    <w:p>
      <w:pPr>
        <w:spacing w:before="0" w:after="120"/>
      </w:pPr>
      <w:r>
        <w:rPr>
          <w:b/>
        </w:rPr>
        <w:t xml:space="preserve">Source: </w:t>
      </w:r>
      <w:r>
        <w:t>Nature</w:t>
      </w:r>
      <w:r>
        <w:t xml:space="preserve">    </w:t>
      </w:r>
      <w:r>
        <w:rPr>
          <w:b/>
        </w:rPr>
        <w:t xml:space="preserve">Pub date: </w:t>
      </w:r>
      <w:r>
        <w:t>2026-02-11 00:00:00+00:00</w:t>
      </w:r>
    </w:p>
    <w:p>
      <w:pPr>
        <w:spacing w:before="0" w:after="120"/>
      </w:pPr>
      <w:r>
        <w:rPr>
          <w:b/>
        </w:rPr>
        <w:t xml:space="preserve">Notes: </w:t>
      </w:r>
      <w:r>
        <w:t>abstract_source=nature_html</w:t>
      </w:r>
    </w:p>
    <w:p>
      <w:pPr>
        <w:spacing w:before="0" w:after="80" w:lineRule="auto" w:line="276"/>
      </w:pPr>
      <w:r>
        <w:rPr>
          <w:b/>
        </w:rPr>
        <w:t xml:space="preserve">摘要（ZH）: </w:t>
      </w:r>
      <w:r>
        <w:t>保护昆虫免受噪音影响对于建设可靠的量子计算机至关重要。 地形昆虫通过非本地的量子信息编码,使用马雅那零模式组合,为实现这一目标提供了一条途径。 这些模式形成了一种共同的发热状态,这种状态的占有(无论是否奇异)决定了对qubit进行编码的极速等同。 值得注意的是,这种均等只能通过两个马雅那人对立的测量方法来实现。 实现这种qubit的有希望的平台是基塔夫链1,用量子点和超级导体一起执行的量子点1。 即使是最起码的两地链也拥有一对马雅那模式,通常被称为 " 穷人马雅那模式 ",这种模式在空间上是分开的,但与更长的链3、4之间提供有限的保护。 5 我们在这里采用测量技术。</w:t>
      </w:r>
    </w:p>
    <w:p>
      <w:pPr>
        <w:spacing w:before="0" w:after="200" w:lineRule="auto" w:line="276"/>
      </w:pPr>
      <w:r>
        <w:rPr>
          <w:b/>
        </w:rPr>
        <w:t xml:space="preserve">Abstract (EN): </w:t>
      </w:r>
      <w:r>
        <w:t>Protecting qubits from noise is essential for building reliable quantum computers. Topological qubits offer a route to this goal by encoding quantum information non-locally, using pairs of Majorana zero modes. These modes form a shared fermionic state whose occupation—either even or odd—defines the fermionic parity that encodes the qubit1. Notably, this parity can only be accessed by a measurement that couples two Majoranas to each other. A promising platform for realizing such qubits is the Kitaev chain1, implemented in quantum dots coupled using superconductors2. Even the minimal two-site chain hosts a pair of Majorana modes, often called ‘poor man’s Majoranas’, which are spatially separated but offer limited protection compared with longer chains3,4,5. Here we introduce a measurement technique that reads out their parity through quantum capacitance. Our method couples two Majoranas and resolves their parity in real time, visible as random telegraph switching with lifetimes exceeding a millisecond. Simultaneous charge sensing confirms that the two parity states are charge neutral and remain indistinguishable to a probe that does not couple the modes. These results establish the essential readout step for time-domain control of Majorana qubits, resolving a long-standing experimental challenge.</w:t>
      </w:r>
    </w:p>
    <w:p>
      <w:pPr>
        <w:spacing w:before="120" w:after="120"/>
      </w:pPr>
      <w:r>
        <w:rPr>
          <w:sz w:val="18"/>
        </w:rPr>
        <w:t>——————————————————————————————————————————————————————————————————————</w:t>
      </w:r>
    </w:p>
    <w:p>
      <w:pPr>
        <w:spacing w:before="160" w:after="40" w:line="240" w:lineRule="auto"/>
      </w:pPr>
      <w:r>
        <w:rPr>
          <w:b/>
        </w:rPr>
        <w:t xml:space="preserve">[333] </w:t>
      </w:r>
      <w:hyperlink r:id="rId554">
        <w:r>
          <w:rPr>
            <w:color w:val="1155CC"/>
            <w:u w:val="single"/>
          </w:rPr>
          <w:t>将轨迹误差与价值区分开来</w:t>
        </w:r>
      </w:hyperlink>
    </w:p>
    <w:p>
      <w:pPr>
        <w:spacing w:before="0" w:after="80"/>
      </w:pPr>
      <w:r>
        <w:rPr>
          <w:i/>
          <w:sz w:val="20"/>
        </w:rPr>
        <w:t>EN: Striatum-wide dopamine encodes trajectory errors separated from value</w:t>
      </w:r>
    </w:p>
    <w:p>
      <w:pPr>
        <w:spacing w:before="0" w:after="120"/>
      </w:pPr>
      <w:r>
        <w:rPr>
          <w:b/>
        </w:rPr>
        <w:t xml:space="preserve">Source: </w:t>
      </w:r>
      <w:r>
        <w:t>Nature</w:t>
      </w:r>
      <w:r>
        <w:t xml:space="preserve">    </w:t>
      </w:r>
      <w:r>
        <w:rPr>
          <w:b/>
        </w:rPr>
        <w:t xml:space="preserve">Pub date: </w:t>
      </w:r>
      <w:r>
        <w:t>2026-02-11 00:00:00+00:00</w:t>
      </w:r>
    </w:p>
    <w:p>
      <w:pPr>
        <w:spacing w:before="0" w:after="120"/>
      </w:pPr>
      <w:r>
        <w:rPr>
          <w:b/>
        </w:rPr>
        <w:t xml:space="preserve">Notes: </w:t>
      </w:r>
      <w:r>
        <w:t>abstract_source=nature_html</w:t>
      </w:r>
    </w:p>
    <w:p>
      <w:pPr>
        <w:spacing w:before="0" w:after="80" w:lineRule="auto" w:line="276"/>
      </w:pPr>
      <w:r>
        <w:rPr>
          <w:b/>
        </w:rPr>
        <w:t xml:space="preserve">摘要（ZH）: </w:t>
      </w:r>
      <w:r>
        <w:t>目标定向导航要求动物不断评估其当前方向和旅行速度相对于地标的行进方向和速度,以辨别它们是否接近或偏离目标。 Striatal多巴胺的释放信号信号显示示针1,2,或许有助于激励3,4,4,但不清楚多巴胺如何结合动物当前有效行为指导的轨迹。这里,我们证明小鼠编码双向轨道误差,反映当前运动速度和方向与最佳目标轨迹之间的关系。 轨迹错误信号可以通过移动或视觉流动来计算,并且独立于同时发生的多巴胺的增加。</w:t>
      </w:r>
    </w:p>
    <w:p>
      <w:pPr>
        <w:spacing w:before="0" w:after="200" w:lineRule="auto" w:line="276"/>
      </w:pPr>
      <w:r>
        <w:rPr>
          <w:b/>
        </w:rPr>
        <w:t xml:space="preserve">Abstract (EN): </w:t>
      </w:r>
      <w:r>
        <w:t>Goal-directed navigation requires animals to continuously evaluate their current direction and speed of travel relative to landmarks to discern whether they are approaching or deviating from their goal. Striatal dopamine release signals the reward-predictive value of cues1,2, probably contributing to motivation3,4, but it is unclear how dopamine incorporates an animal’s ongoing trajectory for effective behavioural guidance. Here we demonstrate that cue-evoked striatal dopamine release in mice encodes bidirectional trajectory errors reflecting the relationship between the speed and direction of ongoing movement relative to optimal goal trajectories. Trajectory error signals could be computed from locomotion or visual flow, and were independent from simultaneous dopamine increases reflecting learned cue value. Joint trajectory error and cue-value encoding were reproduced by the reward prediction error term in a standard reinforcement learning algorithm with mixed sensorimotor inputs. However, these two signals had distinct state space requirements, suggesting that they could arise from a common reinforcement learning algorithm with distinct neural inputs. Striatum-wide multifibre array measurements resolved overlapping, yet temporally and anatomically separable, representations of trajectory error and cue value, indicating how functionally distinct dopamine signals for motivation and guidance are multiplexed across striatal regions to facilitate goal-directed behaviour.</w:t>
      </w:r>
    </w:p>
    <w:p>
      <w:pPr>
        <w:spacing w:before="120" w:after="120"/>
      </w:pPr>
      <w:r>
        <w:rPr>
          <w:sz w:val="18"/>
        </w:rPr>
        <w:t>——————————————————————————————————————————————————————————————————————</w:t>
      </w:r>
    </w:p>
    <w:p>
      <w:pPr>
        <w:spacing w:before="160" w:after="40" w:line="240" w:lineRule="auto"/>
      </w:pPr>
      <w:r>
        <w:rPr>
          <w:b/>
        </w:rPr>
        <w:t xml:space="preserve">[334] </w:t>
      </w:r>
      <w:hyperlink r:id="rId555">
        <w:r>
          <w:rPr>
            <w:color w:val="1155CC"/>
            <w:u w:val="single"/>
          </w:rPr>
          <w:t>将MPXV从火脚绳松松松转到sooty mangabeys</w:t>
        </w:r>
      </w:hyperlink>
    </w:p>
    <w:p>
      <w:pPr>
        <w:spacing w:before="0" w:after="80"/>
      </w:pPr>
      <w:r>
        <w:rPr>
          <w:i/>
          <w:sz w:val="20"/>
        </w:rPr>
        <w:t>EN: Transmission of MPXV from fire-footed rope squirrels to sooty mangabeys</w:t>
      </w:r>
    </w:p>
    <w:p>
      <w:pPr>
        <w:spacing w:before="0" w:after="120"/>
      </w:pPr>
      <w:r>
        <w:rPr>
          <w:b/>
        </w:rPr>
        <w:t xml:space="preserve">Source: </w:t>
      </w:r>
      <w:r>
        <w:t>Nature</w:t>
      </w:r>
      <w:r>
        <w:t xml:space="preserve">    </w:t>
      </w:r>
      <w:r>
        <w:rPr>
          <w:b/>
        </w:rPr>
        <w:t xml:space="preserve">Pub date: </w:t>
      </w:r>
      <w:r>
        <w:t>2026-02-11 00:00:00+00:00</w:t>
      </w:r>
    </w:p>
    <w:p>
      <w:pPr>
        <w:spacing w:before="0" w:after="120"/>
      </w:pPr>
      <w:r>
        <w:rPr>
          <w:b/>
        </w:rPr>
        <w:t xml:space="preserve">Notes: </w:t>
      </w:r>
      <w:r>
        <w:t>abstract_source=nature_html</w:t>
      </w:r>
    </w:p>
    <w:p>
      <w:pPr>
        <w:spacing w:before="0" w:after="80" w:lineRule="auto" w:line="276"/>
      </w:pPr>
      <w:r>
        <w:rPr>
          <w:b/>
        </w:rPr>
        <w:t xml:space="preserve">摘要（ZH）: </w:t>
      </w:r>
      <w:r>
        <w:t>由天花病毒(MPXV;Orthopakes病毒)引起的天花在西非和中非呈上升趋势,1,2,3.3.非洲鼠类,特别是松鼠,被怀疑参与了MPXV的出现,但是没有证据证明直接传染给人类或非人类灵长类动物的证据,4,5,6,7,8,9。 我们在这里描述了在Tai国家公园(科特迪瓦)的一群野生大豆曼加贝(Cercocebus atys)爆发的MPXV。爆发影响到该团体的三分之一,造成4名婴儿死亡。为了追踪其起源,我们分析了该区域鼠类和野生动物的尸体。我们发现了一个MPXV感染的火脚松鼠(Funisciurus pyrropus),在暴发12周前在曼加贝地区发现有3公里的死亡。松鼠和曼加贝的MPXV基因组几乎是松鼠和曼加贝的近3公里。</w:t>
      </w:r>
    </w:p>
    <w:p>
      <w:pPr>
        <w:spacing w:before="0" w:after="200" w:lineRule="auto" w:line="276"/>
      </w:pPr>
      <w:r>
        <w:rPr>
          <w:b/>
        </w:rPr>
        <w:t xml:space="preserve">Abstract (EN): </w:t>
      </w:r>
      <w:r>
        <w:t>Mpox, caused by the monkeypox virus (MPXV; Orthopoxvirus monkeypox), is on the rise in West and Central Africa1,2,3. African rodents, especially squirrels, are suspected to be involved in MPXV emergence, but no evidence of a direct transmission to humans or non-human primates has been established4,5,6,7,8,9. Here we describe an outbreak of MPXV in a group of wild sooty mangabeys (Cercocebus atys) in Taï National Park (Côte d’Ivoire). The outbreak affected one-third of the group, killing four infants. To track its origin, we analysed rodents and wildlife carcasses from the region. We identified a MPXV-infected fire-footed rope squirrel (Funisciurus pyrropus), found dead 3 km from the mangabey territory 12 weeks before the outbreak. MPXV genomes from the squirrel and the mangabey were nearly identical. A video record from 2014 showed a mangabey from this group eating the same squirrel species and diet metabarcoding of faecal samples collected from mangabeys before the outbreak identified two samples containing fire-footed rope squirrel DNA. One of these samples was also the first positive for MPXV. This represents a rare case of direct detection of interspecies transmission. Our findings indicate that rope squirrels were the source of the MPXV outbreak in mangabeys. Because squirrels and non-human primates are hunted, traded and consumed by humans in West and Central Africa10,11, exposure to these animals probably represents risk for zoonotic transmission of MPXV.</w:t>
      </w:r>
    </w:p>
    <w:p>
      <w:pPr>
        <w:spacing w:before="120" w:after="120"/>
      </w:pPr>
      <w:r>
        <w:rPr>
          <w:sz w:val="18"/>
        </w:rPr>
        <w:t>——————————————————————————————————————————————————————————————————————</w:t>
      </w:r>
    </w:p>
    <w:p>
      <w:pPr>
        <w:spacing w:before="160" w:after="40" w:line="240" w:lineRule="auto"/>
      </w:pPr>
      <w:r>
        <w:rPr>
          <w:b/>
        </w:rPr>
        <w:t xml:space="preserve">[335] </w:t>
      </w:r>
      <w:hyperlink r:id="rId556">
        <w:r>
          <w:rPr>
            <w:color w:val="1155CC"/>
            <w:u w:val="single"/>
          </w:rPr>
          <w:t>长期的下莱茵河河下游 — — 动物保护祖先塑造了贝尔贝克扩张</w:t>
        </w:r>
      </w:hyperlink>
    </w:p>
    <w:p>
      <w:pPr>
        <w:spacing w:before="0" w:after="80"/>
      </w:pPr>
      <w:r>
        <w:rPr>
          <w:i/>
          <w:sz w:val="20"/>
        </w:rPr>
        <w:t>EN: Lasting Lower Rhine–Meuse forager ancestry shaped Bell Beaker expansion</w:t>
      </w:r>
    </w:p>
    <w:p>
      <w:pPr>
        <w:spacing w:before="0" w:after="120"/>
      </w:pPr>
      <w:r>
        <w:rPr>
          <w:b/>
        </w:rPr>
        <w:t xml:space="preserve">Source: </w:t>
      </w:r>
      <w:r>
        <w:t>Nature</w:t>
      </w:r>
      <w:r>
        <w:t xml:space="preserve">    </w:t>
      </w:r>
      <w:r>
        <w:rPr>
          <w:b/>
        </w:rPr>
        <w:t xml:space="preserve">Pub date: </w:t>
      </w:r>
      <w:r>
        <w:t>2026-02-11 00:00:00+00:00</w:t>
      </w:r>
    </w:p>
    <w:p>
      <w:pPr>
        <w:spacing w:before="0" w:after="120"/>
      </w:pPr>
      <w:r>
        <w:rPr>
          <w:b/>
        </w:rPr>
        <w:t xml:space="preserve">Notes: </w:t>
      </w:r>
      <w:r>
        <w:t>abstract_source=nature_html</w:t>
      </w:r>
    </w:p>
    <w:p>
      <w:pPr>
        <w:spacing w:before="0" w:after="80" w:lineRule="auto" w:line="276"/>
      </w:pPr>
      <w:r>
        <w:rPr>
          <w:b/>
        </w:rPr>
        <w:t xml:space="preserve">摘要（ZH）: </w:t>
      </w:r>
      <w:r>
        <w:t>古代DNA研究显示,在欧洲,6500至4000公尺之间,西安纳托利亚农民后裔与当地狩猎采集采集者混杂在一起,导致70-100%的祖先更替,1,然后与Corded Ware综合体3000-2500公克。 这里我们用112人8500-1700公尺的全基因组数据记录了荷兰、比利时和西德国湿地、河流和沿海地区的一个例外。 与大多数欧洲地区相比,一个拥有较高(约50%)狩猎采集者祖先的独特人口持续了3000年之久,这反映了欧洲早期农民祖先女性融入当地社区的情况。 在荷兰西部,Corded Ware综合体的抵达也是例外:定居者的低地人。</w:t>
      </w:r>
    </w:p>
    <w:p>
      <w:pPr>
        <w:spacing w:before="0" w:after="200" w:lineRule="auto" w:line="276"/>
      </w:pPr>
      <w:r>
        <w:rPr>
          <w:b/>
        </w:rPr>
        <w:t xml:space="preserve">Abstract (EN): </w:t>
      </w:r>
      <w:r>
        <w:t>Ancient DNA studies revealed that, in Europe from 6500 to 4000 bce, descendants of western Anatolian farmers mixed with local hunter-gatherers resulting in 70–100% ancestry turnover1, then steppe ancestry spread with the Corded Ware complex 3000–2500 bce2. Here we document an exception in the wetland, riverine and coastal areas of the Netherlands, Belgium and western Germany, using genome-wide data from 112 people 8500–1700 bce. A distinctive population with high (approximately 50%) hunter-gatherer ancestry persisted 3,000 years later than in most European regions, reflecting incorporation of female individuals of Early European Farmer ancestry into local communities. In the western Netherlands, the arrival of the Corded Ware complex was also exceptional: lowland individuals from settlements adopting Corded Ware pottery had hardly any steppe ancestry, despite a Y-chromosome characteristic of people associated with the early Corded Ware complex. These distinctive patterns may reflect the specific ecology that they inhabited, which was not amenable to full adoption of the early Neolithic type of farming introduced with Linearbandkeramik3, and resulted in distinct communities where transfer of ideas was accompanied by little gene flow. This changed with the formation of Lower Rhine–Meuse Bell Beaker users by fusion of local people (13–18%) and Corded Ware associated migrants of both sexes. Their subsequent expansion then had a disruptive impact across a much wider part of northwestern Europe, especially in Great Britain where they were the main source of a 90–100% replacement of local Neolithic ancestry.</w:t>
      </w:r>
    </w:p>
    <w:p>
      <w:pPr>
        <w:spacing w:before="120" w:after="120"/>
      </w:pPr>
      <w:r>
        <w:rPr>
          <w:sz w:val="18"/>
        </w:rPr>
        <w:t>——————————————————————————————————————————————————————————————————————</w:t>
      </w:r>
    </w:p>
    <w:p>
      <w:pPr>
        <w:spacing w:before="160" w:after="40" w:line="240" w:lineRule="auto"/>
      </w:pPr>
      <w:r>
        <w:rPr>
          <w:b/>
        </w:rPr>
        <w:t xml:space="preserve">[336] </w:t>
      </w:r>
      <w:hyperlink r:id="rId557">
        <w:r>
          <w:rPr>
            <w:color w:val="1155CC"/>
            <w:u w:val="single"/>
          </w:rPr>
          <w:t>SLMF6作为T细胞抗癌免疫的药物定向抑制器</w:t>
        </w:r>
      </w:hyperlink>
    </w:p>
    <w:p>
      <w:pPr>
        <w:spacing w:before="0" w:after="80"/>
      </w:pPr>
      <w:r>
        <w:rPr>
          <w:i/>
          <w:sz w:val="20"/>
        </w:rPr>
        <w:t>EN: SLAMF6 as a drug-targetable suppressor of T cell immunity against cancer</w:t>
      </w:r>
    </w:p>
    <w:p>
      <w:pPr>
        <w:spacing w:before="0" w:after="120"/>
      </w:pPr>
      <w:r>
        <w:rPr>
          <w:b/>
        </w:rPr>
        <w:t xml:space="preserve">Source: </w:t>
      </w:r>
      <w:r>
        <w:t>Nature</w:t>
      </w:r>
      <w:r>
        <w:t xml:space="preserve">    </w:t>
      </w:r>
      <w:r>
        <w:rPr>
          <w:b/>
        </w:rPr>
        <w:t xml:space="preserve">Pub date: </w:t>
      </w:r>
      <w:r>
        <w:t>2026-02-11 00:00:00+00:00</w:t>
      </w:r>
    </w:p>
    <w:p>
      <w:pPr>
        <w:spacing w:before="0" w:after="120"/>
      </w:pPr>
      <w:r>
        <w:rPr>
          <w:b/>
        </w:rPr>
        <w:t xml:space="preserve">Notes: </w:t>
      </w:r>
      <w:r>
        <w:t>abstract_source=nature_html</w:t>
      </w:r>
    </w:p>
    <w:p>
      <w:pPr>
        <w:spacing w:before="0" w:after="80" w:lineRule="auto" w:line="276"/>
      </w:pPr>
      <w:r>
        <w:rPr>
          <w:b/>
        </w:rPr>
        <w:t xml:space="preserve">摘要（ZH）: </w:t>
      </w:r>
      <w:r>
        <w:t>PD-1和CTLA-4等直发性受体在癌症1、2、2、3、单克隆抗体(mAbs)中造成细胞机能障碍,阻止这些受体与癌症细胞或肿瘤微环境的螺旋体在转体中发生相互作用,导致某些但并非所有类型癌症的临床反应。显性淋巴细胞6(SLAMF6,又称Ly108)是一种同性受体,优先表现在生殖器或干耗竭的T(Tpex)细胞上,而不是如鼠标模型4、5、6、7、7、8、9所示,在最终耗竭的TT(Tex)细胞上,Tpex细胞在免疫性检查站封锁10、11、12后保持功能恢复能力。 SLMF6在T细胞中的作用仍然模糊不清,因为它既具有激活效应,也具有抑制作用,</w:t>
      </w:r>
    </w:p>
    <w:p>
      <w:pPr>
        <w:spacing w:before="0" w:after="200" w:lineRule="auto" w:line="276"/>
      </w:pPr>
      <w:r>
        <w:rPr>
          <w:b/>
        </w:rPr>
        <w:t xml:space="preserve">Abstract (EN): </w:t>
      </w:r>
      <w:r>
        <w:t>Inhibitory receptors like PD-1 and CTLA-4 contribute to T cell dysfunction in cancer1,2,3. Monoclonal antibodies (mAbs) blocking the interactions in trans of these receptors with their ligands on cancer cells or in the tumour microenvironment lead to clinical responses in some but not all types of cancer. Signalling lymphocytic activation molecule 6 (SLAMF6, also known as Ly108) is a homotypic receptor preferentially expressed on progenitor or stem-like exhausted T (Tpex) cells, but not on terminally exhausted T (Tex) cells, as demonstrated in mouse models4,5,6,7,8,9. In contrast to Tex cells, Tpex cells retain the capacity for functional restoration after immune checkpoint blockade10,11,12. The role of SLAMF6 in T cells remains ambiguous, as it has both activating and inhibitory effects, complicating its evaluation as a therapeutic target. Here we find that SLAMF6 was triggered in cis by homotypic interactions at the T cell surface. These interactions elicited inhibitory effects that suppressed activation of T cells and limited anti-tumour immunity, independently of SLAMF6 expression on tumour cells. mAbs against human SLAMF6 with a robust ability to disrupt the cis interactions strongly augmented T cell activation, reduced the proportions of exhausted T cells and inhibited tumour growth in vivo. Collectively, these findings show that SLAMF6 functions exclusively as a T cell inhibitory receptor, which is triggered by cis homotypic interactions. They also position SLAMF6 as a promising target for therapies aimed at enhancing anti-tumour immunity, regardless of SLAMF6 expression on tumour cells.</w:t>
      </w:r>
    </w:p>
    <w:p>
      <w:pPr>
        <w:spacing w:before="120" w:after="120"/>
      </w:pPr>
      <w:r>
        <w:rPr>
          <w:sz w:val="18"/>
        </w:rPr>
        <w:t>——————————————————————————————————————————————————————————————————————</w:t>
      </w:r>
    </w:p>
    <w:p>
      <w:pPr>
        <w:spacing w:before="160" w:after="40" w:line="240" w:lineRule="auto"/>
      </w:pPr>
      <w:r>
        <w:rPr>
          <w:b/>
        </w:rPr>
        <w:t xml:space="preserve">[337] </w:t>
      </w:r>
      <w:hyperlink r:id="rId558">
        <w:r>
          <w:rPr>
            <w:color w:val="1155CC"/>
            <w:u w:val="single"/>
          </w:rPr>
          <w:t>紫外线激光源</w:t>
        </w:r>
      </w:hyperlink>
    </w:p>
    <w:p>
      <w:pPr>
        <w:spacing w:before="0" w:after="80"/>
      </w:pPr>
      <w:r>
        <w:rPr>
          <w:i/>
          <w:sz w:val="20"/>
        </w:rPr>
        <w:t>EN: Continuous-wave narrow-linewidth vacuum ultraviolet laser source</w:t>
      </w:r>
    </w:p>
    <w:p>
      <w:pPr>
        <w:spacing w:before="0" w:after="120"/>
      </w:pPr>
      <w:r>
        <w:rPr>
          <w:b/>
        </w:rPr>
        <w:t xml:space="preserve">Source: </w:t>
      </w:r>
      <w:r>
        <w:t>Nature</w:t>
      </w:r>
      <w:r>
        <w:t xml:space="preserve">    </w:t>
      </w:r>
      <w:r>
        <w:rPr>
          <w:b/>
        </w:rPr>
        <w:t xml:space="preserve">Pub date: </w:t>
      </w:r>
      <w:r>
        <w:t>2026-02-11 00:00:00+00:00</w:t>
      </w:r>
    </w:p>
    <w:p>
      <w:pPr>
        <w:spacing w:before="0" w:after="120"/>
      </w:pPr>
      <w:r>
        <w:rPr>
          <w:b/>
        </w:rPr>
        <w:t xml:space="preserve">Notes: </w:t>
      </w:r>
      <w:r>
        <w:t>abstract_source=nature_html</w:t>
      </w:r>
    </w:p>
    <w:p>
      <w:pPr>
        <w:spacing w:before="0" w:after="80" w:lineRule="auto" w:line="276"/>
      </w:pPr>
      <w:r>
        <w:rPr>
          <w:b/>
        </w:rPr>
        <w:t xml:space="preserve">摘要（ZH）: </w:t>
      </w:r>
      <w:r>
        <w:t>近距离148.4毫微米左右的229Th229中特别低能异立体转型(参考1,2,3,4,5,6,6)为连贯一致的核控制和实现核控制提供了独特的机会,7时8分。 最近的进展,最突出的是将229TH核核聚团纳入透明的晶体中,6,9,10,11和研制脉冲真空紫外线激光器12,13,14,使这一过渡的初始激光光谱能够进行15,16,17;然而,由于缺少密集的窄线VUVV紫外激光,无法进行一致的核操纵,8,18。在这里,我们介绍并报告在镉蒸气中用四波混合手段产生的148.4毫微米连续波激光,19 源提供100毫瓦的能量,预测线线线大大低于100赫兹,并提供支持。</w:t>
      </w:r>
    </w:p>
    <w:p>
      <w:pPr>
        <w:spacing w:before="0" w:after="200" w:lineRule="auto" w:line="276"/>
      </w:pPr>
      <w:r>
        <w:rPr>
          <w:b/>
        </w:rPr>
        <w:t xml:space="preserve">Abstract (EN): </w:t>
      </w:r>
      <w:r>
        <w:t>The exceptionally low-energy isomeric transition in 229Th at around 148.4 nm (refs. 1,2,3,4,5,6) offers a unique opportunity for coherent nuclear control and the realization of a nuclear clock7,8. Recent advances, most notably the incorporation of large ensembles of 229Th nuclei in transparent crystals6,9,10,11 and the development of pulsed vacuum ultraviolet (VUV) lasers12,13,14, have enabled initial laser spectroscopy of this transition15,16,17. However, the lack of an intense, narrow-linewidth VUV laser has precluded coherent nuclear manipulation8,18. Here we introduce and report a continuous-wave (CW) laser at 148.4 nm, generated by means of four-wave mixing (FWM)19 in cadmium vapour. The source delivers more than 100 nW of power with a projected linewidth well below 100 Hz and supports broad wavelength tunability. This represents a five-orders-of-magnitude improvement in linewidth over all previous single-frequency lasers below 190 nm (refs. 12,13,14,20). We develop a spatially resolved homodyne technique that places a stringent upper bound on FWM-induced phase noise, thereby supporting the feasibility of sub-hertz VUV linewidths. Our work addresses the central challenge towards a 229Th-based nuclear clock and establishes a widely tunable, ultranarrow-linewidth laser platform for potential applications across quantum information science21,22,23,24, condensed-matter physics25 and high-resolution VUV spectroscopy26.</w:t>
      </w:r>
    </w:p>
    <w:p>
      <w:pPr>
        <w:spacing w:before="120" w:after="120"/>
      </w:pPr>
      <w:r>
        <w:rPr>
          <w:sz w:val="18"/>
        </w:rPr>
        <w:t>——————————————————————————————————————————————————————————————————————</w:t>
      </w:r>
    </w:p>
    <w:p>
      <w:pPr>
        <w:spacing w:before="160" w:after="40" w:line="240" w:lineRule="auto"/>
      </w:pPr>
      <w:r>
        <w:rPr>
          <w:b/>
        </w:rPr>
        <w:t xml:space="preserve">[338] </w:t>
      </w:r>
      <w:hyperlink r:id="rId559">
        <w:r>
          <w:rPr>
            <w:color w:val="1155CC"/>
            <w:u w:val="single"/>
          </w:rPr>
          <w:t>用于透析的可穿戴的人工肾脏原型</w:t>
        </w:r>
      </w:hyperlink>
    </w:p>
    <w:p>
      <w:pPr>
        <w:spacing w:before="0" w:after="80"/>
      </w:pPr>
      <w:r>
        <w:rPr>
          <w:i/>
          <w:sz w:val="20"/>
        </w:rPr>
        <w:t>EN: A prototype of a dialysate fluid-free wearable artificial kidney for dialysis on the go</w:t>
      </w:r>
    </w:p>
    <w:p>
      <w:pPr>
        <w:spacing w:before="0" w:after="120"/>
      </w:pPr>
      <w:r>
        <w:rPr>
          <w:b/>
        </w:rPr>
        <w:t xml:space="preserve">Source: </w:t>
      </w:r>
      <w:r>
        <w:t>Nature Chemical Engineering</w:t>
      </w:r>
      <w:r>
        <w:t xml:space="preserve">    </w:t>
      </w:r>
      <w:r>
        <w:rPr>
          <w:b/>
        </w:rPr>
        <w:t xml:space="preserve">Pub date: </w:t>
      </w:r>
      <w:r>
        <w:t>2026-02-11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[339] </w:t>
      </w:r>
      <w:hyperlink r:id="rId560">
        <w:r>
          <w:rPr>
            <w:color w:val="1155CC"/>
            <w:u w:val="single"/>
          </w:rPr>
          <w:t>以全息光光场合成方式进行分二分二体体3D打印</w:t>
        </w:r>
      </w:hyperlink>
    </w:p>
    <w:p>
      <w:pPr>
        <w:spacing w:before="0" w:after="80"/>
      </w:pPr>
      <w:r>
        <w:rPr>
          <w:i/>
          <w:sz w:val="20"/>
        </w:rPr>
        <w:t>EN: Sub-second volumetric 3D printing by synthesis of holographic light fields</w:t>
      </w:r>
    </w:p>
    <w:p>
      <w:pPr>
        <w:spacing w:before="0" w:after="120"/>
      </w:pPr>
      <w:r>
        <w:rPr>
          <w:b/>
        </w:rPr>
        <w:t xml:space="preserve">Source: </w:t>
      </w:r>
      <w:r>
        <w:t>Nature</w:t>
      </w:r>
      <w:r>
        <w:t xml:space="preserve">    </w:t>
      </w:r>
      <w:r>
        <w:rPr>
          <w:b/>
        </w:rPr>
        <w:t xml:space="preserve">Pub date: </w:t>
      </w:r>
      <w:r>
        <w:t>2026-02-11 00:00:00+00:00</w:t>
      </w:r>
    </w:p>
    <w:p>
      <w:pPr>
        <w:spacing w:before="0" w:after="120"/>
      </w:pPr>
      <w:r>
        <w:rPr>
          <w:b/>
        </w:rPr>
        <w:t xml:space="preserve">Notes: </w:t>
      </w:r>
      <w:r>
        <w:t>abstract_source=nature_html</w:t>
      </w:r>
    </w:p>
    <w:p>
      <w:pPr>
        <w:spacing w:before="0" w:after="80" w:lineRule="auto" w:line="276"/>
      </w:pPr>
      <w:r>
        <w:rPr>
          <w:b/>
        </w:rPr>
        <w:t xml:space="preserve">摘要（ZH）: </w:t>
      </w:r>
      <w:r>
        <w:t>量体添加剂制造已成为灵活生产复杂结构的一种有前景的技术,在工程、光子和生物学1,2。 2 然而,目前的方法仍然面临着分辨率和体积建设率之间的权衡,限制了高分辨率3D结构的高效和灵活生产。 我们在此提出一种方法,称为全息光区数字不协调合成(DISH),通过连续的多角预测,以高速旋转透视镜进行高分辨率3D光谱传播,而不需要抽样旋转。 DISH中不同角度的全息图的迭接优化保持了1厘米范围内的19微米打印分辨率,远远超出深度。</w:t>
      </w:r>
    </w:p>
    <w:p>
      <w:pPr>
        <w:spacing w:before="0" w:after="200" w:lineRule="auto" w:line="276"/>
      </w:pPr>
      <w:r>
        <w:rPr>
          <w:b/>
        </w:rPr>
        <w:t xml:space="preserve">Abstract (EN): </w:t>
      </w:r>
      <w:r>
        <w:t>Volumetric additive manufacturing has emerged as a promising technique for the flexible production of complex structures, with diverse applications in engineering, photonics and biology1,2. However, present methods still face a trade-off between resolution and volumetric build rate, restricting efficient and flexible production of high-resolution 3D structures. Here we propose a method, called digital incoherent synthesis of holographic light fields (DISH), to generate high-resolution 3D light distributions through continuous multi-angle projections with a high-speed rotating periscope without the requirement of sample rotation. The iterative optimization of the holograms for different angles in DISH maintains 19-μm printing resolution across the 1-cm range that is far beyond the depth of field of the objective and enables high-resolution in situ 3D printing of millimetre-scale objects within only 0.6 s. Acrylate materials in a range of viscosities are used to demonstrate the general compatibility of DISH. Integrating DISH with a fluid channel, we achieved mass production of complex and diverse 3D structures within low-viscosity materials, demonstrating its potential for broad applications in diverse fields.</w:t>
      </w:r>
    </w:p>
    <w:p>
      <w:pPr>
        <w:spacing w:before="120" w:after="120"/>
      </w:pPr>
      <w:r>
        <w:rPr>
          <w:sz w:val="18"/>
        </w:rPr>
        <w:t>——————————————————————————————————————————————————————————————————————</w:t>
      </w:r>
    </w:p>
    <w:p>
      <w:pPr>
        <w:spacing w:before="160" w:after="40" w:line="240" w:lineRule="auto"/>
      </w:pPr>
      <w:r>
        <w:rPr>
          <w:b/>
        </w:rPr>
        <w:t xml:space="preserve">[340] </w:t>
      </w:r>
      <w:hyperlink r:id="rId561">
        <w:r>
          <w:rPr>
            <w:color w:val="1155CC"/>
            <w:u w:val="single"/>
          </w:rPr>
          <w:t>作者更正: eukaryotes heimdallarchaie 祖先的推论和重建</w:t>
        </w:r>
      </w:hyperlink>
    </w:p>
    <w:p>
      <w:pPr>
        <w:spacing w:before="0" w:after="80"/>
      </w:pPr>
      <w:r>
        <w:rPr>
          <w:i/>
          <w:sz w:val="20"/>
        </w:rPr>
        <w:t>EN: Author Correction: Inference and reconstruction of the heimdallarchaeial ancestry of eukaryotes</w:t>
      </w:r>
    </w:p>
    <w:p>
      <w:pPr>
        <w:spacing w:before="0" w:after="120"/>
      </w:pPr>
      <w:r>
        <w:rPr>
          <w:b/>
        </w:rPr>
        <w:t xml:space="preserve">Source: </w:t>
      </w:r>
      <w:r>
        <w:t>Nature</w:t>
      </w:r>
      <w:r>
        <w:t xml:space="preserve">    </w:t>
      </w:r>
      <w:r>
        <w:rPr>
          <w:b/>
        </w:rPr>
        <w:t xml:space="preserve">Pub date: </w:t>
      </w:r>
      <w:r>
        <w:t>2026-02-11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[341] </w:t>
      </w:r>
      <w:hyperlink r:id="rId562">
        <w:r>
          <w:rPr>
            <w:color w:val="1155CC"/>
            <w:u w:val="single"/>
          </w:rPr>
          <w:t>切切前结构揭示了DNA核糖化核酸切除修补原则。</w:t>
        </w:r>
      </w:hyperlink>
    </w:p>
    <w:p>
      <w:pPr>
        <w:spacing w:before="0" w:after="80"/>
      </w:pPr>
      <w:r>
        <w:rPr>
          <w:i/>
          <w:sz w:val="20"/>
        </w:rPr>
        <w:t>EN: Pre-incision structures reveal principles of DNA nucleotide excision repair</w:t>
      </w:r>
    </w:p>
    <w:p>
      <w:pPr>
        <w:spacing w:before="0" w:after="120"/>
      </w:pPr>
      <w:r>
        <w:rPr>
          <w:b/>
        </w:rPr>
        <w:t xml:space="preserve">Source: </w:t>
      </w:r>
      <w:r>
        <w:t>Nature</w:t>
      </w:r>
      <w:r>
        <w:t xml:space="preserve">    </w:t>
      </w:r>
      <w:r>
        <w:rPr>
          <w:b/>
        </w:rPr>
        <w:t xml:space="preserve">Pub date: </w:t>
      </w:r>
      <w:r>
        <w:t>2026-02-11 00:00:00+00:00</w:t>
      </w:r>
    </w:p>
    <w:p>
      <w:pPr>
        <w:spacing w:before="0" w:after="120"/>
      </w:pPr>
      <w:r>
        <w:rPr>
          <w:b/>
        </w:rPr>
        <w:t xml:space="preserve">Notes: </w:t>
      </w:r>
      <w:r>
        <w:t>abstract_source=nature_html</w:t>
      </w:r>
    </w:p>
    <w:p>
      <w:pPr>
        <w:spacing w:before="0" w:after="80" w:lineRule="auto" w:line="276"/>
      </w:pPr>
      <w:r>
        <w:rPr>
          <w:b/>
        </w:rPr>
        <w:t xml:space="preserve">摘要（ZH）: </w:t>
      </w:r>
      <w:r>
        <w:t>在XPC在全球基因组修复中初步确认损害后,或由XPC在全球基因组修复中初步确认,或由RNA在转录混合修补中停滞的聚合酶后,由TFIIH(包括ATPase XPB和XPD)以及XPD(XPA)、XPA、XPF、XPG和RPA等额外的NER因子XPA、XPF、XPG和RPA组成一个DNA泡泡2,由大约27个核糖组成。</w:t>
      </w:r>
    </w:p>
    <w:p>
      <w:pPr>
        <w:spacing w:before="0" w:after="200" w:lineRule="auto" w:line="276"/>
      </w:pPr>
      <w:r>
        <w:rPr>
          <w:b/>
        </w:rPr>
        <w:t xml:space="preserve">Abstract (EN): </w:t>
      </w:r>
      <w:r>
        <w:t>Nucleotide excision repair (NER) removes bulky adducts from genomic DNA and prevents the ultraviolet light-sensitivity disease xeroderma pigmentosum, cancer and premature ageing1. After initial lesion recognition by XPC in global genome repair or by stalled RNA polymerases in transcription-coupled repair, a lesion and surrounding DNA duplex are unwound by TFIIH, which includes the ATPases XPB and XPD, and additional NER factors XPA, XPF, XPG and RPA, to form a DNA bubble2 comprising around 27 nucleotides. The double strand–single strand (ds-ss) junction-specific endonucleases XPF and XPG cleave DNA on the 5′ and 3′ sides of the lesion, respectively. Here we report the functional steps and atomic structures of the ATPase-driven and lesion-dependent DNA bubble formation and arrangement of the complete NER factors for dual incision. The unwinding of nearly 30 base pairs of DNA depends mainly on the double strand DNA translocase XPB and the duplex dividers XPA and XPF. XPD binds the lesion strand with XPF at the 5′ ds-ss junction. XPF cuts the lesion strand only after XPG binds the 3′ ds-ss junction. The ERCC1 subunit of XPF facilitates DNA strand separation and recruitment of RPA to the non-lesion strand. These findings provide insights on the causes of human diseases and potential targets for enhancing chemotherapeutic efficacy.</w:t>
      </w:r>
    </w:p>
    <w:p>
      <w:pPr>
        <w:spacing w:before="120" w:after="120"/>
      </w:pPr>
      <w:r>
        <w:rPr>
          <w:sz w:val="18"/>
        </w:rPr>
        <w:t>——————————————————————————————————————————————————————————————————————</w:t>
      </w:r>
    </w:p>
    <w:p>
      <w:pPr>
        <w:spacing w:before="160" w:after="40" w:line="240" w:lineRule="auto"/>
      </w:pPr>
      <w:r>
        <w:rPr>
          <w:b/>
        </w:rPr>
        <w:t xml:space="preserve">[342] </w:t>
      </w:r>
      <w:hyperlink r:id="rId563">
        <w:r>
          <w:rPr>
            <w:color w:val="1155CC"/>
            <w:u w:val="single"/>
          </w:rPr>
          <w:t>《标准模型》关于原子氢的分部分三亿分数测试</w:t>
        </w:r>
      </w:hyperlink>
    </w:p>
    <w:p>
      <w:pPr>
        <w:spacing w:before="0" w:after="80"/>
      </w:pPr>
      <w:r>
        <w:rPr>
          <w:i/>
          <w:sz w:val="20"/>
        </w:rPr>
        <w:t>EN: Sub-part-per-trillion test of the Standard Model with atomic hydrogen</w:t>
      </w:r>
    </w:p>
    <w:p>
      <w:pPr>
        <w:spacing w:before="0" w:after="120"/>
      </w:pPr>
      <w:r>
        <w:rPr>
          <w:b/>
        </w:rPr>
        <w:t xml:space="preserve">Source: </w:t>
      </w:r>
      <w:r>
        <w:t>Nature</w:t>
      </w:r>
      <w:r>
        <w:t xml:space="preserve">    </w:t>
      </w:r>
      <w:r>
        <w:rPr>
          <w:b/>
        </w:rPr>
        <w:t xml:space="preserve">Pub date: </w:t>
      </w:r>
      <w:r>
        <w:t>2026-02-11 00:00:00+00:00</w:t>
      </w:r>
    </w:p>
    <w:p>
      <w:pPr>
        <w:spacing w:before="0" w:after="120"/>
      </w:pPr>
      <w:r>
        <w:rPr>
          <w:b/>
        </w:rPr>
        <w:t xml:space="preserve">Notes: </w:t>
      </w:r>
      <w:r>
        <w:t>abstract_source=nature_html</w:t>
      </w:r>
    </w:p>
    <w:p>
      <w:pPr>
        <w:spacing w:before="0" w:after="80" w:lineRule="auto" w:line="276"/>
      </w:pPr>
      <w:r>
        <w:rPr>
          <w:b/>
        </w:rPr>
        <w:t xml:space="preserve">摘要（ZH）: </w:t>
      </w:r>
      <w:r>
        <w:t>量子电动力学(QED)是第一个相对论量子场理论,它描述基本水平的光-物质相互作用,是标准模型(SM)的支柱之一。通过QED的异常精确性,SM预测了氢原子等简单系统的能量水平,例如氢原子的能量水平,高达13个重要数字1,使氢光谱学成为理想的试验床。 使用QED(如质子充电半径)从氢的不同转变中提取的物理常量的一致性是对理论的测试。 然而,最近测量的2,3,4,5,6,7的原子氢的回声值彼此部分相异,并且具有更精确的素状氢的光谱学价值8,9 这使QED在Experim水平上测试QED无法进行精确的测试。</w:t>
      </w:r>
    </w:p>
    <w:p>
      <w:pPr>
        <w:spacing w:before="0" w:after="200" w:lineRule="auto" w:line="276"/>
      </w:pPr>
      <w:r>
        <w:rPr>
          <w:b/>
        </w:rPr>
        <w:t xml:space="preserve">Abstract (EN): </w:t>
      </w:r>
      <w:r>
        <w:t>Quantum electrodynamics (QED), the first relativistic quantum field theory, describes light–matter interactions at a fundamental level and is one of the pillars of the Standard Model (SM). Through the extraordinary precision of QED, the SM predicts the energy levels of simple systems such as the hydrogen atom with up to 13 significant digits1, making hydrogen spectroscopy an ideal test bed. The consistency of physical constants extracted from different transitions in hydrogen using QED, such as the proton charge radius rp, constitutes a test of the theory. However, values of rp from recent measurements2,3,4,5,6,7 of atomic hydrogen are partly discrepant with each other and with a more precise value from spectroscopy of muonic hydrogen8,9. This prevents a test of QED at the level of experimental uncertainties. Here we present a measurement of the 2S–6P transition in atomic hydrogen with sufficient precision to distinguish between the discrepant values of rp and enable rigorous testing of QED and the SM overall. Our result ν2S–6P = 730,690,248,610.79(48) kHz gives a value of rp = 0.8406(15) fm at least 2.5-fold more precise than from other atomic hydrogen determinations and in excellent agreement with the muonic value. The SM prediction of the transition frequency (730,690,248,610.79(23) kHz) is in excellent agreement with our result, testing the SM to 0.7 parts per trillion (ppt) and, specifically, bound-state QED corrections to 0.5 parts per million (ppm), their most precise test so far.</w:t>
      </w:r>
    </w:p>
    <w:p>
      <w:pPr>
        <w:spacing w:before="120" w:after="120"/>
      </w:pPr>
      <w:r>
        <w:rPr>
          <w:sz w:val="18"/>
        </w:rPr>
        <w:t>——————————————————————————————————————————————————————————————————————</w:t>
      </w:r>
    </w:p>
    <w:p>
      <w:pPr>
        <w:spacing w:before="160" w:after="40" w:line="240" w:lineRule="auto"/>
      </w:pPr>
      <w:r>
        <w:rPr>
          <w:b/>
        </w:rPr>
        <w:t xml:space="preserve">[343] </w:t>
      </w:r>
      <w:hyperlink r:id="rId564">
        <w:r>
          <w:rPr>
            <w:color w:val="1155CC"/>
            <w:u w:val="single"/>
          </w:rPr>
          <w:t>光受困多原子分子的双对双一致时间</w:t>
        </w:r>
      </w:hyperlink>
    </w:p>
    <w:p>
      <w:pPr>
        <w:spacing w:before="0" w:after="80"/>
      </w:pPr>
      <w:r>
        <w:rPr>
          <w:i/>
          <w:sz w:val="20"/>
        </w:rPr>
        <w:t>EN: Parity-doublet coherence times in optically trapped polyatomic molecules</w:t>
      </w:r>
    </w:p>
    <w:p>
      <w:pPr>
        <w:spacing w:before="0" w:after="120"/>
      </w:pPr>
      <w:r>
        <w:rPr>
          <w:b/>
        </w:rPr>
        <w:t xml:space="preserve">Source: </w:t>
      </w:r>
      <w:r>
        <w:t>Nature</w:t>
      </w:r>
      <w:r>
        <w:t xml:space="preserve">    </w:t>
      </w:r>
      <w:r>
        <w:rPr>
          <w:b/>
        </w:rPr>
        <w:t xml:space="preserve">Pub date: </w:t>
      </w:r>
      <w:r>
        <w:t>2026-02-11 00:00:00+00:00</w:t>
      </w:r>
    </w:p>
    <w:p>
      <w:pPr>
        <w:spacing w:before="0" w:after="120"/>
      </w:pPr>
      <w:r>
        <w:rPr>
          <w:b/>
        </w:rPr>
        <w:t xml:space="preserve">Notes: </w:t>
      </w:r>
      <w:r>
        <w:t>abstract_source=nature_html</w:t>
      </w:r>
    </w:p>
    <w:p>
      <w:pPr>
        <w:spacing w:before="0" w:after="80" w:lineRule="auto" w:line="276"/>
      </w:pPr>
      <w:r>
        <w:rPr>
          <w:b/>
        </w:rPr>
        <w:t xml:space="preserve">摘要（ZH）: </w:t>
      </w:r>
      <w:r>
        <w:t>多元分子提供了在量子信息科学、 量子模拟2、3、4和精确搜索标准模型5、6、7、8、9. 之外的物理应用所理想的复杂内部结构。 多原子分子的一个关键特征是存在对等双状态。这些结构通常产生于多原子分子提供的旋转和振动自由度,是追求多种量子科学应用的强大特征。7 线形三亚分子在振动弯曲模式中含有l型对等双状态,预计它们将显示出强大的一致性性。我们在这里报告了在l型对等双状态中制造的光性卡奥赫分子,并实现了 XT2 的光度二次一致性时间。</w:t>
      </w:r>
    </w:p>
    <w:p>
      <w:pPr>
        <w:spacing w:before="0" w:after="200" w:lineRule="auto" w:line="276"/>
      </w:pPr>
      <w:r>
        <w:rPr>
          <w:b/>
        </w:rPr>
        <w:t xml:space="preserve">Abstract (EN): </w:t>
      </w:r>
      <w:r>
        <w:t>Polyatomic molecules provide complex internal structures that are ideal for applications in quantum information science1, quantum simulation2,3,4 and precision searches for physics beyond the standard model5,6,7,8,9. A key feature of polyatomic molecules is the presence of parity-doublet states. These structures, which generically arise from the rotational and vibrational degrees of freedom afforded by polyatomic molecules, are a powerful feature to pursue diverse quantum science applications7. Linear triatomic molecules contain ℓ-type parity-doublet states in the vibrational bending mode, which are predicted to exhibit robust coherence properties. Here we report optically trapped CaOH molecules prepared in ℓ-type parity-doublet states and realize a bare qubit coherence time of {T}_{2}^{* }=0.8(2)\,{\rm{s}}, which is longer than the 0.36 s lifetime of the bending mode10,11. We suppress differential Stark shifts by cancelling ambient electric fields using molecular spectroscopy and characterize parity-dependent trap shifts, which are found to limit the coherence time. The parity-doublet coherence times achieved in this work are a defining milestone for the use of polyatomic molecules in quantum science.</w:t>
      </w:r>
    </w:p>
    <w:p>
      <w:pPr>
        <w:spacing w:before="120" w:after="120"/>
      </w:pPr>
      <w:r>
        <w:rPr>
          <w:sz w:val="18"/>
        </w:rPr>
        <w:t>——————————————————————————————————————————————————————————————————————</w:t>
      </w:r>
    </w:p>
    <w:p>
      <w:pPr>
        <w:spacing w:before="160" w:after="40" w:line="240" w:lineRule="auto"/>
      </w:pPr>
      <w:r>
        <w:rPr>
          <w:b/>
        </w:rPr>
        <w:t xml:space="preserve">[344] </w:t>
      </w:r>
      <w:hyperlink r:id="rId565">
        <w:r>
          <w:rPr>
            <w:color w:val="1155CC"/>
            <w:u w:val="single"/>
          </w:rPr>
          <w:t>以 3D/2D 命令的 3D/2D 异相</w:t>
        </w:r>
      </w:hyperlink>
    </w:p>
    <w:p>
      <w:pPr>
        <w:spacing w:before="0" w:after="80"/>
      </w:pPr>
      <w:r>
        <w:rPr>
          <w:i/>
          <w:sz w:val="20"/>
        </w:rPr>
        <w:t>EN: Maximizing perovskite electroluminescence with ordered 3D/2D heterojunction</w:t>
      </w:r>
    </w:p>
    <w:p>
      <w:pPr>
        <w:spacing w:before="0" w:after="120"/>
      </w:pPr>
      <w:r>
        <w:rPr>
          <w:b/>
        </w:rPr>
        <w:t xml:space="preserve">Source: </w:t>
      </w:r>
      <w:r>
        <w:t>Nature</w:t>
      </w:r>
      <w:r>
        <w:t xml:space="preserve">    </w:t>
      </w:r>
      <w:r>
        <w:rPr>
          <w:b/>
        </w:rPr>
        <w:t xml:space="preserve">Pub date: </w:t>
      </w:r>
      <w:r>
        <w:t>2026-02-11 00:00:00+00:00</w:t>
      </w:r>
    </w:p>
    <w:p>
      <w:pPr>
        <w:spacing w:before="0" w:after="120"/>
      </w:pPr>
      <w:r>
        <w:rPr>
          <w:b/>
        </w:rPr>
        <w:t xml:space="preserve">Notes: </w:t>
      </w:r>
      <w:r>
        <w:t>abstract_source=nature_html</w:t>
      </w:r>
    </w:p>
    <w:p>
      <w:pPr>
        <w:spacing w:before="0" w:after="80" w:lineRule="auto" w:line="276"/>
      </w:pPr>
      <w:r>
        <w:rPr>
          <w:b/>
        </w:rPr>
        <w:t xml:space="preserve">摘要（ZH）: </w:t>
      </w:r>
      <w:r>
        <w:t>金属卤化百草枯光释放二极管(PeLED)展示了极好的外部量子效率(EQE)、易彩色金枪鱼性和低成本可加工性,使得它们有望采用下一代显示技术1,2,3.3。 然而,与有机光排放二极管(LED)相比,PeLED的性能仍然低于有机光排放二极管(LED)40%左右,原因是充电限制不足,以及薄膜表面的非辐射性再结合导致缺陷。 我们在这里报告了一种自发形成的3D/2D垂直方向的透气结合,采用简单的单步脊柱式分解法,可以有效地限制充电载载载器,并将辐射区从富于缺陷的表面区域转移开来。 值得注意的是,顶层展览上的2D渗透剂是一种皱纹的表面形态,即其中的形态。</w:t>
      </w:r>
    </w:p>
    <w:p>
      <w:pPr>
        <w:spacing w:before="0" w:after="200" w:lineRule="auto" w:line="276"/>
      </w:pPr>
      <w:r>
        <w:rPr>
          <w:b/>
        </w:rPr>
        <w:t xml:space="preserve">Abstract (EN): </w:t>
      </w:r>
      <w:r>
        <w:t>Metal halide perovskite light-emitting diodes (PeLEDs) have demonstrated excellent external quantum efficiency (EQE), easy colour tunability and low-cost processability, making them promising next-generation display techniques1,2,3. However, PeLEDs still underperform compared with organic light-emitting diodes (LEDs) with an EQE of about 40% because of insufficient charge confinement and defect-caused non-radiative recombination on the film surface. Here we report a spontaneously formed 3D/2D vertically oriented perovskite heterojunction by means of a simple one-step spin-coating method, which could effectively confine the charge carriers and shift the radiation zone away from the defect-rich surface region. Notably, the 2D perovskite on top exhibits a wrinkled surface morphology, which offers up to 45.4% light extraction efficiency. The resulting PeLEDs achieved an EQE of 42.9% for the green emission (certified 42.3%). Our work sheds light on the strategies for fabricating high-efficiency PeLEDs in the future.</w:t>
      </w:r>
    </w:p>
    <w:p>
      <w:pPr>
        <w:spacing w:before="120" w:after="120"/>
      </w:pPr>
      <w:r>
        <w:rPr>
          <w:sz w:val="18"/>
        </w:rPr>
        <w:t>——————————————————————————————————————————————————————————————————————</w:t>
      </w:r>
    </w:p>
    <w:p>
      <w:pPr>
        <w:spacing w:before="160" w:after="40" w:line="240" w:lineRule="auto"/>
      </w:pPr>
      <w:r>
        <w:rPr>
          <w:b/>
        </w:rPr>
        <w:t xml:space="preserve">[345] </w:t>
      </w:r>
      <w:hyperlink r:id="rId566">
        <w:r>
          <w:rPr>
            <w:color w:val="1155CC"/>
            <w:u w:val="single"/>
          </w:rPr>
          <w:t>NMDA原原受体的形形多样性和完全开放机制</w:t>
        </w:r>
      </w:hyperlink>
    </w:p>
    <w:p>
      <w:pPr>
        <w:spacing w:before="0" w:after="80"/>
      </w:pPr>
      <w:r>
        <w:rPr>
          <w:i/>
          <w:sz w:val="20"/>
        </w:rPr>
        <w:t>EN: Conformational diversity and fully opening mechanism of native NMDA receptor</w:t>
      </w:r>
    </w:p>
    <w:p>
      <w:pPr>
        <w:spacing w:before="0" w:after="120"/>
      </w:pPr>
      <w:r>
        <w:rPr>
          <w:b/>
        </w:rPr>
        <w:t xml:space="preserve">Source: </w:t>
      </w:r>
      <w:r>
        <w:t>Nature</w:t>
      </w:r>
      <w:r>
        <w:t xml:space="preserve">    </w:t>
      </w:r>
      <w:r>
        <w:rPr>
          <w:b/>
        </w:rPr>
        <w:t xml:space="preserve">Pub date: </w:t>
      </w:r>
      <w:r>
        <w:t>2026-02-11 00:00:00+00:00</w:t>
      </w:r>
    </w:p>
    <w:p>
      <w:pPr>
        <w:spacing w:before="0" w:after="120"/>
      </w:pPr>
      <w:r>
        <w:rPr>
          <w:b/>
        </w:rPr>
        <w:t xml:space="preserve">Notes: </w:t>
      </w:r>
      <w:r>
        <w:t>abstract_source=nature_html</w:t>
      </w:r>
    </w:p>
    <w:p>
      <w:pPr>
        <w:spacing w:before="0" w:after="80" w:lineRule="auto" w:line="276"/>
      </w:pPr>
      <w:r>
        <w:rPr>
          <w:b/>
        </w:rPr>
        <w:t xml:space="preserve">摘要（ZH）: </w:t>
      </w:r>
      <w:r>
        <w:t>N-met-d-part-part式受体(NMDARs)是谷颈系成离子信道,在整个大脑中进行激动神经传播。1 作为强制性的电磁体,激活它们需要同时装配甘油和谷浆。2 尽管最近的结构性研究提供了对特定脑区域内生受体的洞察3 3 的深入了解,但大多数以前的工作都依赖重组受体和工程构造,这限制了我们对整个大脑对本地NMDARs的理解。在这里,我们利用免疫亲亲和净化、单分子整体内部反光荧光显微镜和冷冻电子显微镜,查明并解决了与雌性C57BL/6小鼠整个脑组织有关的10个独特的NMDAR组件。GluN1-GluN2A(S1), GluN1-GluN2A(S2), GluN1-GluN2A(S2)的分析。</w:t>
      </w:r>
    </w:p>
    <w:p>
      <w:pPr>
        <w:spacing w:before="0" w:after="200" w:lineRule="auto" w:line="276"/>
      </w:pPr>
      <w:r>
        <w:rPr>
          <w:b/>
        </w:rPr>
        <w:t xml:space="preserve">Abstract (EN): </w:t>
      </w:r>
      <w:r>
        <w:t>N-methyl-d-aspartate receptors (NMDARs) are glutamate-gated ion channels that mediate excitatory neurotransmission throughout the brain1. As obligate heterotetramers, their activation requires the binding of both glycine and glutamate2. Although recent structural studies have provided insights into endogenous receptors from select brain regions3, most previous work has relied on recombinant receptors and engineered constructs, which limits our understanding of native NMDARs across the whole brain. Here we identify and resolve ten distinct native NMDAR assemblies from the whole-brain tissue of female C57BL/6 mice using immunoaffinity purification, single-molecule total internal reflection fluorescence microscopy and cryo-electron microscopy. Analyses of the GluN1–GluN2A(S1), GluN1–GluN2A(S2), GluN1–GluN2A(S3), GluN1–GluN2B, GluN1–GluN2A–GluN2B(S1), GluN1–GluN2A–GluN2B(S2), GluN1–GluN2A–GluNX(S1), GluN1–GluN2A–GluNX(S2), GluN1–GluN2B–GluNX and GluN1–GluNX structures reveal that GluN2A is the most prevalent subunit across assemblies. Moreover, the substantial conformational flexibility observed in the GluN2A amino-terminal domain may explain its fast kinetics and dominant role in gating. Dynamic movements of S-ketamine were also captured at the channel vestibule, as was pore dilation in both the GluN1 and GluN2B subunits of a native GluN1–GluN2B receptor. The latter observation represents a previously unknown fully open state of NMDAR. Our large collection of heterogeneous NMDAR structures from whole brain reveals previously unrecognized properties of conformational diversity and channel dilation.</w:t>
      </w:r>
    </w:p>
    <w:p>
      <w:pPr>
        <w:spacing w:before="120" w:after="120"/>
      </w:pPr>
      <w:r>
        <w:rPr>
          <w:sz w:val="18"/>
        </w:rPr>
        <w:t>——————————————————————————————————————————————————————————————————————</w:t>
      </w:r>
    </w:p>
    <w:p>
      <w:pPr>
        <w:spacing w:before="160" w:after="40" w:line="240" w:lineRule="auto"/>
      </w:pPr>
      <w:r>
        <w:rPr>
          <w:b/>
        </w:rPr>
        <w:t xml:space="preserve">[346] </w:t>
      </w:r>
      <w:hyperlink r:id="rId567">
        <w:r>
          <w:rPr>
            <w:color w:val="1155CC"/>
            <w:u w:val="single"/>
          </w:rPr>
          <w:t>非希米亚腔量子电动力学</w:t>
        </w:r>
      </w:hyperlink>
    </w:p>
    <w:p>
      <w:pPr>
        <w:spacing w:before="0" w:after="80"/>
      </w:pPr>
      <w:r>
        <w:rPr>
          <w:i/>
          <w:sz w:val="20"/>
        </w:rPr>
        <w:t>EN: On-chip non-Hermitian cavity quantum electrodynamics</w:t>
      </w:r>
    </w:p>
    <w:p>
      <w:pPr>
        <w:spacing w:before="0" w:after="120"/>
      </w:pPr>
      <w:r>
        <w:rPr>
          <w:b/>
        </w:rPr>
        <w:t xml:space="preserve">Source: </w:t>
      </w:r>
      <w:r>
        <w:t>Nature Nanotechnology</w:t>
      </w:r>
      <w:r>
        <w:t xml:space="preserve">    </w:t>
      </w:r>
      <w:r>
        <w:rPr>
          <w:b/>
        </w:rPr>
        <w:t xml:space="preserve">Pub date: </w:t>
      </w:r>
      <w:r>
        <w:t>2026-02-11 00:00:00+00:00</w:t>
      </w:r>
    </w:p>
    <w:p>
      <w:pPr>
        <w:spacing w:before="0" w:after="120"/>
      </w:pPr>
      <w:r>
        <w:rPr>
          <w:b/>
        </w:rPr>
        <w:t xml:space="preserve">Notes: </w:t>
      </w:r>
      <w:r>
        <w:t>abstract_source=nature_html</w:t>
      </w:r>
    </w:p>
    <w:p>
      <w:pPr>
        <w:spacing w:before="0" w:after="80" w:lineRule="auto" w:line="276"/>
      </w:pPr>
      <w:r>
        <w:rPr>
          <w:b/>
        </w:rPr>
        <w:t xml:space="preserve">摘要（ZH）: </w:t>
      </w:r>
      <w:r>
        <w:t>特殊点(EPs)是非赫米提亚系统中的独有点,其中至少有两个电子元结合。它们为光-物质相互作用提供了额外的控制,并且可以例如,增强光子发射者集合的辐射。然而,通过EPs对单一量子发射者特性的高级控制仍然难以实现。在这里,我们通过手动的EP来改造电磁场最低能量状态的量子真空,以形成单量子发射者的自发排放。我们开发了由高质量子发射者、低损光电路、电光调调器和电动动动动器组成的多元集成式集成的硝酸锂-加亚光光电路。</w:t>
      </w:r>
    </w:p>
    <w:p>
      <w:pPr>
        <w:spacing w:before="0" w:after="200" w:lineRule="auto" w:line="276"/>
      </w:pPr>
      <w:r>
        <w:rPr>
          <w:b/>
        </w:rPr>
        <w:t xml:space="preserve">Abstract (EN): </w:t>
      </w:r>
      <w:r>
        <w:t>Exceptional points (EPs) are singularities in non-Hermitian systems where at least two eigenstates coalesce. They provide additional control over light–matter interactions and can, for example, enhance radiation from ensembles of photonic emitters. Advanced control over the characteristics of single quantum emitters via EPs remains, however, elusive. Here we engineer the quantum vacuum, the lowest energy state of the electromagnetic field, via a chiral EP to shape the spontaneous emission of a single quantum emitter. We develop a heterogeneously integrated lithium niobate-GaAs photonic circuit comprising high-quality quantum emitters, low-loss photonic circuits, electro-optic modulators and piezoelectric actuators. We dynamically tune the clockwise–counterclockwise mode coupling to access EPs, thereby inducing anomalous spontaneous emission dynamics with a sevenfold lifetime modulation (120–850 ps) and tunable chirality. Furthermore, we shape the emission spectra at the single-photon level via an EP-controlled local density of states, generating squared-Lorentzian, Fano-asymmetric and EP-induced transparency emissions. The latter manifests as a suppression of photon emission at zero detuning, arising from the non-Lorentzian optical response characteristics inherent to EP systems. This work unveils uncommon cavity quantum electrodynamics unique to EPs and exemplifies how the concept of non-Hermitian quantum photonics may contribute towards high-performance topological quantum light sources.</w:t>
      </w:r>
    </w:p>
    <w:p>
      <w:pPr>
        <w:spacing w:before="120" w:after="120"/>
      </w:pPr>
      <w:r>
        <w:rPr>
          <w:sz w:val="18"/>
        </w:rPr>
        <w:t>——————————————————————————————————————————————————————————————————————</w:t>
      </w:r>
    </w:p>
    <w:p>
      <w:pPr>
        <w:spacing w:before="160" w:after="40" w:line="240" w:lineRule="auto"/>
      </w:pPr>
      <w:r>
        <w:rPr>
          <w:b/>
        </w:rPr>
        <w:t xml:space="preserve">[347] </w:t>
      </w:r>
      <w:hyperlink r:id="rId568">
        <w:r>
          <w:rPr>
            <w:color w:val="1155CC"/>
            <w:u w:val="single"/>
          </w:rPr>
          <w:t>配备集成光敏综合光子的大型量子通信网络</w:t>
        </w:r>
      </w:hyperlink>
    </w:p>
    <w:p>
      <w:pPr>
        <w:spacing w:before="0" w:after="80"/>
      </w:pPr>
      <w:r>
        <w:rPr>
          <w:i/>
          <w:sz w:val="20"/>
        </w:rPr>
        <w:t>EN: Large-scale quantum communication networks with integrated photonics</w:t>
      </w:r>
    </w:p>
    <w:p>
      <w:pPr>
        <w:spacing w:before="0" w:after="120"/>
      </w:pPr>
      <w:r>
        <w:rPr>
          <w:b/>
        </w:rPr>
        <w:t xml:space="preserve">Source: </w:t>
      </w:r>
      <w:r>
        <w:t>Nature</w:t>
      </w:r>
      <w:r>
        <w:t xml:space="preserve">    </w:t>
      </w:r>
      <w:r>
        <w:rPr>
          <w:b/>
        </w:rPr>
        <w:t xml:space="preserve">Pub date: </w:t>
      </w:r>
      <w:r>
        <w:t>2026-02-11 00:00:00+00:00</w:t>
      </w:r>
    </w:p>
    <w:p>
      <w:pPr>
        <w:spacing w:before="0" w:after="120"/>
      </w:pPr>
      <w:r>
        <w:rPr>
          <w:b/>
        </w:rPr>
        <w:t xml:space="preserve">Notes: </w:t>
      </w:r>
      <w:r>
        <w:t>abstract_source=nature_html</w:t>
      </w:r>
    </w:p>
    <w:p>
      <w:pPr>
        <w:spacing w:before="0" w:after="80" w:lineRule="auto" w:line="276"/>
      </w:pPr>
      <w:r>
        <w:rPr>
          <w:b/>
        </w:rPr>
        <w:t xml:space="preserve">摘要（ZH）: </w:t>
      </w:r>
      <w:r>
        <w:t>量子钥匙分布(QKD)利用量子力学原则,使通信安全可靠,1 2 在长通信距离与许多客户建立大规模QKD网络方面仍然存在一个重大挑战。 虽然量子中继继续造成实际困难,4 现有的可信任节点网络5、7、8、9、点对点网络5、6、7、7、9、点对点网络10、11 和波长多倍交错网络12、13 遇到依赖信任的中间人或距离有限等问题。双地量子键分布(TF-QD)提供了一个令人信服的结构,既能克服这些问题,又能加强通信距离14。虽然长距离点对点TFQD已经实现,15、16、17、18、19、20、21,实现大规模网络重组。</w:t>
      </w:r>
    </w:p>
    <w:p>
      <w:pPr>
        <w:spacing w:before="0" w:after="200" w:lineRule="auto" w:line="276"/>
      </w:pPr>
      <w:r>
        <w:rPr>
          <w:b/>
        </w:rPr>
        <w:t xml:space="preserve">Abstract (EN): </w:t>
      </w:r>
      <w:r>
        <w:t>Quantum key distribution (QKD) makes use of the principles of quantum mechanics to enable provably secure communication1,2. One substantial challenge persists in building large-scale QKD networks with many clients over long communication distances3. Although quantum relays continue to pose practical difficulties4, existing trusted-node networks5,6,7,8,9, point-to-multipoint networks10,11 and wavelength-multiplexed entanglement networks12,13 encounter issues such as reliance on trusted intermediaries or limited distances. Twin-field quantum key distribution (TF-QKD) provides a compelling architecture that can overcome those issues while enhancing communication distance14. Although long-distance point-to-point TF-QKD has been achieved15,16,17,18,19,20,21, realizing large-scale networks requires scalable quantum devices. Here we report a proof-of-principle demonstration of an integrated-photonics TF-QKD network with exceptional scalability and reliability. This network includes 20 independent client-side QKD transmitter chips with one server-side optical microcomb chip. The microcomb generates a broad range of ultralow-noise coherent frequency combs with Hz-level linewidths, which serve as seeds and references for all client chips. Each client chip regenerates ultralow-noise light phase-locked to microcombs and prepares quantum keys. We sequentially implement pairwise QKD across 20 client chips through ten wavelength-multiplexed channels, with each surpassing the repeaterless bound at 370 km in spooled fibre, achieving a networking capability (client pairs × communication distance) of 3,700 km. We further demonstrate the wafer-scale reproducibility of both server-side microcomb chips and client-side QKD transmitter chips, together establishing system-level scalability. Combining mass-manufacturability, cost-effectiveness and high scalability of integrated photonics with long-distance quantum communication represents a viable path to large-scale quantum networks.</w:t>
      </w:r>
    </w:p>
    <w:p>
      <w:pPr>
        <w:spacing w:before="120" w:after="120"/>
      </w:pPr>
      <w:r>
        <w:rPr>
          <w:sz w:val="18"/>
        </w:rPr>
        <w:t>——————————————————————————————————————————————————————————————————————</w:t>
      </w:r>
    </w:p>
    <w:p>
      <w:pPr>
        <w:spacing w:before="160" w:after="40" w:line="240" w:lineRule="auto"/>
      </w:pPr>
      <w:r>
        <w:rPr>
          <w:b/>
        </w:rPr>
        <w:t xml:space="preserve">[348] </w:t>
      </w:r>
      <w:hyperlink r:id="rId569">
        <w:r>
          <w:rPr>
            <w:color w:val="1155CC"/>
            <w:u w:val="single"/>
          </w:rPr>
          <w:t>从稀少数据得出的可转让的对应选择性模型</w:t>
        </w:r>
      </w:hyperlink>
    </w:p>
    <w:p>
      <w:pPr>
        <w:spacing w:before="0" w:after="80"/>
      </w:pPr>
      <w:r>
        <w:rPr>
          <w:i/>
          <w:sz w:val="20"/>
        </w:rPr>
        <w:t>EN: Transferable enantioselectivity models from sparse data</w:t>
      </w:r>
    </w:p>
    <w:p>
      <w:pPr>
        <w:spacing w:before="0" w:after="120"/>
      </w:pPr>
      <w:r>
        <w:rPr>
          <w:b/>
        </w:rPr>
        <w:t xml:space="preserve">Source: </w:t>
      </w:r>
      <w:r>
        <w:t>Nature</w:t>
      </w:r>
      <w:r>
        <w:t xml:space="preserve">    </w:t>
      </w:r>
      <w:r>
        <w:rPr>
          <w:b/>
        </w:rPr>
        <w:t xml:space="preserve">Pub date: </w:t>
      </w:r>
      <w:r>
        <w:t>2026-02-11 00:00:00+00:00</w:t>
      </w:r>
    </w:p>
    <w:p>
      <w:pPr>
        <w:spacing w:before="0" w:after="120"/>
      </w:pPr>
      <w:r>
        <w:rPr>
          <w:b/>
        </w:rPr>
        <w:t xml:space="preserve">Notes: </w:t>
      </w:r>
      <w:r>
        <w:t>abstract_source=nature_html</w:t>
      </w:r>
    </w:p>
    <w:p>
      <w:pPr>
        <w:spacing w:before="0" w:after="80" w:lineRule="auto" w:line="276"/>
      </w:pPr>
      <w:r>
        <w:rPr>
          <w:b/>
        </w:rPr>
        <w:t xml:space="preserve">摘要（ZH）: </w:t>
      </w:r>
      <w:r>
        <w:t>确定一个催化剂类别以优化新反应的对应选择性,要么涉及已知基底类型的不同组合,要么完全不为人所知的化合物类别,这是一项艰巨的挑战。 在报告的反应中经过培训的统计模型可以帮助预测抽样变异1-5,但往往面临两个挑战:(1) 有关催化剂-物质相互作用的信息有限,以及(2) 简单的立体电子参数可能无法描述机械化的复杂变异。 677 我们报告了一个描述生成战略,其中说明了与催化剂或子系统特性对应的代谢步骤的变化,允许我们用不同的离子体和子系统类型来模拟反应。</w:t>
      </w:r>
    </w:p>
    <w:p>
      <w:pPr>
        <w:spacing w:before="0" w:after="200" w:lineRule="auto" w:line="276"/>
      </w:pPr>
      <w:r>
        <w:rPr>
          <w:b/>
        </w:rPr>
        <w:t xml:space="preserve">Abstract (EN): </w:t>
      </w:r>
      <w:r>
        <w:t>Identifying a catalyst class to optimize the enantioselectivity of a new reaction, either involving a different combination of known substrate types or an entirely unfamiliar class of compounds, is a formidable challenge. Statistical models trained on a reported set of reactions can help predict out-of-sample transformations1–5 but often face two challenges: (1) only sparse data are available i.e., limited information on catalyst–substrate interactions, and (2) simple stereoelectronic parameters may fail to describe mechanistically complex transformations.6,7 Here we report a descriptor generation strategy that accounts for changes in the enantiodetermining step with catalyst or substrate identity, allowing us to model reactions involving distinct ligand and substrate types. As validating case studies, we collected data on enantioselective nickel-catalyzed C(sp3)-couplings8 and trained statistical models with features extracted from the transition states and intermediates proposed to be involved in asymmetric induction. These models allow for the optimization of poorly performing examples reported in a substrate scope and are applicable to unseen ligands and reaction partners. This approach offers the opportunity to streamline catalyst and reaction development, quantitatively transferring knowledge learned on sparse data to novel chemical spaces.</w:t>
      </w:r>
    </w:p>
    <w:p>
      <w:pPr>
        <w:spacing w:before="120" w:after="120"/>
      </w:pPr>
      <w:r>
        <w:rPr>
          <w:sz w:val="18"/>
        </w:rPr>
        <w:t>——————————————————————————————————————————————————————————————————————</w:t>
      </w:r>
    </w:p>
    <w:p>
      <w:pPr>
        <w:spacing w:before="160" w:after="40" w:line="240" w:lineRule="auto"/>
      </w:pPr>
      <w:r>
        <w:rPr>
          <w:b/>
        </w:rPr>
        <w:t xml:space="preserve">[349] </w:t>
      </w:r>
      <w:hyperlink r:id="rId570">
        <w:r>
          <w:rPr>
            <w:color w:val="1155CC"/>
            <w:u w:val="single"/>
          </w:rPr>
          <w:t>电网特性与可再生资源之间的相互作用如何决定电网连接氢气认证的最佳时间相关性</w:t>
        </w:r>
      </w:hyperlink>
    </w:p>
    <w:p>
      <w:pPr>
        <w:spacing w:before="0" w:after="80"/>
      </w:pPr>
      <w:r>
        <w:rPr>
          <w:i/>
          <w:sz w:val="20"/>
        </w:rPr>
        <w:t>EN: How the interplay between grid characteristics and renewable resources determines optimal temporal correlation for grid-connected hydrogen certification</w:t>
      </w:r>
    </w:p>
    <w:p>
      <w:pPr>
        <w:spacing w:before="0" w:after="120"/>
      </w:pPr>
      <w:r>
        <w:rPr>
          <w:b/>
        </w:rPr>
        <w:t xml:space="preserve">Source: </w:t>
      </w:r>
      <w:r>
        <w:t>ScienceDirect Publication: Energy Policy</w:t>
      </w:r>
      <w:r>
        <w:t xml:space="preserve">    </w:t>
      </w:r>
      <w:r>
        <w:rPr>
          <w:b/>
        </w:rPr>
        <w:t xml:space="preserve">Pub date: </w:t>
      </w:r>
      <w:r>
        <w:t>2026-02-11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[350] </w:t>
      </w:r>
      <w:hyperlink r:id="rId571">
        <w:r>
          <w:rPr>
            <w:color w:val="1155CC"/>
            <w:u w:val="single"/>
          </w:rPr>
          <w:t>头向系统稳定数月</w:t>
        </w:r>
      </w:hyperlink>
    </w:p>
    <w:p>
      <w:pPr>
        <w:spacing w:before="0" w:after="80"/>
      </w:pPr>
      <w:r>
        <w:rPr>
          <w:i/>
          <w:sz w:val="20"/>
        </w:rPr>
        <w:t>EN: Months-long stability of the head-direction system</w:t>
      </w:r>
    </w:p>
    <w:p>
      <w:pPr>
        <w:spacing w:before="0" w:after="120"/>
      </w:pPr>
      <w:r>
        <w:rPr>
          <w:b/>
        </w:rPr>
        <w:t xml:space="preserve">Source: </w:t>
      </w:r>
      <w:r>
        <w:t>Nature</w:t>
      </w:r>
      <w:r>
        <w:t xml:space="preserve">    </w:t>
      </w:r>
      <w:r>
        <w:rPr>
          <w:b/>
        </w:rPr>
        <w:t xml:space="preserve">Pub date: </w:t>
      </w:r>
      <w:r>
        <w:t>2026-02-11 00:00:00+00:00</w:t>
      </w:r>
    </w:p>
    <w:p>
      <w:pPr>
        <w:spacing w:before="0" w:after="120"/>
      </w:pPr>
      <w:r>
        <w:rPr>
          <w:b/>
        </w:rPr>
        <w:t xml:space="preserve">Notes: </w:t>
      </w:r>
      <w:r>
        <w:t>abstract_source=nature_html</w:t>
      </w:r>
    </w:p>
    <w:p>
      <w:pPr>
        <w:spacing w:before="0" w:after="80" w:lineRule="auto" w:line="276"/>
      </w:pPr>
      <w:r>
        <w:rPr>
          <w:b/>
        </w:rPr>
        <w:t xml:space="preserve">摘要（ZH）: </w:t>
      </w:r>
      <w:r>
        <w:t>1 在哺乳动物中,头向系统是大脑导航系统的一个基本组成部分。 虽然该系统其他领域神经元的调试不稳定——例如,通过对河马营地3 细胞的空间调控进行第4天、5,6,7,7,7,8,8,9,10,11-作为方向感基础的神经编码的稳定性仍然不明确。在这里,通过纵向跟踪在自由移动的老鼠的后子体中同一HD细胞的活动,我们在两个层次显示出稳定性和可塑性。尽管人口结构在环境和时间上保持高度养护,但流行的微妙变化仍然很微妙。</w:t>
      </w:r>
    </w:p>
    <w:p>
      <w:pPr>
        <w:spacing w:before="0" w:after="200" w:lineRule="auto" w:line="276"/>
      </w:pPr>
      <w:r>
        <w:rPr>
          <w:b/>
        </w:rPr>
        <w:t xml:space="preserve">Abstract (EN): </w:t>
      </w:r>
      <w:r>
        <w:t>Spatial orientation enables animals to navigate their environment by rapidly mapping the external world and remembering key locations1. In mammals, the head-direction (HD) system is an essential component of the navigation system of the brain2. Although the tuning of neurons in other areas of this system is unstable—evidenced, for example, by the change in the spatial tuning of hippocampal place cells3 across days4,5,6,7,8,9,10,11—the stability of the neuronal code that underlies the sense of direction remains unclear. Here, by longitudinally tracking the activity of the same HD cells in the post-subiculum of freely moving mice, we show stability and plasticity at two levels. Although the population structure remained highly conserved across environments and over time, subtle shifts in population coherence encoded environment identity. In addition, the HD system established a distinct, environment-specific alignment between its internal representation and external landmarks, which persisted for weeks, even after a single exposure. These findings suggest that the HD system forms long-lasting orientation memories that are anchored to specific environments.</w:t>
      </w:r>
    </w:p>
    <w:p>
      <w:pPr>
        <w:spacing w:before="120" w:after="120"/>
      </w:pPr>
      <w:r>
        <w:rPr>
          <w:sz w:val="18"/>
        </w:rPr>
        <w:t>——————————————————————————————————————————————————————————————————————</w:t>
      </w:r>
    </w:p>
    <w:p>
      <w:pPr>
        <w:spacing w:before="160" w:after="40" w:line="240" w:lineRule="auto"/>
      </w:pPr>
      <w:r>
        <w:rPr>
          <w:b/>
        </w:rPr>
        <w:t xml:space="preserve">[351] </w:t>
      </w:r>
      <w:hyperlink r:id="rId572">
        <w:r>
          <w:rPr>
            <w:color w:val="1155CC"/>
            <w:u w:val="single"/>
          </w:rPr>
          <w:t>巨巨磁层效应和在金属双极磁铁磁体中旋转的超级固体</w:t>
        </w:r>
      </w:hyperlink>
    </w:p>
    <w:p>
      <w:pPr>
        <w:spacing w:before="0" w:after="80"/>
      </w:pPr>
      <w:r>
        <w:rPr>
          <w:i/>
          <w:sz w:val="20"/>
        </w:rPr>
        <w:t>EN: Giant magnetocaloric effect and spin supersolid in a metallic dipolar magnet</w:t>
      </w:r>
    </w:p>
    <w:p>
      <w:pPr>
        <w:spacing w:before="0" w:after="120"/>
      </w:pPr>
      <w:r>
        <w:rPr>
          <w:b/>
        </w:rPr>
        <w:t xml:space="preserve">Source: </w:t>
      </w:r>
      <w:r>
        <w:t>Nature</w:t>
      </w:r>
      <w:r>
        <w:t xml:space="preserve">    </w:t>
      </w:r>
      <w:r>
        <w:rPr>
          <w:b/>
        </w:rPr>
        <w:t xml:space="preserve">Pub date: </w:t>
      </w:r>
      <w:r>
        <w:t>2026-02-11 00:00:00+00:00</w:t>
      </w:r>
    </w:p>
    <w:p>
      <w:pPr>
        <w:spacing w:before="0" w:after="120"/>
      </w:pPr>
      <w:r>
        <w:rPr>
          <w:b/>
        </w:rPr>
        <w:t xml:space="preserve">Notes: </w:t>
      </w:r>
      <w:r>
        <w:t>abstract_source=nature_html</w:t>
      </w:r>
    </w:p>
    <w:p>
      <w:pPr>
        <w:spacing w:before="0" w:after="80" w:lineRule="auto" w:line="276"/>
      </w:pPr>
      <w:r>
        <w:rPr>
          <w:b/>
        </w:rPr>
        <w:t xml:space="preserve">摘要（ZH）: </w:t>
      </w:r>
      <w:r>
        <w:t>超级固体的旋转超级固体——一种磁性模拟,它同时显示固体和超级浮流的订单,它已经成为一种大有希望的亚凯尔文制冷剂,具有强大的低能波动和相关的昆虫效应。 1 然而,严格的先决条件迄今为止将其存在局限于某些磁绝缘器。 我们在这里报告在稀土化合物EuCo2Al9(ECA)中发现了一个金属旋转超级固体,这是一个很好的金属,具有极好的电导和热导力。 高螺旋 Eu2+离子形成一个三维的三角层层,其中,通过一个涉及Ruderman-Kitel-Kasuya-Yosida(RKKKKYKY)和两极结合的机制,旋转超级固体状态稳定下来。</w:t>
      </w:r>
    </w:p>
    <w:p>
      <w:pPr>
        <w:spacing w:before="0" w:after="200" w:lineRule="auto" w:line="276"/>
      </w:pPr>
      <w:r>
        <w:rPr>
          <w:b/>
        </w:rPr>
        <w:t xml:space="preserve">Abstract (EN): </w:t>
      </w:r>
      <w:r>
        <w:t>The spin supersolid—a magnetic analogue of the supersolid that simultaneously exhibits solid and superfluid orders—has emerged as a promising sub-Kelvin refrigerant with strong low-energy fluctuations and associated entropic effects1. However, the stringent prerequisites have so far confined its presence to certain magnetic insulators. Here we report the discovery of a metallic spin supersolid in a rare-earth compound EuCo2Al9 (ECA), which is a good metal with excellent electrical and thermal conductivity. The high-spin Eu2+ ions form a three-dimensional lattice with stacked triangular layers, in which the spin-supersolid state is stabilized through a mechanism involving both Ruderman–Kittel–Kasuya–Yosida (RKKY) and dipolar couplings. Neutron diffraction shows microscopic evidence of spin supersolidity, demonstrating the coexistence of out-of-plane and in-plane spin orders in this alloy. Our RKKY–dipolar model successfully captures the metallic spin-supersolid Y and V phases in ECA, along with the 1/3 magnetization plateau. The observed nonclassical magnetization behaviours within these phases point to significant quantum fluctuations, probably enhanced by the conduction electrons. The resistivity measurements provide a transport probe for the spin-supersolid transitions, because of scattering of conduction electrons from local moments. Through the adiabatic demagnetization process, ECA achieves ultralow cooling to 106 mK, exhibiting a giant magnetocaloric effect that manifests sharp anomalies in the magnetic Grüneisen ratio. ECA emerges as one of the first metallic spin supersolids, combining low cooling temperature, large magnetic entropy and ultrahigh thermal conductivity for high-performance sub-Kelvin refrigeration.</w:t>
      </w:r>
    </w:p>
    <w:p>
      <w:pPr>
        <w:spacing w:before="120" w:after="120"/>
      </w:pPr>
      <w:r>
        <w:rPr>
          <w:sz w:val="18"/>
        </w:rPr>
        <w:t>——————————————————————————————————————————————————————————————————————</w:t>
      </w:r>
    </w:p>
    <w:p>
      <w:pPr>
        <w:spacing w:before="160" w:after="40" w:line="240" w:lineRule="auto"/>
      </w:pPr>
      <w:r>
        <w:rPr>
          <w:b/>
        </w:rPr>
        <w:t xml:space="preserve">[352] </w:t>
      </w:r>
      <w:hyperlink r:id="rId573">
        <w:r>
          <w:rPr>
            <w:color w:val="1155CC"/>
            <w:u w:val="single"/>
          </w:rPr>
          <w:t>CSN5i-3是 COP9 信号体的星形分子胶抑制剂</w:t>
        </w:r>
      </w:hyperlink>
    </w:p>
    <w:p>
      <w:pPr>
        <w:spacing w:before="0" w:after="80"/>
      </w:pPr>
      <w:r>
        <w:rPr>
          <w:i/>
          <w:sz w:val="20"/>
        </w:rPr>
        <w:t>EN: CSN5i-3 is an orthosteric molecular glue inhibitor of COP9 signalosome</w:t>
      </w:r>
    </w:p>
    <w:p>
      <w:pPr>
        <w:spacing w:before="0" w:after="120"/>
      </w:pPr>
      <w:r>
        <w:rPr>
          <w:b/>
        </w:rPr>
        <w:t xml:space="preserve">Source: </w:t>
      </w:r>
      <w:r>
        <w:t>Nature</w:t>
      </w:r>
      <w:r>
        <w:t xml:space="preserve">    </w:t>
      </w:r>
      <w:r>
        <w:rPr>
          <w:b/>
        </w:rPr>
        <w:t xml:space="preserve">Pub date: </w:t>
      </w:r>
      <w:r>
        <w:t>2026-02-11 00:00:00+00:00</w:t>
      </w:r>
    </w:p>
    <w:p>
      <w:pPr>
        <w:spacing w:before="0" w:after="120"/>
      </w:pPr>
      <w:r>
        <w:rPr>
          <w:b/>
        </w:rPr>
        <w:t xml:space="preserve">Notes: </w:t>
      </w:r>
      <w:r>
        <w:t>abstract_source=nature_html</w:t>
      </w:r>
    </w:p>
    <w:p>
      <w:pPr>
        <w:spacing w:before="0" w:after="80" w:lineRule="auto" w:line="276"/>
      </w:pPr>
      <w:r>
        <w:rPr>
          <w:b/>
        </w:rPr>
        <w:t xml:space="preserve">摘要（ZH）: </w:t>
      </w:r>
      <w:r>
        <w:t>通过基底依赖性来增强其特性,其机制取决于直接竞争而不是选择性的承认。 我们在这里表明,分子胶水机制意外地将基依赖性能量带给 SSN5i-3, 一种COP9 信号体(CSN) 的恒温抑制剂。 我们首先确认,CSN5i-3 抑制了CSNN, 它催化NED8 (N8) 从CULLIN-NED8 (N8) 室本基里根脱钩, 占据其催化子单元CSN5的活跃点, 并直接与等- / pOPide 连接基质进行竞争。 值得注意的是, 恒温抑制剂将自由的CPN与微摩尔的亲近性结合起来, 但是在阻塞其硬性极中实现了纳米分子的特性。</w:t>
      </w:r>
    </w:p>
    <w:p>
      <w:pPr>
        <w:spacing w:before="0" w:after="200" w:lineRule="auto" w:line="276"/>
      </w:pPr>
      <w:r>
        <w:rPr>
          <w:b/>
        </w:rPr>
        <w:t xml:space="preserve">Abstract (EN): </w:t>
      </w:r>
      <w:r>
        <w:t>Orthosteric inhibitors block enzyme active sites and prevent substrates from binding1. Enhancing their specificity through substrate dependence seems inherently unlikely, as their mechanism hinges on direct competition rather than selective recognition. Here we show that a molecular glue mechanism unexpectedly imparts substrate-dependent potency to CSN5i-3, an orthosteric inhibitor of the COP9 signalosome (CSN). We first confirm that CSN5i-3 inhibits CSN, which catalyses NEDD8 (N8) deconjugation from the cullin-RING ubiquitin ligases, by occupying the active site of its catalytic subunit, CSN5, and directly competing with the iso-peptide bond substrate. Notably, the orthosteric inhibitor binds free CSN with only micromolar affinity, yet achieves nanomolar potency in blocking its deneddylase activity. Cryogenic electron microscopy structures of the enzyme–substrate–inhibitor complex reveal that active site-engaged CSN5i-3 occludes the substrate iso-peptide linkage while simultaneously extending an N8-binding exosite of CSN5, acting as a molecular glue to cement the N8–CSN5 interaction. The cooperativity of this trimolecular CSN5i-3–N8–CSN5 assembly, in turn, sequesters CSN5i-3 at its binding site, conferring high potency to the orthosteric inhibitor despite its low affinity for the free enzyme. Together, our findings highlight the modest affinity requirements of molecule glues for individual target proteins and establish orthosteric molecular glue inhibitors as a new class of substrate-dependent enzyme antagonists.</w:t>
      </w:r>
    </w:p>
    <w:p>
      <w:pPr>
        <w:spacing w:before="120" w:after="120"/>
      </w:pPr>
      <w:r>
        <w:rPr>
          <w:sz w:val="18"/>
        </w:rPr>
        <w:t>——————————————————————————————————————————————————————————————————————</w:t>
      </w:r>
    </w:p>
    <w:p>
      <w:pPr>
        <w:spacing w:before="160" w:after="40" w:line="240" w:lineRule="auto"/>
      </w:pPr>
      <w:r>
        <w:rPr>
          <w:b/>
        </w:rPr>
        <w:t xml:space="preserve">[353] </w:t>
      </w:r>
      <w:hyperlink r:id="rId574">
        <w:r>
          <w:rPr>
            <w:color w:val="1155CC"/>
            <w:u w:val="single"/>
          </w:rPr>
          <w:t>这些饥饿的免疫细胞 清理睡眠苍蝇的大脑</w:t>
        </w:r>
      </w:hyperlink>
    </w:p>
    <w:p>
      <w:pPr>
        <w:spacing w:before="0" w:after="80"/>
      </w:pPr>
      <w:r>
        <w:rPr>
          <w:i/>
          <w:sz w:val="20"/>
        </w:rPr>
        <w:t>EN: These hungry immune cells tidy sleeping flies’ brains</w:t>
      </w:r>
    </w:p>
    <w:p>
      <w:pPr>
        <w:spacing w:before="0" w:after="120"/>
      </w:pPr>
      <w:r>
        <w:rPr>
          <w:b/>
        </w:rPr>
        <w:t xml:space="preserve">Source: </w:t>
      </w:r>
      <w:r>
        <w:t>Nature</w:t>
      </w:r>
      <w:r>
        <w:t xml:space="preserve">    </w:t>
      </w:r>
      <w:r>
        <w:rPr>
          <w:b/>
        </w:rPr>
        <w:t xml:space="preserve">Pub date: </w:t>
      </w:r>
      <w:r>
        <w:t>2026-02-11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[354] </w:t>
      </w:r>
      <w:hyperlink r:id="rId575">
        <w:r>
          <w:rPr>
            <w:color w:val="1155CC"/>
            <w:u w:val="single"/>
          </w:rPr>
          <w:t>微小的机器人鱼可以游过由超声波驱动的身体</w:t>
        </w:r>
      </w:hyperlink>
    </w:p>
    <w:p>
      <w:pPr>
        <w:spacing w:before="0" w:after="80"/>
      </w:pPr>
      <w:r>
        <w:rPr>
          <w:i/>
          <w:sz w:val="20"/>
        </w:rPr>
        <w:t>EN: Tiny robot fish could swim through the body powered by ultrasound</w:t>
      </w:r>
    </w:p>
    <w:p>
      <w:pPr>
        <w:spacing w:before="0" w:after="120"/>
      </w:pPr>
      <w:r>
        <w:rPr>
          <w:b/>
        </w:rPr>
        <w:t xml:space="preserve">Source: </w:t>
      </w:r>
      <w:r>
        <w:t>Nature</w:t>
      </w:r>
      <w:r>
        <w:t xml:space="preserve">    </w:t>
      </w:r>
      <w:r>
        <w:rPr>
          <w:b/>
        </w:rPr>
        <w:t xml:space="preserve">Pub date: </w:t>
      </w:r>
      <w:r>
        <w:t>2026-02-11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[355] </w:t>
      </w:r>
      <w:hyperlink r:id="rId576">
        <w:r>
          <w:rPr>
            <w:color w:val="1155CC"/>
            <w:u w:val="single"/>
          </w:rPr>
          <w:t>特朗普团队的新规则可以让解雇政府科学家更加容易</w:t>
        </w:r>
      </w:hyperlink>
    </w:p>
    <w:p>
      <w:pPr>
        <w:spacing w:before="0" w:after="80"/>
      </w:pPr>
      <w:r>
        <w:rPr>
          <w:i/>
          <w:sz w:val="20"/>
        </w:rPr>
        <w:t>EN: Trump team’s new rule could make firing government scientists easier</w:t>
      </w:r>
    </w:p>
    <w:p>
      <w:pPr>
        <w:spacing w:before="0" w:after="120"/>
      </w:pPr>
      <w:r>
        <w:rPr>
          <w:b/>
        </w:rPr>
        <w:t xml:space="preserve">Source: </w:t>
      </w:r>
      <w:r>
        <w:t>Nature</w:t>
      </w:r>
      <w:r>
        <w:t xml:space="preserve">    </w:t>
      </w:r>
      <w:r>
        <w:rPr>
          <w:b/>
        </w:rPr>
        <w:t xml:space="preserve">Pub date: </w:t>
      </w:r>
      <w:r>
        <w:t>2026-02-11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[356] </w:t>
      </w:r>
      <w:hyperlink r:id="rId577">
        <w:r>
          <w:rPr>
            <w:color w:val="1155CC"/>
            <w:u w:val="single"/>
          </w:rPr>
          <w:t>几千年来,狩猎采集者在欧洲“水世界”避难。</w:t>
        </w:r>
      </w:hyperlink>
    </w:p>
    <w:p>
      <w:pPr>
        <w:spacing w:before="0" w:after="80"/>
      </w:pPr>
      <w:r>
        <w:rPr>
          <w:i/>
          <w:sz w:val="20"/>
        </w:rPr>
        <w:t>EN: Hunter-gatherers took refuge in European 'water world' for millennia</w:t>
      </w:r>
    </w:p>
    <w:p>
      <w:pPr>
        <w:spacing w:before="0" w:after="120"/>
      </w:pPr>
      <w:r>
        <w:rPr>
          <w:b/>
        </w:rPr>
        <w:t xml:space="preserve">Source: </w:t>
      </w:r>
      <w:r>
        <w:t>Nature</w:t>
      </w:r>
      <w:r>
        <w:t xml:space="preserve">    </w:t>
      </w:r>
      <w:r>
        <w:rPr>
          <w:b/>
        </w:rPr>
        <w:t xml:space="preserve">Pub date: </w:t>
      </w:r>
      <w:r>
        <w:t>2026-02-11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[357] </w:t>
      </w:r>
      <w:hyperlink r:id="rId578">
        <w:r>
          <w:rPr>
            <w:color w:val="1155CC"/>
            <w:u w:val="single"/>
          </w:rPr>
          <w:t>古罗马游戏委员会的秘密在AI的帮助下被揭开。</w:t>
        </w:r>
      </w:hyperlink>
    </w:p>
    <w:p>
      <w:pPr>
        <w:spacing w:before="0" w:after="80"/>
      </w:pPr>
      <w:r>
        <w:rPr>
          <w:i/>
          <w:sz w:val="20"/>
        </w:rPr>
        <w:t>EN: An ancient Roman game board’s secrets are revealed — with AI’s help</w:t>
      </w:r>
    </w:p>
    <w:p>
      <w:pPr>
        <w:spacing w:before="0" w:after="120"/>
      </w:pPr>
      <w:r>
        <w:rPr>
          <w:b/>
        </w:rPr>
        <w:t xml:space="preserve">Source: </w:t>
      </w:r>
      <w:r>
        <w:t>Nature</w:t>
      </w:r>
      <w:r>
        <w:t xml:space="preserve">    </w:t>
      </w:r>
      <w:r>
        <w:rPr>
          <w:b/>
        </w:rPr>
        <w:t xml:space="preserve">Pub date: </w:t>
      </w:r>
      <w:r>
        <w:t>2026-02-11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[358] </w:t>
      </w:r>
      <w:hyperlink r:id="rId579">
        <w:r>
          <w:rPr>
            <w:color w:val="1155CC"/>
            <w:u w:val="single"/>
          </w:rPr>
          <w:t>育婴婴儿形成彼此的微生物</w:t>
        </w:r>
      </w:hyperlink>
    </w:p>
    <w:p>
      <w:pPr>
        <w:spacing w:before="0" w:after="80"/>
      </w:pPr>
      <w:r>
        <w:rPr>
          <w:i/>
          <w:sz w:val="20"/>
        </w:rPr>
        <w:t>EN: Babies at nursery shape each other’s microbiomes</w:t>
      </w:r>
    </w:p>
    <w:p>
      <w:pPr>
        <w:spacing w:before="0" w:after="120"/>
      </w:pPr>
      <w:r>
        <w:rPr>
          <w:b/>
        </w:rPr>
        <w:t xml:space="preserve">Source: </w:t>
      </w:r>
      <w:r>
        <w:t>Nature</w:t>
      </w:r>
      <w:r>
        <w:t xml:space="preserve">    </w:t>
      </w:r>
      <w:r>
        <w:rPr>
          <w:b/>
        </w:rPr>
        <w:t xml:space="preserve">Pub date: </w:t>
      </w:r>
      <w:r>
        <w:t>2026-02-11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[359] </w:t>
      </w:r>
      <w:hyperlink r:id="rId580">
        <w:r>
          <w:rPr>
            <w:color w:val="1155CC"/>
            <w:u w:val="single"/>
          </w:rPr>
          <w:t>通过翻转基因开关,可以保护免疫细胞不`疲尽'。</w:t>
        </w:r>
      </w:hyperlink>
    </w:p>
    <w:p>
      <w:pPr>
        <w:spacing w:before="0" w:after="80"/>
      </w:pPr>
      <w:r>
        <w:rPr>
          <w:i/>
          <w:sz w:val="20"/>
        </w:rPr>
        <w:t>EN: Immune cells could be protected from ‘exhaustion’ by flipping genetic switches</w:t>
      </w:r>
    </w:p>
    <w:p>
      <w:pPr>
        <w:spacing w:before="0" w:after="120"/>
      </w:pPr>
      <w:r>
        <w:rPr>
          <w:b/>
        </w:rPr>
        <w:t xml:space="preserve">Source: </w:t>
      </w:r>
      <w:r>
        <w:t>Nature</w:t>
      </w:r>
      <w:r>
        <w:t xml:space="preserve">    </w:t>
      </w:r>
      <w:r>
        <w:rPr>
          <w:b/>
        </w:rPr>
        <w:t xml:space="preserve">Pub date: </w:t>
      </w:r>
      <w:r>
        <w:t>2026-02-11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[360] </w:t>
      </w:r>
      <w:hyperlink r:id="rId581">
        <w:r>
          <w:rPr>
            <w:color w:val="1155CC"/>
            <w:u w:val="single"/>
          </w:rPr>
          <w:t>通过在大规模气候、人文组和基因组数据中检测到的GxE相互作用而设计成的快速育种方法</w:t>
        </w:r>
      </w:hyperlink>
    </w:p>
    <w:p>
      <w:pPr>
        <w:spacing w:before="0" w:after="80"/>
      </w:pPr>
      <w:r>
        <w:rPr>
          <w:i/>
          <w:sz w:val="20"/>
        </w:rPr>
        <w:t>EN: A fast method for breeding by design via G×E interactions detected in large-scale climatic, phenomic and genomic data</w:t>
      </w:r>
    </w:p>
    <w:p>
      <w:pPr>
        <w:spacing w:before="0" w:after="120"/>
      </w:pPr>
      <w:r>
        <w:rPr>
          <w:b/>
        </w:rPr>
        <w:t xml:space="preserve">Source: </w:t>
      </w:r>
      <w:r>
        <w:t>National Science Review Advance Access</w:t>
      </w:r>
      <w:r>
        <w:t xml:space="preserve">    </w:t>
      </w:r>
      <w:r>
        <w:rPr>
          <w:b/>
        </w:rPr>
        <w:t xml:space="preserve">Pub date: </w:t>
      </w:r>
      <w:r>
        <w:t>2026-02-11 00:00:00+00:00</w:t>
      </w:r>
      <w:r>
        <w:t xml:space="preserve">    </w:t>
      </w:r>
      <w:r>
        <w:rPr>
          <w:b/>
        </w:rPr>
        <w:t xml:space="preserve">DOI: </w:t>
      </w:r>
      <w:hyperlink r:id="rId582">
        <w:r>
          <w:rPr>
            <w:color w:val="1155CC"/>
            <w:u w:val="single"/>
          </w:rPr>
          <w:t>10.1093/nsr/nwag095/8472852</w:t>
        </w:r>
      </w:hyperlink>
    </w:p>
    <w:p>
      <w:pPr>
        <w:spacing w:before="0" w:after="120"/>
      </w:pPr>
      <w:r>
        <w:rPr>
          <w:b/>
        </w:rPr>
        <w:t xml:space="preserve">Notes: </w:t>
      </w:r>
      <w:r>
        <w:t>abstract_source=rss_oup</w:t>
      </w:r>
    </w:p>
    <w:p>
      <w:pPr>
        <w:spacing w:before="0" w:after="80" w:lineRule="auto" w:line="276"/>
      </w:pPr>
      <w:r>
        <w:rPr>
          <w:b/>
        </w:rPr>
        <w:t xml:space="preserve">摘要（ZH）: </w:t>
      </w:r>
      <w:r>
        <w:t>虽然大量人口被用于检测多种基因特征的基因,但很少有研究将基因和按环境分类的基因相互作用(GEIs)结合到设计中的繁殖中。在这里,我们介绍Fast3VmrMLMM(Fast3VmrMLM(Fast3VmrMLM)M(Fative3VmrMLM)M(Fative3VmrMLMM)(Fast3VmrMM(Fative3VmrMLM))M(Fative3VmrMLM(GM)M)(Fast3VmmrM(GNM)M)(Fative3VmmmmmmmmMLMM(GM))(Fative3VmrMLMMM(GMMM)(GMMMM)(Genommmmmmmmmmmmmmmm(GMLM(GM)))(GEN)(GO(GEN)(GEN)(GI)(Gen</w:t>
      </w:r>
    </w:p>
    <w:p>
      <w:pPr>
        <w:spacing w:before="0" w:after="200" w:lineRule="auto" w:line="276"/>
      </w:pPr>
      <w:r>
        <w:rPr>
          <w:b/>
        </w:rPr>
        <w:t xml:space="preserve">Abstract (EN): </w:t>
      </w:r>
      <w:r>
        <w:t>Although large-scale populations are used to detect genes for polygenic traits, few studies integrate genes and gene-by-environment interactions (GEIs) into breeding by design. Here, we present Fast3VmrMLM, which uses eight big-data techniques to analyze climatic, phenomic, and genomic data together to detect GEIs, decipher plasticity, and guide breeding. In multi-environment joint analyses (MEJA) of maize, rice and soybean datasets, a total of 396 known genes and 84 known GEIs validated Fast3VmrMLM. In twelve-environment maize dataset, six GEIs interacting with five meteorological factors and two MEJA-detected GEIs helped to explain flowering time plasticity. Thirteen known genes, eight known GEIs and seven plasticity genes advanced flowering by 1.10 ~ 6.61 days, whereas nine known genes, one known GEIs and three plasticity genes increased yield by 0.51 ~ 3.56 Mg ⋅ ha -1, identifying fifteen high breeding potential hybrids and 29 genes. By incorporating SNPs, haplotypes and structural variations, Fast3VmrMLM offers a big-data platform for identifying GEIs and developing climate-adaptive cultivars.</w:t>
      </w:r>
    </w:p>
    <w:p>
      <w:pPr>
        <w:spacing w:before="120" w:after="120"/>
      </w:pPr>
      <w:r>
        <w:rPr>
          <w:sz w:val="18"/>
        </w:rPr>
        <w:t>——————————————————————————————————————————————————————————————————————</w:t>
      </w:r>
    </w:p>
    <w:p>
      <w:pPr>
        <w:spacing w:before="160" w:after="40" w:line="240" w:lineRule="auto"/>
      </w:pPr>
      <w:r>
        <w:rPr>
          <w:b/>
        </w:rPr>
        <w:t xml:space="preserve">[361] </w:t>
      </w:r>
      <w:hyperlink r:id="rId583">
        <w:r>
          <w:rPr>
            <w:color w:val="1155CC"/>
            <w:u w:val="single"/>
          </w:rPr>
          <w:t>岸外风力农场投资不确定情况下的经济价值:系统文献审查</w:t>
        </w:r>
      </w:hyperlink>
    </w:p>
    <w:p>
      <w:pPr>
        <w:spacing w:before="0" w:after="80"/>
      </w:pPr>
      <w:r>
        <w:rPr>
          <w:i/>
          <w:sz w:val="20"/>
        </w:rPr>
        <w:t>EN: Economic valuation under uncertainty in offshore wind farms investments: A systematic literature review</w:t>
      </w:r>
    </w:p>
    <w:p>
      <w:pPr>
        <w:spacing w:before="0" w:after="120"/>
      </w:pPr>
      <w:r>
        <w:rPr>
          <w:b/>
        </w:rPr>
        <w:t xml:space="preserve">Source: </w:t>
      </w:r>
      <w:r>
        <w:t>ScienceDirect Publication: Applied Energy</w:t>
      </w:r>
      <w:r>
        <w:t xml:space="preserve">    </w:t>
      </w:r>
      <w:r>
        <w:rPr>
          <w:b/>
        </w:rPr>
        <w:t xml:space="preserve">Pub date: </w:t>
      </w:r>
      <w:r>
        <w:t>2026-02-11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[362] </w:t>
      </w:r>
      <w:hyperlink r:id="rId584">
        <w:r>
          <w:rPr>
            <w:color w:val="1155CC"/>
            <w:u w:val="single"/>
          </w:rPr>
          <w:t>气候变化下的北极植物群的未来</w:t>
        </w:r>
      </w:hyperlink>
    </w:p>
    <w:p>
      <w:pPr>
        <w:spacing w:before="0" w:after="80"/>
      </w:pPr>
      <w:r>
        <w:rPr>
          <w:i/>
          <w:sz w:val="20"/>
        </w:rPr>
        <w:t>EN: The future of the arctic flora under climate change</w:t>
      </w:r>
    </w:p>
    <w:p>
      <w:pPr>
        <w:spacing w:before="0" w:after="120"/>
      </w:pPr>
      <w:r>
        <w:rPr>
          <w:b/>
        </w:rPr>
        <w:t xml:space="preserve">Source: </w:t>
      </w:r>
      <w:r>
        <w:t>National Science Review Advance Access</w:t>
      </w:r>
      <w:r>
        <w:t xml:space="preserve">    </w:t>
      </w:r>
      <w:r>
        <w:rPr>
          <w:b/>
        </w:rPr>
        <w:t xml:space="preserve">Pub date: </w:t>
      </w:r>
      <w:r>
        <w:t>2026-02-11 00:00:00+00:00</w:t>
      </w:r>
      <w:r>
        <w:t xml:space="preserve">    </w:t>
      </w:r>
      <w:r>
        <w:rPr>
          <w:b/>
        </w:rPr>
        <w:t xml:space="preserve">DOI: </w:t>
      </w:r>
      <w:hyperlink r:id="rId585">
        <w:r>
          <w:rPr>
            <w:color w:val="1155CC"/>
            <w:u w:val="single"/>
          </w:rPr>
          <w:t>10.1093/nsr/nwag096/8472872</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[363] </w:t>
      </w:r>
      <w:hyperlink r:id="rId586">
        <w:r>
          <w:rPr>
            <w:color w:val="1155CC"/>
            <w:u w:val="single"/>
          </w:rPr>
          <w:t>支持人民及其生计,而不是化石燃料工业</w:t>
        </w:r>
      </w:hyperlink>
    </w:p>
    <w:p>
      <w:pPr>
        <w:spacing w:before="0" w:after="80"/>
      </w:pPr>
      <w:r>
        <w:rPr>
          <w:i/>
          <w:sz w:val="20"/>
        </w:rPr>
        <w:t>EN: Support people and their livelihoods rather than fossil-fuel industries</w:t>
      </w:r>
    </w:p>
    <w:p>
      <w:pPr>
        <w:spacing w:before="0" w:after="120"/>
      </w:pPr>
      <w:r>
        <w:rPr>
          <w:b/>
        </w:rPr>
        <w:t xml:space="preserve">Source: </w:t>
      </w:r>
      <w:r>
        <w:t>Nature</w:t>
      </w:r>
      <w:r>
        <w:t xml:space="preserve">    </w:t>
      </w:r>
      <w:r>
        <w:rPr>
          <w:b/>
        </w:rPr>
        <w:t xml:space="preserve">Pub date: </w:t>
      </w:r>
      <w:r>
        <w:t>2026-02-11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[364] </w:t>
      </w:r>
      <w:hyperlink r:id="rId587">
        <w:r>
          <w:rPr>
            <w:color w:val="1155CC"/>
            <w:u w:val="single"/>
          </w:rPr>
          <w:t>非洲国家必须控制保健政策</w:t>
        </w:r>
      </w:hyperlink>
    </w:p>
    <w:p>
      <w:pPr>
        <w:spacing w:before="0" w:after="80"/>
      </w:pPr>
      <w:r>
        <w:rPr>
          <w:i/>
          <w:sz w:val="20"/>
        </w:rPr>
        <w:t>EN: African countries must take control of health policy</w:t>
      </w:r>
    </w:p>
    <w:p>
      <w:pPr>
        <w:spacing w:before="0" w:after="120"/>
      </w:pPr>
      <w:r>
        <w:rPr>
          <w:b/>
        </w:rPr>
        <w:t xml:space="preserve">Source: </w:t>
      </w:r>
      <w:r>
        <w:t>Nature</w:t>
      </w:r>
      <w:r>
        <w:t xml:space="preserve">    </w:t>
      </w:r>
      <w:r>
        <w:rPr>
          <w:b/>
        </w:rPr>
        <w:t xml:space="preserve">Pub date: </w:t>
      </w:r>
      <w:r>
        <w:t>2026-02-11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[365] </w:t>
      </w:r>
      <w:hyperlink r:id="rId588">
        <w:r>
          <w:rPr>
            <w:color w:val="1155CC"/>
            <w:u w:val="single"/>
          </w:rPr>
          <w:t>我的教授说,“黑人对环境不感兴趣”。 我准备证明他错了。</w:t>
        </w:r>
      </w:hyperlink>
    </w:p>
    <w:p>
      <w:pPr>
        <w:spacing w:before="0" w:after="80"/>
      </w:pPr>
      <w:r>
        <w:rPr>
          <w:i/>
          <w:sz w:val="20"/>
        </w:rPr>
        <w:t>EN: My professor said ‘Black people are not interested in the environment’. I set out to prove him wrong</w:t>
      </w:r>
    </w:p>
    <w:p>
      <w:pPr>
        <w:spacing w:before="0" w:after="120"/>
      </w:pPr>
      <w:r>
        <w:rPr>
          <w:b/>
        </w:rPr>
        <w:t xml:space="preserve">Source: </w:t>
      </w:r>
      <w:r>
        <w:t>Nature</w:t>
      </w:r>
      <w:r>
        <w:t xml:space="preserve">    </w:t>
      </w:r>
      <w:r>
        <w:rPr>
          <w:b/>
        </w:rPr>
        <w:t xml:space="preserve">Pub date: </w:t>
      </w:r>
      <w:r>
        <w:t>2026-02-11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[366] </w:t>
      </w:r>
      <w:hyperlink r:id="rId589">
        <w:r>
          <w:rPr>
            <w:color w:val="1155CC"/>
            <w:u w:val="single"/>
          </w:rPr>
          <w:t>清洁能源革命能够使我们免于气候灾难吗?</w:t>
        </w:r>
      </w:hyperlink>
    </w:p>
    <w:p>
      <w:pPr>
        <w:spacing w:before="0" w:after="80"/>
      </w:pPr>
      <w:r>
        <w:rPr>
          <w:i/>
          <w:sz w:val="20"/>
        </w:rPr>
        <w:t>EN: Can the clean-energy revolution save us from climate catastrophe?</w:t>
      </w:r>
    </w:p>
    <w:p>
      <w:pPr>
        <w:spacing w:before="0" w:after="120"/>
      </w:pPr>
      <w:r>
        <w:rPr>
          <w:b/>
        </w:rPr>
        <w:t xml:space="preserve">Source: </w:t>
      </w:r>
      <w:r>
        <w:t>Nature</w:t>
      </w:r>
      <w:r>
        <w:t xml:space="preserve">    </w:t>
      </w:r>
      <w:r>
        <w:rPr>
          <w:b/>
        </w:rPr>
        <w:t xml:space="preserve">Pub date: </w:t>
      </w:r>
      <w:r>
        <w:t>2026-02-11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[367] </w:t>
      </w:r>
      <w:hyperlink r:id="rId590">
        <w:r>
          <w:rPr>
            <w:color w:val="1155CC"/>
            <w:u w:val="single"/>
          </w:rPr>
          <w:t>怀孕期间哪些药物是安全的? 缺乏数据令人震惊。</w:t>
        </w:r>
      </w:hyperlink>
    </w:p>
    <w:p>
      <w:pPr>
        <w:spacing w:before="0" w:after="80"/>
      </w:pPr>
      <w:r>
        <w:rPr>
          <w:i/>
          <w:sz w:val="20"/>
        </w:rPr>
        <w:t>EN: What drugs are safe during pregnancy? There’s a shocking lack of data</w:t>
      </w:r>
    </w:p>
    <w:p>
      <w:pPr>
        <w:spacing w:before="0" w:after="120"/>
      </w:pPr>
      <w:r>
        <w:rPr>
          <w:b/>
        </w:rPr>
        <w:t xml:space="preserve">Source: </w:t>
      </w:r>
      <w:r>
        <w:t>Nature</w:t>
      </w:r>
      <w:r>
        <w:t xml:space="preserve">    </w:t>
      </w:r>
      <w:r>
        <w:rPr>
          <w:b/>
        </w:rPr>
        <w:t xml:space="preserve">Pub date: </w:t>
      </w:r>
      <w:r>
        <w:t>2026-02-11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[368] </w:t>
      </w:r>
      <w:hyperlink r:id="rId591">
        <w:r>
          <w:rPr>
            <w:color w:val="1155CC"/>
            <w:u w:val="single"/>
          </w:rPr>
          <w:t>中国惩罚不制裁研究行为不端的大学</w:t>
        </w:r>
      </w:hyperlink>
    </w:p>
    <w:p>
      <w:pPr>
        <w:spacing w:before="0" w:after="80"/>
      </w:pPr>
      <w:r>
        <w:rPr>
          <w:i/>
          <w:sz w:val="20"/>
        </w:rPr>
        <w:t>EN: China to punish universities that fail to sanction research misconduct</w:t>
      </w:r>
    </w:p>
    <w:p>
      <w:pPr>
        <w:spacing w:before="0" w:after="120"/>
      </w:pPr>
      <w:r>
        <w:rPr>
          <w:b/>
        </w:rPr>
        <w:t xml:space="preserve">Source: </w:t>
      </w:r>
      <w:r>
        <w:t>Nature</w:t>
      </w:r>
      <w:r>
        <w:t xml:space="preserve">    </w:t>
      </w:r>
      <w:r>
        <w:rPr>
          <w:b/>
        </w:rPr>
        <w:t xml:space="preserve">Pub date: </w:t>
      </w:r>
      <w:r>
        <w:t>2026-02-11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[369] </w:t>
      </w:r>
      <w:hyperlink r:id="rId592">
        <w:r>
          <w:rPr>
            <w:color w:val="1155CC"/>
            <w:u w:val="single"/>
          </w:rPr>
          <w:t>我作为药业有竞争力的 情报顾问的"侦探"工作</w:t>
        </w:r>
      </w:hyperlink>
    </w:p>
    <w:p>
      <w:pPr>
        <w:spacing w:before="0" w:after="80"/>
      </w:pPr>
      <w:r>
        <w:rPr>
          <w:i/>
          <w:sz w:val="20"/>
        </w:rPr>
        <w:t>EN: My ‘detective’ job as a competitive-intelligence consultant for pharma</w:t>
      </w:r>
    </w:p>
    <w:p>
      <w:pPr>
        <w:spacing w:before="0" w:after="120"/>
      </w:pPr>
      <w:r>
        <w:rPr>
          <w:b/>
        </w:rPr>
        <w:t xml:space="preserve">Source: </w:t>
      </w:r>
      <w:r>
        <w:t>Nature</w:t>
      </w:r>
      <w:r>
        <w:t xml:space="preserve">    </w:t>
      </w:r>
      <w:r>
        <w:rPr>
          <w:b/>
        </w:rPr>
        <w:t xml:space="preserve">Pub date: </w:t>
      </w:r>
      <w:r>
        <w:t>2026-02-11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[370] </w:t>
      </w:r>
      <w:hyperlink r:id="rId593">
        <w:r>
          <w:rPr>
            <w:color w:val="1155CC"/>
            <w:u w:val="single"/>
          </w:rPr>
          <w:t>四个方法,我确保我的研究 带来了现实世界的变化</w:t>
        </w:r>
      </w:hyperlink>
    </w:p>
    <w:p>
      <w:pPr>
        <w:spacing w:before="0" w:after="80"/>
      </w:pPr>
      <w:r>
        <w:rPr>
          <w:i/>
          <w:sz w:val="20"/>
        </w:rPr>
        <w:t>EN: Four ways I ensured my research brought about real-world change</w:t>
      </w:r>
    </w:p>
    <w:p>
      <w:pPr>
        <w:spacing w:before="0" w:after="120"/>
      </w:pPr>
      <w:r>
        <w:rPr>
          <w:b/>
        </w:rPr>
        <w:t xml:space="preserve">Source: </w:t>
      </w:r>
      <w:r>
        <w:t>Nature</w:t>
      </w:r>
      <w:r>
        <w:t xml:space="preserve">    </w:t>
      </w:r>
      <w:r>
        <w:rPr>
          <w:b/>
        </w:rPr>
        <w:t xml:space="preserve">Pub date: </w:t>
      </w:r>
      <w:r>
        <w:t>2026-02-11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[371] </w:t>
      </w:r>
      <w:hyperlink r:id="rId594">
        <w:r>
          <w:rPr>
            <w:color w:val="1155CC"/>
            <w:u w:val="single"/>
          </w:rPr>
          <w:t>通过物理不稳定和生物时钟对细胞内装物进行强有力的分隔</w:t>
        </w:r>
      </w:hyperlink>
    </w:p>
    <w:p>
      <w:pPr>
        <w:spacing w:before="0" w:after="80"/>
      </w:pPr>
      <w:r>
        <w:rPr>
          <w:i/>
          <w:sz w:val="20"/>
        </w:rPr>
        <w:t>EN: Robust partitioning of cell contents by physical instabilities and biological clocks</w:t>
      </w:r>
    </w:p>
    <w:p>
      <w:pPr>
        <w:spacing w:before="0" w:after="120"/>
      </w:pPr>
      <w:r>
        <w:rPr>
          <w:b/>
        </w:rPr>
        <w:t xml:space="preserve">Source: </w:t>
      </w:r>
      <w:r>
        <w:t>Nature</w:t>
      </w:r>
      <w:r>
        <w:t xml:space="preserve">    </w:t>
      </w:r>
      <w:r>
        <w:rPr>
          <w:b/>
        </w:rPr>
        <w:t xml:space="preserve">Pub date: </w:t>
      </w:r>
      <w:r>
        <w:t>2026-02-11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[372] </w:t>
      </w:r>
      <w:hyperlink r:id="rId595">
        <w:r>
          <w:rPr>
            <w:color w:val="1155CC"/>
            <w:u w:val="single"/>
          </w:rPr>
          <w:t>18 000 000分钟</w:t>
        </w:r>
      </w:hyperlink>
    </w:p>
    <w:p>
      <w:pPr>
        <w:spacing w:before="0" w:after="80"/>
      </w:pPr>
      <w:r>
        <w:rPr>
          <w:i/>
          <w:sz w:val="20"/>
        </w:rPr>
        <w:t>EN: 18,000,000 minutes</w:t>
      </w:r>
    </w:p>
    <w:p>
      <w:pPr>
        <w:spacing w:before="0" w:after="120"/>
      </w:pPr>
      <w:r>
        <w:rPr>
          <w:b/>
        </w:rPr>
        <w:t xml:space="preserve">Source: </w:t>
      </w:r>
      <w:r>
        <w:t>Nature</w:t>
      </w:r>
      <w:r>
        <w:t xml:space="preserve">    </w:t>
      </w:r>
      <w:r>
        <w:rPr>
          <w:b/>
        </w:rPr>
        <w:t xml:space="preserve">Pub date: </w:t>
      </w:r>
      <w:r>
        <w:t>2026-02-11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[373] </w:t>
      </w:r>
      <w:hyperlink r:id="rId596">
        <w:r>
          <w:rPr>
            <w:color w:val="1155CC"/>
            <w:u w:val="single"/>
          </w:rPr>
          <w:t>自首次报告观测引力波以来的十年</w:t>
        </w:r>
      </w:hyperlink>
    </w:p>
    <w:p>
      <w:pPr>
        <w:spacing w:before="0" w:after="80"/>
      </w:pPr>
      <w:r>
        <w:rPr>
          <w:i/>
          <w:sz w:val="20"/>
        </w:rPr>
        <w:t>EN: Ten years since the first reported observation of gravitational waves</w:t>
      </w:r>
    </w:p>
    <w:p>
      <w:pPr>
        <w:spacing w:before="0" w:after="120"/>
      </w:pPr>
      <w:r>
        <w:rPr>
          <w:b/>
        </w:rPr>
        <w:t xml:space="preserve">Source: </w:t>
      </w:r>
      <w:r>
        <w:t>Nature</w:t>
      </w:r>
      <w:r>
        <w:t xml:space="preserve">    </w:t>
      </w:r>
      <w:r>
        <w:rPr>
          <w:b/>
        </w:rPr>
        <w:t xml:space="preserve">Pub date: </w:t>
      </w:r>
      <w:r>
        <w:t>2026-02-11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[374] </w:t>
      </w:r>
      <w:hyperlink r:id="rId597">
        <w:r>
          <w:rPr>
            <w:color w:val="1155CC"/>
            <w:u w:val="single"/>
          </w:rPr>
          <w:t>清除封闭的胆固醇可缓解淋巴肿</w:t>
        </w:r>
      </w:hyperlink>
    </w:p>
    <w:p>
      <w:pPr>
        <w:spacing w:before="0" w:after="80"/>
      </w:pPr>
      <w:r>
        <w:rPr>
          <w:i/>
          <w:sz w:val="20"/>
        </w:rPr>
        <w:t>EN: Clearing trapped cholesterol could relieve lymphoedema</w:t>
      </w:r>
    </w:p>
    <w:p>
      <w:pPr>
        <w:spacing w:before="0" w:after="120"/>
      </w:pPr>
      <w:r>
        <w:rPr>
          <w:b/>
        </w:rPr>
        <w:t xml:space="preserve">Source: </w:t>
      </w:r>
      <w:r>
        <w:t>Nature</w:t>
      </w:r>
      <w:r>
        <w:t xml:space="preserve">    </w:t>
      </w:r>
      <w:r>
        <w:rPr>
          <w:b/>
        </w:rPr>
        <w:t xml:space="preserve">Pub date: </w:t>
      </w:r>
      <w:r>
        <w:t>2026-02-11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[375] </w:t>
      </w:r>
      <w:hyperlink r:id="rId598">
        <w:r>
          <w:rPr>
            <w:color w:val="1155CC"/>
            <w:u w:val="single"/>
          </w:rPr>
          <w:t>中充电电子是奇特的——除非它们是偶数</w:t>
        </w:r>
      </w:hyperlink>
    </w:p>
    <w:p>
      <w:pPr>
        <w:spacing w:before="0" w:after="80"/>
      </w:pPr>
      <w:r>
        <w:rPr>
          <w:i/>
          <w:sz w:val="20"/>
        </w:rPr>
        <w:t>EN: Charge-neutral electrons are odd — except when they’re even</w:t>
      </w:r>
    </w:p>
    <w:p>
      <w:pPr>
        <w:spacing w:before="0" w:after="120"/>
      </w:pPr>
      <w:r>
        <w:rPr>
          <w:b/>
        </w:rPr>
        <w:t xml:space="preserve">Source: </w:t>
      </w:r>
      <w:r>
        <w:t>Nature</w:t>
      </w:r>
      <w:r>
        <w:t xml:space="preserve">    </w:t>
      </w:r>
      <w:r>
        <w:rPr>
          <w:b/>
        </w:rPr>
        <w:t xml:space="preserve">Pub date: </w:t>
      </w:r>
      <w:r>
        <w:t>2026-02-11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[376] </w:t>
      </w:r>
      <w:hyperlink r:id="rId599">
        <w:r>
          <w:rPr>
            <w:color w:val="1155CC"/>
            <w:u w:val="single"/>
          </w:rPr>
          <w:t>铝的未开发的催化能力已解锁</w:t>
        </w:r>
      </w:hyperlink>
    </w:p>
    <w:p>
      <w:pPr>
        <w:spacing w:before="0" w:after="80"/>
      </w:pPr>
      <w:r>
        <w:rPr>
          <w:i/>
          <w:sz w:val="20"/>
        </w:rPr>
        <w:t>EN: Untapped catalytic ability of aluminium has been unlocked</w:t>
      </w:r>
    </w:p>
    <w:p>
      <w:pPr>
        <w:spacing w:before="0" w:after="120"/>
      </w:pPr>
      <w:r>
        <w:rPr>
          <w:b/>
        </w:rPr>
        <w:t xml:space="preserve">Source: </w:t>
      </w:r>
      <w:r>
        <w:t>Nature</w:t>
      </w:r>
      <w:r>
        <w:t xml:space="preserve">    </w:t>
      </w:r>
      <w:r>
        <w:rPr>
          <w:b/>
        </w:rPr>
        <w:t xml:space="preserve">Pub date: </w:t>
      </w:r>
      <w:r>
        <w:t>2026-02-11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[377] </w:t>
      </w:r>
      <w:hyperlink r:id="rId600">
        <w:r>
          <w:rPr>
            <w:color w:val="1155CC"/>
            <w:u w:val="single"/>
          </w:rPr>
          <w:t>人工智能光电计算的前景</w:t>
        </w:r>
      </w:hyperlink>
    </w:p>
    <w:p>
      <w:pPr>
        <w:spacing w:before="0" w:after="80"/>
      </w:pPr>
      <w:r>
        <w:rPr>
          <w:i/>
          <w:sz w:val="20"/>
        </w:rPr>
        <w:t>EN: Prospects of photonic computing for artificial intelligence</w:t>
      </w:r>
    </w:p>
    <w:p>
      <w:pPr>
        <w:spacing w:before="0" w:after="120"/>
      </w:pPr>
      <w:r>
        <w:rPr>
          <w:b/>
        </w:rPr>
        <w:t xml:space="preserve">Source: </w:t>
      </w:r>
      <w:r>
        <w:t>National Science Review Advance Access</w:t>
      </w:r>
      <w:r>
        <w:t xml:space="preserve">    </w:t>
      </w:r>
      <w:r>
        <w:rPr>
          <w:b/>
        </w:rPr>
        <w:t xml:space="preserve">Pub date: </w:t>
      </w:r>
      <w:r>
        <w:t>2026-02-11 00:00:00+00:00</w:t>
      </w:r>
      <w:r>
        <w:t xml:space="preserve">    </w:t>
      </w:r>
      <w:r>
        <w:rPr>
          <w:b/>
        </w:rPr>
        <w:t xml:space="preserve">DOI: </w:t>
      </w:r>
      <w:hyperlink r:id="rId601">
        <w:r>
          <w:rPr>
            <w:color w:val="1155CC"/>
            <w:u w:val="single"/>
          </w:rPr>
          <w:t>10.1093/nsr/nwag089/8472853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[378] </w:t>
      </w:r>
      <w:hyperlink r:id="rId602">
        <w:r>
          <w:rPr>
            <w:color w:val="1155CC"/>
            <w:u w:val="single"/>
          </w:rPr>
          <w:t>生态地貌回馈影响路易斯安那州沿海潮湿地带的海拔变化</w:t>
        </w:r>
      </w:hyperlink>
    </w:p>
    <w:p>
      <w:pPr>
        <w:spacing w:before="0" w:after="80"/>
      </w:pPr>
      <w:r>
        <w:rPr>
          <w:i/>
          <w:sz w:val="20"/>
        </w:rPr>
        <w:t>EN: Ecogeomorphic feedbacks influence elevation change across microtidal wetland settings of coastal Louisiana</w:t>
      </w:r>
    </w:p>
    <w:p>
      <w:pPr>
        <w:spacing w:before="0" w:after="120"/>
      </w:pPr>
      <w:r>
        <w:rPr>
          <w:b/>
        </w:rPr>
        <w:t xml:space="preserve">Source: </w:t>
      </w:r>
      <w:r>
        <w:t>Nature Communications</w:t>
      </w:r>
      <w:r>
        <w:t xml:space="preserve">    </w:t>
      </w:r>
      <w:r>
        <w:rPr>
          <w:b/>
        </w:rPr>
        <w:t xml:space="preserve">Pub date: </w:t>
      </w:r>
      <w:r>
        <w:t>2026-02-11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[379] </w:t>
      </w:r>
      <w:hyperlink r:id="rId603">
        <w:r>
          <w:rPr>
            <w:color w:val="1155CC"/>
            <w:u w:val="single"/>
          </w:rPr>
          <w:t>松鼠可以成为病毒的蓄水池 病毒导致天花</w:t>
        </w:r>
      </w:hyperlink>
    </w:p>
    <w:p>
      <w:pPr>
        <w:spacing w:before="0" w:after="80"/>
      </w:pPr>
      <w:r>
        <w:rPr>
          <w:i/>
          <w:sz w:val="20"/>
        </w:rPr>
        <w:t>EN: Squirrels could be a reservoir for the virus that causes mpox</w:t>
      </w:r>
    </w:p>
    <w:p>
      <w:pPr>
        <w:spacing w:before="0" w:after="120"/>
      </w:pPr>
      <w:r>
        <w:rPr>
          <w:b/>
        </w:rPr>
        <w:t xml:space="preserve">Source: </w:t>
      </w:r>
      <w:r>
        <w:t>Nature</w:t>
      </w:r>
      <w:r>
        <w:t xml:space="preserve">    </w:t>
      </w:r>
      <w:r>
        <w:rPr>
          <w:b/>
        </w:rPr>
        <w:t xml:space="preserve">Pub date: </w:t>
      </w:r>
      <w:r>
        <w:t>2026-02-11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[380] </w:t>
      </w:r>
      <w:hyperlink r:id="rId604">
        <w:r>
          <w:rPr>
            <w:color w:val="1155CC"/>
            <w:u w:val="single"/>
          </w:rPr>
          <w:t>生物量源平台分子转换的溶剂效应方面最近取得的进展:实验和理论视角</w:t>
        </w:r>
      </w:hyperlink>
    </w:p>
    <w:p>
      <w:pPr>
        <w:spacing w:before="0" w:after="80"/>
      </w:pPr>
      <w:r>
        <w:rPr>
          <w:i/>
          <w:sz w:val="20"/>
        </w:rPr>
        <w:t>EN: Recent advances in solvent effects for biomass-derived platform molecule conversion: experimental and theoretical perspectives</w:t>
      </w:r>
    </w:p>
    <w:p>
      <w:pPr>
        <w:spacing w:before="0" w:after="120"/>
      </w:pPr>
      <w:r>
        <w:rPr>
          <w:b/>
        </w:rPr>
        <w:t xml:space="preserve">Source: </w:t>
      </w:r>
      <w:r>
        <w:t>RSC - Chem. Soc. Rev. latest articles</w:t>
      </w:r>
      <w:r>
        <w:t xml:space="preserve">    </w:t>
      </w:r>
      <w:r>
        <w:rPr>
          <w:b/>
        </w:rPr>
        <w:t xml:space="preserve">Pub date: </w:t>
      </w:r>
      <w:r>
        <w:t>2026-02-11 00:00:00+00:00</w:t>
      </w:r>
    </w:p>
    <w:p>
      <w:pPr>
        <w:spacing w:before="0" w:after="120"/>
      </w:pPr>
      <w:r>
        <w:rPr>
          <w:b/>
        </w:rPr>
        <w:t xml:space="preserve">Notes: </w:t>
      </w:r>
      <w:r>
        <w:t>abstract_source=rsc_html</w:t>
      </w:r>
    </w:p>
    <w:p>
      <w:pPr>
        <w:spacing w:before="0" w:after="80" w:lineRule="auto" w:line="276"/>
      </w:pPr>
      <w:r>
        <w:rPr>
          <w:b/>
        </w:rPr>
        <w:t xml:space="preserve">摘要（ZH）: </w:t>
      </w:r>
      <w:r>
        <w:t>生物量转换是可持续发展的基石,为燃料、化学品和材料提供了可再生和碳中性路线。 液体阶段催化工艺对于生物量升级尤为重要,因为许多生物质衍生的中间体是非挥发性和热敏感。 溶剂的选择及其与催化剂和基质的相互作用对这些转化的活动和选择性产生了重要影响。 然而,由于复杂的固体-液体界面和动态溶剂-催化剂相互作用,解析不同催化中的溶剂效应具有挑战性。 本审查审查了溶剂选择和分子相互作用如何决定生物量转换的反应路径。 我们强调溶剂环境如何改变反应剂活性活性活性。</w:t>
      </w:r>
    </w:p>
    <w:p>
      <w:pPr>
        <w:spacing w:before="0" w:after="200" w:lineRule="auto" w:line="276"/>
      </w:pPr>
      <w:r>
        <w:rPr>
          <w:b/>
        </w:rPr>
        <w:t xml:space="preserve">Abstract (EN): </w:t>
      </w:r>
      <w:r>
        <w:t>Biomass conversion is a cornerstone of sustainable development, offering renewable and carbon-neutral routes to fuels, chemicals, and materials. Liquid-phase catalytic processes are particularly important for biomass upgrading, as many biomass-derived intermediates are nonvolatile and thermally sensitive. The choice of solvent and its interactions with a catalyst and substrate critically influence the activity and selectivity of these transformations. However, unraveling solvent effects in heterogeneous catalysis is challenging due to the complex solid–liquid interface and dynamic solvent–catalyst interactions. This review examines how solvent selection and molecular interactions dictate reaction pathways in biomass conversion. We highlight how the solvent environment alters reactant adsorption and transition states on catalyst surfaces, and how the solvent itself can participate in reactions. Recently, advanced characterization techniques and computational modeling tools have provided new insights into solvent-mediated mechanisms. This integrated perspective underscores the pivotal role of solvent effects in optimizing biomass valorization and guides future developments in sustainable catalysis.</w:t>
      </w:r>
    </w:p>
    <w:p>
      <w:pPr>
        <w:spacing w:before="120" w:after="120"/>
      </w:pPr>
      <w:r>
        <w:rPr>
          <w:sz w:val="18"/>
        </w:rPr>
        <w:t>——————————————————————————————————————————————————————————————————————</w:t>
      </w:r>
    </w:p>
    <w:p>
      <w:pPr>
        <w:spacing w:before="160" w:after="40" w:line="240" w:lineRule="auto"/>
      </w:pPr>
      <w:r>
        <w:rPr>
          <w:b/>
        </w:rPr>
        <w:t xml:space="preserve">[381] </w:t>
      </w:r>
      <w:hyperlink r:id="rId605">
        <w:r>
          <w:rPr>
            <w:color w:val="1155CC"/>
            <w:u w:val="single"/>
          </w:rPr>
          <w:t>钠-一电池硬碳规管界面工程原则:从机制到协同战略</w:t>
        </w:r>
      </w:hyperlink>
    </w:p>
    <w:p>
      <w:pPr>
        <w:spacing w:before="0" w:after="80"/>
      </w:pPr>
      <w:r>
        <w:rPr>
          <w:i/>
          <w:sz w:val="20"/>
        </w:rPr>
        <w:t>EN: Interface Engineering Principles for Hard Carbon Anodes in Sodium-Ion Batteries: From Mechanisms to Synergistic Strategies</w:t>
      </w:r>
    </w:p>
    <w:p>
      <w:pPr>
        <w:spacing w:before="0" w:after="120"/>
      </w:pPr>
      <w:r>
        <w:rPr>
          <w:b/>
        </w:rPr>
        <w:t xml:space="preserve">Source: </w:t>
      </w:r>
      <w:r>
        <w:t>RSC - Energy Environ. Sci. latest articles</w:t>
      </w:r>
      <w:r>
        <w:t xml:space="preserve">    </w:t>
      </w:r>
      <w:r>
        <w:rPr>
          <w:b/>
        </w:rPr>
        <w:t xml:space="preserve">Pub date: </w:t>
      </w:r>
      <w:r>
        <w:t>2026-02-11 00:00:00+00:00</w:t>
      </w:r>
    </w:p>
    <w:p>
      <w:pPr>
        <w:spacing w:before="0" w:after="120"/>
      </w:pPr>
      <w:r>
        <w:rPr>
          <w:b/>
        </w:rPr>
        <w:t xml:space="preserve">Notes: </w:t>
      </w:r>
      <w:r>
        <w:t>abstract_source=rsc_html</w:t>
      </w:r>
    </w:p>
    <w:p>
      <w:pPr>
        <w:spacing w:before="0" w:after="80" w:lineRule="auto" w:line="276"/>
      </w:pPr>
      <w:r>
        <w:rPr>
          <w:b/>
        </w:rPr>
        <w:t xml:space="preserve">摘要（ZH）: </w:t>
      </w:r>
      <w:r>
        <w:t>由于成本低、安全性高、资源丰富,苏离电池(SIBs)吸引了对大规模能源储存的极大关注,因为其成本低、安全性高、资源丰富,在各种阳极材料中,硬碳是其高容量和低操作电压的突出特征,然而,其实际应用严重受以下因素的制约:由于初始肠道效率低和循环稳定性差,其间不稳定性表现为初始肠道效率低和循环不稳定性差,因此严重限制了其实际应用;认识到间不稳定性是硬碳管商业化的关键瓶颈,本审查建立了一个三支柱框架,其中包括结构调节、表面涂层和预溶化,并提出了一个协同设计模式,以系统地应对这些挑战。</w:t>
      </w:r>
    </w:p>
    <w:p>
      <w:pPr>
        <w:spacing w:before="0" w:after="200" w:lineRule="auto" w:line="276"/>
      </w:pPr>
      <w:r>
        <w:rPr>
          <w:b/>
        </w:rPr>
        <w:t xml:space="preserve">Abstract (EN): </w:t>
      </w:r>
      <w:r>
        <w:t>Sodium-ion batteries (SIBs) have attracted considerable attention for large-scale energy storage owing to their low cost, high safety, and resource abundance. Among various anode materials, hard carbon stands out for its high capacity and low operating voltage. However, its practical application is severely limited by interfacial instability, manifested in low initial coulombic efficiency (ICE) and poor cycling stability. Recognizing interfacial instability as the key bottleneck for the commercialization of hard carbon anodes, this review constructs a three-pillar framework that comprises structural modulation, surface coating, and presodiation, and proposes a synergistic design paradigm to systematically tackle these challenges. It reveals the mechanisms by which interface engineering suppresses side reactions, guides the formation of the solid electrolyte interphase (SEI) film, and compensates for initial sodium loss. This review also provides an in-depth analysis of interfacial failure processes and the structure–function relationships in SEI film regulation, and highlights SEI film characterization techniques as essential tools for understanding interfacial reaction mechanisms and validating the effectiveness of interface engineering strategies. Building on these insights, the review distills core interface design principles for achieving high-ICE and long-life hard carbon anodes, and offers a clear roadmap for the rational design of high-performance hard carbon electrodes and the commercialization of SIBs.</w:t>
      </w:r>
    </w:p>
    <w:p>
      <w:pPr>
        <w:spacing w:before="120" w:after="120"/>
      </w:pPr>
      <w:r>
        <w:rPr>
          <w:sz w:val="18"/>
        </w:rPr>
        <w:t>——————————————————————————————————————————————————————————————————————</w:t>
      </w:r>
    </w:p>
    <w:p>
      <w:pPr>
        <w:spacing w:before="160" w:after="40" w:line="240" w:lineRule="auto"/>
      </w:pPr>
      <w:r>
        <w:rPr>
          <w:b/>
        </w:rPr>
        <w:t xml:space="preserve">[382] </w:t>
      </w:r>
      <w:hyperlink r:id="rId606">
        <w:r>
          <w:rPr>
            <w:color w:val="1155CC"/>
            <w:u w:val="single"/>
          </w:rPr>
          <w:t>从分子氢到活性氢:热催化混合氢化中的激活途径和物种变化</w:t>
        </w:r>
      </w:hyperlink>
    </w:p>
    <w:p>
      <w:pPr>
        <w:spacing w:before="0" w:after="80"/>
      </w:pPr>
      <w:r>
        <w:rPr>
          <w:i/>
          <w:sz w:val="20"/>
        </w:rPr>
        <w:t>EN: From molecular hydrogen to reactive hydrogen: activation pathways and species variation in thermal catalytic heterogeneous hydrogenation</w:t>
      </w:r>
    </w:p>
    <w:p>
      <w:pPr>
        <w:spacing w:before="0" w:after="120"/>
      </w:pPr>
      <w:r>
        <w:rPr>
          <w:b/>
        </w:rPr>
        <w:t xml:space="preserve">Source: </w:t>
      </w:r>
      <w:r>
        <w:t>RSC - Chem. Soc. Rev. latest articles</w:t>
      </w:r>
      <w:r>
        <w:t xml:space="preserve">    </w:t>
      </w:r>
      <w:r>
        <w:rPr>
          <w:b/>
        </w:rPr>
        <w:t xml:space="preserve">Pub date: </w:t>
      </w:r>
      <w:r>
        <w:t>2026-02-11 00:00:00+00:00</w:t>
      </w:r>
    </w:p>
    <w:p>
      <w:pPr>
        <w:spacing w:before="0" w:after="120"/>
      </w:pPr>
      <w:r>
        <w:rPr>
          <w:b/>
        </w:rPr>
        <w:t xml:space="preserve">Notes: </w:t>
      </w:r>
      <w:r>
        <w:t>abstract_source=rsc_html</w:t>
      </w:r>
    </w:p>
    <w:p>
      <w:pPr>
        <w:spacing w:before="0" w:after="80" w:lineRule="auto" w:line="276"/>
      </w:pPr>
      <w:r>
        <w:rPr>
          <w:b/>
        </w:rPr>
        <w:t xml:space="preserve">摘要（ZH）: </w:t>
      </w:r>
      <w:r>
        <w:t>分子氢(H2)的激活长期以来代表了多种氢化催化中的核心“黑箱”挑战。这一步骤背后的微粒过程仍然难以找到,这主要是因为特征鉴定技术的内在局限性,因此我们历史上对全面反应网络的理解是支离破碎的。本审查系统地探索热催化氢化氢氢中氢种的机械途径和动态演变,追踪从分子H2向原子规模反应性中间体的转变。特别强调的是同质和异氧分解途径、催化剂表面不同活性氢种的外溢和反应,以及它们在管理催化器中的决定性作用。</w:t>
      </w:r>
    </w:p>
    <w:p>
      <w:pPr>
        <w:spacing w:before="0" w:after="200" w:lineRule="auto" w:line="276"/>
      </w:pPr>
      <w:r>
        <w:rPr>
          <w:b/>
        </w:rPr>
        <w:t xml:space="preserve">Abstract (EN): </w:t>
      </w:r>
      <w:r>
        <w:t>The activation of molecular hydrogen (H2) has long represented the central “black-box” challenge in heterogeneous hydrogenation catalysis. The microscopic processes underlying this step remain elusive, largely because of the inherent limitations of characterization techniques, so we have historically fragmented our understanding of the full reaction network. This review systematically explores the mechanistic pathways and dynamic evolution of hydrogen species in thermocatalytic hydrogenation, tracing the transformation from molecular H2 to atomic-scale reactive intermediates. Particular emphasis is placed on the homolytic and heterolytic dissociation routes, spillover, and reaction of different active hydrogen species at catalyst surfaces, and their decisive roles in governing catalytic activity and selectivity. By integrating advances in operando spectroscopies with theoretical modelling, we highlight how hydrogen species are dynamically redistributed under realistic conditions, and we clarify proton and hydride transfer pathways. These insights underscore the pivotal contributions of electronic structure regulation, support characteristics, and interfacial engineering in optimizing H2 activation. A deeper mechanistic understanding of the molecular to atomic hydrogen transformation provides a robust theoretical foundation and practical design principles for constructing highly active and selective hydrogenation catalysts.</w:t>
      </w:r>
    </w:p>
    <w:p>
      <w:pPr>
        <w:spacing w:before="120" w:after="120"/>
      </w:pPr>
      <w:r>
        <w:rPr>
          <w:sz w:val="18"/>
        </w:rPr>
        <w:t>——————————————————————————————————————————————————————————————————————</w:t>
      </w:r>
    </w:p>
    <w:p>
      <w:pPr>
        <w:spacing w:before="160" w:after="40" w:line="240" w:lineRule="auto"/>
      </w:pPr>
      <w:r>
        <w:rPr>
          <w:b/>
        </w:rPr>
        <w:t xml:space="preserve">[383] </w:t>
      </w:r>
      <w:hyperlink r:id="rId607">
        <w:r>
          <w:rPr>
            <w:color w:val="1155CC"/>
            <w:u w:val="single"/>
          </w:rPr>
          <w:t>供全季节应用的自我管制的光热反/探探光胶片</w:t>
        </w:r>
      </w:hyperlink>
    </w:p>
    <w:p>
      <w:pPr>
        <w:spacing w:before="0" w:after="80"/>
      </w:pPr>
      <w:r>
        <w:rPr>
          <w:i/>
          <w:sz w:val="20"/>
        </w:rPr>
        <w:t>EN: A self-regulated photothermal anti-/deicing film for all-season applications</w:t>
      </w:r>
    </w:p>
    <w:p>
      <w:pPr>
        <w:spacing w:before="0" w:after="120"/>
      </w:pPr>
      <w:r>
        <w:rPr>
          <w:b/>
        </w:rPr>
        <w:t xml:space="preserve">Source: </w:t>
      </w:r>
      <w:r>
        <w:t>Nature Communications</w:t>
      </w:r>
      <w:r>
        <w:t xml:space="preserve">    </w:t>
      </w:r>
      <w:r>
        <w:rPr>
          <w:b/>
        </w:rPr>
        <w:t xml:space="preserve">Pub date: </w:t>
      </w:r>
      <w:r>
        <w:t>2026-02-11 00:00:00+00:00</w:t>
      </w:r>
    </w:p>
    <w:p>
      <w:pPr>
        <w:spacing w:before="0" w:after="120"/>
      </w:pPr>
      <w:r>
        <w:rPr>
          <w:b/>
        </w:rPr>
        <w:t xml:space="preserve">Notes: </w:t>
      </w:r>
      <w:r>
        <w:t>abstract_source=nature_html</w:t>
      </w:r>
    </w:p>
    <w:p>
      <w:pPr>
        <w:spacing w:before="0" w:after="80" w:lineRule="auto" w:line="276"/>
      </w:pPr>
      <w:r>
        <w:rPr>
          <w:b/>
        </w:rPr>
        <w:t xml:space="preserve">摘要（ZH）: </w:t>
      </w:r>
      <w:r>
        <w:t>热热超湿偏热表面提供了很有希望的反/缺水战略;不过,夏季过度的热吸收加快了物料退化,加剧了城市热岛效应,突出表明迫切需要动态热调节。 在这次研究中,我们展示了自管制的热热储存热热存储超缺水的胶片,其三层设计包括一个热热热分层基底层、一个耐冻热热热水凝胶间层和一个透明的超级缺水性顶层。</w:t>
      </w:r>
    </w:p>
    <w:p>
      <w:pPr>
        <w:spacing w:before="0" w:after="200" w:lineRule="auto" w:line="276"/>
      </w:pPr>
      <w:r>
        <w:rPr>
          <w:b/>
        </w:rPr>
        <w:t xml:space="preserve">Abstract (EN): </w:t>
      </w:r>
      <w:r>
        <w:t>Ice accumulation poses a significant threat to aviation safety and energy infrastructure. Photothermal superhydrophobic surfaces offer a promising anti-/deicing strategy; however, their excessive heat absorption in summer accelerates material degradation and exacerbates urban heat island effects, highlighting the urgent need for dynamic thermal regulation. In this study, we present a self-regulated photothermal storage superhydrophobic film with a trilayer design, comprising a photothermal phase-change base layer, a freeze-resistant thermochromic hydrogel interlayer, and a transparent superhydrophobic top layer. This multifunctional design enables seasonal adaptability, achieving 92% solar absorptance for efficient anti-/deicing in winter and 62% solar modulation to mitigate overheating in summer. This dual mode prolongs freezing time by 10-fold at −20 °C and lowers surface temperature by up to 17 °C in hot weather, demonstrating substantial potential for global building energy-savings. Additionally, its ultraviolet-blocking capability and durable superhydrophobicity ensure long-term durability performance in harsh environments. This work not only addresses the critical overheating challenge in photothermal materials but also advances the development of next-generation anti-icing systems.</w:t>
      </w:r>
    </w:p>
    <w:p>
      <w:pPr>
        <w:spacing w:before="120" w:after="120"/>
      </w:pPr>
      <w:r>
        <w:rPr>
          <w:sz w:val="18"/>
        </w:rPr>
        <w:t>——————————————————————————————————————————————————————————————————————</w:t>
      </w:r>
    </w:p>
    <w:p>
      <w:pPr>
        <w:spacing w:before="160" w:after="40" w:line="240" w:lineRule="auto"/>
      </w:pPr>
      <w:r>
        <w:rPr>
          <w:b/>
        </w:rPr>
        <w:t xml:space="preserve">[384] </w:t>
      </w:r>
      <w:hyperlink r:id="rId608">
        <w:r>
          <w:rPr>
            <w:color w:val="1155CC"/>
            <w:u w:val="single"/>
          </w:rPr>
          <w:t>校正: 溶液听到的超分子分子寡头, 具有增强的热抗力,</w:t>
        </w:r>
      </w:hyperlink>
    </w:p>
    <w:p>
      <w:pPr>
        <w:spacing w:before="0" w:after="80"/>
      </w:pPr>
      <w:r>
        <w:rPr>
          <w:i/>
          <w:sz w:val="20"/>
        </w:rPr>
        <w:t>EN: Author Correction: Solution-sheared supramolecular oligomers with enhanced thermal resistance in interfacial adhesion and bulk cohesion</w:t>
      </w:r>
    </w:p>
    <w:p>
      <w:pPr>
        <w:spacing w:before="0" w:after="120"/>
      </w:pPr>
      <w:r>
        <w:rPr>
          <w:b/>
        </w:rPr>
        <w:t xml:space="preserve">Source: </w:t>
      </w:r>
      <w:r>
        <w:t>Nature Communications</w:t>
      </w:r>
      <w:r>
        <w:t xml:space="preserve">    </w:t>
      </w:r>
      <w:r>
        <w:rPr>
          <w:b/>
        </w:rPr>
        <w:t xml:space="preserve">Pub date: </w:t>
      </w:r>
      <w:r>
        <w:t>2026-02-11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[385] </w:t>
      </w:r>
      <w:hyperlink r:id="rId609">
        <w:r>
          <w:rPr>
            <w:color w:val="1155CC"/>
            <w:u w:val="single"/>
          </w:rPr>
          <w:t>作者更正: 迷宫粒子对亚最佳疾病管理的贡献</w:t>
        </w:r>
      </w:hyperlink>
    </w:p>
    <w:p>
      <w:pPr>
        <w:spacing w:before="0" w:after="80"/>
      </w:pPr>
      <w:r>
        <w:rPr>
          <w:i/>
          <w:sz w:val="20"/>
        </w:rPr>
        <w:t>EN: Author Correction: The contribution of mycetoma grains to suboptimal disease management</w:t>
      </w:r>
    </w:p>
    <w:p>
      <w:pPr>
        <w:spacing w:before="0" w:after="120"/>
      </w:pPr>
      <w:r>
        <w:rPr>
          <w:b/>
        </w:rPr>
        <w:t xml:space="preserve">Source: </w:t>
      </w:r>
      <w:r>
        <w:t>Nature Communications</w:t>
      </w:r>
      <w:r>
        <w:t xml:space="preserve">    </w:t>
      </w:r>
      <w:r>
        <w:rPr>
          <w:b/>
        </w:rPr>
        <w:t xml:space="preserve">Pub date: </w:t>
      </w:r>
      <w:r>
        <w:t>2026-02-11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[386] </w:t>
      </w:r>
      <w:hyperlink r:id="rId610">
        <w:r>
          <w:rPr>
            <w:color w:val="1155CC"/>
            <w:u w:val="single"/>
          </w:rPr>
          <w:t>使用四元立体中心打开了烷碳磁解锁</w:t>
        </w:r>
      </w:hyperlink>
    </w:p>
    <w:p>
      <w:pPr>
        <w:spacing w:before="0" w:after="80"/>
      </w:pPr>
      <w:r>
        <w:rPr>
          <w:i/>
          <w:sz w:val="20"/>
        </w:rPr>
        <w:t>EN: Contra-electronegativity transmetallation unlocks alkene carbomagnesiation to access quaternary stereocentres</w:t>
      </w:r>
    </w:p>
    <w:p>
      <w:pPr>
        <w:spacing w:before="0" w:after="120"/>
      </w:pPr>
      <w:r>
        <w:rPr>
          <w:b/>
        </w:rPr>
        <w:t xml:space="preserve">Source: </w:t>
      </w:r>
      <w:r>
        <w:t>Nature Chemistry</w:t>
      </w:r>
      <w:r>
        <w:t xml:space="preserve">    </w:t>
      </w:r>
      <w:r>
        <w:rPr>
          <w:b/>
        </w:rPr>
        <w:t xml:space="preserve">Pub date: </w:t>
      </w:r>
      <w:r>
        <w:t>2026-02-11 00:00:00+00:00</w:t>
      </w:r>
    </w:p>
    <w:p>
      <w:pPr>
        <w:spacing w:before="0" w:after="120"/>
      </w:pPr>
      <w:r>
        <w:rPr>
          <w:b/>
        </w:rPr>
        <w:t xml:space="preserve">Notes: </w:t>
      </w:r>
      <w:r>
        <w:t>abstract_source=nature_html</w:t>
      </w:r>
    </w:p>
    <w:p>
      <w:pPr>
        <w:spacing w:before="0" w:after="80" w:lineRule="auto" w:line="276"/>
      </w:pPr>
      <w:r>
        <w:rPr>
          <w:b/>
        </w:rPr>
        <w:t xml:space="preserve">摘要（ZH）: </w:t>
      </w:r>
      <w:r>
        <w:t>由于在进入合成化学的复杂建筑方面受到长期的限制,从而造成持久性合成瓶颈,妨碍了葛里格德试剂——合成化学的角石;与此同时,尽管进行了数十年的研究,但四角碳中心、生物活性分子和自然产品中无处不在,仍然是可怕的合成目标;我们在这里采用了一种镍催化碳磁共振战略,通过稀有的反电子性转金属(尼至兆格)来同时克服这些挑战;这种方法使得能够通过碳磁化1个1个二基烷和1个3个二基烷和1个3个二基烷,分别使用三叶酸丙烯和PhMgBr作为碳和镁来源的有机磁共振剂,从而能够高效和模块地合成β-赤道甘地再生试剂。</w:t>
      </w:r>
    </w:p>
    <w:p>
      <w:pPr>
        <w:spacing w:before="0" w:after="200" w:lineRule="auto" w:line="276"/>
      </w:pPr>
      <w:r>
        <w:rPr>
          <w:b/>
        </w:rPr>
        <w:t xml:space="preserve">Abstract (EN): </w:t>
      </w:r>
      <w:r>
        <w:t>Grignard reagents—cornerstones of synthetic chemistry—are hindered by enduring limitations in accessing complex architectures, which poses a persistent synthetic bottleneck. Meanwhile, quaternary carbon (stereo)centres, ubiquitous in bioactive molecules and natural products, remain formidable synthetic targets despite decades of research. Here we introduce a nickel-catalysed carbomagnesiation strategy that simultaneously overcomes these challenges through a rare contra-electronegativity transmetallation (Ni to Mg). This approach enables the efficient and modular synthesis of β-quaternary Grignard reagents via carbomagnesiation of 1,1-disubstituted alkenes and 1,3-dienes, employing aryl triflate and PhMgBr as carbon and magnesium sources, respectively. The resulting organomagnesium reagents undergo one-pot reactions with diverse electrophiles, delivering stereochemically complex quaternary centres with high precision. Mechanistically, bulky N-heterocyclic carbene (NHC)-based catalysts divert classical cross-coupling pathways, enforcing a counterintuitive Ni-to-Mg transmetallation that defies conventional electronegativity trends while achieving exceptional regio- and enantiocontrol. This contra-electronegativity transmetallation demonstrates substantial potential to advance carbometallation reactions and open new avenues for cross-coupling chemistry.</w:t>
      </w:r>
    </w:p>
    <w:p>
      <w:pPr>
        <w:spacing w:before="120" w:after="120"/>
      </w:pPr>
      <w:r>
        <w:rPr>
          <w:sz w:val="18"/>
        </w:rPr>
        <w:t>——————————————————————————————————————————————————————————————————————</w:t>
      </w:r>
    </w:p>
    <w:p>
      <w:pPr>
        <w:spacing w:before="160" w:after="40" w:line="240" w:lineRule="auto"/>
      </w:pPr>
      <w:r>
        <w:rPr>
          <w:b/>
        </w:rPr>
        <w:t xml:space="preserve">[387] </w:t>
      </w:r>
      <w:hyperlink r:id="rId611">
        <w:r>
          <w:rPr>
            <w:color w:val="1155CC"/>
            <w:u w:val="single"/>
          </w:rPr>
          <w:t>作者更正: 抗微生物皮化物作为细菌肺炎的潜在治疗方法, 减轻抗微生物抗药性。</w:t>
        </w:r>
      </w:hyperlink>
    </w:p>
    <w:p>
      <w:pPr>
        <w:spacing w:before="0" w:after="80"/>
      </w:pPr>
      <w:r>
        <w:rPr>
          <w:i/>
          <w:sz w:val="20"/>
        </w:rPr>
        <w:t>EN: Author Correction: An antimicrobial peptide as a potential therapy for bacterial pneumonia that alleviates antimicrobial resistance</w:t>
      </w:r>
    </w:p>
    <w:p>
      <w:pPr>
        <w:spacing w:before="0" w:after="120"/>
      </w:pPr>
      <w:r>
        <w:rPr>
          <w:b/>
        </w:rPr>
        <w:t xml:space="preserve">Source: </w:t>
      </w:r>
      <w:r>
        <w:t>Nature Communications</w:t>
      </w:r>
      <w:r>
        <w:t xml:space="preserve">    </w:t>
      </w:r>
      <w:r>
        <w:rPr>
          <w:b/>
        </w:rPr>
        <w:t xml:space="preserve">Pub date: </w:t>
      </w:r>
      <w:r>
        <w:t>2026-02-11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[388] </w:t>
      </w:r>
      <w:hyperlink r:id="rId612">
        <w:r>
          <w:rPr>
            <w:color w:val="1155CC"/>
            <w:u w:val="single"/>
          </w:rPr>
          <w:t>将中间晶化抑制为柔性同步太阳能电池</w:t>
        </w:r>
      </w:hyperlink>
    </w:p>
    <w:p>
      <w:pPr>
        <w:spacing w:before="0" w:after="80"/>
      </w:pPr>
      <w:r>
        <w:rPr>
          <w:i/>
          <w:sz w:val="20"/>
        </w:rPr>
        <w:t>EN: Suppressing intermediate crystallization for flexible tandem solar cells</w:t>
      </w:r>
    </w:p>
    <w:p>
      <w:pPr>
        <w:spacing w:before="0" w:after="120"/>
      </w:pPr>
      <w:r>
        <w:rPr>
          <w:b/>
        </w:rPr>
        <w:t xml:space="preserve">Source: </w:t>
      </w:r>
      <w:r>
        <w:t>Nature Energy</w:t>
      </w:r>
      <w:r>
        <w:t xml:space="preserve">    </w:t>
      </w:r>
      <w:r>
        <w:rPr>
          <w:b/>
        </w:rPr>
        <w:t xml:space="preserve">Pub date: </w:t>
      </w:r>
      <w:r>
        <w:t>2026-02-11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[389] </w:t>
      </w:r>
      <w:hyperlink r:id="rId613">
        <w:r>
          <w:rPr>
            <w:color w:val="1155CC"/>
            <w:u w:val="single"/>
          </w:rPr>
          <w:t>以铀介介介的固化稳定稳定,加强无定型高能材料的能量释放</w:t>
        </w:r>
      </w:hyperlink>
    </w:p>
    <w:p>
      <w:pPr>
        <w:spacing w:before="0" w:after="80"/>
      </w:pPr>
      <w:r>
        <w:rPr>
          <w:i/>
          <w:sz w:val="20"/>
        </w:rPr>
        <w:t>EN: Entropy-mediated solidification stabilizes and enhances energetic release in amorphous energetic materials</w:t>
      </w:r>
    </w:p>
    <w:p>
      <w:pPr>
        <w:spacing w:before="0" w:after="120"/>
      </w:pPr>
      <w:r>
        <w:rPr>
          <w:b/>
        </w:rPr>
        <w:t xml:space="preserve">Source: </w:t>
      </w:r>
      <w:r>
        <w:t>Nature Communications</w:t>
      </w:r>
      <w:r>
        <w:t xml:space="preserve">    </w:t>
      </w:r>
      <w:r>
        <w:rPr>
          <w:b/>
        </w:rPr>
        <w:t xml:space="preserve">Pub date: </w:t>
      </w:r>
      <w:r>
        <w:t>2026-02-11 00:00:00+00:00</w:t>
      </w:r>
    </w:p>
    <w:p>
      <w:pPr>
        <w:spacing w:before="0" w:after="120"/>
      </w:pPr>
      <w:r>
        <w:rPr>
          <w:b/>
        </w:rPr>
        <w:t xml:space="preserve">Notes: </w:t>
      </w:r>
      <w:r>
        <w:t>abstract_source=nature_html</w:t>
      </w:r>
    </w:p>
    <w:p>
      <w:pPr>
        <w:spacing w:before="0" w:after="80" w:lineRule="auto" w:line="276"/>
      </w:pPr>
      <w:r>
        <w:rPr>
          <w:b/>
        </w:rPr>
        <w:t xml:space="preserve">摘要（ZH）: </w:t>
      </w:r>
      <w:r>
        <w:t>在硬有机小分子中,稳定的不固定阶段的形成受到其明显的结晶趋势的严重阻碍,这一挑战在高能材料方面尤为严峻,在这种材料中,必须稳定不固定的不固定阶段,没有惰性添加剂,以保持高能量密度;在这里,我们克服了这一长期障碍,根据小分子炸药(4,4,4,5,5,5-ttranitro-1H,1,1H-2,2,2-bimidazole-1,1,1-diamine,DATNBI),通过融化消化过程制作的不固定的DATNBI(AEM-DATNBI),显示玻璃转换温度为59.67°C,并显示低于这一临界值的显著结构稳定,在60°C保持24小时以上的完整。</w:t>
      </w:r>
    </w:p>
    <w:p>
      <w:pPr>
        <w:spacing w:before="0" w:after="200" w:lineRule="auto" w:line="276"/>
      </w:pPr>
      <w:r>
        <w:rPr>
          <w:b/>
        </w:rPr>
        <w:t xml:space="preserve">Abstract (EN): </w:t>
      </w:r>
      <w:r>
        <w:t>The formation of stable amorphous phases in rigid organic small molecules is fundamentally hindered by their pronounced crystallization tendency. This challenge is particularly acute in energetic materials, in which the amorphous phase must be stabilized without inert additives to preserve high energy density. Here, we overcome this longstanding obstacle by realising a stable amorphous energetic material based on the small molecule explosive (4,4′,5,5′-tetranitro-1H,1′H-2,2′-biimidazole-1,1′-diamine, DATNBI). The amorphous DATNBI (AEM-DATNBI) prepared via a melt quenching process, exhibits a glass transition temperature of 59.67 °C and demonstrates remarkable structural stability below this threshold, maintaining its integrity for over 24 hours at 60 °C. This stability originates from a synergistic interaction between the non-planar molecular framework and a three-dimensional hydrogen-bond network formed by -NH₂/-NO₂ groups. This unique amorphous structure not only enhances safety by suppressing hotspot formation but also accelerates energy release, leading to faster combustion and more complete decomposition. This study demonstrates a general strategy leveraging steric hindrance and intermolecular interactions, thereby extending the realm of amorphous materials to energetic compounds and other functional rigid organic small molecules.</w:t>
      </w:r>
    </w:p>
    <w:p>
      <w:pPr>
        <w:spacing w:before="120" w:after="120"/>
      </w:pPr>
      <w:r>
        <w:rPr>
          <w:sz w:val="18"/>
        </w:rPr>
        <w:t>——————————————————————————————————————————————————————————————————————</w:t>
      </w:r>
    </w:p>
    <w:p>
      <w:pPr>
        <w:spacing w:before="160" w:after="40" w:line="240" w:lineRule="auto"/>
      </w:pPr>
      <w:r>
        <w:rPr>
          <w:b/>
        </w:rPr>
        <w:t xml:space="preserve">[390] </w:t>
      </w:r>
      <w:hyperlink r:id="rId614">
        <w:r>
          <w:rPr>
            <w:color w:val="1155CC"/>
            <w:u w:val="single"/>
          </w:rPr>
          <w:t>电解设计抑制侧面反应</w:t>
        </w:r>
      </w:hyperlink>
    </w:p>
    <w:p>
      <w:pPr>
        <w:spacing w:before="0" w:after="80"/>
      </w:pPr>
      <w:r>
        <w:rPr>
          <w:i/>
          <w:sz w:val="20"/>
        </w:rPr>
        <w:t>EN: Electrolyte design curbs side reactions</w:t>
      </w:r>
    </w:p>
    <w:p>
      <w:pPr>
        <w:spacing w:before="0" w:after="120"/>
      </w:pPr>
      <w:r>
        <w:rPr>
          <w:b/>
        </w:rPr>
        <w:t xml:space="preserve">Source: </w:t>
      </w:r>
      <w:r>
        <w:t>Nature Energy</w:t>
      </w:r>
      <w:r>
        <w:t xml:space="preserve">    </w:t>
      </w:r>
      <w:r>
        <w:rPr>
          <w:b/>
        </w:rPr>
        <w:t xml:space="preserve">Pub date: </w:t>
      </w:r>
      <w:r>
        <w:t>2026-02-11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[391] </w:t>
      </w:r>
      <w:hyperlink r:id="rId615">
        <w:r>
          <w:rPr>
            <w:color w:val="1155CC"/>
            <w:u w:val="single"/>
          </w:rPr>
          <w:t>N型梯级有机混合导体中的聚合物互动驱动水排出和衰落</w:t>
        </w:r>
      </w:hyperlink>
    </w:p>
    <w:p>
      <w:pPr>
        <w:spacing w:before="0" w:after="80"/>
      </w:pPr>
      <w:r>
        <w:rPr>
          <w:i/>
          <w:sz w:val="20"/>
        </w:rPr>
        <w:t>EN: Cation–polymer interactions drive water expulsion and deswelling in n-type ladder organic mixed conductors</w:t>
      </w:r>
    </w:p>
    <w:p>
      <w:pPr>
        <w:spacing w:before="0" w:after="120"/>
      </w:pPr>
      <w:r>
        <w:rPr>
          <w:b/>
        </w:rPr>
        <w:t xml:space="preserve">Source: </w:t>
      </w:r>
      <w:r>
        <w:t>Nature Materials</w:t>
      </w:r>
      <w:r>
        <w:t xml:space="preserve">    </w:t>
      </w:r>
      <w:r>
        <w:rPr>
          <w:b/>
        </w:rPr>
        <w:t xml:space="preserve">Pub date: </w:t>
      </w:r>
      <w:r>
        <w:t>2026-02-11 00:00:00+00:00</w:t>
      </w:r>
    </w:p>
    <w:p>
      <w:pPr>
        <w:spacing w:before="0" w:after="120"/>
      </w:pPr>
      <w:r>
        <w:rPr>
          <w:b/>
        </w:rPr>
        <w:t xml:space="preserve">Notes: </w:t>
      </w:r>
      <w:r>
        <w:t>abstract_source=nature_html</w:t>
      </w:r>
    </w:p>
    <w:p>
      <w:pPr>
        <w:spacing w:before="0" w:after="80" w:lineRule="auto" w:line="276"/>
      </w:pPr>
      <w:r>
        <w:rPr>
          <w:b/>
        </w:rPr>
        <w:t xml:space="preserve">摘要（ZH）: </w:t>
      </w:r>
      <w:r>
        <w:t>控制离子 — 有机混合电离电子导体中的聚合物互动对于优化从生物电子和能源储存到光精等应用中的设备性能至关重要。 要实现这一目标,就必须在分子层面上了解电化学涂料过程中离子吸收、溶解和聚合物结构是如何演变的。 在此,我们采用多式软体方法发现,在原型N型梯式聚合物聚(benzimidazobenzophenanthroline)(BBL)中,我们发现了一种出乎意料的反应,即对使用诸如铵等预生酶的兴奋剂。 在高剂量水平上,强离子-聚合物互动(主要是氢结合)在电化学涂料和BBL骨干之间促进电离子水化和干扰电离水化,导致质量和厚度的明显减少。</w:t>
      </w:r>
    </w:p>
    <w:p>
      <w:pPr>
        <w:spacing w:before="0" w:after="200" w:lineRule="auto" w:line="276"/>
      </w:pPr>
      <w:r>
        <w:rPr>
          <w:b/>
        </w:rPr>
        <w:t xml:space="preserve">Abstract (EN): </w:t>
      </w:r>
      <w:r>
        <w:t>Controlling ion–polymer interactions in organic mixed ionic-electronic conductors is crucial for optimizing device performance in applications ranging from bioelectronics and energy storage to photonics. Achieving this requires a molecular-level understanding of how ion uptake, solvation and polymer structure evolve during electrochemical doping. Here using a multimodal operando approach, we uncover an unexpected response in the prototypical n-type ladder polymer poly(benzimidazobenzophenanthroline) (BBL) on doping with protic cations such as ammonium. At high doping levels, strong ion–polymer interactions (primarily hydrogen bonding) between cations and the BBL backbone promote charge localization and disrupt ion hydration, leading to a pronounced reduction in mass and thickness. Operando 2H NMR identifies water expulsion, rather than ion removal, as the origin of this deswelling. Our combined experimental and modelling results reveal a previously unobserved regime of ion–polymer coupling in organic mixed ionic-electronic conductors, establishing a framework for material design and applications that span (bio-)electronics to photonics.</w:t>
      </w:r>
    </w:p>
    <w:p>
      <w:pPr>
        <w:spacing w:before="120" w:after="120"/>
      </w:pPr>
      <w:r>
        <w:rPr>
          <w:sz w:val="18"/>
        </w:rPr>
        <w:t>——————————————————————————————————————————————————————————————————————</w:t>
      </w:r>
    </w:p>
    <w:p>
      <w:pPr>
        <w:spacing w:before="160" w:after="40" w:line="240" w:lineRule="auto"/>
      </w:pPr>
      <w:r>
        <w:rPr>
          <w:b/>
        </w:rPr>
        <w:t xml:space="preserve">[392] </w:t>
      </w:r>
      <w:hyperlink r:id="rId616">
        <w:r>
          <w:rPr>
            <w:color w:val="1155CC"/>
            <w:u w:val="single"/>
          </w:rPr>
          <w:t>热房地球轨迹风险</w:t>
        </w:r>
      </w:hyperlink>
    </w:p>
    <w:p>
      <w:pPr>
        <w:spacing w:before="0" w:after="80"/>
      </w:pPr>
      <w:r>
        <w:rPr>
          <w:i/>
          <w:sz w:val="20"/>
        </w:rPr>
        <w:t>EN: The risk of a hothouse Earth trajectory</w:t>
      </w:r>
    </w:p>
    <w:p>
      <w:pPr>
        <w:spacing w:before="0" w:after="120"/>
      </w:pPr>
      <w:r>
        <w:rPr>
          <w:b/>
        </w:rPr>
        <w:t xml:space="preserve">Source: </w:t>
      </w:r>
      <w:r>
        <w:t>One Earth</w:t>
      </w:r>
      <w:r>
        <w:t xml:space="preserve">    </w:t>
      </w:r>
      <w:r>
        <w:rPr>
          <w:b/>
        </w:rPr>
        <w:t xml:space="preserve">Pub date: </w:t>
      </w:r>
      <w:r>
        <w:t>2026-02-11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[393] </w:t>
      </w:r>
      <w:hyperlink r:id="rId617">
        <w:r>
          <w:rPr>
            <w:color w:val="1155CC"/>
            <w:u w:val="single"/>
          </w:rPr>
          <w:t>电池老化评估:从关键的透视到强化诊断</w:t>
        </w:r>
      </w:hyperlink>
    </w:p>
    <w:p>
      <w:pPr>
        <w:spacing w:before="0" w:after="80"/>
      </w:pPr>
      <w:r>
        <w:rPr>
          <w:i/>
          <w:sz w:val="20"/>
        </w:rPr>
        <w:t>EN: Battery Aging Assessment: From Critical Insights to Enhanced Diagnosis</w:t>
      </w:r>
    </w:p>
    <w:p>
      <w:pPr>
        <w:spacing w:before="0" w:after="120"/>
      </w:pPr>
      <w:r>
        <w:rPr>
          <w:b/>
        </w:rPr>
        <w:t xml:space="preserve">Source: </w:t>
      </w:r>
      <w:r>
        <w:t>RSC - Energy Environ. Sci. latest articles</w:t>
      </w:r>
      <w:r>
        <w:t xml:space="preserve">    </w:t>
      </w:r>
      <w:r>
        <w:rPr>
          <w:b/>
        </w:rPr>
        <w:t xml:space="preserve">Pub date: </w:t>
      </w:r>
      <w:r>
        <w:t>2026-02-11 00:00:00+00:00</w:t>
      </w:r>
    </w:p>
    <w:p>
      <w:pPr>
        <w:spacing w:before="0" w:after="120"/>
      </w:pPr>
      <w:r>
        <w:rPr>
          <w:b/>
        </w:rPr>
        <w:t xml:space="preserve">Notes: </w:t>
      </w:r>
      <w:r>
        <w:t>abstract_source=rsc_html</w:t>
      </w:r>
    </w:p>
    <w:p>
      <w:pPr>
        <w:spacing w:before="0" w:after="80" w:lineRule="auto" w:line="276"/>
      </w:pPr>
      <w:r>
        <w:rPr>
          <w:b/>
        </w:rPr>
        <w:t xml:space="preserve">摘要（ZH）: </w:t>
      </w:r>
      <w:r>
        <w:t>可靠的电池健康诊断和周期生命周期预测仍然是能源储存系统面临的一个中心挑战。这项工作首先对电池健康诊断的关键因素进行系统分析,强调以前被忽视但影响健康评估的关键要素。基于这些洞察力,一个适应率的转换模型将高C率特性转换成低Cate等值,使得能够在不使用低C率进行耗时测试的情况下对电池老化模式进行快速诊断。为了适当处理由老化、混合材料和动能效应造成的不准确问题,一个可解释的残余学习模型纠正电压不匹配,这也通过使用高C率数据使低C率适应率。</w:t>
      </w:r>
    </w:p>
    <w:p>
      <w:pPr>
        <w:spacing w:before="0" w:after="200" w:lineRule="auto" w:line="276"/>
      </w:pPr>
      <w:r>
        <w:rPr>
          <w:b/>
        </w:rPr>
        <w:t xml:space="preserve">Abstract (EN): </w:t>
      </w:r>
      <w:r>
        <w:t>Reliable battery health diagnosis and cycle life prediction remain a central challenge for energy storage systems. This work first provides a systematic analysis of key factors for battery health diagnosis, highlighting previously overlooked yet critical elements that affect health assessments. Building on these insights, a rate-adaptive transformation model converts high C-rate features into low Crate equivalents, enabling rapid diagnostics of battery aging modes without time-consuming testing using a low C-rate. To address fitting inaccuracies caused by aging, blended materials, and kinetic effects, an interpretable residual learning model corrects voltage mismatches, which also enables low C-rate fitting by using high C-rate data. Leveraging mechanistic-informed features, early cycle life prediction achieves mean errors of less than 69 cycles using data from fewer than 30 equivalent full cycles across complex and unseen aging conditions. This interpretable and generalizable framework bridges electrochemical understanding with practical diagnosis and offers a fast and reliable path toward mechanism-informed battery prognostics.</w:t>
      </w:r>
    </w:p>
    <w:p>
      <w:pPr>
        <w:spacing w:before="120" w:after="120"/>
      </w:pPr>
      <w:r>
        <w:rPr>
          <w:sz w:val="18"/>
        </w:rPr>
        <w:t>——————————————————————————————————————————————————————————————————————</w:t>
      </w:r>
    </w:p>
    <w:p>
      <w:pPr>
        <w:spacing w:before="160" w:after="40" w:line="240" w:lineRule="auto"/>
      </w:pPr>
      <w:r>
        <w:rPr>
          <w:b/>
        </w:rPr>
        <w:t xml:space="preserve">[394] </w:t>
      </w:r>
      <w:hyperlink r:id="rId618">
        <w:r>
          <w:rPr>
            <w:color w:val="1155CC"/>
            <w:u w:val="single"/>
          </w:rPr>
          <w:t>多功能分子工程能够同时同时实现无碳和腐蚀和腐蚀-恢复Zinc-Halogend电池</w:t>
        </w:r>
      </w:hyperlink>
    </w:p>
    <w:p>
      <w:pPr>
        <w:spacing w:before="0" w:after="80"/>
      </w:pPr>
      <w:r>
        <w:rPr>
          <w:i/>
          <w:sz w:val="20"/>
        </w:rPr>
        <w:t>EN: Multifunctional Molecular Engineering Enables Simultaneously Dendrite‐Free and Corrosion‐Resistant Zinc‐Halogen Batteries</w:t>
      </w:r>
    </w:p>
    <w:p>
      <w:pPr>
        <w:spacing w:before="0" w:after="120"/>
      </w:pPr>
      <w:r>
        <w:rPr>
          <w:b/>
        </w:rPr>
        <w:t xml:space="preserve">Source: </w:t>
      </w:r>
      <w:r>
        <w:t>Wiley: Angewandte Chemie International Edition: Table of Contents</w:t>
      </w:r>
      <w:r>
        <w:t xml:space="preserve">    </w:t>
      </w:r>
      <w:r>
        <w:rPr>
          <w:b/>
        </w:rPr>
        <w:t xml:space="preserve">Pub date: </w:t>
      </w:r>
      <w:r>
        <w:t>2026-02-11 06:34:54+00:00</w:t>
      </w:r>
      <w:r>
        <w:t xml:space="preserve">    </w:t>
      </w:r>
      <w:r>
        <w:rPr>
          <w:b/>
        </w:rPr>
        <w:t xml:space="preserve">DOI: </w:t>
      </w:r>
      <w:hyperlink r:id="rId619">
        <w:r>
          <w:rPr>
            <w:color w:val="1155CC"/>
            <w:u w:val="single"/>
          </w:rPr>
          <w:t>10.1002/anie.202517407</w:t>
        </w:r>
      </w:hyperlink>
    </w:p>
    <w:p>
      <w:pPr>
        <w:spacing w:before="0" w:after="120"/>
      </w:pPr>
      <w:r>
        <w:rPr>
          <w:b/>
        </w:rPr>
        <w:t xml:space="preserve">Notes: </w:t>
      </w:r>
      <w:r>
        <w:t>abstract_source=crossref</w:t>
      </w:r>
    </w:p>
    <w:p>
      <w:pPr>
        <w:spacing w:before="0" w:after="80" w:lineRule="auto" w:line="276"/>
      </w:pPr>
      <w:r>
        <w:rPr>
          <w:b/>
        </w:rPr>
        <w:t xml:space="preserve">摘要（ZH）: </w:t>
      </w:r>
      <w:r>
        <w:t>水锌锌电池(AZIBs)的性能增强关键取决于电解添加剂的智能设计。然而,阐明添加剂复杂的机械性作用仍然具有挑战性,因为分子-电极界面和离子溶解结构内部的复杂多重相互作用,使得传统的试验-电解工艺方法不足以精确的性能调节。为了解决这个问题,我们开发了一个数量模型,将排放深度(DOD)和周期寿命联系起来。根据不同功能组之间的相互关系,一种以氨化(-CONH-)和磺酸(-CONH-)组为主的多功能添加剂。</w:t>
      </w:r>
    </w:p>
    <w:p>
      <w:pPr>
        <w:spacing w:before="0" w:after="200" w:lineRule="auto" w:line="276"/>
      </w:pPr>
      <w:r>
        <w:rPr>
          <w:b/>
        </w:rPr>
        <w:t xml:space="preserve">Abstract (EN): </w:t>
      </w:r>
      <w:r>
        <w:t>The performance enhancement of aqueous zinc‐ion batteries (AZIBs) critically hinges on the intelligent design of electrolyte additives. However, elucidating the complex mechanistic role of additives remains challenging due to intricate multiple interactions at the molecule–electrode interface and within the ion‐solvent structure, rendering traditional trial‐and‐error approaches inadequate for precise performance regulation. To address this, we develop a quantitative model that correlates depth of discharge (DOD) and cycle life. Guided by the correlation between different functional groups, a multifunctional additive featuring both amide (─CONH─) and sulfonic acid (─SO</w:t>
      </w:r>
      <w:r>
        <w:rPr>
          <w:vertAlign w:val="subscript"/>
        </w:rPr>
        <w:t>3</w:t>
      </w:r>
      <w:r>
        <w:t>−</w:t>
      </w:r>
      <w:r>
        <w:t>) groups was strategically selected. The experimental validation clearly demonstrates that this additive can function through three complementary mechanisms, thereby effectively suppressing the issues of corrosion, hydrogen evolution, and dendrite growth. Consequently, the zinc anode achieves an exceptional cycle reversibility exceeding 5000 h, and Zn||Cu batteries exhibit remarkable stability for 3800 times with a Coulombic efficiency of 99.9%. Notably, this strategy also drastically enhances the cycling stability of both two‐electron and four‐electron Zn||I</w:t>
      </w:r>
      <w:r>
        <w:rPr>
          <w:vertAlign w:val="subscript"/>
        </w:rPr>
        <w:t>2</w:t>
      </w:r>
      <w:r>
        <w:t>batteries as well as Zn||Br</w:t>
      </w:r>
      <w:r>
        <w:rPr>
          <w:vertAlign w:val="subscript"/>
        </w:rPr>
        <w:t>2</w:t>
      </w:r>
      <w:r>
        <w:t>batteries. This work offers a generalizable, performance‐driven design framework for multifunctional additives, paving the way toward practical, long‐life zinc‐halogen batteries.</w:t>
      </w:r>
    </w:p>
    <w:p>
      <w:pPr>
        <w:spacing w:before="120" w:after="120"/>
      </w:pPr>
      <w:r>
        <w:rPr>
          <w:sz w:val="18"/>
        </w:rPr>
        <w:t>——————————————————————————————————————————————————————————————————————</w:t>
      </w:r>
    </w:p>
    <w:p>
      <w:pPr>
        <w:spacing w:before="160" w:after="40" w:line="240" w:lineRule="auto"/>
      </w:pPr>
      <w:r>
        <w:rPr>
          <w:b/>
        </w:rPr>
        <w:t xml:space="preserve">[395] </w:t>
      </w:r>
      <w:hyperlink r:id="rId620">
        <w:r>
          <w:rPr>
            <w:color w:val="1155CC"/>
            <w:u w:val="single"/>
          </w:rPr>
          <w:t>用于高效生物氢能生产的微生物-半导体接口的双重原子推进电荷转移</w:t>
        </w:r>
      </w:hyperlink>
    </w:p>
    <w:p>
      <w:pPr>
        <w:spacing w:before="0" w:after="80"/>
      </w:pPr>
      <w:r>
        <w:rPr>
          <w:i/>
          <w:sz w:val="20"/>
        </w:rPr>
        <w:t>EN: Dual Atoms Anchoring at Microbe–Semiconductor Interfaces Boost Charge Transfer for Efficient Biohydrogen Production</w:t>
      </w:r>
    </w:p>
    <w:p>
      <w:pPr>
        <w:spacing w:before="0" w:after="120"/>
      </w:pPr>
      <w:r>
        <w:rPr>
          <w:b/>
        </w:rPr>
        <w:t xml:space="preserve">Source: </w:t>
      </w:r>
      <w:r>
        <w:t>Wiley: Advanced Energy Materials: Table of Contents</w:t>
      </w:r>
      <w:r>
        <w:t xml:space="preserve">    </w:t>
      </w:r>
      <w:r>
        <w:rPr>
          <w:b/>
        </w:rPr>
        <w:t xml:space="preserve">Pub date: </w:t>
      </w:r>
      <w:r>
        <w:t>2026-02-11 06:40:28+00:00</w:t>
      </w:r>
      <w:r>
        <w:t xml:space="preserve">    </w:t>
      </w:r>
      <w:r>
        <w:rPr>
          <w:b/>
        </w:rPr>
        <w:t xml:space="preserve">DOI: </w:t>
      </w:r>
      <w:hyperlink r:id="rId621">
        <w:r>
          <w:rPr>
            <w:color w:val="1155CC"/>
            <w:u w:val="single"/>
          </w:rPr>
          <w:t>10.1002/aenm.202506772</w:t>
        </w:r>
      </w:hyperlink>
    </w:p>
    <w:p>
      <w:pPr>
        <w:spacing w:before="0" w:after="120"/>
      </w:pPr>
      <w:r>
        <w:rPr>
          <w:b/>
        </w:rPr>
        <w:t xml:space="preserve">Notes: </w:t>
      </w:r>
      <w:r>
        <w:t>abstract_source=crossref</w:t>
      </w:r>
    </w:p>
    <w:p>
      <w:pPr>
        <w:spacing w:before="0" w:after="80" w:lineRule="auto" w:line="276"/>
      </w:pPr>
      <w:r>
        <w:rPr>
          <w:b/>
        </w:rPr>
        <w:t xml:space="preserve">摘要（ZH）: </w:t>
      </w:r>
      <w:r>
        <w:t>ABSTACT 光电合成生物合金系统将半导体的高级光吸收效率与微生物的具体生物催化途径相结合,已成为生产化学品的一个可持续平台,然而,由于复杂的间接触和不受欢迎的电荷转移,优化外细胞电子传输途径和实现高效太阳驱动生物大气分析仍具有挑战性。 我们在此报告了一项将双原子固定在微小-子导体界面的战略,以促进跨子电子转移和加强太阳化转换。 具体而言,C 3 N 4/CuCo光电催化剂与C3 N 4/CuCo光化催化剂结合了。</w:t>
      </w:r>
    </w:p>
    <w:p>
      <w:pPr>
        <w:spacing w:before="0" w:after="200" w:lineRule="auto" w:line="276"/>
      </w:pPr>
      <w:r>
        <w:rPr>
          <w:b/>
        </w:rPr>
        <w:t xml:space="preserve">Abstract (EN): </w:t>
      </w:r>
      <w:r>
        <w:t>Photosynthetic biohybrid systems, which integrate the superior light absorption efficiency of semiconductors with the specific biocatalytic pathways of microorganisms, have emerged as a sustainable platform to produce chemicals. However, due to complex interfacial contact and unfavorable charge transfer, it remains challenging to optimize extracellular electron transfer pathways and achieve efficient solar‐driven biocatalysis. Herein, we report a strategy of anchoring dual atoms at the microbe–semiconductor interfaces to promote interfacial electron transfer and enhance solar‐to‐chemical conversion. Specifically, the C</w:t>
      </w:r>
      <w:r>
        <w:rPr>
          <w:vertAlign w:val="subscript"/>
        </w:rPr>
        <w:t>3</w:t>
      </w:r>
      <w:r>
        <w:t>N</w:t>
      </w:r>
      <w:r>
        <w:rPr>
          <w:vertAlign w:val="subscript"/>
        </w:rPr>
        <w:t>4</w:t>
      </w:r>
      <w:r>
        <w:t>/CuCo photocatalyst is coupled with the electroactive bacterium</w:t>
      </w:r>
      <w:r>
        <w:t xml:space="preserve"> </w:t>
      </w:r>
      <w:r>
        <w:t>S. oneidensis</w:t>
      </w:r>
      <w:r>
        <w:t xml:space="preserve"> </w:t>
      </w:r>
      <w:r>
        <w:t>MR‐1 to form a biohybrid system. The dual atoms of Cu and Co at the interfaces facilitate electron and hole separation, thereby boosting indirect and direct electron transfer compared to non‐modified C</w:t>
      </w:r>
      <w:r>
        <w:rPr>
          <w:vertAlign w:val="subscript"/>
        </w:rPr>
        <w:t>3</w:t>
      </w:r>
      <w:r>
        <w:t>N</w:t>
      </w:r>
      <w:r>
        <w:rPr>
          <w:vertAlign w:val="subscript"/>
        </w:rPr>
        <w:t>4</w:t>
      </w:r>
      <w:r>
        <w:t>–</w:t>
      </w:r>
      <w:r>
        <w:t xml:space="preserve"> </w:t>
      </w:r>
      <w:r>
        <w:t>S. oneidensis</w:t>
      </w:r>
      <w:r>
        <w:t xml:space="preserve"> </w:t>
      </w:r>
      <w:r>
        <w:t>MR‐1 biohybrids. Moreover, operando single‐cell photocurrent analysis further unravels a 4.93‐fold increase in electron uptake for C</w:t>
      </w:r>
      <w:r>
        <w:rPr>
          <w:vertAlign w:val="subscript"/>
        </w:rPr>
        <w:t>3</w:t>
      </w:r>
      <w:r>
        <w:t>N</w:t>
      </w:r>
      <w:r>
        <w:rPr>
          <w:vertAlign w:val="subscript"/>
        </w:rPr>
        <w:t>4</w:t>
      </w:r>
      <w:r>
        <w:t>/CuCo–</w:t>
      </w:r>
      <w:r>
        <w:t xml:space="preserve"> </w:t>
      </w:r>
      <w:r>
        <w:t>S. oneidensis</w:t>
      </w:r>
      <w:r>
        <w:t xml:space="preserve"> </w:t>
      </w:r>
      <w:r>
        <w:t>MR‐1 over C</w:t>
      </w:r>
      <w:r>
        <w:rPr>
          <w:vertAlign w:val="subscript"/>
        </w:rPr>
        <w:t>3</w:t>
      </w:r>
      <w:r>
        <w:t>N</w:t>
      </w:r>
      <w:r>
        <w:rPr>
          <w:vertAlign w:val="subscript"/>
        </w:rPr>
        <w:t>4</w:t>
      </w:r>
      <w:r>
        <w:t>–</w:t>
      </w:r>
      <w:r>
        <w:t xml:space="preserve"> </w:t>
      </w:r>
      <w:r>
        <w:t>S. oneidensis</w:t>
      </w:r>
      <w:r>
        <w:t xml:space="preserve"> </w:t>
      </w:r>
      <w:r>
        <w:t>MR‐1. In contrast to</w:t>
      </w:r>
      <w:r>
        <w:t xml:space="preserve"> </w:t>
      </w:r>
      <w:r>
        <w:t>S. oneidensis</w:t>
      </w:r>
      <w:r>
        <w:t xml:space="preserve"> </w:t>
      </w:r>
      <w:r>
        <w:t>MR‐1, the biohybrid system exhibits a remarkable 34.01‐fold enhancement in H</w:t>
      </w:r>
      <w:r>
        <w:rPr>
          <w:vertAlign w:val="subscript"/>
        </w:rPr>
        <w:t>2</w:t>
      </w:r>
      <w:r>
        <w:t>evolution together with a quantum yield of 6.73% at 450 nm. Overall, this work highlights dual‐atomic interface engineering as a synergistic strategy to accelerate electron transfer across microbe‐semiconductor boundaries and realize efficient solar‐to‐fuel conversion in noble‐metal‐free systems.</w:t>
      </w:r>
    </w:p>
    <w:p>
      <w:pPr>
        <w:spacing w:before="120" w:after="120"/>
      </w:pPr>
      <w:r>
        <w:rPr>
          <w:sz w:val="18"/>
        </w:rPr>
        <w:t>——————————————————————————————————————————————————————————————————————</w:t>
      </w:r>
    </w:p>
    <w:p>
      <w:pPr>
        <w:spacing w:before="160" w:after="40" w:line="240" w:lineRule="auto"/>
      </w:pPr>
      <w:r>
        <w:rPr>
          <w:b/>
        </w:rPr>
        <w:t xml:space="preserve">[396] </w:t>
      </w:r>
      <w:hyperlink r:id="rId622">
        <w:r>
          <w:rPr>
            <w:color w:val="1155CC"/>
            <w:u w:val="single"/>
          </w:rPr>
          <w:t>使用 CuPd 地表原子元件转换硝酸乙酸电还原中的NNVERSUS NH联结</w:t>
        </w:r>
      </w:hyperlink>
    </w:p>
    <w:p>
      <w:pPr>
        <w:spacing w:before="0" w:after="80"/>
      </w:pPr>
      <w:r>
        <w:rPr>
          <w:i/>
          <w:sz w:val="20"/>
        </w:rPr>
        <w:t>EN: Switching N‐N Versus N‐H Couplings in Nitrate Electroreduction With CuPd Surface Atomic Motifs</w:t>
      </w:r>
    </w:p>
    <w:p>
      <w:pPr>
        <w:spacing w:before="0" w:after="120"/>
      </w:pPr>
      <w:r>
        <w:rPr>
          <w:b/>
        </w:rPr>
        <w:t xml:space="preserve">Source: </w:t>
      </w:r>
      <w:r>
        <w:t>Wiley: Angewandte Chemie International Edition: Table of Contents</w:t>
      </w:r>
      <w:r>
        <w:t xml:space="preserve">    </w:t>
      </w:r>
      <w:r>
        <w:rPr>
          <w:b/>
        </w:rPr>
        <w:t xml:space="preserve">Pub date: </w:t>
      </w:r>
      <w:r>
        <w:t>2026-02-11 06:40:44+00:00</w:t>
      </w:r>
      <w:r>
        <w:t xml:space="preserve">    </w:t>
      </w:r>
      <w:r>
        <w:rPr>
          <w:b/>
        </w:rPr>
        <w:t xml:space="preserve">DOI: </w:t>
      </w:r>
      <w:hyperlink r:id="rId623">
        <w:r>
          <w:rPr>
            <w:color w:val="1155CC"/>
            <w:u w:val="single"/>
          </w:rPr>
          <w:t>10.1002/anie.202524218</w:t>
        </w:r>
      </w:hyperlink>
    </w:p>
    <w:p>
      <w:pPr>
        <w:spacing w:before="0" w:after="120"/>
      </w:pPr>
      <w:r>
        <w:rPr>
          <w:b/>
        </w:rPr>
        <w:t xml:space="preserve">Notes: </w:t>
      </w:r>
      <w:r>
        <w:t>abstract_source=crossref</w:t>
      </w:r>
    </w:p>
    <w:p>
      <w:pPr>
        <w:spacing w:before="0" w:after="80" w:lineRule="auto" w:line="276"/>
      </w:pPr>
      <w:r>
        <w:rPr>
          <w:b/>
        </w:rPr>
        <w:t xml:space="preserve">摘要（ZH）: </w:t>
      </w:r>
      <w:r>
        <w:t>ABSTACT 硝酸盐电减少反应(NO 3-RR)为解决硝酸盐排放过量问题提供了很有希望的解决办法,将硝酸盐排放转化成无害环境二硝基或有用的氨,二金属催化剂,如CuPd,已被确认对NO 3-RR十分活跃。然而,二金属催化剂的产品差异阻碍了进一步的合理构造,这主要是因为对原子层表面结构如何通过紧要的中间体来精确控制后硝酸盐减少路径的理解不够。</w:t>
      </w:r>
    </w:p>
    <w:p>
      <w:pPr>
        <w:spacing w:before="0" w:after="200" w:lineRule="auto" w:line="276"/>
      </w:pPr>
      <w:r>
        <w:rPr>
          <w:b/>
        </w:rPr>
        <w:t xml:space="preserve">Abstract (EN): </w:t>
      </w:r>
      <w:r>
        <w:t>Nitrate electroreduction reaction (NO</w:t>
      </w:r>
      <w:r>
        <w:rPr>
          <w:vertAlign w:val="subscript"/>
        </w:rPr>
        <w:t>3</w:t>
      </w:r>
      <w:r>
        <w:t>−</w:t>
      </w:r>
      <w:r>
        <w:t>RR) offers a promising solution to address excessive nitrate emissions by converting them into either environmentally benign dinitrogen or useful ammonia. Bimetallic catalysts, such as CuPd, have been recognized to be active for NO</w:t>
      </w:r>
      <w:r>
        <w:rPr>
          <w:vertAlign w:val="subscript"/>
        </w:rPr>
        <w:t>3</w:t>
      </w:r>
      <w:r>
        <w:t>−</w:t>
      </w:r>
      <w:r>
        <w:t>RR. However, the product discrepancies over bimetallic catalysts hinder further rational construction, largely owing to the poor understanding of how atomic‐level surface structures precisely control post‐NO reduction pathways via crucial intermediates binding. Herein, we take CuPd as model bimetallic catalysts with ordered (o‐CuPd) and phase‐segregated (p‐CuPd) architectures, featuring Cu‐Pd hetero‐motifs and Cu‐Cu/Pd‐Pd homo‐motifs on the surface, respectively, to elucidate the structure‐performance relationship. The o‐CuPd enabled selective N</w:t>
      </w:r>
      <w:r>
        <w:rPr>
          <w:vertAlign w:val="subscript"/>
        </w:rPr>
        <w:t>2</w:t>
      </w:r>
      <w:r>
        <w:t>production with a current density up to 200 mA cm</w:t>
      </w:r>
      <w:r>
        <w:t xml:space="preserve"> </w:t>
      </w:r>
      <w:r>
        <w:t>−2</w:t>
      </w:r>
      <w:r>
        <w:t xml:space="preserve"> </w:t>
      </w:r>
      <w:r>
        <w:t>and Faradaic efficiency of ∼95%, whereas the p‐CuPd achieved NH</w:t>
      </w:r>
      <w:r>
        <w:rPr>
          <w:vertAlign w:val="subscript"/>
        </w:rPr>
        <w:t>3</w:t>
      </w:r>
      <w:r>
        <w:t>formation with 195 mA cm</w:t>
      </w:r>
      <w:r>
        <w:t xml:space="preserve"> </w:t>
      </w:r>
      <w:r>
        <w:t>−2</w:t>
      </w:r>
      <w:r>
        <w:t xml:space="preserve"> </w:t>
      </w:r>
      <w:r>
        <w:t>and ∼84% FE. Multiple in situ studies and DFT calculations disclosed that the binding strength of *NO intermediates scales linearly with that of *N, and their adsorption strengths over Cu‐Pd and Cu‐Cu or Pd‐Pd motifs play a crucial role in determining the post‐NO reduction pathways towards either N‐N or N‐H couplings, resulting in distinct final products. This work provides new insights for the rational construction of bimetallic catalysts for denitrification and ammonia electrosynthesis.</w:t>
      </w:r>
    </w:p>
    <w:p>
      <w:pPr>
        <w:spacing w:before="120" w:after="120"/>
      </w:pPr>
      <w:r>
        <w:rPr>
          <w:sz w:val="18"/>
        </w:rPr>
        <w:t>——————————————————————————————————————————————————————————————————————</w:t>
      </w:r>
    </w:p>
    <w:p>
      <w:pPr>
        <w:spacing w:before="160" w:after="40" w:line="240" w:lineRule="auto"/>
      </w:pPr>
      <w:r>
        <w:rPr>
          <w:b/>
        </w:rPr>
        <w:t xml:space="preserve">[397] </w:t>
      </w:r>
      <w:hyperlink r:id="rId624">
        <w:r>
          <w:rPr>
            <w:color w:val="1155CC"/>
            <w:u w:val="single"/>
          </w:rPr>
          <w:t>SrO 引进当地高碱性微环境,促进将二氧化碳电减到C2产品</w:t>
        </w:r>
      </w:hyperlink>
    </w:p>
    <w:p>
      <w:pPr>
        <w:spacing w:before="0" w:after="80"/>
      </w:pPr>
      <w:r>
        <w:rPr>
          <w:i/>
          <w:sz w:val="20"/>
        </w:rPr>
        <w:t>EN: SrO‐Induced Local Alkaline Microenvironment for Enhanced CO2 Electroreduction to C2 Products</w:t>
      </w:r>
    </w:p>
    <w:p>
      <w:pPr>
        <w:spacing w:before="0" w:after="120"/>
      </w:pPr>
      <w:r>
        <w:rPr>
          <w:b/>
        </w:rPr>
        <w:t xml:space="preserve">Source: </w:t>
      </w:r>
      <w:r>
        <w:t>Wiley: Advanced Energy Materials: Table of Contents</w:t>
      </w:r>
      <w:r>
        <w:t xml:space="preserve">    </w:t>
      </w:r>
      <w:r>
        <w:rPr>
          <w:b/>
        </w:rPr>
        <w:t xml:space="preserve">Pub date: </w:t>
      </w:r>
      <w:r>
        <w:t>2026-02-11 06:41:33+00:00</w:t>
      </w:r>
      <w:r>
        <w:t xml:space="preserve">    </w:t>
      </w:r>
      <w:r>
        <w:rPr>
          <w:b/>
        </w:rPr>
        <w:t xml:space="preserve">DOI: </w:t>
      </w:r>
      <w:hyperlink r:id="rId625">
        <w:r>
          <w:rPr>
            <w:color w:val="1155CC"/>
            <w:u w:val="single"/>
          </w:rPr>
          <w:t>10.1002/aenm.70750</w:t>
        </w:r>
      </w:hyperlink>
    </w:p>
    <w:p>
      <w:pPr>
        <w:spacing w:before="0" w:after="120"/>
      </w:pPr>
      <w:r>
        <w:rPr>
          <w:b/>
        </w:rPr>
        <w:t xml:space="preserve">Notes: </w:t>
      </w:r>
      <w:r>
        <w:t>abstract_source=crossref</w:t>
      </w:r>
    </w:p>
    <w:p>
      <w:pPr>
        <w:spacing w:before="0" w:after="80" w:lineRule="auto" w:line="276"/>
      </w:pPr>
      <w:r>
        <w:rPr>
          <w:b/>
        </w:rPr>
        <w:t xml:space="preserve">摘要（ZH）: </w:t>
      </w:r>
      <w:r>
        <w:t>ABSTACT电动催化CO2减排已成为通向碳中和的一条有希望的道路,C2产品因其高经济价值而吸引了相当大的兴趣,然而,由于C-C结合的高度动能障碍和氢进化反应的激烈竞争,这一过程的效率和选择性受到限制。 在这项工作中,我们提出了一项战略,通过建设当地碱性微环境促进C-C结合,并据此设计和制造由SrO-SRO/CuO组成的异交催化剂。</w:t>
      </w:r>
    </w:p>
    <w:p>
      <w:pPr>
        <w:spacing w:before="0" w:after="200" w:lineRule="auto" w:line="276"/>
      </w:pPr>
      <w:r>
        <w:rPr>
          <w:b/>
        </w:rPr>
        <w:t xml:space="preserve">Abstract (EN): </w:t>
      </w:r>
      <w:r>
        <w:t>Electrocatalytic CO</w:t>
      </w:r>
      <w:r>
        <w:rPr>
          <w:vertAlign w:val="subscript"/>
        </w:rPr>
        <w:t>2</w:t>
      </w:r>
      <w:r>
        <w:t>reduction has emerged as a promising pathway toward carbon neutrality, with C</w:t>
      </w:r>
      <w:r>
        <w:rPr>
          <w:vertAlign w:val="subscript"/>
        </w:rPr>
        <w:t>2</w:t>
      </w:r>
      <w:r>
        <w:t>products attracting considerable interest due to their high economic value. However, the efficiency and selectivity of this process are limited by the high kinetic barrier of C─C coupling and strong competition from the hydrogen evolution reaction (HER). In this work, we propose a strategy to promote C─C coupling by constructing a local alkaline microenvironment and accordingly design and fabricate a heterojunction catalyst composed of SrO‐modified CuO (SrO/CuO). In‐depth investigations reveal that the incorporation of SrO enhances</w:t>
      </w:r>
      <w:r>
        <w:t xml:space="preserve"> </w:t>
      </w:r>
      <w:r>
        <w:t>*</w:t>
      </w:r>
      <w:r>
        <w:t xml:space="preserve"> </w:t>
      </w:r>
      <w:r>
        <w:t>CO intermediate coverage, facilitates the hydrogenation of</w:t>
      </w:r>
      <w:r>
        <w:t xml:space="preserve"> </w:t>
      </w:r>
      <w:r>
        <w:t>*</w:t>
      </w:r>
      <w:r>
        <w:t xml:space="preserve"> </w:t>
      </w:r>
      <w:r>
        <w:t>CO to</w:t>
      </w:r>
      <w:r>
        <w:t xml:space="preserve"> </w:t>
      </w:r>
      <w:r>
        <w:t>*</w:t>
      </w:r>
      <w:r>
        <w:t xml:space="preserve"> </w:t>
      </w:r>
      <w:r>
        <w:t>CHO, and promotes the subsequent asymmetric</w:t>
      </w:r>
      <w:r>
        <w:t xml:space="preserve"> </w:t>
      </w:r>
      <w:r>
        <w:t>*</w:t>
      </w:r>
      <w:r>
        <w:t xml:space="preserve"> </w:t>
      </w:r>
      <w:r>
        <w:t>CHO─</w:t>
      </w:r>
      <w:r>
        <w:t xml:space="preserve"> </w:t>
      </w:r>
      <w:r>
        <w:t>*</w:t>
      </w:r>
      <w:r>
        <w:t xml:space="preserve"> </w:t>
      </w:r>
      <w:r>
        <w:t>CO coupling. More critically, SrO functions as an efficient water‐dissociation center, generating an OH</w:t>
      </w:r>
      <w:r>
        <w:t xml:space="preserve"> </w:t>
      </w:r>
      <w:r>
        <w:t>−</w:t>
      </w:r>
      <w:r>
        <w:t>‐enriched local microenvironment. This alkaline setting not only suppresses the competing HER but also stabilizes the C─C coupling transition state (</w:t>
      </w:r>
      <w:r>
        <w:t xml:space="preserve"> </w:t>
      </w:r>
      <w:r>
        <w:t>*</w:t>
      </w:r>
      <w:r>
        <w:t xml:space="preserve"> </w:t>
      </w:r>
      <w:r>
        <w:t>CHO─</w:t>
      </w:r>
      <w:r>
        <w:t xml:space="preserve"> </w:t>
      </w:r>
      <w:r>
        <w:t>*</w:t>
      </w:r>
      <w:r>
        <w:t xml:space="preserve"> </w:t>
      </w:r>
      <w:r>
        <w:t>CO) and provides ample</w:t>
      </w:r>
      <w:r>
        <w:t xml:space="preserve"> </w:t>
      </w:r>
      <w:r>
        <w:t>*</w:t>
      </w:r>
      <w:r>
        <w:t xml:space="preserve"> </w:t>
      </w:r>
      <w:r>
        <w:t>H to accelerate</w:t>
      </w:r>
      <w:r>
        <w:t xml:space="preserve"> </w:t>
      </w:r>
      <w:r>
        <w:t>*</w:t>
      </w:r>
      <w:r>
        <w:t xml:space="preserve"> </w:t>
      </w:r>
      <w:r>
        <w:t>CO hydrogenation, thereby greatly enhancing selective C</w:t>
      </w:r>
      <w:r>
        <w:rPr>
          <w:vertAlign w:val="subscript"/>
        </w:rPr>
        <w:t>2</w:t>
      </w:r>
      <w:r>
        <w:t>production. Electrochemical tests demonstrate that SrO/CuO achieves a high C</w:t>
      </w:r>
      <w:r>
        <w:rPr>
          <w:vertAlign w:val="subscript"/>
        </w:rPr>
        <w:t>2</w:t>
      </w:r>
      <w:r>
        <w:t>Faradaic efficiency of 71.4% at −1.5 V vs. RHE in a flow cell, while maintaining excellent stability over a wide potential window.</w:t>
      </w:r>
    </w:p>
    <w:p>
      <w:pPr>
        <w:spacing w:before="120" w:after="120"/>
      </w:pPr>
      <w:r>
        <w:rPr>
          <w:sz w:val="18"/>
        </w:rPr>
        <w:t>——————————————————————————————————————————————————————————————————————</w:t>
      </w:r>
    </w:p>
    <w:p>
      <w:pPr>
        <w:spacing w:before="160" w:after="40" w:line="240" w:lineRule="auto"/>
      </w:pPr>
      <w:r>
        <w:rPr>
          <w:b/>
        </w:rPr>
        <w:t xml:space="preserve">[398] </w:t>
      </w:r>
      <w:hyperlink r:id="rId626">
        <w:r>
          <w:rPr>
            <w:color w:val="1155CC"/>
            <w:u w:val="single"/>
          </w:rPr>
          <w:t>由当地原子环境描述器协助的电化学氢过氧化合成通用催化剂设计框架</w:t>
        </w:r>
      </w:hyperlink>
    </w:p>
    <w:p>
      <w:pPr>
        <w:spacing w:before="0" w:after="80"/>
      </w:pPr>
      <w:r>
        <w:rPr>
          <w:i/>
          <w:sz w:val="20"/>
        </w:rPr>
        <w:t>EN: Universal Catalyst Design Framework for Electrochemical Hydrogen Peroxide Synthesis Facilitated by Local Atomic Environment Descriptors</w:t>
      </w:r>
    </w:p>
    <w:p>
      <w:pPr>
        <w:spacing w:before="0" w:after="120"/>
      </w:pPr>
      <w:r>
        <w:rPr>
          <w:b/>
        </w:rPr>
        <w:t xml:space="preserve">Source: </w:t>
      </w:r>
      <w:r>
        <w:t>Wiley: Angewandte Chemie International Edition: Table of Contents</w:t>
      </w:r>
      <w:r>
        <w:t xml:space="preserve">    </w:t>
      </w:r>
      <w:r>
        <w:rPr>
          <w:b/>
        </w:rPr>
        <w:t xml:space="preserve">Pub date: </w:t>
      </w:r>
      <w:r>
        <w:t>2026-02-11 06:43:27+00:00</w:t>
      </w:r>
      <w:r>
        <w:t xml:space="preserve">    </w:t>
      </w:r>
      <w:r>
        <w:rPr>
          <w:b/>
        </w:rPr>
        <w:t xml:space="preserve">DOI: </w:t>
      </w:r>
      <w:hyperlink r:id="rId627">
        <w:r>
          <w:rPr>
            <w:color w:val="1155CC"/>
            <w:u w:val="single"/>
          </w:rPr>
          <w:t>10.1002/anie.2026-m0402120400</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[399] </w:t>
      </w:r>
      <w:hyperlink r:id="rId628">
        <w:r>
          <w:rPr>
            <w:color w:val="1155CC"/>
            <w:u w:val="single"/>
          </w:rPr>
          <w:t>选择性电荷抽取允许在硬体和超弹性软体SWIR有机光层中快速光倍增和成像</w:t>
        </w:r>
      </w:hyperlink>
    </w:p>
    <w:p>
      <w:pPr>
        <w:spacing w:before="0" w:after="80"/>
      </w:pPr>
      <w:r>
        <w:rPr>
          <w:i/>
          <w:sz w:val="20"/>
        </w:rPr>
        <w:t>EN: Selective Charge Extraction Allows Fast Photomultiplication and Imaging in Rigid and Ultra‐Flexible SWIR Organic Photodiodes</w:t>
      </w:r>
    </w:p>
    <w:p>
      <w:pPr>
        <w:spacing w:before="0" w:after="120"/>
      </w:pPr>
      <w:r>
        <w:rPr>
          <w:b/>
        </w:rPr>
        <w:t xml:space="preserve">Source: </w:t>
      </w:r>
      <w:r>
        <w:t>Wiley: Advanced Energy Materials: Table of Contents</w:t>
      </w:r>
      <w:r>
        <w:t xml:space="preserve">    </w:t>
      </w:r>
      <w:r>
        <w:rPr>
          <w:b/>
        </w:rPr>
        <w:t xml:space="preserve">Pub date: </w:t>
      </w:r>
      <w:r>
        <w:t>2026-02-11 06:46:41+00:00</w:t>
      </w:r>
      <w:r>
        <w:t xml:space="preserve">    </w:t>
      </w:r>
      <w:r>
        <w:rPr>
          <w:b/>
        </w:rPr>
        <w:t xml:space="preserve">DOI: </w:t>
      </w:r>
      <w:hyperlink r:id="rId629">
        <w:r>
          <w:rPr>
            <w:color w:val="1155CC"/>
            <w:u w:val="single"/>
          </w:rPr>
          <w:t>10.1002/aenm.202506776</w:t>
        </w:r>
      </w:hyperlink>
    </w:p>
    <w:p>
      <w:pPr>
        <w:spacing w:before="0" w:after="120"/>
      </w:pPr>
      <w:r>
        <w:rPr>
          <w:b/>
        </w:rPr>
        <w:t xml:space="preserve">Notes: </w:t>
      </w:r>
      <w:r>
        <w:t>abstract_source=crossref</w:t>
      </w:r>
    </w:p>
    <w:p>
      <w:pPr>
        <w:spacing w:before="0" w:after="80" w:lineRule="auto" w:line="276"/>
      </w:pPr>
      <w:r>
        <w:rPr>
          <w:b/>
        </w:rPr>
        <w:t xml:space="preserve">摘要（ZH）: </w:t>
      </w:r>
      <w:r>
        <w:t>将有机光层吸收窗口扩大到1,000纳米基准线以上,对于生物成形和医疗应用至关重要,但是,由于近红外(NIR)半导体聚合物和具有适当能源匹配和可处理能力的小型分子稀缺,进入这一波长范围证明是一项艰巨的任务。基于低频带式捐赠聚合物的OPD一般具有低响应性,因此,NIR的探测性较低。 已经引入了光化倍增,作为提高外部量子效率的有希望的战略,但应用范围主要限于在可见范围内运作并在毫秒范围内反应速度的OPD。</w:t>
      </w:r>
    </w:p>
    <w:p>
      <w:pPr>
        <w:spacing w:before="0" w:after="200" w:lineRule="auto" w:line="276"/>
      </w:pPr>
      <w:r>
        <w:rPr>
          <w:b/>
        </w:rPr>
        <w:t xml:space="preserve">Abstract (EN): </w:t>
      </w:r>
      <w:r>
        <w:t>Expanding the absorption window of organic photodiodes (OPDs) over the 1000 nm benchmark is essential for bioimaging and medical applications. However, progressing into this wavelength range has proven to be a challenging task due to the scarcity of near‐infrared (NIR) semiconducting polymers and small molecules with suitable energy alignment and processability. OPDs based on low‐bandgap donor polymers generally present low responsivities and, therefore, low detectivities in the NIR. Photomultiplication (PM) has been introduced as a promising strategy to increase the external quantum efficiency (EQE) above unity. However, its application has been mainly limited to OPDs operating in the visible range and with response speeds within the millisecond range. In this work, we present PM‐OPDs utilizing an equal donor (D):acceptor (A) ratio in the bulk heterojunction photoactive layer. This changes the common understanding of PM‐OPDs, in which heavily unbalanced D:A ratios were needed to impose trap‐assisted charge tunnelling injection at high reverse bias. Here, the NIR polymer TQ‐3T was used with nonfullerene acceptor Y6. PM‐OPDs with an EQE of above 1100% at 840 nm and 31% at 1100 nm at ‐10 V, and fast response times of 73 µs were achieved. We also demonstrate ultrathin (&amp;lt;3 µm) flexible PM‐OPDs based on the TQ‐3T:Y6 blend without any drop in performance compared to rigid samples with a stable dark current density after 1000 bending cycles. Finally, we demonstrate an application of the PM‐OPD as a flexible and pulse oximeter and large‐area image sensor for accurate vein recognition.</w:t>
      </w:r>
    </w:p>
    <w:p>
      <w:pPr>
        <w:spacing w:before="120" w:after="120"/>
      </w:pPr>
      <w:r>
        <w:rPr>
          <w:sz w:val="18"/>
        </w:rPr>
        <w:t>——————————————————————————————————————————————————————————————————————</w:t>
      </w:r>
    </w:p>
    <w:p>
      <w:pPr>
        <w:spacing w:before="160" w:after="40" w:line="240" w:lineRule="auto"/>
      </w:pPr>
      <w:r>
        <w:rPr>
          <w:b/>
        </w:rPr>
        <w:t xml:space="preserve">[400] </w:t>
      </w:r>
      <w:hyperlink r:id="rId630">
        <w:r>
          <w:rPr>
            <w:color w:val="1155CC"/>
            <w:u w:val="single"/>
          </w:rPr>
          <w:t>遵循《休克克尔规则》和《贝尔德规则》,遵循《休克克尔规则》和《贝尔德规则》,</w:t>
        </w:r>
      </w:hyperlink>
    </w:p>
    <w:p>
      <w:pPr>
        <w:spacing w:before="0" w:after="80"/>
      </w:pPr>
      <w:r>
        <w:rPr>
          <w:i/>
          <w:sz w:val="20"/>
        </w:rPr>
        <w:t>EN: Heavy‐Atom‐Embedded Narrowband Multiple‐Resonance Thermally Activated Delayed Fluorescence Emitters With Aromaticity Guided by Hückel's and Baird's Rules</w:t>
      </w:r>
    </w:p>
    <w:p>
      <w:pPr>
        <w:spacing w:before="0" w:after="120"/>
      </w:pPr>
      <w:r>
        <w:rPr>
          <w:b/>
        </w:rPr>
        <w:t xml:space="preserve">Source: </w:t>
      </w:r>
      <w:r>
        <w:t>Wiley: Angewandte Chemie International Edition: Table of Contents</w:t>
      </w:r>
      <w:r>
        <w:t xml:space="preserve">    </w:t>
      </w:r>
      <w:r>
        <w:rPr>
          <w:b/>
        </w:rPr>
        <w:t xml:space="preserve">Pub date: </w:t>
      </w:r>
      <w:r>
        <w:t>2026-02-11 06:49:50+00:00</w:t>
      </w:r>
      <w:r>
        <w:t xml:space="preserve">    </w:t>
      </w:r>
      <w:r>
        <w:rPr>
          <w:b/>
        </w:rPr>
        <w:t xml:space="preserve">DOI: </w:t>
      </w:r>
      <w:hyperlink r:id="rId631">
        <w:r>
          <w:rPr>
            <w:color w:val="1155CC"/>
            <w:u w:val="single"/>
          </w:rPr>
          <w:t>10.1002/anie.202523890</w:t>
        </w:r>
      </w:hyperlink>
    </w:p>
    <w:p>
      <w:pPr>
        <w:spacing w:before="0" w:after="120"/>
      </w:pPr>
      <w:r>
        <w:rPr>
          <w:b/>
        </w:rPr>
        <w:t xml:space="preserve">Notes: </w:t>
      </w:r>
      <w:r>
        <w:t>abstract_source=crossref</w:t>
      </w:r>
    </w:p>
    <w:p>
      <w:pPr>
        <w:spacing w:before="0" w:after="80" w:lineRule="auto" w:line="276"/>
      </w:pPr>
      <w:r>
        <w:rPr>
          <w:b/>
        </w:rPr>
        <w:t xml:space="preserve">摘要（ZH）: </w:t>
      </w:r>
      <w:r>
        <w:t>以快速反向跨系统跨系统(RISC)为特征的ABSTACT 多重热共振热延迟荧光延迟发热发射源(MRTADF)是高效三重采伐极为可取的。常规重金属战略往往会以光谱扩大为代价增强RISC,特别是当重原子嵌入了8电子六成员环时,Hückel的规则和Baird的规则之间发生反常性逆转,导致结构重组。这里,我们报告了一项设计战略,通过包含五人组成的重原子环的外围集聚,形成一个经典的多振反应框架BCzBN。硬性芳烃六电子环保持了地面和兴奋状态的小型重整能源计划性,这种能源e。</w:t>
      </w:r>
    </w:p>
    <w:p>
      <w:pPr>
        <w:spacing w:before="0" w:after="200" w:lineRule="auto" w:line="276"/>
      </w:pPr>
      <w:r>
        <w:rPr>
          <w:b/>
        </w:rPr>
        <w:t xml:space="preserve">Abstract (EN): </w:t>
      </w:r>
      <w:r>
        <w:t>Multiple‐resonance thermally activated delayed fluorescence (MR‐TADF) emitters featuring rapid reverse intersystem crossing (RISC) are highly desirable for efficient triplet harvesting.  Conventional heavy‐atom strategies often enhance RISC at the expense of spectral broadening, particularly when heavy atoms are embedded in 8π‐electron six‐membered rings, where aromaticity reversal between Hückel's and Baird's rules induces structural reorganization. Here, we report a design strategy through peripheral fusion of heavy‐atom‐containing five‐membered aromatic rings into a classical multiple‐resonance framework BCzBN. The rigid aromatic 6π‐electron rings maintain planarity in both ground and excited states for small reorganization energy, which effectively suppresses structural relaxation‐induced spectral broadening, while simultaneously enhancing spin–orbit coupling (SOC). The resulting emitters achieve narrowband pure‐green electroluminescence with a 27 nm full‐width at half‐maximum (FWHM) and Commission Internationale de l′Éclairage</w:t>
      </w:r>
      <w:r>
        <w:t xml:space="preserve"> </w:t>
      </w:r>
      <w:r>
        <w:t>y</w:t>
      </w:r>
      <w:r>
        <w:t xml:space="preserve"> </w:t>
      </w:r>
      <w:r>
        <w:t>‐coordinate of 0.72, together with a RISC rate &amp;gt;10</w:t>
      </w:r>
      <w:r>
        <w:rPr>
          <w:vertAlign w:val="subscript"/>
        </w:rPr>
        <w:t>6</w:t>
      </w:r>
      <w:r>
        <w:t>s</w:t>
      </w:r>
      <w:r>
        <w:t xml:space="preserve"> </w:t>
      </w:r>
      <w:r>
        <w:t>−</w:t>
      </w:r>
      <w:r>
        <w:rPr>
          <w:vertAlign w:val="subscript"/>
        </w:rPr>
        <w:t>1</w:t>
      </w:r>
      <w:r>
        <w:t>. Optimized organic light‐emitting diode devices show a maximum external quantum efficiency (EQE) of 31.3% with negligible efficiency roll‐off, maintaining EQEs of 31.2% and 25.6% at 1000 and 10 000 cd m</w:t>
      </w:r>
      <w:r>
        <w:t xml:space="preserve"> </w:t>
      </w:r>
      <w:r>
        <w:t>−</w:t>
      </w:r>
      <w:r>
        <w:rPr>
          <w:vertAlign w:val="subscript"/>
        </w:rPr>
        <w:t>2</w:t>
      </w:r>
      <w:r>
        <w:t>, respectively. This work demonstrates the critical role of π‐electron counting in heavy‐atom integration and provides a general design principle for high‐performance MR‐TADF materials that concurrently achieve narrow emission and fast RISC kinetics.</w:t>
      </w:r>
    </w:p>
    <w:p>
      <w:pPr>
        <w:spacing w:before="120" w:after="120"/>
      </w:pPr>
      <w:r>
        <w:rPr>
          <w:sz w:val="18"/>
        </w:rPr>
        <w:t>——————————————————————————————————————————————————————————————————————</w:t>
      </w:r>
    </w:p>
    <w:p>
      <w:pPr>
        <w:spacing w:before="160" w:after="40" w:line="240" w:lineRule="auto"/>
      </w:pPr>
      <w:r>
        <w:rPr>
          <w:b/>
        </w:rPr>
        <w:t xml:space="preserve">[401] </w:t>
      </w:r>
      <w:hyperlink r:id="rId632">
        <w:r>
          <w:rPr>
            <w:color w:val="1155CC"/>
            <w:u w:val="single"/>
          </w:rPr>
          <w:t>通过高级室室交叉连接战略, 构造高离子成像合成固态电解解元件</w:t>
        </w:r>
      </w:hyperlink>
    </w:p>
    <w:p>
      <w:pPr>
        <w:spacing w:before="0" w:after="80"/>
      </w:pPr>
      <w:r>
        <w:rPr>
          <w:i/>
          <w:sz w:val="20"/>
        </w:rPr>
        <w:t>EN: Constructing Highly Ion‐Conductive Composite Solid Electrolytes via Crosslinking Strategy for Advanced Room‐Temperature Lithium Metal Battery</w:t>
      </w:r>
    </w:p>
    <w:p>
      <w:pPr>
        <w:spacing w:before="0" w:after="120"/>
      </w:pPr>
      <w:r>
        <w:rPr>
          <w:b/>
        </w:rPr>
        <w:t xml:space="preserve">Source: </w:t>
      </w:r>
      <w:r>
        <w:t>Wiley: Advanced Energy Materials: Table of Contents</w:t>
      </w:r>
      <w:r>
        <w:t xml:space="preserve">    </w:t>
      </w:r>
      <w:r>
        <w:rPr>
          <w:b/>
        </w:rPr>
        <w:t xml:space="preserve">Pub date: </w:t>
      </w:r>
      <w:r>
        <w:t>2026-02-11 06:52:26+00:00</w:t>
      </w:r>
      <w:r>
        <w:t xml:space="preserve">    </w:t>
      </w:r>
      <w:r>
        <w:rPr>
          <w:b/>
        </w:rPr>
        <w:t xml:space="preserve">DOI: </w:t>
      </w:r>
      <w:hyperlink r:id="rId633">
        <w:r>
          <w:rPr>
            <w:color w:val="1155CC"/>
            <w:u w:val="single"/>
          </w:rPr>
          <w:t>10.1002/aenm.202506534</w:t>
        </w:r>
      </w:hyperlink>
    </w:p>
    <w:p>
      <w:pPr>
        <w:spacing w:before="0" w:after="120"/>
      </w:pPr>
      <w:r>
        <w:rPr>
          <w:b/>
        </w:rPr>
        <w:t xml:space="preserve">Notes: </w:t>
      </w:r>
      <w:r>
        <w:t>abstract_source=crossref</w:t>
      </w:r>
    </w:p>
    <w:p>
      <w:pPr>
        <w:spacing w:before="0" w:after="80" w:lineRule="auto" w:line="276"/>
      </w:pPr>
      <w:r>
        <w:rPr>
          <w:b/>
        </w:rPr>
        <w:t xml:space="preserve">摘要（ZH）: </w:t>
      </w:r>
      <w:r>
        <w:t>设计并开发具有出色全面性能的固态电解解器(SSSE)目前是高性能全固体电池中的一个关键挑战。 由此,通过将Li 10 GeP 2 S 12 (LGPS)超电离导体和电离金属-有机框架(MOFs)都嵌入使用 mPEEG硅烷联结剂(PEO)的改良主机聚体聚(环氧乙烷)(PEO),避免了 mPEG硅烷和PEO之间的任何阶段分离,从而增强了聚合物/填充器的兼容性,降低了所有粒子之间的谷物边界抗力,从而推力。</w:t>
      </w:r>
    </w:p>
    <w:p>
      <w:pPr>
        <w:spacing w:before="0" w:after="200" w:lineRule="auto" w:line="276"/>
      </w:pPr>
      <w:r>
        <w:rPr>
          <w:b/>
        </w:rPr>
        <w:t xml:space="preserve">Abstract (EN): </w:t>
      </w:r>
      <w:r>
        <w:t>Designing and developing solid‐state electrolytes (SSEs) with excellent comprehensive performance is currently a key challenge in high‐performance all‐solid‐state batteries. Herein, a novel composite solid polymer electrolyte is fabricated by embedding both Li</w:t>
      </w:r>
      <w:r>
        <w:rPr>
          <w:vertAlign w:val="subscript"/>
        </w:rPr>
        <w:t>10</w:t>
      </w:r>
      <w:r>
        <w:t>GeP</w:t>
      </w:r>
      <w:r>
        <w:rPr>
          <w:vertAlign w:val="subscript"/>
        </w:rPr>
        <w:t>2</w:t>
      </w:r>
      <w:r>
        <w:t>S</w:t>
      </w:r>
      <w:r>
        <w:rPr>
          <w:vertAlign w:val="subscript"/>
        </w:rPr>
        <w:t>12</w:t>
      </w:r>
      <w:r>
        <w:t>(LGPS) superionic conductors and cationic metal–organic frameworks (MOFs) in modified host poly(ethylene oxide) (PEO) utilizing mPEG‐silane coupling agent, which averts any phase separation between mPEG‐silane and PEO, enhances the polymers/fillers interface compatibility, and decreases the grain boundary resistance between all the particles, thus boosting the electrochemical properties of the SSEs. An exceptional room‐temperature Li</w:t>
      </w:r>
      <w:r>
        <w:t xml:space="preserve"> </w:t>
      </w:r>
      <w:r>
        <w:t>+</w:t>
      </w:r>
      <w:r>
        <w:t xml:space="preserve"> </w:t>
      </w:r>
      <w:r>
        <w:t>conductivity of 6.9 × 10</w:t>
      </w:r>
      <w:r>
        <w:t xml:space="preserve"> </w:t>
      </w:r>
      <w:r>
        <w:t>−4</w:t>
      </w:r>
      <w:r>
        <w:t xml:space="preserve"> </w:t>
      </w:r>
      <w:r>
        <w:t>S cm</w:t>
      </w:r>
      <w:r>
        <w:t xml:space="preserve"> </w:t>
      </w:r>
      <w:r>
        <w:t>−1</w:t>
      </w:r>
      <w:r>
        <w:t xml:space="preserve"> </w:t>
      </w:r>
      <w:r>
        <w:t>, broad redox stability window of 5.36 V and high lithium‐ion transference number of 0.88 are obtained ascribed to the synergistic effect of polymer chains, LGPS and cationic MOFs. Accordingly, the Li symmetrical cell with the composite SSEs achieves an extremely long cycle stability of 11 000 h at 0.1 mA cm</w:t>
      </w:r>
      <w:r>
        <w:t xml:space="preserve"> </w:t>
      </w:r>
      <w:r>
        <w:t>−2</w:t>
      </w:r>
      <w:r>
        <w:t xml:space="preserve"> </w:t>
      </w:r>
      <w:r>
        <w:t>. Additionally, the robust membrane structure and electrodes/SSEs interfacial compatibility enable the assembled LFP|Li solid battery to gain a discharge capacity of 130.7 mAh g</w:t>
      </w:r>
      <w:r>
        <w:t xml:space="preserve"> </w:t>
      </w:r>
      <w:r>
        <w:t>−1</w:t>
      </w:r>
      <w:r>
        <w:t xml:space="preserve"> </w:t>
      </w:r>
      <w:r>
        <w:t>at 1 C over 1200 cycles. This work may open up a completely new path for the development of next‐generation high‐performance SSEs applied in the field of all‐solid‐state batteries.</w:t>
      </w:r>
    </w:p>
    <w:p>
      <w:pPr>
        <w:spacing w:before="120" w:after="120"/>
      </w:pPr>
      <w:r>
        <w:rPr>
          <w:sz w:val="18"/>
        </w:rPr>
        <w:t>——————————————————————————————————————————————————————————————————————</w:t>
      </w:r>
    </w:p>
    <w:p>
      <w:pPr>
        <w:spacing w:before="160" w:after="40" w:line="240" w:lineRule="auto"/>
      </w:pPr>
      <w:r>
        <w:rPr>
          <w:b/>
        </w:rPr>
        <w:t xml:space="preserve">[402] </w:t>
      </w:r>
      <w:hyperlink r:id="rId634">
        <w:r>
          <w:rPr>
            <w:color w:val="1155CC"/>
            <w:u w:val="single"/>
          </w:rPr>
          <w:t>自然高温热电性能,具有独特准压超压结构和性流动谷的自然高温Pavonite AA3Pb4Bi11Se22</w:t>
        </w:r>
      </w:hyperlink>
    </w:p>
    <w:p>
      <w:pPr>
        <w:spacing w:before="0" w:after="80"/>
      </w:pPr>
      <w:r>
        <w:rPr>
          <w:i/>
          <w:sz w:val="20"/>
        </w:rPr>
        <w:t>EN: Exceptional Thermoelectric Performance of Naturally High‐Entropy Pavonite Ag3Pb4Bi11Se22 with Unique Quasi‐Superlattice Structure and Sextuple Conduction Valleys</w:t>
      </w:r>
    </w:p>
    <w:p>
      <w:pPr>
        <w:spacing w:before="0" w:after="120"/>
      </w:pPr>
      <w:r>
        <w:rPr>
          <w:b/>
        </w:rPr>
        <w:t xml:space="preserve">Source: </w:t>
      </w:r>
      <w:r>
        <w:t>Wiley: Advanced Energy Materials: Table of Contents</w:t>
      </w:r>
      <w:r>
        <w:t xml:space="preserve">    </w:t>
      </w:r>
      <w:r>
        <w:rPr>
          <w:b/>
        </w:rPr>
        <w:t xml:space="preserve">Pub date: </w:t>
      </w:r>
      <w:r>
        <w:t>2026-02-11 06:57:01+00:00</w:t>
      </w:r>
      <w:r>
        <w:t xml:space="preserve">    </w:t>
      </w:r>
      <w:r>
        <w:rPr>
          <w:b/>
        </w:rPr>
        <w:t xml:space="preserve">DOI: </w:t>
      </w:r>
      <w:hyperlink r:id="rId635">
        <w:r>
          <w:rPr>
            <w:color w:val="1155CC"/>
            <w:u w:val="single"/>
          </w:rPr>
          <w:t>10.1002/aenm.70729</w:t>
        </w:r>
      </w:hyperlink>
    </w:p>
    <w:p>
      <w:pPr>
        <w:spacing w:before="0" w:after="120"/>
      </w:pPr>
      <w:r>
        <w:rPr>
          <w:b/>
        </w:rPr>
        <w:t xml:space="preserve">Notes: </w:t>
      </w:r>
      <w:r>
        <w:t>abstract_source=crossref</w:t>
      </w:r>
    </w:p>
    <w:p>
      <w:pPr>
        <w:spacing w:before="0" w:after="80" w:lineRule="auto" w:line="276"/>
      </w:pPr>
      <w:r>
        <w:rPr>
          <w:b/>
        </w:rPr>
        <w:t xml:space="preserve">摘要（ZH）: </w:t>
      </w:r>
      <w:r>
        <w:t>ABSTACT 开发高性能热电材料,其内含低压热传导性和金枪鱼电子特性,对于推进高效能源转换技术以实现全球可持续性至关重要。在这里,我们报告了一种帕沃尼特化合物Ag 3 Pb 4 Pb bi 11 Se 22,其中结合了一个独特的准超拉特结构以及自然产生的准高entropy合金特性。这些结构特征协同诱导强烈的电离散散,产生超低拉特热导度0.320.57 W m-1。</w:t>
      </w:r>
    </w:p>
    <w:p>
      <w:pPr>
        <w:spacing w:before="0" w:after="200" w:lineRule="auto" w:line="276"/>
      </w:pPr>
      <w:r>
        <w:rPr>
          <w:b/>
        </w:rPr>
        <w:t xml:space="preserve">Abstract (EN): </w:t>
      </w:r>
      <w:r>
        <w:t>Developing high‐performance thermoelectric materials with intrinsically low lattice thermal conductivity and tunable electronic properties is critical for advancing efficient energy conversion technologies toward global sustainability. Herein, we report a pavonite compound Ag</w:t>
      </w:r>
      <w:r>
        <w:rPr>
          <w:vertAlign w:val="subscript"/>
        </w:rPr>
        <w:t>3</w:t>
      </w:r>
      <w:r>
        <w:t>Pb</w:t>
      </w:r>
      <w:r>
        <w:rPr>
          <w:vertAlign w:val="subscript"/>
        </w:rPr>
        <w:t>4</w:t>
      </w:r>
      <w:r>
        <w:t>Bi</w:t>
      </w:r>
      <w:r>
        <w:rPr>
          <w:vertAlign w:val="subscript"/>
        </w:rPr>
        <w:t>11</w:t>
      </w:r>
      <w:r>
        <w:t>Se</w:t>
      </w:r>
      <w:r>
        <w:rPr>
          <w:vertAlign w:val="subscript"/>
        </w:rPr>
        <w:t>22</w:t>
      </w:r>
      <w:r>
        <w:t>integrating a unique quasi‐superlattice architecture and naturally occurring quasi‐high‐entropy alloy characteristics. These structural features synergistically induce intense phonon scattering yielding an ultra‐low lattice thermal conductivity of 0.32‐0.57 W m</w:t>
      </w:r>
      <w:r>
        <w:t xml:space="preserve"> </w:t>
      </w:r>
      <w:r>
        <w:t>−1</w:t>
      </w:r>
      <w:r>
        <w:t xml:space="preserve"> </w:t>
      </w:r>
      <w:r>
        <w:t>K</w:t>
      </w:r>
      <w:r>
        <w:t xml:space="preserve"> </w:t>
      </w:r>
      <w:r>
        <w:t>−1</w:t>
      </w:r>
      <w:r>
        <w:t xml:space="preserve"> </w:t>
      </w:r>
      <w:r>
        <w:t>over the temperature range of 300–773 K. First‐principles calculations reveal that Ag</w:t>
      </w:r>
      <w:r>
        <w:rPr>
          <w:vertAlign w:val="subscript"/>
        </w:rPr>
        <w:t>3</w:t>
      </w:r>
      <w:r>
        <w:t>Pb</w:t>
      </w:r>
      <w:r>
        <w:rPr>
          <w:vertAlign w:val="subscript"/>
        </w:rPr>
        <w:t>4</w:t>
      </w:r>
      <w:r>
        <w:t>Bi</w:t>
      </w:r>
      <w:r>
        <w:rPr>
          <w:vertAlign w:val="subscript"/>
        </w:rPr>
        <w:t>11</w:t>
      </w:r>
      <w:r>
        <w:t>Se</w:t>
      </w:r>
      <w:r>
        <w:rPr>
          <w:vertAlign w:val="subscript"/>
        </w:rPr>
        <w:t>22</w:t>
      </w:r>
      <w:r>
        <w:t>is a narrow‐bandgap semiconductor with a multi‐valley conduction band featuring up to six closely spaced energy valleys. By tailoring the carrier concentration through controlled Se deficiency, the Fermi level is optimized to activate multi‐valley cooperative transport, significantly enhancing the band degeneracy from 2 to 10 and the density of states effective mass from 0.6</w:t>
      </w:r>
      <w:r>
        <w:t xml:space="preserve"> </w:t>
      </w:r>
      <w:r>
        <w:t>m</w:t>
      </w:r>
      <w:r>
        <w:rPr>
          <w:vertAlign w:val="subscript"/>
        </w:rPr>
        <w:t>0</w:t>
      </w:r>
      <w:r>
        <w:t>to 1.8</w:t>
      </w:r>
      <w:r>
        <w:t xml:space="preserve"> </w:t>
      </w:r>
      <w:r>
        <w:t>m</w:t>
      </w:r>
      <w:r>
        <w:rPr>
          <w:vertAlign w:val="subscript"/>
        </w:rPr>
        <w:t>0</w:t>
      </w:r>
      <w:r>
        <w:t>. This optimization mitigates the degradation of the Seebeck coefficient at high carrier concentrations while simultaneously improving electrical conductivity. Ultimately, the Ag</w:t>
      </w:r>
      <w:r>
        <w:rPr>
          <w:vertAlign w:val="subscript"/>
        </w:rPr>
        <w:t>3</w:t>
      </w:r>
      <w:r>
        <w:t>Pb</w:t>
      </w:r>
      <w:r>
        <w:rPr>
          <w:vertAlign w:val="subscript"/>
        </w:rPr>
        <w:t>4</w:t>
      </w:r>
      <w:r>
        <w:t>Bi</w:t>
      </w:r>
      <w:r>
        <w:rPr>
          <w:vertAlign w:val="subscript"/>
        </w:rPr>
        <w:t>11</w:t>
      </w:r>
      <w:r>
        <w:t>Se</w:t>
      </w:r>
      <w:r>
        <w:t xml:space="preserve"> </w:t>
      </w:r>
      <w:r>
        <w:t>21.9</w:t>
      </w:r>
      <w:r>
        <w:t xml:space="preserve"> </w:t>
      </w:r>
      <w:r>
        <w:t>sample attains a maximum thermoelectric figure of merit (</w:t>
      </w:r>
      <w:r>
        <w:t xml:space="preserve"> </w:t>
      </w:r>
      <w:r>
        <w:t>ZT</w:t>
      </w:r>
      <w:r>
        <w:t xml:space="preserve"> </w:t>
      </w:r>
      <w:r>
        <w:t>) of 0.9 at 773 K. This work establishes Ag</w:t>
      </w:r>
      <w:r>
        <w:rPr>
          <w:vertAlign w:val="subscript"/>
        </w:rPr>
        <w:t>3</w:t>
      </w:r>
      <w:r>
        <w:t>Pb</w:t>
      </w:r>
      <w:r>
        <w:rPr>
          <w:vertAlign w:val="subscript"/>
        </w:rPr>
        <w:t>4</w:t>
      </w:r>
      <w:r>
        <w:t>Bi</w:t>
      </w:r>
      <w:r>
        <w:rPr>
          <w:vertAlign w:val="subscript"/>
        </w:rPr>
        <w:t>11</w:t>
      </w:r>
      <w:r>
        <w:t>Se</w:t>
      </w:r>
      <w:r>
        <w:rPr>
          <w:vertAlign w:val="subscript"/>
        </w:rPr>
        <w:t>22</w:t>
      </w:r>
      <w:r>
        <w:t>as a benchmark pavonite‐based thermoelectric material and offers a viable paradigm for optimizing complex chalcogenides via integrated structural engineering and band structure modulation.</w:t>
      </w:r>
    </w:p>
    <w:p>
      <w:pPr>
        <w:spacing w:before="120" w:after="120"/>
      </w:pPr>
      <w:r>
        <w:rPr>
          <w:sz w:val="18"/>
        </w:rPr>
        <w:t>——————————————————————————————————————————————————————————————————————</w:t>
      </w:r>
    </w:p>
    <w:p>
      <w:pPr>
        <w:spacing w:before="160" w:after="40" w:line="240" w:lineRule="auto"/>
      </w:pPr>
      <w:r>
        <w:rPr>
          <w:b/>
        </w:rPr>
        <w:t xml:space="preserve">[403] </w:t>
      </w:r>
      <w:hyperlink r:id="rId636">
        <w:r>
          <w:rPr>
            <w:color w:val="1155CC"/>
            <w:u w:val="single"/>
          </w:rPr>
          <w:t>Kaitocephalin的生物合成:一种神经保护性天然产品,在Peptide 中投放,与尚未喷射的Schaffold类似。</w:t>
        </w:r>
      </w:hyperlink>
    </w:p>
    <w:p>
      <w:pPr>
        <w:spacing w:before="0" w:after="80"/>
      </w:pPr>
      <w:r>
        <w:rPr>
          <w:i/>
          <w:sz w:val="20"/>
        </w:rPr>
        <w:t>EN: Biosynthesis of Kaitocephalin: A Neuroprotective Natural Product Featuring a Peptide‐Like yet Nonpeptidic Scaffold</w:t>
      </w:r>
    </w:p>
    <w:p>
      <w:pPr>
        <w:spacing w:before="0" w:after="120"/>
      </w:pPr>
      <w:r>
        <w:rPr>
          <w:b/>
        </w:rPr>
        <w:t xml:space="preserve">Source: </w:t>
      </w:r>
      <w:r>
        <w:t>Wiley: Angewandte Chemie International Edition: Table of Contents</w:t>
      </w:r>
      <w:r>
        <w:t xml:space="preserve">    </w:t>
      </w:r>
      <w:r>
        <w:rPr>
          <w:b/>
        </w:rPr>
        <w:t xml:space="preserve">Pub date: </w:t>
      </w:r>
      <w:r>
        <w:t>2026-02-11 07:03:08+00:00</w:t>
      </w:r>
      <w:r>
        <w:t xml:space="preserve">    </w:t>
      </w:r>
      <w:r>
        <w:rPr>
          <w:b/>
        </w:rPr>
        <w:t xml:space="preserve">DOI: </w:t>
      </w:r>
      <w:hyperlink r:id="rId637">
        <w:r>
          <w:rPr>
            <w:color w:val="1155CC"/>
            <w:u w:val="single"/>
          </w:rPr>
          <w:t>10.1002/anie.202523010</w:t>
        </w:r>
      </w:hyperlink>
    </w:p>
    <w:p>
      <w:pPr>
        <w:spacing w:before="0" w:after="120"/>
      </w:pPr>
      <w:r>
        <w:rPr>
          <w:b/>
        </w:rPr>
        <w:t xml:space="preserve">Notes: </w:t>
      </w:r>
      <w:r>
        <w:t>abstract_source=crossref</w:t>
      </w:r>
    </w:p>
    <w:p>
      <w:pPr>
        <w:spacing w:before="0" w:after="80" w:lineRule="auto" w:line="276"/>
      </w:pPr>
      <w:r>
        <w:rPr>
          <w:b/>
        </w:rPr>
        <w:t xml:space="preserve">摘要（ZH）: </w:t>
      </w:r>
      <w:r>
        <w:t>Kaitocephalin(KCP)是天然神经保护性神经产品,作为蛋白质肺炎受体的对抗剂,使它成为极有希望的药物发现领头,它拥有由三种氨基酸组成的独特的脚架,这些氨基酸通过C-C债券连接,该债券看起来类似peptide,但形成时没有peptide联系。在这项研究中,我们通过综合基因分析和记录分析,在生产真菌Eupennicillium shearii中发现了KCP生物合成基因组(kpb 集群),并发现了四种新颖途径。</w:t>
      </w:r>
    </w:p>
    <w:p>
      <w:pPr>
        <w:spacing w:before="0" w:after="200" w:lineRule="auto" w:line="276"/>
      </w:pPr>
      <w:r>
        <w:rPr>
          <w:b/>
        </w:rPr>
        <w:t xml:space="preserve">Abstract (EN): </w:t>
      </w:r>
      <w:r>
        <w:t>Kaitocephalin (KCP) is a neuroprotective natural product that acts as an antagonist of ionotropic glutamate receptors, making it a highly promising lead for drug discovery. It possesses a unique scaffold composed of three amino acids connected via C─C bonds, which appears peptide‐like but is formed without peptide bonds. In this study, we identified the KCP biosynthetic gene cluster (</w:t>
      </w:r>
      <w:r>
        <w:t xml:space="preserve"> </w:t>
      </w:r>
      <w:r>
        <w:t>kpb</w:t>
      </w:r>
      <w:r>
        <w:t xml:space="preserve"> </w:t>
      </w:r>
      <w:r>
        <w:t>cluster) in the producing fungus</w:t>
      </w:r>
      <w:r>
        <w:t xml:space="preserve"> </w:t>
      </w:r>
      <w:r>
        <w:t>Eupenicillium shearii</w:t>
      </w:r>
      <w:r>
        <w:t xml:space="preserve"> </w:t>
      </w:r>
      <w:r>
        <w:t>through integrated genomic and transcriptomic analyses. LC‐MS/MS profiling and chemical derivatization of</w:t>
      </w:r>
      <w:r>
        <w:t xml:space="preserve"> </w:t>
      </w:r>
      <w:r>
        <w:t>E. shearii</w:t>
      </w:r>
      <w:r>
        <w:t xml:space="preserve"> </w:t>
      </w:r>
      <w:r>
        <w:t>extracts led to the discovery of four novel pathway‐related metabolites. In vitro enzymatic assays with 2(</w:t>
      </w:r>
      <w:r>
        <w:t xml:space="preserve"> </w:t>
      </w:r>
      <w:r>
        <w:t>S</w:t>
      </w:r>
      <w:r>
        <w:t xml:space="preserve"> </w:t>
      </w:r>
      <w:r>
        <w:t>)‐dechlorokaito lactate, one of the four identified metabolites, as a substrate enabled functional characterization of KpbI, KpbM, and KpbB involved in KCP formation. Among them, the dioxygenase KpbI was found to catalyze an unprecedented two‐step oxidation to form the</w:t>
      </w:r>
      <w:r>
        <w:t xml:space="preserve"> </w:t>
      </w:r>
      <w:r>
        <w:t>d</w:t>
      </w:r>
      <w:r>
        <w:t xml:space="preserve"> </w:t>
      </w:r>
      <w:r>
        <w:t>‐serine moiety. In addition, isotope tracing experiments provided new insights into the origin of the</w:t>
      </w:r>
      <w:r>
        <w:t xml:space="preserve"> </w:t>
      </w:r>
      <w:r>
        <w:t>l</w:t>
      </w:r>
      <w:r>
        <w:t xml:space="preserve"> </w:t>
      </w:r>
      <w:r>
        <w:t>‐proline moiety. These findings establish a foundation for future studies aimed at elucidating the complete biosynthetic mechanism of KCP.</w:t>
      </w:r>
    </w:p>
    <w:p>
      <w:pPr>
        <w:spacing w:before="120" w:after="120"/>
      </w:pPr>
      <w:r>
        <w:rPr>
          <w:sz w:val="18"/>
        </w:rPr>
        <w:t>——————————————————————————————————————————————————————————————————————</w:t>
      </w:r>
    </w:p>
    <w:p>
      <w:pPr>
        <w:spacing w:before="160" w:after="40" w:line="240" w:lineRule="auto"/>
      </w:pPr>
      <w:r>
        <w:rPr>
          <w:b/>
        </w:rPr>
        <w:t xml:space="preserve">[404] </w:t>
      </w:r>
      <w:hyperlink r:id="rId638">
        <w:r>
          <w:rPr>
            <w:color w:val="1155CC"/>
            <w:u w:val="single"/>
          </w:rPr>
          <w:t>深海鱼类揭示了脊椎动物愿景的替代发展轨迹</w:t>
        </w:r>
      </w:hyperlink>
    </w:p>
    <w:p>
      <w:pPr>
        <w:spacing w:before="0" w:after="80"/>
      </w:pPr>
      <w:r>
        <w:rPr>
          <w:i/>
          <w:sz w:val="20"/>
        </w:rPr>
        <w:t>EN: Deep-sea fish reveal an alternative developmental trajectory for vertebrate vision</w:t>
      </w:r>
    </w:p>
    <w:p>
      <w:pPr>
        <w:spacing w:before="0" w:after="120"/>
      </w:pPr>
      <w:r>
        <w:rPr>
          <w:b/>
        </w:rPr>
        <w:t xml:space="preserve">Source: </w:t>
      </w:r>
      <w:r>
        <w:t>AAAS: Science Advances: Table of Contents</w:t>
      </w:r>
      <w:r>
        <w:t xml:space="preserve">    </w:t>
      </w:r>
      <w:r>
        <w:rPr>
          <w:b/>
        </w:rPr>
        <w:t xml:space="preserve">Pub date: </w:t>
      </w:r>
      <w:r>
        <w:t>2026-02-11 08:00:00+00:00</w:t>
      </w:r>
      <w:r>
        <w:t xml:space="preserve">    </w:t>
      </w:r>
      <w:r>
        <w:rPr>
          <w:b/>
        </w:rPr>
        <w:t xml:space="preserve">DOI: </w:t>
      </w:r>
      <w:hyperlink r:id="rId639">
        <w:r>
          <w:rPr>
            <w:color w:val="1155CC"/>
            <w:u w:val="single"/>
          </w:rPr>
          <w:t>10.1126/sciadv.adx2596</w:t>
        </w:r>
      </w:hyperlink>
    </w:p>
    <w:p>
      <w:pPr>
        <w:spacing w:before="0" w:after="120"/>
      </w:pPr>
      <w:r>
        <w:rPr>
          <w:b/>
        </w:rPr>
        <w:t xml:space="preserve">Notes: </w:t>
      </w:r>
      <w:r>
        <w:t>abstract_source=crossref</w:t>
      </w:r>
    </w:p>
    <w:p>
      <w:pPr>
        <w:spacing w:before="0" w:after="80" w:lineRule="auto" w:line="276"/>
      </w:pPr>
      <w:r>
        <w:rPr>
          <w:b/>
        </w:rPr>
        <w:t xml:space="preserve">摘要（ZH）: </w:t>
      </w:r>
      <w:r>
        <w:t>Vertebrate 视觉依赖两种光受体类型:光亮光谱锥体和暗淡光线杆。 目前的教条是脊椎动物首先开发锥状视网膜,然后添加棒子。 我们在这里展示了幼鱼有“ 杂交”光受体,在类似鼠类的细胞中表达锥状基因。通过开发,它们要么保留这些像棒状锥形锥体(在毛洛利克斯的肌肉中 ), 要么向表达特定鼠类基因和转录因素的真正杆子过渡(在芬奇盖里亚马巴希斯和比奈斯马·皮特罗图姆 ) 。 与大多数海洋鱼类幼虫不同的是,它们居住在明亮的水域,深海鱼幼虫经历更深和更薄的环境。</w:t>
      </w:r>
    </w:p>
    <w:p>
      <w:pPr>
        <w:spacing w:before="0" w:after="200" w:lineRule="auto" w:line="276"/>
      </w:pPr>
      <w:r>
        <w:rPr>
          <w:b/>
        </w:rPr>
        <w:t xml:space="preserve">Abstract (EN): </w:t>
      </w:r>
      <w:r>
        <w:t>Vertebrate vision relies on two photoreceptor types: cones for bright light and rods for dim light. The current dogma is that vertebrates develop cone-dominated retinas first, adding rods later. Here we show that larval deep-sea fishes have “hybrid” photoreceptors, expressing cone-specific genes in rod-like cells. Through development, they either retain these rod-like cones (in</w:t>
      </w:r>
      <w:r>
        <w:t xml:space="preserve"> </w:t>
      </w:r>
      <w:r>
        <w:t>Maurolicus mucronatus</w:t>
      </w:r>
      <w:r>
        <w:t xml:space="preserve"> </w:t>
      </w:r>
      <w:r>
        <w:t>) or transition to true rods expressing rod-specific genes and transcription factors (in</w:t>
      </w:r>
      <w:r>
        <w:t xml:space="preserve"> </w:t>
      </w:r>
      <w:r>
        <w:t>Vinciguerria mabahiss</w:t>
      </w:r>
      <w:r>
        <w:t xml:space="preserve"> </w:t>
      </w:r>
      <w:r>
        <w:t>and</w:t>
      </w:r>
      <w:r>
        <w:t xml:space="preserve"> </w:t>
      </w:r>
      <w:r>
        <w:t>Benthosema pterotum</w:t>
      </w:r>
      <w:r>
        <w:t xml:space="preserve"> </w:t>
      </w:r>
      <w:r>
        <w:t>). Unlike most marine fish larvae, which inhabit brightly lit waters, deep-sea fish larvae experience deeper and dimmer environments. By combining rod-like morphology with cone-like molecular machinery, hybrid photoreceptors likely maximize visual performance under such conditions. Consistently, spectral maxima predictions and environmental light estimations suggest tuning to the prevailing light environment throughout life. Our findings provide molecular, morphological, and functional evidence for the evolution of an alternative developmental trajectory for vertebrate vision.</w:t>
      </w:r>
    </w:p>
    <w:p>
      <w:pPr>
        <w:spacing w:before="120" w:after="120"/>
      </w:pPr>
      <w:r>
        <w:rPr>
          <w:sz w:val="18"/>
        </w:rPr>
        <w:t>——————————————————————————————————————————————————————————————————————</w:t>
      </w:r>
    </w:p>
    <w:p>
      <w:pPr>
        <w:spacing w:before="160" w:after="40" w:line="240" w:lineRule="auto"/>
      </w:pPr>
      <w:r>
        <w:rPr>
          <w:b/>
        </w:rPr>
        <w:t xml:space="preserve">[405] </w:t>
      </w:r>
      <w:hyperlink r:id="rId640">
        <w:r>
          <w:rPr>
            <w:color w:val="1155CC"/>
            <w:u w:val="single"/>
          </w:rPr>
          <w:t>需要通过蒸气C36调解的内在应激调节,以适应铜的耐受度和Mycobactium结核病的病理发源</w:t>
        </w:r>
      </w:hyperlink>
    </w:p>
    <w:p>
      <w:pPr>
        <w:spacing w:before="0" w:after="80"/>
      </w:pPr>
      <w:r>
        <w:rPr>
          <w:i/>
          <w:sz w:val="20"/>
        </w:rPr>
        <w:t>EN: VapC36-mediated intrinsic stress adaption is required for copper tolerance and pathogenesis of Mycobacterium tuberculosis</w:t>
      </w:r>
    </w:p>
    <w:p>
      <w:pPr>
        <w:spacing w:before="0" w:after="120"/>
      </w:pPr>
      <w:r>
        <w:rPr>
          <w:b/>
        </w:rPr>
        <w:t xml:space="preserve">Source: </w:t>
      </w:r>
      <w:r>
        <w:t>AAAS: Science Advances: Table of Contents</w:t>
      </w:r>
      <w:r>
        <w:t xml:space="preserve">    </w:t>
      </w:r>
      <w:r>
        <w:rPr>
          <w:b/>
        </w:rPr>
        <w:t xml:space="preserve">Pub date: </w:t>
      </w:r>
      <w:r>
        <w:t>2026-02-11 08:00:00+00:00</w:t>
      </w:r>
      <w:r>
        <w:t xml:space="preserve">    </w:t>
      </w:r>
      <w:r>
        <w:rPr>
          <w:b/>
        </w:rPr>
        <w:t xml:space="preserve">DOI: </w:t>
      </w:r>
      <w:hyperlink r:id="rId641">
        <w:r>
          <w:rPr>
            <w:color w:val="1155CC"/>
            <w:u w:val="single"/>
          </w:rPr>
          <w:t>10.1126/sciadv.adw7134</w:t>
        </w:r>
      </w:hyperlink>
    </w:p>
    <w:p>
      <w:pPr>
        <w:spacing w:before="0" w:after="120"/>
      </w:pPr>
      <w:r>
        <w:rPr>
          <w:b/>
        </w:rPr>
        <w:t xml:space="preserve">Notes: </w:t>
      </w:r>
      <w:r>
        <w:t>abstract_source=crossref</w:t>
      </w:r>
    </w:p>
    <w:p>
      <w:pPr>
        <w:spacing w:before="0" w:after="80" w:lineRule="auto" w:line="276"/>
      </w:pPr>
      <w:r>
        <w:rPr>
          <w:b/>
        </w:rPr>
        <w:t xml:space="preserve">摘要（ZH）: </w:t>
      </w:r>
      <w:r>
        <w:t>在此,我们采用了一个全面的全系统办法,划定了Mycobactium结核病病理学中B和C 36(VapBC36)毒性相关蛋白B和C36(VapBC36)毒素抗反毒(TA)系统的功能,我们证明VapC36与 Cognate 和非colate 抗毒素相互作用。我们证明SerX在体外被VapC36降解。我们证明VapC36结合铜会增加其肋骨释放活动。此外,我们报告说,删除Vap BC36或VapC36会增加M.肺结核在受铜体外接触时的易感性。与野生型菌株相比,</w:t>
      </w:r>
    </w:p>
    <w:p>
      <w:pPr>
        <w:spacing w:before="0" w:after="200" w:lineRule="auto" w:line="276"/>
      </w:pPr>
      <w:r>
        <w:rPr>
          <w:b/>
        </w:rPr>
        <w:t xml:space="preserve">Abstract (EN): </w:t>
      </w:r>
      <w:r>
        <w:t>Here, we have used a comprehensive, system-wide approach to delineate the function of the virulence-associated proteins B and C 36 (VapBC36) toxin-antitoxin (TA) system in</w:t>
      </w:r>
      <w:r>
        <w:t xml:space="preserve"> </w:t>
      </w:r>
      <w:r>
        <w:t>Mycobacterium tuberculosis</w:t>
      </w:r>
      <w:r>
        <w:t xml:space="preserve"> </w:t>
      </w:r>
      <w:r>
        <w:t>pathophysiology. We show that VapC36 interacts with cognate and noncognate antitoxins. We demonstrate that</w:t>
      </w:r>
      <w:r>
        <w:t xml:space="preserve"> </w:t>
      </w:r>
      <w:r>
        <w:t>serX</w:t>
      </w:r>
      <w:r>
        <w:t xml:space="preserve"> </w:t>
      </w:r>
      <w:r>
        <w:t>is degraded in vitro by VapC36. We show that VapC36 binds copper, which enhances its ribonuclease activity. Furthermore, we report that deletion of</w:t>
      </w:r>
      <w:r>
        <w:t xml:space="preserve"> </w:t>
      </w:r>
      <w:r>
        <w:t>vapBC36</w:t>
      </w:r>
      <w:r>
        <w:t xml:space="preserve"> </w:t>
      </w:r>
      <w:r>
        <w:t>or</w:t>
      </w:r>
      <w:r>
        <w:t xml:space="preserve"> </w:t>
      </w:r>
      <w:r>
        <w:t>vapC36</w:t>
      </w:r>
      <w:r>
        <w:t xml:space="preserve"> </w:t>
      </w:r>
      <w:r>
        <w:t>enhances the susceptibility of</w:t>
      </w:r>
      <w:r>
        <w:t xml:space="preserve"> </w:t>
      </w:r>
      <w:r>
        <w:t>M. tuberculosis</w:t>
      </w:r>
      <w:r>
        <w:t xml:space="preserve"> </w:t>
      </w:r>
      <w:r>
        <w:t>upon exposure to copper in vitro. Compared to the wild-type strain, Δ</w:t>
      </w:r>
      <w:r>
        <w:t xml:space="preserve"> </w:t>
      </w:r>
      <w:r>
        <w:t>BC36</w:t>
      </w:r>
      <w:r>
        <w:t xml:space="preserve"> </w:t>
      </w:r>
      <w:r>
        <w:t>was attenuated for growth in guinea pigs. However, deletion of either</w:t>
      </w:r>
      <w:r>
        <w:t xml:space="preserve"> </w:t>
      </w:r>
      <w:r>
        <w:t>vapC36</w:t>
      </w:r>
      <w:r>
        <w:t xml:space="preserve"> </w:t>
      </w:r>
      <w:r>
        <w:t>or</w:t>
      </w:r>
      <w:r>
        <w:t xml:space="preserve"> </w:t>
      </w:r>
      <w:r>
        <w:t>vapBC36</w:t>
      </w:r>
      <w:r>
        <w:t xml:space="preserve"> </w:t>
      </w:r>
      <w:r>
        <w:t>did not affect</w:t>
      </w:r>
      <w:r>
        <w:t xml:space="preserve"> </w:t>
      </w:r>
      <w:r>
        <w:t>M. tuberculosis</w:t>
      </w:r>
      <w:r>
        <w:t xml:space="preserve"> </w:t>
      </w:r>
      <w:r>
        <w:t>growth in mice. Compared to the wild-type strain, the in vivo susceptibility of Δ</w:t>
      </w:r>
      <w:r>
        <w:t xml:space="preserve"> </w:t>
      </w:r>
      <w:r>
        <w:t>C36 and</w:t>
      </w:r>
      <w:r>
        <w:t xml:space="preserve"> </w:t>
      </w:r>
      <w:r>
        <w:t>Δ</w:t>
      </w:r>
      <w:r>
        <w:t xml:space="preserve"> </w:t>
      </w:r>
      <w:r>
        <w:t>BC36</w:t>
      </w:r>
      <w:r>
        <w:t xml:space="preserve"> </w:t>
      </w:r>
      <w:r>
        <w:t>strains was increased in copper-fed mice. Together, these findings have enhanced our understanding of the regulation and contribution of TA systems in mycobacterial pathophysiology.</w:t>
      </w:r>
    </w:p>
    <w:p>
      <w:pPr>
        <w:spacing w:before="120" w:after="120"/>
      </w:pPr>
      <w:r>
        <w:rPr>
          <w:sz w:val="18"/>
        </w:rPr>
        <w:t>——————————————————————————————————————————————————————————————————————</w:t>
      </w:r>
    </w:p>
    <w:p>
      <w:pPr>
        <w:spacing w:before="160" w:after="40" w:line="240" w:lineRule="auto"/>
      </w:pPr>
      <w:r>
        <w:rPr>
          <w:b/>
        </w:rPr>
        <w:t xml:space="preserve">[406] </w:t>
      </w:r>
      <w:hyperlink r:id="rId642">
        <w:r>
          <w:rPr>
            <w:color w:val="1155CC"/>
            <w:u w:val="single"/>
          </w:rPr>
          <w:t>受矩阵约束的纳米微微粒体,作为流星体细胞的子遗传调节器</w:t>
        </w:r>
      </w:hyperlink>
    </w:p>
    <w:p>
      <w:pPr>
        <w:spacing w:before="0" w:after="80"/>
      </w:pPr>
      <w:r>
        <w:rPr>
          <w:i/>
          <w:sz w:val="20"/>
        </w:rPr>
        <w:t>EN: Matrix-bound nanovesicles as epigenetic modulators of myeloid cells</w:t>
      </w:r>
    </w:p>
    <w:p>
      <w:pPr>
        <w:spacing w:before="0" w:after="120"/>
      </w:pPr>
      <w:r>
        <w:rPr>
          <w:b/>
        </w:rPr>
        <w:t xml:space="preserve">Source: </w:t>
      </w:r>
      <w:r>
        <w:t>AAAS: Science Advances: Table of Contents</w:t>
      </w:r>
      <w:r>
        <w:t xml:space="preserve">    </w:t>
      </w:r>
      <w:r>
        <w:rPr>
          <w:b/>
        </w:rPr>
        <w:t xml:space="preserve">Pub date: </w:t>
      </w:r>
      <w:r>
        <w:t>2026-02-11 08:00:00+00:00</w:t>
      </w:r>
      <w:r>
        <w:t xml:space="preserve">    </w:t>
      </w:r>
      <w:r>
        <w:rPr>
          <w:b/>
        </w:rPr>
        <w:t xml:space="preserve">DOI: </w:t>
      </w:r>
      <w:hyperlink r:id="rId643">
        <w:r>
          <w:rPr>
            <w:color w:val="1155CC"/>
            <w:u w:val="single"/>
          </w:rPr>
          <w:t>10.1126/sciadv.adx9159</w:t>
        </w:r>
      </w:hyperlink>
    </w:p>
    <w:p>
      <w:pPr>
        <w:spacing w:before="0" w:after="120"/>
      </w:pPr>
      <w:r>
        <w:rPr>
          <w:b/>
        </w:rPr>
        <w:t xml:space="preserve">Notes: </w:t>
      </w:r>
      <w:r>
        <w:t>abstract_source=crossref</w:t>
      </w:r>
    </w:p>
    <w:p>
      <w:pPr>
        <w:spacing w:before="0" w:after="80" w:lineRule="auto" w:line="276"/>
      </w:pPr>
      <w:r>
        <w:rPr>
          <w:b/>
        </w:rPr>
        <w:t xml:space="preserve">摘要（ZH）: </w:t>
      </w:r>
      <w:r>
        <w:t>外细胞囊囊(EV)是细胞间通信的一种节能和高效的机制。矩阵内纳米囊(MBV)是最近确定的一种EV类型,嵌入外细胞矩阵内,对类血管细胞具有强大的局部和系统性免疫细胞效应。这些效应是持久性的,持续时间超过诸如巨形等有差异的流体细胞的预测寿命范围。本研究调查了通过MBV对类细胞前体进行子细胞改变作为长期免疫细胞循环效应的一个潜在解释。流动细胞测量和ATAC测序研究表明,MBV由骨髓中的流体细胞产卵体和最终分化后的大型细胞中的大细胞产体进行内化。这种内化与肾上腺分泌是同步的。</w:t>
      </w:r>
    </w:p>
    <w:p>
      <w:pPr>
        <w:spacing w:before="0" w:after="200" w:lineRule="auto" w:line="276"/>
      </w:pPr>
      <w:r>
        <w:rPr>
          <w:b/>
        </w:rPr>
        <w:t xml:space="preserve">Abstract (EN): </w:t>
      </w:r>
      <w:r>
        <w:t>Extracellular vesicles (EV) represent a conserved and highly efficient mechanism for cell-to-cell communication. Matrix-bound nanovesicles (MBV) are a recently identified type of EV embedded within the extracellular matrix with potent local and systemic immunomodulatory effects on myeloid cells. These effects are durable and last beyond the predicted life span of differentiated myeloid cells such as macrophages. The present study investigated MBV-directed epigenetic modification in myeloid precursors as a potential explanation for their prolonged immunomodulatory effects. Flow cytometry and ATAC sequencing studies show that MBV are internalized by myeloid cell progenitors in the bone marrow and in macrophages after terminal differentiation. This internalization is coincident with epigenetic changes that are associated with modulation of macrophage responses to inflammatory stimuli. Furthermore, MBV treatment differentially alters chromatin accessibility as a function of cell differentiation state (i.e., myeloid progenitor versus macrophage). The present study shows the epigenetic effects of MBV on myeloid cells, representing a potential avenue to exploit the therapeutic potential of biologic scaffold materials.</w:t>
      </w:r>
    </w:p>
    <w:p>
      <w:pPr>
        <w:spacing w:before="120" w:after="120"/>
      </w:pPr>
      <w:r>
        <w:rPr>
          <w:sz w:val="18"/>
        </w:rPr>
        <w:t>——————————————————————————————————————————————————————————————————————</w:t>
      </w:r>
    </w:p>
    <w:p>
      <w:pPr>
        <w:spacing w:before="160" w:after="40" w:line="240" w:lineRule="auto"/>
      </w:pPr>
      <w:r>
        <w:rPr>
          <w:b/>
        </w:rPr>
        <w:t xml:space="preserve">[407] </w:t>
      </w:r>
      <w:hyperlink r:id="rId644">
        <w:r>
          <w:rPr>
            <w:color w:val="1155CC"/>
            <w:u w:val="single"/>
          </w:rPr>
          <w:t>重大地震的发生与较小的地震一样复杂</w:t>
        </w:r>
      </w:hyperlink>
    </w:p>
    <w:p>
      <w:pPr>
        <w:spacing w:before="0" w:after="80"/>
      </w:pPr>
      <w:r>
        <w:rPr>
          <w:i/>
          <w:sz w:val="20"/>
        </w:rPr>
        <w:t>EN: Occurrence of major earthquakes is as stochastic as smaller ones</w:t>
      </w:r>
    </w:p>
    <w:p>
      <w:pPr>
        <w:spacing w:before="0" w:after="120"/>
      </w:pPr>
      <w:r>
        <w:rPr>
          <w:b/>
        </w:rPr>
        <w:t xml:space="preserve">Source: </w:t>
      </w:r>
      <w:r>
        <w:t>AAAS: Science Advances: Table of Contents</w:t>
      </w:r>
      <w:r>
        <w:t xml:space="preserve">    </w:t>
      </w:r>
      <w:r>
        <w:rPr>
          <w:b/>
        </w:rPr>
        <w:t xml:space="preserve">Pub date: </w:t>
      </w:r>
      <w:r>
        <w:t>2026-02-11 08:00:00+00:00</w:t>
      </w:r>
      <w:r>
        <w:t xml:space="preserve">    </w:t>
      </w:r>
      <w:r>
        <w:rPr>
          <w:b/>
        </w:rPr>
        <w:t xml:space="preserve">DOI: </w:t>
      </w:r>
      <w:hyperlink r:id="rId645">
        <w:r>
          <w:rPr>
            <w:color w:val="1155CC"/>
            <w:u w:val="single"/>
          </w:rPr>
          <w:t>10.1126/sciadv.adx7747</w:t>
        </w:r>
      </w:hyperlink>
    </w:p>
    <w:p>
      <w:pPr>
        <w:spacing w:before="0" w:after="120"/>
      </w:pPr>
      <w:r>
        <w:rPr>
          <w:b/>
        </w:rPr>
        <w:t xml:space="preserve">Notes: </w:t>
      </w:r>
      <w:r>
        <w:t>abstract_source=crossref</w:t>
      </w:r>
    </w:p>
    <w:p>
      <w:pPr>
        <w:spacing w:before="0" w:after="80" w:lineRule="auto" w:line="276"/>
      </w:pPr>
      <w:r>
        <w:rPr>
          <w:b/>
        </w:rPr>
        <w:t xml:space="preserve">摘要（ZH）: </w:t>
      </w:r>
      <w:r>
        <w:t>地震危害估计取决于不同程度地震之间的时间分布。在喜马拉雅山,重现间隔通常以周期性或准周期性为模型,而在全球范围内,重现间隔从周期性和集束性到随机性不等。根据区域工具数据、全世界古老记录和合成地震目录校准的六千年湖沉积地震记录统计分析表明,大地震之间的时间间隔(M  6.5,基于当地校准的摇动强度阈值)紧随普瓦森的分布。第二等级波动显示事件集群。这些观测结果与周期性或准周期性重现模型相矛盾。</w:t>
      </w:r>
    </w:p>
    <w:p>
      <w:pPr>
        <w:spacing w:before="0" w:after="200" w:lineRule="auto" w:line="276"/>
      </w:pPr>
      <w:r>
        <w:rPr>
          <w:b/>
        </w:rPr>
        <w:t xml:space="preserve">Abstract (EN): </w:t>
      </w:r>
      <w:r>
        <w:t>Seismic hazard estimates rely on interevent time distributions between earthquakes of a given magnitude. In the Himalaya, recurrence intervals are usually modeled as cyclic or quasiperiodic, whereas globally, they range from periodic and clustered to random. Statistical analyses of a 6000-year lake-sediment seismic record, calibrated against regional instrumental data, worldwide paleoseismic records, and synthetic seismic catalogs, demonstrate that time intervals between large earthquakes (</w:t>
      </w:r>
      <w:r>
        <w:t xml:space="preserve"> </w:t>
      </w:r>
      <w:r>
        <w:t>M</w:t>
      </w:r>
      <w:r>
        <w:t xml:space="preserve"> </w:t>
      </w:r>
      <w:r>
        <w:t>≥ 6.5, based on shaking intensity thresholds calibrated locally) robustly follow a Poisson distribution. Second-order fluctuations indicate event clustering. These observations contradict periodic or quasiperiodic recurrence models. Comparisons with paleoseismic data from other tectonic settings and realistic synthetic catalogs confirm the robustness and broad applicability of these findings. Thus, major earthquakes appear as stochastic as smaller ones, challenging recurrence models derived from limited datasets and substantially increasing seismic hazard estimates.</w:t>
      </w:r>
    </w:p>
    <w:p>
      <w:pPr>
        <w:spacing w:before="120" w:after="120"/>
      </w:pPr>
      <w:r>
        <w:rPr>
          <w:sz w:val="18"/>
        </w:rPr>
        <w:t>——————————————————————————————————————————————————————————————————————</w:t>
      </w:r>
    </w:p>
    <w:p>
      <w:pPr>
        <w:spacing w:before="160" w:after="40" w:line="240" w:lineRule="auto"/>
      </w:pPr>
      <w:r>
        <w:rPr>
          <w:b/>
        </w:rPr>
        <w:t xml:space="preserve">[408] </w:t>
      </w:r>
      <w:hyperlink r:id="rId646">
        <w:r>
          <w:rPr>
            <w:color w:val="1155CC"/>
            <w:u w:val="single"/>
          </w:rPr>
          <w:t>YORU: 以基于物体的方法探测动物行为,实时提供闭环反馈</w:t>
        </w:r>
      </w:hyperlink>
    </w:p>
    <w:p>
      <w:pPr>
        <w:spacing w:before="0" w:after="80"/>
      </w:pPr>
      <w:r>
        <w:rPr>
          <w:i/>
          <w:sz w:val="20"/>
        </w:rPr>
        <w:t>EN: YORU: Animal behavior detection with object-based approach for real-time closed-loop feedback</w:t>
      </w:r>
    </w:p>
    <w:p>
      <w:pPr>
        <w:spacing w:before="0" w:after="120"/>
      </w:pPr>
      <w:r>
        <w:rPr>
          <w:b/>
        </w:rPr>
        <w:t xml:space="preserve">Source: </w:t>
      </w:r>
      <w:r>
        <w:t>AAAS: Science Advances: Table of Contents</w:t>
      </w:r>
      <w:r>
        <w:t xml:space="preserve">    </w:t>
      </w:r>
      <w:r>
        <w:rPr>
          <w:b/>
        </w:rPr>
        <w:t xml:space="preserve">Pub date: </w:t>
      </w:r>
      <w:r>
        <w:t>2026-02-11 08:00:00+00:00</w:t>
      </w:r>
      <w:r>
        <w:t xml:space="preserve">    </w:t>
      </w:r>
      <w:r>
        <w:rPr>
          <w:b/>
        </w:rPr>
        <w:t xml:space="preserve">DOI: </w:t>
      </w:r>
      <w:hyperlink r:id="rId647">
        <w:r>
          <w:rPr>
            <w:color w:val="1155CC"/>
            <w:u w:val="single"/>
          </w:rPr>
          <w:t>10.1126/sciadv.adw2109</w:t>
        </w:r>
      </w:hyperlink>
    </w:p>
    <w:p>
      <w:pPr>
        <w:spacing w:before="0" w:after="120"/>
      </w:pPr>
      <w:r>
        <w:rPr>
          <w:b/>
        </w:rPr>
        <w:t xml:space="preserve">Notes: </w:t>
      </w:r>
      <w:r>
        <w:t>abstract_source=crossref</w:t>
      </w:r>
    </w:p>
    <w:p>
      <w:pPr>
        <w:spacing w:before="0" w:after="80" w:lineRule="auto" w:line="276"/>
      </w:pPr>
      <w:r>
        <w:rPr>
          <w:b/>
        </w:rPr>
        <w:t xml:space="preserve">摘要（ZH）: </w:t>
      </w:r>
      <w:r>
        <w:t>动物行为分析的深层次学习方法的出现使神经伦理学研究发生了革命性的变化。然而,社会行为分析(以多个人之间的动态互动为特征)继续是一个重大挑战。 在本研究中,我们展示了“YORU ” ( yORU ) ( 您的最佳识别工具 ), 这是一种利用物体探测深度学习算法的行为检测方法。 与常规方法不同, YORU直接根据动物的形状将行为确定为“ 行为物体 ”, 从而得以进行稳健和准确的检测。 YORU成功地对从脊椎动物到昆虫等物种的几种类型的社会行为进行了分类。 此外, YORU还能进行实时行为分析和闭环反馈。 此外,我们取得了真正的成就。</w:t>
      </w:r>
    </w:p>
    <w:p>
      <w:pPr>
        <w:spacing w:before="0" w:after="200" w:lineRule="auto" w:line="276"/>
      </w:pPr>
      <w:r>
        <w:rPr>
          <w:b/>
        </w:rPr>
        <w:t xml:space="preserve">Abstract (EN): </w:t>
      </w:r>
      <w:r>
        <w:t>The advent of deep learning methodologies for animal behavior analysis has revolutionized neuroethology studies. However, the analysis of social behaviors, characterized by dynamic interactions among multiple individuals, continues to represent a major challenge. In this study, we present “YORU” (your optimal recognition utility), a behavior detection approach leveraging an object detection deep learning algorithm. Unlike conventional approaches, YORU directly identifies behaviors as “behavior objects” based on the animal’s shape, enabling robust and accurate detection. YORU successfully classified several types of social behaviors in species ranging from vertebrates to insects. Furthermore, YORU enables real-time behavior analysis and closed-loop feedback. In addition, we achieved real-time delivery of photostimulation feedback to specific individuals during social behaviors, even when multiple individuals are close together. This system overcomes the challenges posed by conventional pose estimation methods and presents an alternative approach for behavioral analysis.</w:t>
      </w:r>
    </w:p>
    <w:p>
      <w:pPr>
        <w:spacing w:before="120" w:after="120"/>
      </w:pPr>
      <w:r>
        <w:rPr>
          <w:sz w:val="18"/>
        </w:rPr>
        <w:t>——————————————————————————————————————————————————————————————————————</w:t>
      </w:r>
    </w:p>
    <w:p>
      <w:pPr>
        <w:spacing w:before="160" w:after="40" w:line="240" w:lineRule="auto"/>
      </w:pPr>
      <w:r>
        <w:rPr>
          <w:b/>
        </w:rPr>
        <w:t xml:space="preserve">[409] </w:t>
      </w:r>
      <w:hyperlink r:id="rId648">
        <w:r>
          <w:rPr>
            <w:color w:val="1155CC"/>
            <w:u w:val="single"/>
          </w:rPr>
          <w:t>RNA Circ Homer1 环环圆介介介介质,通过肋核核核素蛋白丁颗粒迁移和对合成RNAs的登地性定位,发挥河马运动功能</w:t>
        </w:r>
      </w:hyperlink>
    </w:p>
    <w:p>
      <w:pPr>
        <w:spacing w:before="0" w:after="80"/>
      </w:pPr>
      <w:r>
        <w:rPr>
          <w:i/>
          <w:sz w:val="20"/>
        </w:rPr>
        <w:t>EN: Circular RNA circHomer1 mediates hippocampal functions via ribonucleoprotein granule transport and dendritic targeting of synaptic RNAs</w:t>
      </w:r>
    </w:p>
    <w:p>
      <w:pPr>
        <w:spacing w:before="0" w:after="120"/>
      </w:pPr>
      <w:r>
        <w:rPr>
          <w:b/>
        </w:rPr>
        <w:t xml:space="preserve">Source: </w:t>
      </w:r>
      <w:r>
        <w:t>AAAS: Science Advances: Table of Contents</w:t>
      </w:r>
      <w:r>
        <w:t xml:space="preserve">    </w:t>
      </w:r>
      <w:r>
        <w:rPr>
          <w:b/>
        </w:rPr>
        <w:t xml:space="preserve">Pub date: </w:t>
      </w:r>
      <w:r>
        <w:t>2026-02-11 08:00:00+00:00</w:t>
      </w:r>
      <w:r>
        <w:t xml:space="preserve">    </w:t>
      </w:r>
      <w:r>
        <w:rPr>
          <w:b/>
        </w:rPr>
        <w:t xml:space="preserve">DOI: </w:t>
      </w:r>
      <w:hyperlink r:id="rId649">
        <w:r>
          <w:rPr>
            <w:color w:val="1155CC"/>
            <w:u w:val="single"/>
          </w:rPr>
          <w:t>10.1126/sciadv.ads7509</w:t>
        </w:r>
      </w:hyperlink>
    </w:p>
    <w:p>
      <w:pPr>
        <w:spacing w:before="0" w:after="120"/>
      </w:pPr>
      <w:r>
        <w:rPr>
          <w:b/>
        </w:rPr>
        <w:t xml:space="preserve">Notes: </w:t>
      </w:r>
      <w:r>
        <w:t>abstract_source=crossref</w:t>
      </w:r>
    </w:p>
    <w:p>
      <w:pPr>
        <w:spacing w:before="0" w:after="80" w:lineRule="auto" w:line="276"/>
      </w:pPr>
      <w:r>
        <w:rPr>
          <w:b/>
        </w:rPr>
        <w:t xml:space="preserve">摘要（ZH）: </w:t>
      </w:r>
      <w:r>
        <w:t>越来越多的证据表明,循环RNA在大脑中具有关键功能,例如调节神经神经传播和合成塑料性。然而,循环RNA功能所依据的特定分子机制在很大程度上仍未被探索。 我们调查了循环RNA功能在很大程度上未被探索的分子机制。 这里,我们调查了循环HOMER1这一由Hommer1基因产生的大脑浓缩的循环RNA是如何影响Hippocampus依赖的学习和记忆的。 我们的结果表明,循环RNA1在调节用于编码后合成蛋白质的送信员的登盘目标方面发挥了至关重要的作用。</w:t>
      </w:r>
    </w:p>
    <w:p>
      <w:pPr>
        <w:spacing w:before="0" w:after="200" w:lineRule="auto" w:line="276"/>
      </w:pPr>
      <w:r>
        <w:rPr>
          <w:b/>
        </w:rPr>
        <w:t xml:space="preserve">Abstract (EN): </w:t>
      </w:r>
      <w:r>
        <w:t>Circular RNAs are backspliced, closed-loop RNAs previously believed to be noncoding by-products formed during transcription. Increasing evidence suggests that circular RNAs have crucial functions in the brain, such as regulating neuronal transmission and synaptic plasticity. However, the specific molecular mechanisms by which circular RNAs function remain largely unexplored. Here, we investigated how</w:t>
      </w:r>
      <w:r>
        <w:t xml:space="preserve"> </w:t>
      </w:r>
      <w:r>
        <w:t>circHomer1</w:t>
      </w:r>
      <w:r>
        <w:t xml:space="preserve"> </w:t>
      </w:r>
      <w:r>
        <w:t>, a brain-enriched circular RNA derived from the</w:t>
      </w:r>
      <w:r>
        <w:t xml:space="preserve"> </w:t>
      </w:r>
      <w:r>
        <w:t>Homer1</w:t>
      </w:r>
      <w:r>
        <w:t xml:space="preserve"> </w:t>
      </w:r>
      <w:r>
        <w:t>gene, affects hippocampus-dependent learning and memory. Our results demonstrate that</w:t>
      </w:r>
      <w:r>
        <w:t xml:space="preserve"> </w:t>
      </w:r>
      <w:r>
        <w:t>circHomer1</w:t>
      </w:r>
      <w:r>
        <w:t xml:space="preserve"> </w:t>
      </w:r>
      <w:r>
        <w:t>plays a vital role in mediating the dendritic targeting of messenger RNAs that encode postsynaptic proteins by acting as a molecular bridge between the motor protein Kinesin 1 and core components of neuronal ribonucleoprotein granules, including Fused in Sarcoma and Fragile X Mental Retardation Protein, at dendrites. This interaction influences synaptic function, the structural morphology of dendritic spines, and hippocampus-dependent spatial learning and memory. Thus, our study highlights a role of circular RNAs in mediating synaptic messenger RNA targeting to shape dendritic spines and consequently neuronal functions.</w:t>
      </w:r>
    </w:p>
    <w:p>
      <w:pPr>
        <w:spacing w:before="120" w:after="120"/>
      </w:pPr>
      <w:r>
        <w:rPr>
          <w:sz w:val="18"/>
        </w:rPr>
        <w:t>——————————————————————————————————————————————————————————————————————</w:t>
      </w:r>
    </w:p>
    <w:p>
      <w:pPr>
        <w:spacing w:before="160" w:after="40" w:line="240" w:lineRule="auto"/>
      </w:pPr>
      <w:r>
        <w:rPr>
          <w:b/>
        </w:rPr>
        <w:t xml:space="preserve">[410] </w:t>
      </w:r>
      <w:hyperlink r:id="rId650">
        <w:r>
          <w:rPr>
            <w:color w:val="1155CC"/>
            <w:u w:val="single"/>
          </w:rPr>
          <w:t>导言:制造业科学和计量发展</w:t>
        </w:r>
      </w:hyperlink>
    </w:p>
    <w:p>
      <w:pPr>
        <w:spacing w:before="0" w:after="80"/>
      </w:pPr>
      <w:r>
        <w:rPr>
          <w:i/>
          <w:sz w:val="20"/>
        </w:rPr>
        <w:t>EN: Introduction: Manufacturing Science and Metrology Development</w:t>
      </w:r>
    </w:p>
    <w:p>
      <w:pPr>
        <w:spacing w:before="0" w:after="120"/>
      </w:pPr>
      <w:r>
        <w:rPr>
          <w:b/>
        </w:rPr>
        <w:t xml:space="preserve">Source: </w:t>
      </w:r>
      <w:r>
        <w:t>acs: Chemical Reviews: Table of Contents</w:t>
      </w:r>
      <w:r>
        <w:t xml:space="preserve">    </w:t>
      </w:r>
      <w:r>
        <w:rPr>
          <w:b/>
        </w:rPr>
        <w:t xml:space="preserve">Pub date: </w:t>
      </w:r>
      <w:r>
        <w:t>2026-02-11 08:00:00+00:00</w:t>
      </w:r>
      <w:r>
        <w:t xml:space="preserve">    </w:t>
      </w:r>
      <w:r>
        <w:rPr>
          <w:b/>
        </w:rPr>
        <w:t xml:space="preserve">DOI: </w:t>
      </w:r>
      <w:hyperlink r:id="rId651">
        <w:r>
          <w:rPr>
            <w:color w:val="1155CC"/>
            <w:u w:val="single"/>
          </w:rPr>
          <w:t>10.1021/acs.chemrev.5c01055</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[411] </w:t>
      </w:r>
      <w:hyperlink r:id="rId652">
        <w:r>
          <w:rPr>
            <w:color w:val="1155CC"/>
            <w:u w:val="single"/>
          </w:rPr>
          <w:t>制止预测的脊椎动物下降需要解决生物多样性丧失的多重驱动因素</w:t>
        </w:r>
      </w:hyperlink>
    </w:p>
    <w:p>
      <w:pPr>
        <w:spacing w:before="0" w:after="80"/>
      </w:pPr>
      <w:r>
        <w:rPr>
          <w:i/>
          <w:sz w:val="20"/>
        </w:rPr>
        <w:t>EN: Halting predicted vertebrate declines requires tackling multiple drivers of biodiversity loss</w:t>
      </w:r>
    </w:p>
    <w:p>
      <w:pPr>
        <w:spacing w:before="0" w:after="120"/>
      </w:pPr>
      <w:r>
        <w:rPr>
          <w:b/>
        </w:rPr>
        <w:t xml:space="preserve">Source: </w:t>
      </w:r>
      <w:r>
        <w:t>AAAS: Science Advances: Table of Contents</w:t>
      </w:r>
      <w:r>
        <w:t xml:space="preserve">    </w:t>
      </w:r>
      <w:r>
        <w:rPr>
          <w:b/>
        </w:rPr>
        <w:t xml:space="preserve">Pub date: </w:t>
      </w:r>
      <w:r>
        <w:t>2026-02-11 08:00:00+00:00</w:t>
      </w:r>
      <w:r>
        <w:t xml:space="preserve">    </w:t>
      </w:r>
      <w:r>
        <w:rPr>
          <w:b/>
        </w:rPr>
        <w:t xml:space="preserve">DOI: </w:t>
      </w:r>
      <w:hyperlink r:id="rId653">
        <w:r>
          <w:rPr>
            <w:color w:val="1155CC"/>
            <w:u w:val="single"/>
          </w:rPr>
          <w:t>10.1126/sciadv.adx7973</w:t>
        </w:r>
      </w:hyperlink>
    </w:p>
    <w:p>
      <w:pPr>
        <w:spacing w:before="0" w:after="120"/>
      </w:pPr>
      <w:r>
        <w:rPr>
          <w:b/>
        </w:rPr>
        <w:t xml:space="preserve">Notes: </w:t>
      </w:r>
      <w:r>
        <w:t>abstract_source=crossref</w:t>
      </w:r>
    </w:p>
    <w:p>
      <w:pPr>
        <w:spacing w:before="0" w:after="80" w:lineRule="auto" w:line="276"/>
      </w:pPr>
      <w:r>
        <w:rPr>
          <w:b/>
        </w:rPr>
        <w:t xml:space="preserve">摘要（ZH）: </w:t>
      </w:r>
      <w:r>
        <w:t>旨在制止生物多样性丧失的养护政策往往侧重于生境丧失和开发等全球普遍威胁,但多种威胁的直接和互动影响仍然没有以充分量化,因此,我们超越了以往的元分析或物种层面研究,对威胁相互作用进行全球、人口层面的经验性分析,为此,我们审查了全世界3,129个脊椎人口时间序列,并记录了遭受单一和多重威胁的风险。仅受生境丧失或开发影响的人口并没有出现最大幅度的下降;相反,疾病、入侵物种、污染和气候变化与更快的下降有关。交互威胁比时间或空间变化更有助于人口下降。</w:t>
      </w:r>
    </w:p>
    <w:p>
      <w:pPr>
        <w:spacing w:before="0" w:after="200" w:lineRule="auto" w:line="276"/>
      </w:pPr>
      <w:r>
        <w:rPr>
          <w:b/>
        </w:rPr>
        <w:t xml:space="preserve">Abstract (EN): </w:t>
      </w:r>
      <w:r>
        <w:t>Conservation policies aiming to halt biodiversity loss often focus on globally prevalent threats like habitat loss and exploitation, yet direct and interactive effects of multiple threats remain poorly quantified. Here, we go beyond prior meta-analyses or species-level studies by providing a global, population-level empirical analysis of threat interactions by examining 3129 vertebrate population time series worldwide with documented exposure to single and multiple threats. Populations affected solely by habitat loss or exploitation do not exhibit the steepest declines; instead, disease, invasive species, pollution, and climate change are associated with faster declines. Interactive threats contribute more to population declines than temporal or spatial variation. Counterfactual analyses reveal that mitigating multiple threats is essential to achieving nonnegative vertebrate population trends and halting biodiversity loss.</w:t>
      </w:r>
    </w:p>
    <w:p>
      <w:pPr>
        <w:spacing w:before="120" w:after="120"/>
      </w:pPr>
      <w:r>
        <w:rPr>
          <w:sz w:val="18"/>
        </w:rPr>
        <w:t>——————————————————————————————————————————————————————————————————————</w:t>
      </w:r>
    </w:p>
    <w:p>
      <w:pPr>
        <w:spacing w:before="160" w:after="40" w:line="240" w:lineRule="auto"/>
      </w:pPr>
      <w:r>
        <w:rPr>
          <w:b/>
        </w:rPr>
        <w:t xml:space="preserve">[412] </w:t>
      </w:r>
      <w:hyperlink r:id="rId654">
        <w:r>
          <w:rPr>
            <w:color w:val="1155CC"/>
            <w:u w:val="single"/>
          </w:rPr>
          <w:t>3D 光相梯度-驱动的共振组件产生的3D光相电流动力学氧化石</w:t>
        </w:r>
      </w:hyperlink>
    </w:p>
    <w:p>
      <w:pPr>
        <w:spacing w:before="0" w:after="80"/>
      </w:pPr>
      <w:r>
        <w:rPr>
          <w:i/>
          <w:sz w:val="20"/>
        </w:rPr>
        <w:t>EN: Tunable 3D optohydrodynamic torques from optical phase gradient–driven colloidal assemblies</w:t>
      </w:r>
    </w:p>
    <w:p>
      <w:pPr>
        <w:spacing w:before="0" w:after="120"/>
      </w:pPr>
      <w:r>
        <w:rPr>
          <w:b/>
        </w:rPr>
        <w:t xml:space="preserve">Source: </w:t>
      </w:r>
      <w:r>
        <w:t>AAAS: Science Advances: Table of Contents</w:t>
      </w:r>
      <w:r>
        <w:t xml:space="preserve">    </w:t>
      </w:r>
      <w:r>
        <w:rPr>
          <w:b/>
        </w:rPr>
        <w:t xml:space="preserve">Pub date: </w:t>
      </w:r>
      <w:r>
        <w:t>2026-02-11 08:00:00+00:00</w:t>
      </w:r>
      <w:r>
        <w:t xml:space="preserve">    </w:t>
      </w:r>
      <w:r>
        <w:rPr>
          <w:b/>
        </w:rPr>
        <w:t xml:space="preserve">DOI: </w:t>
      </w:r>
      <w:hyperlink r:id="rId655">
        <w:r>
          <w:rPr>
            <w:color w:val="1155CC"/>
            <w:u w:val="single"/>
          </w:rPr>
          <w:t>10.1126/sciadv.aec6957</w:t>
        </w:r>
      </w:hyperlink>
    </w:p>
    <w:p>
      <w:pPr>
        <w:spacing w:before="0" w:after="120"/>
      </w:pPr>
      <w:r>
        <w:rPr>
          <w:b/>
        </w:rPr>
        <w:t xml:space="preserve">Notes: </w:t>
      </w:r>
      <w:r>
        <w:t>abstract_source=crossref</w:t>
      </w:r>
    </w:p>
    <w:p>
      <w:pPr>
        <w:spacing w:before="0" w:after="80" w:lineRule="auto" w:line="276"/>
      </w:pPr>
      <w:r>
        <w:rPr>
          <w:b/>
        </w:rPr>
        <w:t xml:space="preserve">摘要（ZH）: </w:t>
      </w:r>
      <w:r>
        <w:t>利用可编程的光学环(Laguerre-Gauussian beams),我们组装和旋转具有某些粒子数的旋合聚体,这些粒子的导流对目标粒子应用了可转换的机体和机外托盘。 托克控制是通过两个机制实现的:(一) 扭转圆形极化的传导性以打破循环对称和(二) 拆解光学环和调节集束旋转速度。</w:t>
      </w:r>
    </w:p>
    <w:p>
      <w:pPr>
        <w:spacing w:before="0" w:after="200" w:lineRule="auto" w:line="276"/>
      </w:pPr>
      <w:r>
        <w:rPr>
          <w:b/>
        </w:rPr>
        <w:t xml:space="preserve">Abstract (EN): </w:t>
      </w:r>
      <w:r>
        <w:t>Optohydrodynamic manipulation offers a versatile, noninvasive, and reconfigurable approach for controlling microscopic objects. Here, we present a strategy for generating tunable three-dimensional optohydrodynamic torques through phase gradient–driven nanoparticle assemblies. Using programmable optical ring vortices (Laguerre-Gaussian beams), we assemble and rotate colloidal clusters with certain particle numbers, whose induced hydrodynamic flows apply switchable in-plane and out-of-plane torques on target particles. Torque control is achieved via two mechanisms: (i) reversing the handedness of circular polarization to break rotational symmetry and (ii) displacing optical ring vortices and modulating cluster rotation speed. These complementary controls provide robust, high-resolution torques tuned in arbitrary directions. As a proof of concept, we demonstrate full three-dimensional orientation control of a single cell. This framework greatly expands the capabilities of optohydrodynamic systems by explicitly incorporating light-driven interparticle interactions and establishes a foundation for advanced applications in biophysics, microrobotics, and biomedical engineering.</w:t>
      </w:r>
    </w:p>
    <w:p>
      <w:pPr>
        <w:spacing w:before="120" w:after="120"/>
      </w:pPr>
      <w:r>
        <w:rPr>
          <w:sz w:val="18"/>
        </w:rPr>
        <w:t>——————————————————————————————————————————————————————————————————————</w:t>
      </w:r>
    </w:p>
    <w:p>
      <w:pPr>
        <w:spacing w:before="160" w:after="40" w:line="240" w:lineRule="auto"/>
      </w:pPr>
      <w:r>
        <w:rPr>
          <w:b/>
        </w:rPr>
        <w:t xml:space="preserve">[413] </w:t>
      </w:r>
      <w:hyperlink r:id="rId656">
        <w:r>
          <w:rPr>
            <w:color w:val="1155CC"/>
            <w:u w:val="single"/>
          </w:rPr>
          <w:t>世界上最稀有的灵长类动物的反弹背后的遗传遗产和最近两条古代古系的交叉</w:t>
        </w:r>
      </w:hyperlink>
    </w:p>
    <w:p>
      <w:pPr>
        <w:spacing w:before="0" w:after="80"/>
      </w:pPr>
      <w:r>
        <w:rPr>
          <w:i/>
          <w:sz w:val="20"/>
        </w:rPr>
        <w:t>EN: Genetic legacy and recent cross of two ancient lineages underlie the rebound of the world’s rarest primate</w:t>
      </w:r>
    </w:p>
    <w:p>
      <w:pPr>
        <w:spacing w:before="0" w:after="120"/>
      </w:pPr>
      <w:r>
        <w:rPr>
          <w:b/>
        </w:rPr>
        <w:t xml:space="preserve">Source: </w:t>
      </w:r>
      <w:r>
        <w:t>AAAS: Science Advances: Table of Contents</w:t>
      </w:r>
      <w:r>
        <w:t xml:space="preserve">    </w:t>
      </w:r>
      <w:r>
        <w:rPr>
          <w:b/>
        </w:rPr>
        <w:t xml:space="preserve">Pub date: </w:t>
      </w:r>
      <w:r>
        <w:t>2026-02-11 08:00:00+00:00</w:t>
      </w:r>
      <w:r>
        <w:t xml:space="preserve">    </w:t>
      </w:r>
      <w:r>
        <w:rPr>
          <w:b/>
        </w:rPr>
        <w:t xml:space="preserve">DOI: </w:t>
      </w:r>
      <w:hyperlink r:id="rId657">
        <w:r>
          <w:rPr>
            <w:color w:val="1155CC"/>
            <w:u w:val="single"/>
          </w:rPr>
          <w:t>10.1126/sciadv.adw3298</w:t>
        </w:r>
      </w:hyperlink>
    </w:p>
    <w:p>
      <w:pPr>
        <w:spacing w:before="0" w:after="120"/>
      </w:pPr>
      <w:r>
        <w:rPr>
          <w:b/>
        </w:rPr>
        <w:t xml:space="preserve">Notes: </w:t>
      </w:r>
      <w:r>
        <w:t>abstract_source=crossref</w:t>
      </w:r>
    </w:p>
    <w:p>
      <w:pPr>
        <w:spacing w:before="0" w:after="80" w:lineRule="auto" w:line="276"/>
      </w:pPr>
      <w:r>
        <w:rPr>
          <w:b/>
        </w:rPr>
        <w:t xml:space="preserve">摘要（ZH）: </w:t>
      </w:r>
      <w:r>
        <w:t>尽管最近出现了大规模灭绝,但少数物种从边缘反弹,但其内在机制却鲜为人知。 Hayanan gibbons(Nomascus hainanus)的特征是一场神秘的反弹,从2003年的~13人上升到目前的42人。 我们利用从通过系统固定的管道产生的18个gibons的粪便样本和四个博物馆标本的可靠基因组数据,我们的分析表明,Hainan gibbons人口规模最小,遗传多样性低,但出乎意料的是,迄今为止对受威胁的灵长类动物的繁殖和遗传负荷过低进行了评估。 这是千年扩张缓解瓶颈效应和当地高重组维持了选择效率的结果。</w:t>
      </w:r>
    </w:p>
    <w:p>
      <w:pPr>
        <w:spacing w:before="0" w:after="200" w:lineRule="auto" w:line="276"/>
      </w:pPr>
      <w:r>
        <w:rPr>
          <w:b/>
        </w:rPr>
        <w:t xml:space="preserve">Abstract (EN): </w:t>
      </w:r>
      <w:r>
        <w:t>Despite a recent mass extinction, a few species have bounced back from the brink, but little is known about their intrinsic mechanisms. Hainan gibbons (</w:t>
      </w:r>
      <w:r>
        <w:t xml:space="preserve"> </w:t>
      </w:r>
      <w:r>
        <w:t>Nomascus hainanus</w:t>
      </w:r>
      <w:r>
        <w:t xml:space="preserve"> </w:t>
      </w:r>
      <w:r>
        <w:t>) feature a mysterious rebound, from ~13 individuals in 2003 to 42 currently. Using reliable genomic data from the fecal samples of 18 gibbons, generated through a systematically established pipeline, and from four museum specimens, our analyses reveal that Hainan gibbons have the smallest effective population size and low genetic diversity but, unexpectedly, low inbreeding and genetic load among threatened primates assessed thus far. This results from a millennial expansion mitigating bottleneck effects and a high local recombination maintaining selection efficiency. Notably, we uncover two cryptic lineages, whose recent crosses led to new family groups with increased heterozygosity. Our study reveals the importance of demographic history, genome architecture, and behavioral regulation in the recovery of endangered species and highlights the great potential of fecal genomic research in conservation biology.</w:t>
      </w:r>
    </w:p>
    <w:p>
      <w:pPr>
        <w:spacing w:before="120" w:after="120"/>
      </w:pPr>
      <w:r>
        <w:rPr>
          <w:sz w:val="18"/>
        </w:rPr>
        <w:t>——————————————————————————————————————————————————————————————————————</w:t>
      </w:r>
    </w:p>
    <w:p>
      <w:pPr>
        <w:spacing w:before="160" w:after="40" w:line="240" w:lineRule="auto"/>
      </w:pPr>
      <w:r>
        <w:rPr>
          <w:b/>
        </w:rPr>
        <w:t xml:space="preserve">[414] </w:t>
      </w:r>
      <w:hyperlink r:id="rId658">
        <w:r>
          <w:rPr>
            <w:color w:val="1155CC"/>
            <w:u w:val="single"/>
          </w:rPr>
          <w:t>第一类蛋白磷酸(TOPPs)催化EIN2脱光磷酸酯,以调节阿拉伯二酰乙烯信号</w:t>
        </w:r>
      </w:hyperlink>
    </w:p>
    <w:p>
      <w:pPr>
        <w:spacing w:before="0" w:after="80"/>
      </w:pPr>
      <w:r>
        <w:rPr>
          <w:i/>
          <w:sz w:val="20"/>
        </w:rPr>
        <w:t>EN: Type one protein phosphatases (TOPPs) catalyze EIN2 dephosphorylation to regulate ethylene signaling in Arabidopsis</w:t>
      </w:r>
    </w:p>
    <w:p>
      <w:pPr>
        <w:spacing w:before="0" w:after="120"/>
      </w:pPr>
      <w:r>
        <w:rPr>
          <w:b/>
        </w:rPr>
        <w:t xml:space="preserve">Source: </w:t>
      </w:r>
      <w:r>
        <w:t>AAAS: Science Advances: Table of Contents</w:t>
      </w:r>
      <w:r>
        <w:t xml:space="preserve">    </w:t>
      </w:r>
      <w:r>
        <w:rPr>
          <w:b/>
        </w:rPr>
        <w:t xml:space="preserve">Pub date: </w:t>
      </w:r>
      <w:r>
        <w:t>2026-02-11 08:00:00+00:00</w:t>
      </w:r>
      <w:r>
        <w:t xml:space="preserve">    </w:t>
      </w:r>
      <w:r>
        <w:rPr>
          <w:b/>
        </w:rPr>
        <w:t xml:space="preserve">DOI: </w:t>
      </w:r>
      <w:hyperlink r:id="rId659">
        <w:r>
          <w:rPr>
            <w:color w:val="1155CC"/>
            <w:u w:val="single"/>
          </w:rPr>
          <w:t>10.1126/sciadv.aec5937</w:t>
        </w:r>
      </w:hyperlink>
    </w:p>
    <w:p>
      <w:pPr>
        <w:spacing w:before="0" w:after="120"/>
      </w:pPr>
      <w:r>
        <w:rPr>
          <w:b/>
        </w:rPr>
        <w:t xml:space="preserve">Notes: </w:t>
      </w:r>
      <w:r>
        <w:t>abstract_source=crossref</w:t>
      </w:r>
    </w:p>
    <w:p>
      <w:pPr>
        <w:spacing w:before="0" w:after="80" w:lineRule="auto" w:line="276"/>
      </w:pPr>
      <w:r>
        <w:rPr>
          <w:b/>
        </w:rPr>
        <w:t xml:space="preserve">摘要（ZH）: </w:t>
      </w:r>
      <w:r>
        <w:t>一种蛋白磷酸酯(TOPPs)广泛调制植物激素信号和应激反应,但其在乙烯信号中的作用仍不得而知。本研究揭示了TOPs和乙烯不敏感2(EIN2)之间一种对等监管关系 — — 中间的乙烯信号。 我们发现,乙烯可以诱导TOPs的表达方式,而topp1/4/5变异体则表现出部分的乙烯不敏感,而EIN3蛋白质则减少。 从机械上看,TOPs在EIN2的上游运作,并与它的碳苯基终点域(CEND)进行互动,对S655残留物进行脱硫。这种特定地点的脱硫会促进EIN2的稳定性和EIN2 CEND核积累,从而引发了乙烯的反应。</w:t>
      </w:r>
    </w:p>
    <w:p>
      <w:pPr>
        <w:spacing w:before="0" w:after="200" w:lineRule="auto" w:line="276"/>
      </w:pPr>
      <w:r>
        <w:rPr>
          <w:b/>
        </w:rPr>
        <w:t xml:space="preserve">Abstract (EN): </w:t>
      </w:r>
      <w:r>
        <w:t>Type one protein phosphatases (TOPPs) widely modulate phytohormone signaling and stress responses, but their roles in ethylene signaling remain unknown. This study reveals a reciprocal regulatory relationship between TOPPs and ethylene insensitive 2 (EIN2)–mediated ethylene signaling. We identified that ethylene can induce</w:t>
      </w:r>
      <w:r>
        <w:t xml:space="preserve"> </w:t>
      </w:r>
      <w:r>
        <w:t>TOPPs</w:t>
      </w:r>
      <w:r>
        <w:t xml:space="preserve"> </w:t>
      </w:r>
      <w:r>
        <w:t>’ expression, and</w:t>
      </w:r>
      <w:r>
        <w:t xml:space="preserve"> </w:t>
      </w:r>
      <w:r>
        <w:t>topp1/4/5</w:t>
      </w:r>
      <w:r>
        <w:t xml:space="preserve"> </w:t>
      </w:r>
      <w:r>
        <w:t>mutants exhibited partial ethylene insensitivity with reduced EIN3 protein. Mechanistically, TOPPs function upstream of EIN2 and interact with its carboxyl-terminal domain (CEND) to dephosphorylate the S655 residue. This site-specific dephosphorylation promotes EIN2 stability and EIN2 CEND nuclear accumulation, thereby activating ethylene responses. Notably,</w:t>
      </w:r>
      <w:r>
        <w:t xml:space="preserve"> </w:t>
      </w:r>
      <w:r>
        <w:t>EIN2</w:t>
      </w:r>
      <w:r>
        <w:t xml:space="preserve"> </w:t>
      </w:r>
      <w:r>
        <w:t>S655A</w:t>
      </w:r>
      <w:r>
        <w:t xml:space="preserve"> </w:t>
      </w:r>
      <w:r>
        <w:t>-YFP/ein2-5</w:t>
      </w:r>
      <w:r>
        <w:t xml:space="preserve"> </w:t>
      </w:r>
      <w:r>
        <w:t>plants displayed constitutive ethylene responses and improved salt tolerance. Further investigation showed that EIN3/EIN3 like 1 (EIL1) activates</w:t>
      </w:r>
      <w:r>
        <w:t xml:space="preserve"> </w:t>
      </w:r>
      <w:r>
        <w:t>TOPPs</w:t>
      </w:r>
      <w:r>
        <w:t xml:space="preserve"> </w:t>
      </w:r>
      <w:r>
        <w:t>’ expression by binding to their promoters, amplifying ethylene signaling accordingly. Together, our finding establishes TOPPs as key regulators in ethylene signaling and reveal a dephosphorylation switch mechanism governing EIN2 function, providing critical insight into how EIN2 posttranslational modifications mediate plant stress adaptation.</w:t>
      </w:r>
    </w:p>
    <w:p>
      <w:pPr>
        <w:spacing w:before="120" w:after="120"/>
      </w:pPr>
      <w:r>
        <w:rPr>
          <w:sz w:val="18"/>
        </w:rPr>
        <w:t>——————————————————————————————————————————————————————————————————————</w:t>
      </w:r>
    </w:p>
    <w:p>
      <w:pPr>
        <w:spacing w:before="160" w:after="40" w:line="240" w:lineRule="auto"/>
      </w:pPr>
      <w:r>
        <w:rPr>
          <w:b/>
        </w:rPr>
        <w:t xml:space="preserve">[415] </w:t>
      </w:r>
      <w:hyperlink r:id="rId660">
        <w:r>
          <w:rPr>
            <w:color w:val="1155CC"/>
            <w:u w:val="single"/>
          </w:rPr>
          <w:t>磁电纳米粒子驱动TAF9B+TH2细胞膨胀以缓解炎症</w:t>
        </w:r>
      </w:hyperlink>
    </w:p>
    <w:p>
      <w:pPr>
        <w:spacing w:before="0" w:after="80"/>
      </w:pPr>
      <w:r>
        <w:rPr>
          <w:i/>
          <w:sz w:val="20"/>
        </w:rPr>
        <w:t>EN: Magnetoelectric nanoparticles drive TAF9B+ TH2 cell expansion to alleviate inflammation</w:t>
      </w:r>
    </w:p>
    <w:p>
      <w:pPr>
        <w:spacing w:before="0" w:after="120"/>
      </w:pPr>
      <w:r>
        <w:rPr>
          <w:b/>
        </w:rPr>
        <w:t xml:space="preserve">Source: </w:t>
      </w:r>
      <w:r>
        <w:t>AAAS: Science Advances: Table of Contents</w:t>
      </w:r>
      <w:r>
        <w:t xml:space="preserve">    </w:t>
      </w:r>
      <w:r>
        <w:rPr>
          <w:b/>
        </w:rPr>
        <w:t xml:space="preserve">Pub date: </w:t>
      </w:r>
      <w:r>
        <w:t>2026-02-11 08:00:00+00:00</w:t>
      </w:r>
      <w:r>
        <w:t xml:space="preserve">    </w:t>
      </w:r>
      <w:r>
        <w:rPr>
          <w:b/>
        </w:rPr>
        <w:t xml:space="preserve">DOI: </w:t>
      </w:r>
      <w:hyperlink r:id="rId661">
        <w:r>
          <w:rPr>
            <w:color w:val="1155CC"/>
            <w:u w:val="single"/>
          </w:rPr>
          <w:t>10.1126/sciadv.adz3199</w:t>
        </w:r>
      </w:hyperlink>
    </w:p>
    <w:p>
      <w:pPr>
        <w:spacing w:before="0" w:after="120"/>
      </w:pPr>
      <w:r>
        <w:rPr>
          <w:b/>
        </w:rPr>
        <w:t xml:space="preserve">Notes: </w:t>
      </w:r>
      <w:r>
        <w:t>abstract_source=crossref</w:t>
      </w:r>
    </w:p>
    <w:p>
      <w:pPr>
        <w:spacing w:before="0" w:after="80" w:lineRule="auto" w:line="276"/>
      </w:pPr>
      <w:r>
        <w:rPr>
          <w:b/>
        </w:rPr>
        <w:t xml:space="preserve">摘要（ZH）: </w:t>
      </w:r>
      <w:r>
        <w:t>刺激性活性纳米材料代表着一个有希望的免疫化学反应平台,然而,在调控T细胞反应中的应用仍然有限。在这里,我们通过涂层芯壳2 O 4 @BiFeO 3颗颗带嵌入式细胞膜的粒子来开发一个生物模拟磁电纳米粒子(DC@CFO/BFO),以便有选择地瞄准CD4+T细胞。在磁场刺激下,DC@CFO/BFO将本地化为肋骨,并通过调控在肋骨出口隧道的静电互动来增强蛋白合成。这种针对血压的调节通过IL-4诱导和TAF9B-dedepden促进二型免疫反应。</w:t>
      </w:r>
    </w:p>
    <w:p>
      <w:pPr>
        <w:spacing w:before="0" w:after="200" w:lineRule="auto" w:line="276"/>
      </w:pPr>
      <w:r>
        <w:rPr>
          <w:b/>
        </w:rPr>
        <w:t xml:space="preserve">Abstract (EN): </w:t>
      </w:r>
      <w:r>
        <w:t>Stimuli-responsive nanomaterials represent a promising platform for immunomodulation. However, their application in orchestrating T cell responses remains limited. Here, we develop a biomimetic magnetoelectric nanoparticle (DC@CFO/BFO) by coating core-shell CoFe</w:t>
      </w:r>
      <w:r>
        <w:rPr>
          <w:vertAlign w:val="subscript"/>
        </w:rPr>
        <w:t>2</w:t>
      </w:r>
      <w:r>
        <w:t>O</w:t>
      </w:r>
      <w:r>
        <w:rPr>
          <w:vertAlign w:val="subscript"/>
        </w:rPr>
        <w:t>4</w:t>
      </w:r>
      <w:r>
        <w:t>@BiFeO</w:t>
      </w:r>
      <w:r>
        <w:rPr>
          <w:vertAlign w:val="subscript"/>
        </w:rPr>
        <w:t>3</w:t>
      </w:r>
      <w:r>
        <w:t>particles with dendritic cell membranes to enable selective targeting of CD4</w:t>
      </w:r>
      <w:r>
        <w:t xml:space="preserve"> </w:t>
      </w:r>
      <w:r>
        <w:t>+</w:t>
      </w:r>
      <w:r>
        <w:t xml:space="preserve"> </w:t>
      </w:r>
      <w:r>
        <w:t>T cells. Under magnetic field stimulation, DC@CFO/BFO localizes to ribosomes and enhances protein synthesis by modulating electrostatic interactions at the ribosomal exit tunnel. This ribosome-targeted modulation promotes type II immune response via IL-4 induction and TAF9B-dependent transcriptional programming, thereby enhancing T helper 2 (T</w:t>
      </w:r>
      <w:r>
        <w:t xml:space="preserve"> </w:t>
      </w:r>
      <w:r>
        <w:t>H</w:t>
      </w:r>
      <w:r>
        <w:t xml:space="preserve"> </w:t>
      </w:r>
      <w:r>
        <w:t>2) cell proliferation. In murine models of colitis and arthritis, both systemic administration of DC@CFO/BFO and adoptive transfer of magnetoelectricity-responsive T</w:t>
      </w:r>
      <w:r>
        <w:t xml:space="preserve"> </w:t>
      </w:r>
      <w:r>
        <w:t>H</w:t>
      </w:r>
      <w:r>
        <w:t xml:space="preserve"> </w:t>
      </w:r>
      <w:r>
        <w:t>2 cells attenuated inflammation and restored immune homeostasis. In contrast, these effects were abrogated in</w:t>
      </w:r>
      <w:r>
        <w:t xml:space="preserve"> </w:t>
      </w:r>
      <w:r>
        <w:t>Taf9b</w:t>
      </w:r>
      <w:r>
        <w:t xml:space="preserve"> </w:t>
      </w:r>
      <w:r>
        <w:t>-deficient T cells, underscoring the essential role of TAF9B in mediating this response. Collectively, our findings identify magnetoelectric nanocomposites as a potent tool for T cell engineering and highlight a translational strategy for the treatment of autoimmune inflammation.</w:t>
      </w:r>
    </w:p>
    <w:p>
      <w:pPr>
        <w:spacing w:before="120" w:after="120"/>
      </w:pPr>
      <w:r>
        <w:rPr>
          <w:sz w:val="18"/>
        </w:rPr>
        <w:t>——————————————————————————————————————————————————————————————————————</w:t>
      </w:r>
    </w:p>
    <w:p>
      <w:pPr>
        <w:spacing w:before="160" w:after="40" w:line="240" w:lineRule="auto"/>
      </w:pPr>
      <w:r>
        <w:rPr>
          <w:b/>
        </w:rPr>
        <w:t xml:space="preserve">[416] </w:t>
      </w:r>
      <w:hyperlink r:id="rId662">
        <w:r>
          <w:rPr>
            <w:color w:val="1155CC"/>
            <w:u w:val="single"/>
          </w:rPr>
          <w:t>液晶弹性体体液晶体体体的4D机器人符合4D要求的印刷</w:t>
        </w:r>
      </w:hyperlink>
    </w:p>
    <w:p>
      <w:pPr>
        <w:spacing w:before="0" w:after="80"/>
      </w:pPr>
      <w:r>
        <w:rPr>
          <w:i/>
          <w:sz w:val="20"/>
        </w:rPr>
        <w:t>EN: Robotic conformal 4D printing of liquid crystal elastomers</w:t>
      </w:r>
    </w:p>
    <w:p>
      <w:pPr>
        <w:spacing w:before="0" w:after="120"/>
      </w:pPr>
      <w:r>
        <w:rPr>
          <w:b/>
        </w:rPr>
        <w:t xml:space="preserve">Source: </w:t>
      </w:r>
      <w:r>
        <w:t>AAAS: Science Advances: Table of Contents</w:t>
      </w:r>
      <w:r>
        <w:t xml:space="preserve">    </w:t>
      </w:r>
      <w:r>
        <w:rPr>
          <w:b/>
        </w:rPr>
        <w:t xml:space="preserve">Pub date: </w:t>
      </w:r>
      <w:r>
        <w:t>2026-02-11 08:00:00+00:00</w:t>
      </w:r>
      <w:r>
        <w:t xml:space="preserve">    </w:t>
      </w:r>
      <w:r>
        <w:rPr>
          <w:b/>
        </w:rPr>
        <w:t xml:space="preserve">DOI: </w:t>
      </w:r>
      <w:hyperlink r:id="rId663">
        <w:r>
          <w:rPr>
            <w:color w:val="1155CC"/>
            <w:u w:val="single"/>
          </w:rPr>
          <w:t>10.1126/sciadv.aeb2417</w:t>
        </w:r>
      </w:hyperlink>
    </w:p>
    <w:p>
      <w:pPr>
        <w:spacing w:before="0" w:after="120"/>
      </w:pPr>
      <w:r>
        <w:rPr>
          <w:b/>
        </w:rPr>
        <w:t xml:space="preserve">Notes: </w:t>
      </w:r>
      <w:r>
        <w:t>abstract_source=crossref</w:t>
      </w:r>
    </w:p>
    <w:p>
      <w:pPr>
        <w:spacing w:before="0" w:after="80" w:lineRule="auto" w:line="276"/>
      </w:pPr>
      <w:r>
        <w:rPr>
          <w:b/>
        </w:rPr>
        <w:t xml:space="preserve">摘要（ZH）: </w:t>
      </w:r>
      <w:r>
        <w:t>四维(4D)液体晶体弹性体(LCEs)的印刷是一种大有希望的方法,可为各种应用,包括软机器人、可部署系统和适应表面,创造可逆的形状变化结构,以建立可逆的形状变化结构。这些形状转换程序的核心是微尺度液晶中间体的空间对齐。液晶体中间体的现有4D印刷方法受到2D型平面内混合体的对齐的限制,从而限制了可实现的变形范围。这项工作提供了一种机器人直接-ink书写符合4D的4D印刷技术,使液晶体沉积在复杂、非平面的3D子strates上。开发了一种算法,以生成印刷路径、点常态和控制代码来指导六轴机器人臂的运动。</w:t>
      </w:r>
    </w:p>
    <w:p>
      <w:pPr>
        <w:spacing w:before="0" w:after="200" w:lineRule="auto" w:line="276"/>
      </w:pPr>
      <w:r>
        <w:rPr>
          <w:b/>
        </w:rPr>
        <w:t xml:space="preserve">Abstract (EN): </w:t>
      </w:r>
      <w:r>
        <w:t>Four-dimensional (4D) printing of liquid crystal elastomers (LCEs) serves as a promising approach to create reversibly shape-changing structures for diverse applications, including soft robotics, deployable systems, and adaptive surfaces. Central to programming these shape transformations is the spatial alignment of microscale liquid crystal mesogens. Existing 4D printing methods for LCEs are constrained by the alignment of mesogens within 2D planes, thereby limiting the range of achievable deformation. This work presents a robotic direct-ink-writing conformal 4D printing technology that enables deposition of LCEs onto complex, nonplanar 3D substrates. An algorithm is developed to generate printing paths, point normals, and control codes to guide the motion of a six-axis robotic arm. Conformal printing is demonstrated on various surfaces with different printing paths, and the resulting shape-changing behaviors are studied to highlight the unlocked design space. Integration with 3D scanning further allows printing onto substrates with unknown geometries, such as egg surfaces, which enables applications in on-demand protective coatings and structural repair.</w:t>
      </w:r>
    </w:p>
    <w:p>
      <w:pPr>
        <w:spacing w:before="120" w:after="120"/>
      </w:pPr>
      <w:r>
        <w:rPr>
          <w:sz w:val="18"/>
        </w:rPr>
        <w:t>——————————————————————————————————————————————————————————————————————</w:t>
      </w:r>
    </w:p>
    <w:p>
      <w:pPr>
        <w:spacing w:before="160" w:after="40" w:line="240" w:lineRule="auto"/>
      </w:pPr>
      <w:r>
        <w:rPr>
          <w:b/>
        </w:rPr>
        <w:t xml:space="preserve">[417] </w:t>
      </w:r>
      <w:hyperlink r:id="rId664">
        <w:r>
          <w:rPr>
            <w:color w:val="1155CC"/>
            <w:u w:val="single"/>
          </w:rPr>
          <w:t>通过多层机器学习框架在有机光伏发电中导航高维处理参数</w:t>
        </w:r>
      </w:hyperlink>
    </w:p>
    <w:p>
      <w:pPr>
        <w:spacing w:before="0" w:after="80"/>
      </w:pPr>
      <w:r>
        <w:rPr>
          <w:i/>
          <w:sz w:val="20"/>
        </w:rPr>
        <w:t>EN: Navigating high-dimensional processing parameters in organic photovoltaics via a multitier machine learning framework</w:t>
      </w:r>
    </w:p>
    <w:p>
      <w:pPr>
        <w:spacing w:before="0" w:after="120"/>
      </w:pPr>
      <w:r>
        <w:rPr>
          <w:b/>
        </w:rPr>
        <w:t xml:space="preserve">Source: </w:t>
      </w:r>
      <w:r>
        <w:t>AAAS: Science Advances: Table of Contents</w:t>
      </w:r>
      <w:r>
        <w:t xml:space="preserve">    </w:t>
      </w:r>
      <w:r>
        <w:rPr>
          <w:b/>
        </w:rPr>
        <w:t xml:space="preserve">Pub date: </w:t>
      </w:r>
      <w:r>
        <w:t>2026-02-11 08:00:00+00:00</w:t>
      </w:r>
      <w:r>
        <w:t xml:space="preserve">    </w:t>
      </w:r>
      <w:r>
        <w:rPr>
          <w:b/>
        </w:rPr>
        <w:t xml:space="preserve">DOI: </w:t>
      </w:r>
      <w:hyperlink r:id="rId665">
        <w:r>
          <w:rPr>
            <w:color w:val="1155CC"/>
            <w:u w:val="single"/>
          </w:rPr>
          <w:t>10.1126/sciadv.aeb1323</w:t>
        </w:r>
      </w:hyperlink>
    </w:p>
    <w:p>
      <w:pPr>
        <w:spacing w:before="0" w:after="120"/>
      </w:pPr>
      <w:r>
        <w:rPr>
          <w:b/>
        </w:rPr>
        <w:t xml:space="preserve">Notes: </w:t>
      </w:r>
      <w:r>
        <w:t>abstract_source=crossref</w:t>
      </w:r>
    </w:p>
    <w:p>
      <w:pPr>
        <w:spacing w:before="0" w:after="80" w:lineRule="auto" w:line="276"/>
      </w:pPr>
      <w:r>
        <w:rPr>
          <w:b/>
        </w:rPr>
        <w:t xml:space="preserve">摘要（ZH）: </w:t>
      </w:r>
      <w:r>
        <w:t>优化有机光伏(OPV)性能最佳化有机光伏(OPV)性能需要浏览关于散散散互异形态学的高维、相互依存的高级处理参数。为此,我们建立了一个标准化数据库,将捐赠者/接受者对对对、9个关键制造参数和装置效率结合起来,整合了十多年的实验结果。我们利用这一资源开发了一个三级机器学习框架,使用梯度推回树。该战略从单参数基线模型发展到阶段组合模型,以获取流程内协同作用,最终形成一个全球9个参数优化模型。这一最终模型实现了 &amp; gt;0.9的皮尔逊相关性和确定最佳多功能的成功率(Ggt;80%)</w:t>
      </w:r>
    </w:p>
    <w:p>
      <w:pPr>
        <w:spacing w:before="0" w:after="200" w:lineRule="auto" w:line="276"/>
      </w:pPr>
      <w:r>
        <w:rPr>
          <w:b/>
        </w:rPr>
        <w:t xml:space="preserve">Abstract (EN): </w:t>
      </w:r>
      <w:r>
        <w:t>Optimizing organic photovoltaic (OPV) performance requires navigating the high-dimensional, interdependent processing parameters governing bulk heterojunction morphology. To address this, we have constructed a standardized database integrating donor/acceptor pairs, nine key fabrication parameters, and device efficiencies, consolidating over a decade of experimental results. Leveraging this resource, we developed a three-tiered machine learning framework using gradient boosting regression trees. The strategy progresses from single-parameter baseline models to stage-combined models that capture intraprocess synergies, culminating in a global nine-parameter optimization model. This final model achieves a Pearson correlation of &amp;gt;0.9 and a success rate of &amp;gt;80% in identifying optimal multiparameter configurations. Validation on 78 external systems, each containing a previously unseen donor or acceptor, demonstrates robust generalization with &amp;gt;75% accuracy in predicting the optimal or secondary condition for individual parameters. This work establishes a practical, data-driven framework for accelerating the rational optimization of OPV photoactive layers.</w:t>
      </w:r>
    </w:p>
    <w:p>
      <w:pPr>
        <w:spacing w:before="120" w:after="120"/>
      </w:pPr>
      <w:r>
        <w:rPr>
          <w:sz w:val="18"/>
        </w:rPr>
        <w:t>——————————————————————————————————————————————————————————————————————</w:t>
      </w:r>
    </w:p>
    <w:p>
      <w:pPr>
        <w:spacing w:before="160" w:after="40" w:line="240" w:lineRule="auto"/>
      </w:pPr>
      <w:r>
        <w:rPr>
          <w:b/>
        </w:rPr>
        <w:t xml:space="preserve">[418] </w:t>
      </w:r>
      <w:hyperlink r:id="rId666">
        <w:r>
          <w:rPr>
            <w:color w:val="1155CC"/>
            <w:u w:val="single"/>
          </w:rPr>
          <w:t>与膜有关的定期定期骨骼通过信号驱动的积极反馈循环调节神经元内分泌中毒的主要形式</w:t>
        </w:r>
      </w:hyperlink>
    </w:p>
    <w:p>
      <w:pPr>
        <w:spacing w:before="0" w:after="80"/>
      </w:pPr>
      <w:r>
        <w:rPr>
          <w:i/>
          <w:sz w:val="20"/>
        </w:rPr>
        <w:t>EN: Membrane-associated periodic skeleton regulates major forms of endocytosis in neurons through a signaling-driven positive feedback loop</w:t>
      </w:r>
    </w:p>
    <w:p>
      <w:pPr>
        <w:spacing w:before="0" w:after="120"/>
      </w:pPr>
      <w:r>
        <w:rPr>
          <w:b/>
        </w:rPr>
        <w:t xml:space="preserve">Source: </w:t>
      </w:r>
      <w:r>
        <w:t>AAAS: Science Advances: Table of Contents</w:t>
      </w:r>
      <w:r>
        <w:t xml:space="preserve">    </w:t>
      </w:r>
      <w:r>
        <w:rPr>
          <w:b/>
        </w:rPr>
        <w:t xml:space="preserve">Pub date: </w:t>
      </w:r>
      <w:r>
        <w:t>2026-02-11 08:00:00+00:00</w:t>
      </w:r>
      <w:r>
        <w:t xml:space="preserve">    </w:t>
      </w:r>
      <w:r>
        <w:rPr>
          <w:b/>
        </w:rPr>
        <w:t xml:space="preserve">DOI: </w:t>
      </w:r>
      <w:hyperlink r:id="rId667">
        <w:r>
          <w:rPr>
            <w:color w:val="1155CC"/>
            <w:u w:val="single"/>
          </w:rPr>
          <w:t>10.1126/sciadv.aeb0803</w:t>
        </w:r>
      </w:hyperlink>
    </w:p>
    <w:p>
      <w:pPr>
        <w:spacing w:before="0" w:after="120"/>
      </w:pPr>
      <w:r>
        <w:rPr>
          <w:b/>
        </w:rPr>
        <w:t xml:space="preserve">Notes: </w:t>
      </w:r>
      <w:r>
        <w:t>abstract_source=crossref</w:t>
      </w:r>
    </w:p>
    <w:p>
      <w:pPr>
        <w:spacing w:before="0" w:after="80" w:lineRule="auto" w:line="276"/>
      </w:pPr>
      <w:r>
        <w:rPr>
          <w:b/>
        </w:rPr>
        <w:t xml:space="preserve">摘要（ZH）: </w:t>
      </w:r>
      <w:r>
        <w:t>内分泌系统让神经元能够内化分子,保持自闭和反应能力。 神经内膜 — — 相关周期骨骼(MPS) — — 神经内膜(MPS) — — 与内膜周期骨骼(MPS ) — — 一种以细胞骨骼为基的活性谱(cytostal lattice lattace ), 众所周知,它限制轴内分泌中枢内分泌(CME ), 但它在其他神经神经舱和内分泌路径中的更广泛作用仍然不清楚。 在这里,我们发现所有四种主要内分泌途径 — — 环球(CME 、 洞穴素 、 Flottillin 和快内分泌素 — — 中间内分泌素 — 都在空间上被MPS封住,并且完全出现在所有神经舱的无MPS “ 清除” 区。</w:t>
      </w:r>
    </w:p>
    <w:p>
      <w:pPr>
        <w:spacing w:before="0" w:after="200" w:lineRule="auto" w:line="276"/>
      </w:pPr>
      <w:r>
        <w:rPr>
          <w:b/>
        </w:rPr>
        <w:t xml:space="preserve">Abstract (EN): </w:t>
      </w:r>
      <w:r>
        <w:t>Endocytosis enables neurons to internalize molecules, maintaining homeostasis and responsiveness. The neuronal membrane–associated periodic skeleton (MPS), an actin spectrin–based cytoskeletal lattice, is known to restrict clathrin-mediated endocytosis (CME) in axons, but its broader role in other neuronal compartments and endocytic pathways remains unclear. Here, we show that all four major endocytic pathways—CME, caveolin-, flotillin-, and fast endophilin–mediated endocytosis—are spatially gated by the MPS and occur exclusively within MPS-free “clearing” zones throughout all neuronal compartments. Disrupting the MPS broadly enhances both basal and ligand-induced endocytosis. We also identify a previously unknown feedback loop in which ligand-triggered endocytosis activates extracellular signal–regulated kinase signaling, promoting protease-mediated spectrin cleavage and MPS disruption, which in turn facilitates further endocytosis. Furthermore, the MPS limits amyloid precursor protein endocytosis, thereby suppressing Aβ42 production and linking MPS integrity to neurodegeneration. Our findings establish the MPS as a dynamic, signal-responsive modulator coupling membrane trafficking with cortical cytoskeletal organization and neuronal health.</w:t>
      </w:r>
    </w:p>
    <w:p>
      <w:pPr>
        <w:spacing w:before="120" w:after="120"/>
      </w:pPr>
      <w:r>
        <w:rPr>
          <w:sz w:val="18"/>
        </w:rPr>
        <w:t>——————————————————————————————————————————————————————————————————————</w:t>
      </w:r>
    </w:p>
    <w:p>
      <w:pPr>
        <w:spacing w:before="160" w:after="40" w:line="240" w:lineRule="auto"/>
      </w:pPr>
      <w:r>
        <w:rPr>
          <w:b/>
        </w:rPr>
        <w:t xml:space="preserve">[419] </w:t>
      </w:r>
      <w:hyperlink r:id="rId668">
        <w:r>
          <w:rPr>
            <w:color w:val="1155CC"/>
            <w:u w:val="single"/>
          </w:rPr>
          <w:t>用于增强吗啡止啡止痛眼的类阿片受 体受 体调制器的结构型设计</w:t>
        </w:r>
      </w:hyperlink>
    </w:p>
    <w:p>
      <w:pPr>
        <w:spacing w:before="0" w:after="80"/>
      </w:pPr>
      <w:r>
        <w:rPr>
          <w:i/>
          <w:sz w:val="20"/>
        </w:rPr>
        <w:t>EN: Structure-based design of an opioid receptor modulator for enhanced morphine analgesia</w:t>
      </w:r>
    </w:p>
    <w:p>
      <w:pPr>
        <w:spacing w:before="0" w:after="120"/>
      </w:pPr>
      <w:r>
        <w:rPr>
          <w:b/>
        </w:rPr>
        <w:t xml:space="preserve">Source: </w:t>
      </w:r>
      <w:r>
        <w:t>AAAS: Science Advances: Table of Contents</w:t>
      </w:r>
      <w:r>
        <w:t xml:space="preserve">    </w:t>
      </w:r>
      <w:r>
        <w:rPr>
          <w:b/>
        </w:rPr>
        <w:t xml:space="preserve">Pub date: </w:t>
      </w:r>
      <w:r>
        <w:t>2026-02-11 08:00:00+00:00</w:t>
      </w:r>
      <w:r>
        <w:t xml:space="preserve">    </w:t>
      </w:r>
      <w:r>
        <w:rPr>
          <w:b/>
        </w:rPr>
        <w:t xml:space="preserve">DOI: </w:t>
      </w:r>
      <w:hyperlink r:id="rId669">
        <w:r>
          <w:rPr>
            <w:color w:val="1155CC"/>
            <w:u w:val="single"/>
          </w:rPr>
          <w:t>10.1126/sciadv.aea9832</w:t>
        </w:r>
      </w:hyperlink>
    </w:p>
    <w:p>
      <w:pPr>
        <w:spacing w:before="0" w:after="120"/>
      </w:pPr>
      <w:r>
        <w:rPr>
          <w:b/>
        </w:rPr>
        <w:t xml:space="preserve">Notes: </w:t>
      </w:r>
      <w:r>
        <w:t>abstract_source=crossref</w:t>
      </w:r>
    </w:p>
    <w:p>
      <w:pPr>
        <w:spacing w:before="0" w:after="80" w:lineRule="auto" w:line="276"/>
      </w:pPr>
      <w:r>
        <w:rPr>
          <w:b/>
        </w:rPr>
        <w:t xml:space="preserve">摘要（ZH）: </w:t>
      </w:r>
      <w:r>
        <w:t>类阿片过量导致的惊人死亡率表明迫切需要更安全的类阿片止痛剂。阿片受体(ORs)的阳性过敏调节器(PAMs)提供了一种大有希望的方法,既可以提高类阿片的功效,同时又可以减少过剂量的风险。在这项研究中,我们公布了通过结构解析受聚性受体和微粒受体受体受体受体(μOR)结构解析结构,对Or家庭进行PAM调节的选择性机制。 我们设计了9-(5-(4-氯苯)芬兰-2-基)-3、3、6、6-四甲基-3,5,6,7,9-六-六氟-四甲基-3,5,6,7,9-六氟-六氟。</w:t>
      </w:r>
    </w:p>
    <w:p>
      <w:pPr>
        <w:spacing w:before="0" w:after="200" w:lineRule="auto" w:line="276"/>
      </w:pPr>
      <w:r>
        <w:rPr>
          <w:b/>
        </w:rPr>
        <w:t xml:space="preserve">Abstract (EN): </w:t>
      </w:r>
      <w:r>
        <w:t>The alarming rates of deaths due to opioid overdose present an urgent need for safer opioid analgesics. Positive allosteric modulators (PAMs) of opioid receptors (ORs) offer a promising approach to enhance opioid efficacy while reducing risks of overdose. In this study, we unveil the selective mechanism of PAM modulation of the OR family through structure elucidation of the δ-opioid receptor and μ-opioid receptor (μOR) bound to orthosteric agonists and PAMs BMS986187 (BMS187) and BMS986122 (BMS122). In addition, we uncovered an unexpected but conserved allosteric site across the transmembrane helices TM2 to TM4 of ORs, occupied by BMS187 but not BMS122. Leveraging these structural insights, we designed 9-(5-(4-chlorophenyl)furan-2-yl)-3,3,6,6-tetramethyl-3,4,5,6,7,9-hexahydro-1</w:t>
      </w:r>
      <w:r>
        <w:t xml:space="preserve"> </w:t>
      </w:r>
      <w:r>
        <w:t>H</w:t>
      </w:r>
      <w:r>
        <w:t xml:space="preserve"> </w:t>
      </w:r>
      <w:r>
        <w:t>-xanthene-1,8(2</w:t>
      </w:r>
      <w:r>
        <w:t xml:space="preserve"> </w:t>
      </w:r>
      <w:r>
        <w:t>H</w:t>
      </w:r>
      <w:r>
        <w:t xml:space="preserve"> </w:t>
      </w:r>
      <w:r>
        <w:t>)-dione (MPAM-15), whose αβ cooperativity factor is 33-fold higher than BMS122 and threefold higher than BMS187, indicating markedly stronger positive allosterism. Animal studies demonstrate that MPAM-15 shows excellent brain penetration and enhances morphine-induced antinociception without exacerbating respiratory depression or constipation. Molecular dynamics simulations revealed that MPAM-15 promotes and stabilizes the conformational equilibrium of μOR toward the canonical active state, providing a mechanistic basis for its enhanced allosteric potency. These discoveries substantially advance our understanding of OR allosteric mechanism and pave the way for the structure-based development of allosteric opioid analgesics.</w:t>
      </w:r>
    </w:p>
    <w:p>
      <w:pPr>
        <w:spacing w:before="120" w:after="120"/>
      </w:pPr>
      <w:r>
        <w:rPr>
          <w:sz w:val="18"/>
        </w:rPr>
        <w:t>——————————————————————————————————————————————————————————————————————</w:t>
      </w:r>
    </w:p>
    <w:p>
      <w:pPr>
        <w:spacing w:before="160" w:after="40" w:line="240" w:lineRule="auto"/>
      </w:pPr>
      <w:r>
        <w:rPr>
          <w:b/>
        </w:rPr>
        <w:t xml:space="preserve">[420] </w:t>
      </w:r>
      <w:hyperlink r:id="rId670">
        <w:r>
          <w:rPr>
            <w:color w:val="1155CC"/>
            <w:u w:val="single"/>
          </w:rPr>
          <w:t>空间阴离子封闭电解解解电能产生高率和耐久无阴极无阳性钠电池</w:t>
        </w:r>
      </w:hyperlink>
    </w:p>
    <w:p>
      <w:pPr>
        <w:spacing w:before="0" w:after="80"/>
      </w:pPr>
      <w:r>
        <w:rPr>
          <w:i/>
          <w:sz w:val="20"/>
        </w:rPr>
        <w:t>EN: Spatially anion-confined electrolyte enables high-rate and durable anode-free sodium batteries</w:t>
      </w:r>
    </w:p>
    <w:p>
      <w:pPr>
        <w:spacing w:before="0" w:after="120"/>
      </w:pPr>
      <w:r>
        <w:rPr>
          <w:b/>
        </w:rPr>
        <w:t xml:space="preserve">Source: </w:t>
      </w:r>
      <w:r>
        <w:t>AAAS: Science Advances: Table of Contents</w:t>
      </w:r>
      <w:r>
        <w:t xml:space="preserve">    </w:t>
      </w:r>
      <w:r>
        <w:rPr>
          <w:b/>
        </w:rPr>
        <w:t xml:space="preserve">Pub date: </w:t>
      </w:r>
      <w:r>
        <w:t>2026-02-11 08:00:00+00:00</w:t>
      </w:r>
      <w:r>
        <w:t xml:space="preserve">    </w:t>
      </w:r>
      <w:r>
        <w:rPr>
          <w:b/>
        </w:rPr>
        <w:t xml:space="preserve">DOI: </w:t>
      </w:r>
      <w:hyperlink r:id="rId671">
        <w:r>
          <w:rPr>
            <w:color w:val="1155CC"/>
            <w:u w:val="single"/>
          </w:rPr>
          <w:t>10.1126/sciadv.aea9491</w:t>
        </w:r>
      </w:hyperlink>
    </w:p>
    <w:p>
      <w:pPr>
        <w:spacing w:before="0" w:after="120"/>
      </w:pPr>
      <w:r>
        <w:rPr>
          <w:b/>
        </w:rPr>
        <w:t xml:space="preserve">Notes: </w:t>
      </w:r>
      <w:r>
        <w:t>abstract_source=crossref</w:t>
      </w:r>
    </w:p>
    <w:p>
      <w:pPr>
        <w:spacing w:before="0" w:after="80" w:lineRule="auto" w:line="276"/>
      </w:pPr>
      <w:r>
        <w:rPr>
          <w:b/>
        </w:rPr>
        <w:t xml:space="preserve">摘要（ZH）: </w:t>
      </w:r>
      <w:r>
        <w:t>无阳极无铁钠电池(AFSBs)具有近理电能密度,对下一代可持续能源储存系统有着巨大希望,然而,由于登地钠(Na)生长,低运行率阈值( &amp; lt;1毫升每平方厘米)和低循环稳定性,这些电池的实际实施受到低运行率阈值( &amp; lt;1毫升每平方厘米)和低循环稳定性的阻碍。在这里,高率和耐久的AFSB通过空间离子电解电战略成功实现了。具体来说,电解法中引入了正充电纳米粒子,以有选择地固定肛门,产生局部接触电离子 — — 以双电离子为主的溶液,以促进电极界面的快速纳+溶解,形成离子生成的固电解密相交接。同时,快速地将纳米粒引入电解。</w:t>
      </w:r>
    </w:p>
    <w:p>
      <w:pPr>
        <w:spacing w:before="0" w:after="200" w:lineRule="auto" w:line="276"/>
      </w:pPr>
      <w:r>
        <w:rPr>
          <w:b/>
        </w:rPr>
        <w:t xml:space="preserve">Abstract (EN): </w:t>
      </w:r>
      <w:r>
        <w:t>Anode-free sodium batteries (AFSBs) with near-theoretical energy density hold great promise for next-generation sustainable energy storage systems. However, their practical implementation is impeded by the low operating rate threshold (&amp;lt;1 milliampere per square centimeter) and poor cycling stability, owing to dendritic sodium (Na) growth. Here, a high-rate and durable AFSB is successfully realized via a spatially anion-confined electrolyte strategy. Specifically, positively charged nanoparticles are introduced into the electrolyte to selectively anchor anions, generating localized contact ion pair–dominated solvation to facilitate rapid Na</w:t>
      </w:r>
      <w:r>
        <w:t xml:space="preserve"> </w:t>
      </w:r>
      <w:r>
        <w:t>+</w:t>
      </w:r>
      <w:r>
        <w:t xml:space="preserve"> </w:t>
      </w:r>
      <w:r>
        <w:t>desolvation at electrode interface and form an anion-derived solid electrolyte interphase. Meanwhile, rapid ion transport in the bulk electrolyte is maintained by the solvent-separated ion pair solvation structure in the nanoparticle periphery. These factors conjointly enable flat and dense Na deposition at high current densities. Consequently, an energy-type Na(Ni</w:t>
      </w:r>
      <w:r>
        <w:t xml:space="preserve"> </w:t>
      </w:r>
      <w:r>
        <w:t>1/3</w:t>
      </w:r>
      <w:r>
        <w:t xml:space="preserve"> </w:t>
      </w:r>
      <w:r>
        <w:t>Fe</w:t>
      </w:r>
      <w:r>
        <w:t xml:space="preserve"> </w:t>
      </w:r>
      <w:r>
        <w:t>1/3</w:t>
      </w:r>
      <w:r>
        <w:t xml:space="preserve"> </w:t>
      </w:r>
      <w:r>
        <w:t>Mn</w:t>
      </w:r>
      <w:r>
        <w:t xml:space="preserve"> </w:t>
      </w:r>
      <w:r>
        <w:t>1/3</w:t>
      </w:r>
      <w:r>
        <w:t xml:space="preserve"> </w:t>
      </w:r>
      <w:r>
        <w:t>)O</w:t>
      </w:r>
      <w:r>
        <w:rPr>
          <w:vertAlign w:val="subscript"/>
        </w:rPr>
        <w:t>2</w:t>
      </w:r>
      <w:r>
        <w:t>||Al full cell exhibits an energy density of 415.6 watt-hour per kilogram</w:t>
      </w:r>
      <w:r>
        <w:t xml:space="preserve"> </w:t>
      </w:r>
      <w:r>
        <w:t>cathode+anode</w:t>
      </w:r>
      <w:r>
        <w:t xml:space="preserve"> </w:t>
      </w:r>
      <w:r>
        <w:t>even at 1 C (2.1 milliamperes per square centimeter) with 70.2% capacity retention over 400 cycles. A power-type Na</w:t>
      </w:r>
      <w:r>
        <w:rPr>
          <w:vertAlign w:val="subscript"/>
        </w:rPr>
        <w:t>3</w:t>
      </w:r>
      <w:r>
        <w:t>V</w:t>
      </w:r>
      <w:r>
        <w:rPr>
          <w:vertAlign w:val="subscript"/>
        </w:rPr>
        <w:t>2</w:t>
      </w:r>
      <w:r>
        <w:t>(PO</w:t>
      </w:r>
      <w:r>
        <w:rPr>
          <w:vertAlign w:val="subscript"/>
        </w:rPr>
        <w:t>4</w:t>
      </w:r>
      <w:r>
        <w:t>)</w:t>
      </w:r>
      <w:r>
        <w:rPr>
          <w:vertAlign w:val="subscript"/>
        </w:rPr>
        <w:t>3</w:t>
      </w:r>
      <w:r>
        <w:t>||Al cell achieves a trebled operation current density compared to the state-of-the-art AFSBs, exhibiting an unprecedented 5-C rate (3.8 milliamperes per square centimeter) with 70.0% capacity retention over 1400 cycles. This strategy presents a potentially universal approach for high-rate alkali metal batteries.</w:t>
      </w:r>
    </w:p>
    <w:p>
      <w:pPr>
        <w:spacing w:before="120" w:after="120"/>
      </w:pPr>
      <w:r>
        <w:rPr>
          <w:sz w:val="18"/>
        </w:rPr>
        <w:t>——————————————————————————————————————————————————————————————————————</w:t>
      </w:r>
    </w:p>
    <w:p>
      <w:pPr>
        <w:spacing w:before="160" w:after="40" w:line="240" w:lineRule="auto"/>
      </w:pPr>
      <w:r>
        <w:rPr>
          <w:b/>
        </w:rPr>
        <w:t xml:space="preserve">[421] </w:t>
      </w:r>
      <w:hyperlink r:id="rId672">
        <w:r>
          <w:rPr>
            <w:color w:val="1155CC"/>
            <w:u w:val="single"/>
          </w:rPr>
          <w:t>三维磁光学表面材料的地表跨维迁移</w:t>
        </w:r>
      </w:hyperlink>
    </w:p>
    <w:p>
      <w:pPr>
        <w:spacing w:before="0" w:after="80"/>
      </w:pPr>
      <w:r>
        <w:rPr>
          <w:i/>
          <w:sz w:val="20"/>
        </w:rPr>
        <w:t>EN: Chiral hinge–surface transport across dimensions in three-dimensional magneto-optical topological materials</w:t>
      </w:r>
    </w:p>
    <w:p>
      <w:pPr>
        <w:spacing w:before="0" w:after="120"/>
      </w:pPr>
      <w:r>
        <w:rPr>
          <w:b/>
        </w:rPr>
        <w:t xml:space="preserve">Source: </w:t>
      </w:r>
      <w:r>
        <w:t>AAAS: Science Advances: Table of Contents</w:t>
      </w:r>
      <w:r>
        <w:t xml:space="preserve">    </w:t>
      </w:r>
      <w:r>
        <w:rPr>
          <w:b/>
        </w:rPr>
        <w:t xml:space="preserve">Pub date: </w:t>
      </w:r>
      <w:r>
        <w:t>2026-02-11 08:00:00+00:00</w:t>
      </w:r>
      <w:r>
        <w:t xml:space="preserve">    </w:t>
      </w:r>
      <w:r>
        <w:rPr>
          <w:b/>
        </w:rPr>
        <w:t xml:space="preserve">DOI: </w:t>
      </w:r>
      <w:hyperlink r:id="rId673">
        <w:r>
          <w:rPr>
            <w:color w:val="1155CC"/>
            <w:u w:val="single"/>
          </w:rPr>
          <w:t>10.1126/sciadv.aeb4171</w:t>
        </w:r>
      </w:hyperlink>
    </w:p>
    <w:p>
      <w:pPr>
        <w:spacing w:before="0" w:after="120"/>
      </w:pPr>
      <w:r>
        <w:rPr>
          <w:b/>
        </w:rPr>
        <w:t xml:space="preserve">Notes: </w:t>
      </w:r>
      <w:r>
        <w:t>abstract_source=crossref</w:t>
      </w:r>
    </w:p>
    <w:p>
      <w:pPr>
        <w:spacing w:before="0" w:after="80" w:lineRule="auto" w:line="276"/>
      </w:pPr>
      <w:r>
        <w:rPr>
          <w:b/>
        </w:rPr>
        <w:t xml:space="preserve">摘要（ZH）: </w:t>
      </w:r>
      <w:r>
        <w:t>具有完好的导导管道的奇拉尔边界国是磁地形材料的基本特征。 突出的例子包括磁场下磁场下在2D和3D 量子厅材料中分别发现的单维(1D)手动边缘和2D 手性表层状态。 但是,这些边界国仅限于特定的固定尺寸,因此很难为跨维能量和信息传输提供便利。 这里, 我们编造了一个独特的 3D 光立反热磁性表层隔离器, 其净磁化可同时支持不同维断线状态和相邻面上未受偏移的地表Dirac锥。 由于一定比例的样本中呈现的手性异常, 与侧面相邻的无缝地表Dirac 锥形。</w:t>
      </w:r>
    </w:p>
    <w:p>
      <w:pPr>
        <w:spacing w:before="0" w:after="200" w:lineRule="auto" w:line="276"/>
      </w:pPr>
      <w:r>
        <w:rPr>
          <w:b/>
        </w:rPr>
        <w:t xml:space="preserve">Abstract (EN): </w:t>
      </w:r>
      <w:r>
        <w:t>Chiral boundary states with perfect conducting channels are essential characteristics of magnetic topological materials. Prominent examples include the one-dimensional (1D) chiral edge and 2D chiral surface states found in 2D and 3D quantum Hall materials under magnetic fields, respectively. However, these boundary states are restricted to specific fixed dimensions, so they hardly facilitate cross-dimensional energy and information transport. Here, we fabricate a unique 3D photonic antiferromagnetic topological insulator with net zero magnetization that can simultaneously support different-dimensional hinge states and unpaired surface Dirac cones on neighboring facets. Owing to the chiral anomaly present in a finite-size sample, the gapless surface Dirac cone, neighbored by facets with surface Dirac masses of opposite signs, is further converted, exhibiting 2D planar one-way propagation. In conjunction with 1D hinge states, we experimentally observe a closed chiral loop for nonreciprocal hinge–surface transport across dimensions in topological photonics, similar to that theoretically proposed in 3D quantum anomalous Hall materials. Our findings enrich the chiral boundary features of 3D magnetic topological insulators and offer a topological strategy for exploring ideal cross-dimensional devices.</w:t>
      </w:r>
    </w:p>
    <w:p>
      <w:pPr>
        <w:spacing w:before="120" w:after="120"/>
      </w:pPr>
      <w:r>
        <w:rPr>
          <w:sz w:val="18"/>
        </w:rPr>
        <w:t>——————————————————————————————————————————————————————————————————————</w:t>
      </w:r>
    </w:p>
    <w:p>
      <w:pPr>
        <w:spacing w:before="160" w:after="40" w:line="240" w:lineRule="auto"/>
      </w:pPr>
      <w:r>
        <w:rPr>
          <w:b/>
        </w:rPr>
        <w:t xml:space="preserve">[422] </w:t>
      </w:r>
      <w:hyperlink r:id="rId674">
        <w:r>
          <w:rPr>
            <w:color w:val="1155CC"/>
            <w:u w:val="single"/>
          </w:rPr>
          <w:t>在蜜蜂结合调节期间,八大氯胺酮和亚胺动态预测学习速率苯型在蜜蜂联合调节期间的学习速率</w:t>
        </w:r>
      </w:hyperlink>
    </w:p>
    <w:p>
      <w:pPr>
        <w:spacing w:before="0" w:after="80"/>
      </w:pPr>
      <w:r>
        <w:rPr>
          <w:i/>
          <w:sz w:val="20"/>
        </w:rPr>
        <w:t>EN: Octopamine and tyramine dynamics predict learning rate phenotypes during associative conditioning in honey bees</w:t>
      </w:r>
    </w:p>
    <w:p>
      <w:pPr>
        <w:spacing w:before="0" w:after="120"/>
      </w:pPr>
      <w:r>
        <w:rPr>
          <w:b/>
        </w:rPr>
        <w:t xml:space="preserve">Source: </w:t>
      </w:r>
      <w:r>
        <w:t>AAAS: Science Advances: Table of Contents</w:t>
      </w:r>
      <w:r>
        <w:t xml:space="preserve">    </w:t>
      </w:r>
      <w:r>
        <w:rPr>
          <w:b/>
        </w:rPr>
        <w:t xml:space="preserve">Pub date: </w:t>
      </w:r>
      <w:r>
        <w:t>2026-02-11 08:00:00+00:00</w:t>
      </w:r>
      <w:r>
        <w:t xml:space="preserve">    </w:t>
      </w:r>
      <w:r>
        <w:rPr>
          <w:b/>
        </w:rPr>
        <w:t xml:space="preserve">DOI: </w:t>
      </w:r>
      <w:hyperlink r:id="rId675">
        <w:r>
          <w:rPr>
            <w:color w:val="1155CC"/>
            <w:u w:val="single"/>
          </w:rPr>
          <w:t>10.1126/sciadv.aea8433</w:t>
        </w:r>
      </w:hyperlink>
    </w:p>
    <w:p>
      <w:pPr>
        <w:spacing w:before="0" w:after="120"/>
      </w:pPr>
      <w:r>
        <w:rPr>
          <w:b/>
        </w:rPr>
        <w:t xml:space="preserve">Notes: </w:t>
      </w:r>
      <w:r>
        <w:t>abstract_source=crossref</w:t>
      </w:r>
    </w:p>
    <w:p>
      <w:pPr>
        <w:spacing w:before="0" w:after="80" w:lineRule="auto" w:line="276"/>
      </w:pPr>
      <w:r>
        <w:rPr>
          <w:b/>
        </w:rPr>
        <w:t xml:space="preserve">摘要（ZH）: </w:t>
      </w:r>
      <w:r>
        <w:t>在脊椎动物和无脊椎动物中,生物诱生氨是生理恒定和行为控制的基础。在目标脑区域释放的单胺神经传导器共同调节了适应性学习和可塑性。然而,我们对这些多分析机制的理解仍然刚刚开始,部分原因是测量技术的局限性。在这里,在蜜蜂结合调节过程中,我们同时追踪到在天线叶叶上的章甲胺、铁胺、多巴胺和血清素的亚第二位波动,在天线叶中,可塑性会影响嗅光表。我们通过反复将一种气味与随后的苏克罗素交付配对,我们观察到在对香味的有条件反应中存在个别差异,这种差异发生在数量不等的配对(Learners)或无配对(learners)之后。</w:t>
      </w:r>
    </w:p>
    <w:p>
      <w:pPr>
        <w:spacing w:before="0" w:after="200" w:lineRule="auto" w:line="276"/>
      </w:pPr>
      <w:r>
        <w:rPr>
          <w:b/>
        </w:rPr>
        <w:t xml:space="preserve">Abstract (EN): </w:t>
      </w:r>
      <w:r>
        <w:t>Biogenic amines are fundamental for physiological homeostasis and behavioral control in both vertebrates and invertebrates. Monoamine neurotransmitters released in target brain regions conjointly regulate adaptive learning and plasticity. However, our understanding of these multianalyte mechanisms remains nascent, in part due to limitations in measurement technology. Here, during associative conditioning in honey bees, we concurrently tracked subsecond fluctuations in octopamine, tyramine, dopamine, and serotonin in the antennal lobe, where plasticity influences odorant representations. By repeatedly pairing an odorant with subsequent sucrose delivery, we observed individual differences in the conditioned response to odor, which occurred after a variable number of pairings (learners) or not at all (non-learners). The distinction between learners and non-learners was reflected in neurotransmitter responses across experimental conditions. The speed of learning, the number of pairings prior to a proboscis extension reflex, could be predicted from monoamine opponent signaling (octopamine-tyramine), from both the first presentation of the odorant alone, prior to any pairing with sucrose, and the first conditioned response to the odorant, coming after a number of sucrose pairings. These results suggest that monoamine signaling phenotypes may relate directly to the now widely reported socially relevant genetic differences in honey bee learning.</w:t>
      </w:r>
    </w:p>
    <w:p>
      <w:pPr>
        <w:spacing w:before="120" w:after="120"/>
      </w:pPr>
      <w:r>
        <w:rPr>
          <w:sz w:val="18"/>
        </w:rPr>
        <w:t>——————————————————————————————————————————————————————————————————————</w:t>
      </w:r>
    </w:p>
    <w:p>
      <w:pPr>
        <w:spacing w:before="160" w:after="40" w:line="240" w:lineRule="auto"/>
      </w:pPr>
      <w:r>
        <w:rPr>
          <w:b/>
        </w:rPr>
        <w:t xml:space="preserve">[423] </w:t>
      </w:r>
      <w:hyperlink r:id="rId676">
        <w:r>
          <w:rPr>
            <w:color w:val="1155CC"/>
            <w:u w:val="single"/>
          </w:rPr>
          <w:t>通过积极采样与光相纠缠的状态进行实验量量状态认证</w:t>
        </w:r>
      </w:hyperlink>
    </w:p>
    <w:p>
      <w:pPr>
        <w:spacing w:before="0" w:after="80"/>
      </w:pPr>
      <w:r>
        <w:rPr>
          <w:i/>
          <w:sz w:val="20"/>
        </w:rPr>
        <w:t>EN: Experimental quantum state certification by actively sampling photonic entangled states</w:t>
      </w:r>
    </w:p>
    <w:p>
      <w:pPr>
        <w:spacing w:before="0" w:after="120"/>
      </w:pPr>
      <w:r>
        <w:rPr>
          <w:b/>
        </w:rPr>
        <w:t xml:space="preserve">Source: </w:t>
      </w:r>
      <w:r>
        <w:t>AAAS: Science Advances: Table of Contents</w:t>
      </w:r>
      <w:r>
        <w:t xml:space="preserve">    </w:t>
      </w:r>
      <w:r>
        <w:rPr>
          <w:b/>
        </w:rPr>
        <w:t xml:space="preserve">Pub date: </w:t>
      </w:r>
      <w:r>
        <w:t>2026-02-11 08:00:00+00:00</w:t>
      </w:r>
      <w:r>
        <w:t xml:space="preserve">    </w:t>
      </w:r>
      <w:r>
        <w:rPr>
          <w:b/>
        </w:rPr>
        <w:t xml:space="preserve">DOI: </w:t>
      </w:r>
      <w:hyperlink r:id="rId677">
        <w:r>
          <w:rPr>
            <w:color w:val="1155CC"/>
            <w:u w:val="single"/>
          </w:rPr>
          <w:t>10.1126/sciadv.aea4144</w:t>
        </w:r>
      </w:hyperlink>
    </w:p>
    <w:p>
      <w:pPr>
        <w:spacing w:before="0" w:after="120"/>
      </w:pPr>
      <w:r>
        <w:rPr>
          <w:b/>
        </w:rPr>
        <w:t xml:space="preserve">Notes: </w:t>
      </w:r>
      <w:r>
        <w:t>abstract_source=crossref</w:t>
      </w:r>
    </w:p>
    <w:p>
      <w:pPr>
        <w:spacing w:before="0" w:after="80" w:lineRule="auto" w:line="276"/>
      </w:pPr>
      <w:r>
        <w:rPr>
          <w:b/>
        </w:rPr>
        <w:t xml:space="preserve">摘要（ZH）: </w:t>
      </w:r>
      <w:r>
        <w:t>紧缠的量子状态是许多量子技术的基本成分,但在使用之前必须加以验证。 由于全面定性是资源密集的令人无法接受的,最近的工作重点是在所谓的核查框架内制定有效提取一些感兴趣的参数的方法,大多数现有方法都以编制一个名义上相同和独立分布的量子状态组合为基础,然后测量每份量子量子状态。然而,这就使得没有哪个国家可以完成预定量子任务,而ID的假设也并不总是实验性地维持。为了克服这些挑战,我们实验性地实施量子状态认证,该认证仅衡量一个组合的子集,证明真实性。</w:t>
      </w:r>
    </w:p>
    <w:p>
      <w:pPr>
        <w:spacing w:before="0" w:after="200" w:lineRule="auto" w:line="276"/>
      </w:pPr>
      <w:r>
        <w:rPr>
          <w:b/>
        </w:rPr>
        <w:t xml:space="preserve">Abstract (EN): </w:t>
      </w:r>
      <w:r>
        <w:t>Entangled quantum states are essential ingredients for many quantum technologies, but they must be validated before they are used. As a full characterization is prohibitively resource intensive, recent work has focused on developing methods to efficiently extract a few parameters of interest, in a so-called verification framework. Most existing approaches are based on preparing an ensemble of nominally identical and independently distributed (IID) quantum states and then measuring each copy of the ensemble. However, this leaves no states left for the intended quantum tasks and the IID assumptions do not always hold experimentally. To overcome these challenges, we experimentally implement quantum state certification (QSC), which measures only a subset of the ensemble, certifying the fidelity of multiple copies of the remaining states. We use active optical switches to randomly sample from sources of two-photon Bell states and three-photon GHZ (Greenberger-Horn-Zeilinger) states, reporting statistically sound fidelities in real time without destroying the entire ensemble. In addition, our QSC protocol removes the assumption that the states are identically distributed (but still assumes independent copies); can achieve close</w:t>
      </w:r>
      <w:r>
        <w:t xml:space="preserve"> </w:t>
      </w:r>
      <w:r>
        <w:t>N</w:t>
      </w:r>
      <w:r>
        <w:t xml:space="preserve"> </w:t>
      </w:r>
      <w:r>
        <w:t>−1</w:t>
      </w:r>
      <w:r>
        <w:t xml:space="preserve"> </w:t>
      </w:r>
      <w:r>
        <w:t>scaling, in the number of states measured</w:t>
      </w:r>
      <w:r>
        <w:t xml:space="preserve"> </w:t>
      </w:r>
      <w:r>
        <w:t>N</w:t>
      </w:r>
      <w:r>
        <w:t xml:space="preserve"> </w:t>
      </w:r>
      <w:r>
        <w:t>; and can be implemented in a device-independent manner. Together, these benefits make our QSC protocol suitable for benchmarking large-scale quantum computing devices and deployed quantum communication setups relying on entanglement in both standard and adversarial situations.</w:t>
      </w:r>
    </w:p>
    <w:p>
      <w:pPr>
        <w:spacing w:before="120" w:after="120"/>
      </w:pPr>
      <w:r>
        <w:rPr>
          <w:sz w:val="18"/>
        </w:rPr>
        <w:t>——————————————————————————————————————————————————————————————————————</w:t>
      </w:r>
    </w:p>
    <w:p>
      <w:pPr>
        <w:spacing w:before="160" w:after="40" w:line="240" w:lineRule="auto"/>
      </w:pPr>
      <w:r>
        <w:rPr>
          <w:b/>
        </w:rPr>
        <w:t xml:space="preserve">[424] </w:t>
      </w:r>
      <w:hyperlink r:id="rId678">
        <w:r>
          <w:rPr>
            <w:color w:val="1155CC"/>
            <w:u w:val="single"/>
          </w:rPr>
          <w:t>通过电化学兴奋剂在电解液中进行电传控制</w:t>
        </w:r>
      </w:hyperlink>
    </w:p>
    <w:p>
      <w:pPr>
        <w:spacing w:before="0" w:after="80"/>
      </w:pPr>
      <w:r>
        <w:rPr>
          <w:i/>
          <w:sz w:val="20"/>
        </w:rPr>
        <w:t>EN: Ion transport control in electrolytes via electrochemical doping</w:t>
      </w:r>
    </w:p>
    <w:p>
      <w:pPr>
        <w:spacing w:before="0" w:after="120"/>
      </w:pPr>
      <w:r>
        <w:rPr>
          <w:b/>
        </w:rPr>
        <w:t xml:space="preserve">Source: </w:t>
      </w:r>
      <w:r>
        <w:t>Proceedings of the National Academy of Sciences: Keyword search for query</w:t>
      </w:r>
      <w:r>
        <w:t xml:space="preserve">    </w:t>
      </w:r>
      <w:r>
        <w:rPr>
          <w:b/>
        </w:rPr>
        <w:t xml:space="preserve">Pub date: </w:t>
      </w:r>
      <w:r>
        <w:t>2026-02-11 08:00:00+00:00</w:t>
      </w:r>
      <w:r>
        <w:t xml:space="preserve">    </w:t>
      </w:r>
      <w:r>
        <w:rPr>
          <w:b/>
        </w:rPr>
        <w:t xml:space="preserve">DOI: </w:t>
      </w:r>
      <w:hyperlink r:id="rId679">
        <w:r>
          <w:rPr>
            <w:color w:val="1155CC"/>
            <w:u w:val="single"/>
          </w:rPr>
          <w:t>10.1073/pnas.2532302123</w:t>
        </w:r>
      </w:hyperlink>
    </w:p>
    <w:p>
      <w:pPr>
        <w:spacing w:before="0" w:after="120"/>
      </w:pPr>
      <w:r>
        <w:rPr>
          <w:b/>
        </w:rPr>
        <w:t xml:space="preserve">Notes: </w:t>
      </w:r>
      <w:r>
        <w:t>abstract_source=crossref</w:t>
      </w:r>
    </w:p>
    <w:p>
      <w:pPr>
        <w:spacing w:before="0" w:after="80" w:lineRule="auto" w:line="276"/>
      </w:pPr>
      <w:r>
        <w:rPr>
          <w:b/>
        </w:rPr>
        <w:t xml:space="preserve">摘要（ZH）: </w:t>
      </w:r>
      <w:r>
        <w:t>用于控制载体(电子或孔)运输的操作是调整半导体特性的基础,能够为集成电子开发同系和异相连接。与单极充电载荷主导力的半导体不同,电解解解管中的电离离子和离子都是流动的,这对许多应用都是不可取的。在这里,我们报告一种通用的涂料电解法,这样离子运输就能够单极化,将电动聚合物纳入通过红氧化和装订机制与一种类型的离子无区别地相互作用的水文凝胶中,离开反射移动。这把系统变成一种高精度引导离子流动的主动、选择性导导体。我们用一种战略来证明这种战略的通用性。</w:t>
      </w:r>
    </w:p>
    <w:p>
      <w:pPr>
        <w:spacing w:before="0" w:after="200" w:lineRule="auto" w:line="276"/>
      </w:pPr>
      <w:r>
        <w:rPr>
          <w:b/>
        </w:rPr>
        <w:t xml:space="preserve">Abstract (EN): </w:t>
      </w:r>
      <w:r>
        <w:t>Doping to control carrier (electron or hole) transport is foundational to modulate the properties of semiconductors, enabling the development of homojunctions and heterojunctions for integrated electronics. Unlike semiconductors with unipolar charge-carrier dominance, both cations and anions in electrolytes are mobile, which is undesirable for many applications. Here, we report a universal strategy to dope electrolytes such that the ion transport can be unipolar by incorporating electroactive polymers within hydrogels that interact discriminately with one type of ion via redox and binding mechanisms, leaving the counterions mobile. This transforms the system into an active, selective conductor that directs ion flow with high precision. We demonstrate the generality of this strategy using a wide range of electroactive polymers and ions. Particularly, we use emeraldine base and leucoemeraldine base, derived from polyaniline to create both n-type and p-type conductors with high ion selectivity. This electrolyte doping strategy has significant implications beyond the developed thermoelectrochemical devices with boosted performance, with potential applications in supercapacitors, batteries, and electrochemical sensors.</w:t>
      </w:r>
    </w:p>
    <w:p>
      <w:pPr>
        <w:spacing w:before="120" w:after="120"/>
      </w:pPr>
      <w:r>
        <w:rPr>
          <w:sz w:val="18"/>
        </w:rPr>
        <w:t>——————————————————————————————————————————————————————————————————————</w:t>
      </w:r>
    </w:p>
    <w:p>
      <w:pPr>
        <w:spacing w:before="160" w:after="40" w:line="240" w:lineRule="auto"/>
      </w:pPr>
      <w:r>
        <w:rPr>
          <w:b/>
        </w:rPr>
        <w:t xml:space="preserve">[425] </w:t>
      </w:r>
      <w:hyperlink r:id="rId680">
        <w:r>
          <w:rPr>
            <w:color w:val="1155CC"/>
            <w:u w:val="single"/>
          </w:rPr>
          <w:t>螺旋动脉的动脉景观</w:t>
        </w:r>
      </w:hyperlink>
    </w:p>
    <w:p>
      <w:pPr>
        <w:spacing w:before="0" w:after="80"/>
      </w:pPr>
      <w:r>
        <w:rPr>
          <w:i/>
          <w:sz w:val="20"/>
        </w:rPr>
        <w:t>EN: The allosteric landscape of the Src kinase</w:t>
      </w:r>
    </w:p>
    <w:p>
      <w:pPr>
        <w:spacing w:before="0" w:after="120"/>
      </w:pPr>
      <w:r>
        <w:rPr>
          <w:b/>
        </w:rPr>
        <w:t xml:space="preserve">Source: </w:t>
      </w:r>
      <w:r>
        <w:t>AAAS: Science Advances: Table of Contents</w:t>
      </w:r>
      <w:r>
        <w:t xml:space="preserve">    </w:t>
      </w:r>
      <w:r>
        <w:rPr>
          <w:b/>
        </w:rPr>
        <w:t xml:space="preserve">Pub date: </w:t>
      </w:r>
      <w:r>
        <w:t>2026-02-11 08:00:00+00:00</w:t>
      </w:r>
      <w:r>
        <w:t xml:space="preserve">    </w:t>
      </w:r>
      <w:r>
        <w:rPr>
          <w:b/>
        </w:rPr>
        <w:t xml:space="preserve">DOI: </w:t>
      </w:r>
      <w:hyperlink r:id="rId681">
        <w:r>
          <w:rPr>
            <w:color w:val="1155CC"/>
            <w:u w:val="single"/>
          </w:rPr>
          <w:t>10.1126/sciadv.aea2726</w:t>
        </w:r>
      </w:hyperlink>
    </w:p>
    <w:p>
      <w:pPr>
        <w:spacing w:before="0" w:after="120"/>
      </w:pPr>
      <w:r>
        <w:rPr>
          <w:b/>
        </w:rPr>
        <w:t xml:space="preserve">Notes: </w:t>
      </w:r>
      <w:r>
        <w:t>abstract_source=crossref</w:t>
      </w:r>
    </w:p>
    <w:p>
      <w:pPr>
        <w:spacing w:before="0" w:after="80" w:lineRule="auto" w:line="276"/>
      </w:pPr>
      <w:r>
        <w:rPr>
          <w:b/>
        </w:rPr>
        <w:t xml:space="preserve">摘要（ZH）: </w:t>
      </w:r>
      <w:r>
        <w:t>大部分抑制剂将受保护的活性地点捆绑在一起,往往缺乏具体性; 瞄准活性地点可以增加特性,减少毒性,并允许对活动进行微调; 但是,酶中的大多数活性地点没有被修饰; 我们在这里展示了Src蛋白质动脉综合的实验性通缩图; 我们量化了5万多个单种和双种氨酸替代物对活动和丰度的影响,并利用热力模型来分解折叠稳定性和催化的变化; 全面的能源景观显示,整个运动酶领域的通灵范围很广,方向偏差,并按其管理领域进行调节。</w:t>
      </w:r>
    </w:p>
    <w:p>
      <w:pPr>
        <w:spacing w:before="0" w:after="200" w:lineRule="auto" w:line="276"/>
      </w:pPr>
      <w:r>
        <w:rPr>
          <w:b/>
        </w:rPr>
        <w:t xml:space="preserve">Abstract (EN): </w:t>
      </w:r>
      <w:r>
        <w:t>Enzymes catalyze the reactions of life and are the targets of many drugs. Most inhibitors bind conserved active sites, frequently lacking specificity. Targeting allosteric sites can increase specificity, reduce toxicity, and allow fine-tuning of activity; however, most allosteric sites in enzymes are unmapped. Here, we present a comprehensive experimental allosteric map of the Src protein kinase. We quantify the effects of more than 50,000 single and double amino acid substitutions on activity and abundance and use thermodynamic modeling to disentangle changes in fold stability and catalysis. The comprehensive energy landscape reveals that allostery across the kinase domain is extensive, directionally biased, and modulated by its regulatory domains. Inhibitory—but not activating—allosteric mutations show a strong distance-dependent decay away from the active site. Using the map, we identify multiple potentially druggable allosteric sites not previously reported in Src or other kinases. Our results establish a framework for comprehensive mapping of allostery in kinases and other enzymes important for medicine and biotechnology.</w:t>
      </w:r>
    </w:p>
    <w:p>
      <w:pPr>
        <w:spacing w:before="120" w:after="120"/>
      </w:pPr>
      <w:r>
        <w:rPr>
          <w:sz w:val="18"/>
        </w:rPr>
        <w:t>——————————————————————————————————————————————————————————————————————</w:t>
      </w:r>
    </w:p>
    <w:p>
      <w:pPr>
        <w:spacing w:before="160" w:after="40" w:line="240" w:lineRule="auto"/>
      </w:pPr>
      <w:r>
        <w:rPr>
          <w:b/>
        </w:rPr>
        <w:t xml:space="preserve">[426] </w:t>
      </w:r>
      <w:hyperlink r:id="rId682">
        <w:r>
          <w:rPr>
            <w:color w:val="1155CC"/>
            <w:u w:val="single"/>
          </w:rPr>
          <w:t>以不相容的光光进行数据回动,通过数据回动,非线性光学极端极端学习者</w:t>
        </w:r>
      </w:hyperlink>
    </w:p>
    <w:p>
      <w:pPr>
        <w:spacing w:before="0" w:after="80"/>
      </w:pPr>
      <w:r>
        <w:rPr>
          <w:i/>
          <w:sz w:val="20"/>
        </w:rPr>
        <w:t>EN: Nonlinear optical extreme learner via data reverberation with incoherent light</w:t>
      </w:r>
    </w:p>
    <w:p>
      <w:pPr>
        <w:spacing w:before="0" w:after="120"/>
      </w:pPr>
      <w:r>
        <w:rPr>
          <w:b/>
        </w:rPr>
        <w:t xml:space="preserve">Source: </w:t>
      </w:r>
      <w:r>
        <w:t>AAAS: Science Advances: Table of Contents</w:t>
      </w:r>
      <w:r>
        <w:t xml:space="preserve">    </w:t>
      </w:r>
      <w:r>
        <w:rPr>
          <w:b/>
        </w:rPr>
        <w:t xml:space="preserve">Pub date: </w:t>
      </w:r>
      <w:r>
        <w:t>2026-02-11 08:00:00+00:00</w:t>
      </w:r>
      <w:r>
        <w:t xml:space="preserve">    </w:t>
      </w:r>
      <w:r>
        <w:rPr>
          <w:b/>
        </w:rPr>
        <w:t xml:space="preserve">DOI: </w:t>
      </w:r>
      <w:hyperlink r:id="rId683">
        <w:r>
          <w:rPr>
            <w:color w:val="1155CC"/>
            <w:u w:val="single"/>
          </w:rPr>
          <w:t>10.1126/sciadv.aeb4237</w:t>
        </w:r>
      </w:hyperlink>
    </w:p>
    <w:p>
      <w:pPr>
        <w:spacing w:before="0" w:after="120"/>
      </w:pPr>
      <w:r>
        <w:rPr>
          <w:b/>
        </w:rPr>
        <w:t xml:space="preserve">Notes: </w:t>
      </w:r>
      <w:r>
        <w:t>abstract_source=crossref</w:t>
      </w:r>
    </w:p>
    <w:p>
      <w:pPr>
        <w:spacing w:before="0" w:after="80" w:lineRule="auto" w:line="276"/>
      </w:pPr>
      <w:r>
        <w:rPr>
          <w:b/>
        </w:rPr>
        <w:t xml:space="preserve">摘要（ZH）: </w:t>
      </w:r>
      <w:r>
        <w:t>人造神经网络使从计算机视觉到自然语言处理的领域发生了革命性的变化,然而,它们日益增长的能量和计算需求威胁着未来的进步。光神经网络有望提高速度、带宽和能源效率,但受光学非线性弱小的影响。 在这里,我们展示了一个低功率、不相容的光-光-光-光-相兼容的极端光学学习器,它利用光学模式变异的“数据非线性”,消除了对内在非线性材料的依赖。 通过在定制光学洞穴的空间两极分分布中将输入数据编码,并允许光线多次通过它,我们以极低光学功率实现了非线性转变。 我们的光学学习器与简单可训练的阅读器相结合,我们的光学学习器C。</w:t>
      </w:r>
    </w:p>
    <w:p>
      <w:pPr>
        <w:spacing w:before="0" w:after="200" w:lineRule="auto" w:line="276"/>
      </w:pPr>
      <w:r>
        <w:rPr>
          <w:b/>
        </w:rPr>
        <w:t xml:space="preserve">Abstract (EN): </w:t>
      </w:r>
      <w:r>
        <w:t>Artificial neural networks have revolutionized fields from computer vision to natural language processing, yet their growing energy and computational demands threaten future progress. Optical neural networks promise greater speed, bandwidth, and energy efficiency but suffer from weak optical nonlinearities. Here, we demonstrate a low-power, incoherent-light-compatible optical extreme learner that leverages “data nonlinearity” from optical pattern reverberations, eliminating reliance on intrinsic nonlinear materials. By encoding input data in the spatial polarization distribution of a tailored optical cavity and allowing light to pass through it multiple times, we achieve nonlinear transformations at extremely low optical power. Coupled with a simple trainable readout, our optical learner consistently outperforms linear digital networks in standard image classification tasks and XOR benchmarks, delivering accuracy matching fully nonlinear digital models. Our compact, energy-efficient approach substantially reduces complexity, cost, and energy consumption, paving the way for practical, scalable all-optical machine learning platforms.</w:t>
      </w:r>
    </w:p>
    <w:p>
      <w:pPr>
        <w:spacing w:before="120" w:after="120"/>
      </w:pPr>
      <w:r>
        <w:rPr>
          <w:sz w:val="18"/>
        </w:rPr>
        <w:t>——————————————————————————————————————————————————————————————————————</w:t>
      </w:r>
    </w:p>
    <w:p>
      <w:pPr>
        <w:spacing w:before="160" w:after="40" w:line="240" w:lineRule="auto"/>
      </w:pPr>
      <w:r>
        <w:rPr>
          <w:b/>
        </w:rPr>
        <w:t xml:space="preserve">[427] </w:t>
      </w:r>
      <w:hyperlink r:id="rId684">
        <w:r>
          <w:rPr>
            <w:color w:val="1155CC"/>
            <w:u w:val="single"/>
          </w:rPr>
          <w:t>由功能上分明的本体前中中子系统控制</w:t>
        </w:r>
      </w:hyperlink>
    </w:p>
    <w:p>
      <w:pPr>
        <w:spacing w:before="0" w:after="80"/>
      </w:pPr>
      <w:r>
        <w:rPr>
          <w:i/>
          <w:sz w:val="20"/>
        </w:rPr>
        <w:t>EN: Primate dexterous hand movements are controlled by functionally distinct premotoneuronal systems</w:t>
      </w:r>
    </w:p>
    <w:p>
      <w:pPr>
        <w:spacing w:before="0" w:after="120"/>
      </w:pPr>
      <w:r>
        <w:rPr>
          <w:b/>
        </w:rPr>
        <w:t xml:space="preserve">Source: </w:t>
      </w:r>
      <w:r>
        <w:t>AAAS: Science Advances: Table of Contents</w:t>
      </w:r>
      <w:r>
        <w:t xml:space="preserve">    </w:t>
      </w:r>
      <w:r>
        <w:rPr>
          <w:b/>
        </w:rPr>
        <w:t xml:space="preserve">Pub date: </w:t>
      </w:r>
      <w:r>
        <w:t>2026-02-11 08:00:00+00:00</w:t>
      </w:r>
      <w:r>
        <w:t xml:space="preserve">    </w:t>
      </w:r>
      <w:r>
        <w:rPr>
          <w:b/>
        </w:rPr>
        <w:t xml:space="preserve">DOI: </w:t>
      </w:r>
      <w:hyperlink r:id="rId685">
        <w:r>
          <w:rPr>
            <w:color w:val="1155CC"/>
            <w:u w:val="single"/>
          </w:rPr>
          <w:t>10.1126/sciadv.aea1184</w:t>
        </w:r>
      </w:hyperlink>
    </w:p>
    <w:p>
      <w:pPr>
        <w:spacing w:before="0" w:after="120"/>
      </w:pPr>
      <w:r>
        <w:rPr>
          <w:b/>
        </w:rPr>
        <w:t xml:space="preserve">Notes: </w:t>
      </w:r>
      <w:r>
        <w:t>abstract_source=crossref</w:t>
      </w:r>
    </w:p>
    <w:p>
      <w:pPr>
        <w:spacing w:before="0" w:after="80" w:lineRule="auto" w:line="276"/>
      </w:pPr>
      <w:r>
        <w:rPr>
          <w:b/>
        </w:rPr>
        <w:t xml:space="preserve">摘要（ZH）: </w:t>
      </w:r>
      <w:r>
        <w:t>非非性手动在灵长类中发展得独特,对其日常活动必不可少。传统上,人们认为,非性手动运动主要依赖进化性“更新”直接本体本体中中子(CM)直接进化途径。然而,最近的研究表明,由脊椎前脑内中子介质(PREM-INs)介介介介的“老”间接骨质脊椎性脊柱性脊柱性脊柱性脊柱性脊椎性脊椎性脊椎性脉动途径(PRM-INs)也起到了促进作用的作用,凸显了澄清其功能差异的必要性。在这里,我们记录了PreM-INs和CM细胞神经性活动在精确抓取任务中的情况,以比较其在产生肌肉活动中的作用。我们的结果表明,PreM-INs在更广大的肌肉方面提供了更强有力的便利,促进了协同共活化,而CM细胞则提供了更选择性的促进作用 c。</w:t>
      </w:r>
    </w:p>
    <w:p>
      <w:pPr>
        <w:spacing w:before="0" w:after="200" w:lineRule="auto" w:line="276"/>
      </w:pPr>
      <w:r>
        <w:rPr>
          <w:b/>
        </w:rPr>
        <w:t xml:space="preserve">Abstract (EN): </w:t>
      </w:r>
      <w:r>
        <w:t>Dexterous hand movements are uniquely developed in primates and indispensable for their daily activities. Traditionally, they were thought to depend primarily on the evolutionarily “newer” direct corticomotoneuronal (CM) pathway. However, recent studies suggest that the “older” indirect corticospinal pathways, mediated by spinal premotor interneurons (PreM-INs), also contribute, highlighting the need to clarify their functional differences. Here, we recorded neuronal activity from PreM-INs and CM cells in macaques during a precision grip task to compare their roles in generating hand muscle activity. Our results show that PreM-INs exert stronger facilitation across a broader set of muscles, promoting synergistic coactivation, whereas CM cells provide more selective facilitation, enabling control of relatively individual muscles. Decomposition analysis further revealed that these systems correspond to different control modes—synergy-based and individual-based control—balancing stability and flexibility. These findings redefine our understanding of primate dexterous hand control as emerging from the cooperative integration of evolutionarily distinct premotoneuronal systems.</w:t>
      </w:r>
    </w:p>
    <w:p>
      <w:pPr>
        <w:spacing w:before="120" w:after="120"/>
      </w:pPr>
      <w:r>
        <w:rPr>
          <w:sz w:val="18"/>
        </w:rPr>
        <w:t>——————————————————————————————————————————————————————————————————————</w:t>
      </w:r>
    </w:p>
    <w:p>
      <w:pPr>
        <w:spacing w:before="160" w:after="40" w:line="240" w:lineRule="auto"/>
      </w:pPr>
      <w:r>
        <w:rPr>
          <w:b/>
        </w:rPr>
        <w:t xml:space="preserve">[428] </w:t>
      </w:r>
      <w:hyperlink r:id="rId686">
        <w:r>
          <w:rPr>
            <w:color w:val="1155CC"/>
            <w:u w:val="single"/>
          </w:rPr>
          <w:t>阿拉伯化PAL核地方化在微调氟氯素生物合成物方面的双重作用</w:t>
        </w:r>
      </w:hyperlink>
    </w:p>
    <w:p>
      <w:pPr>
        <w:spacing w:before="0" w:after="80"/>
      </w:pPr>
      <w:r>
        <w:rPr>
          <w:i/>
          <w:sz w:val="20"/>
        </w:rPr>
        <w:t>EN: A dual role of Arabidopsis PAL nuclear localization in fine tuning flavonoid biosynthesis</w:t>
      </w:r>
    </w:p>
    <w:p>
      <w:pPr>
        <w:spacing w:before="0" w:after="120"/>
      </w:pPr>
      <w:r>
        <w:rPr>
          <w:b/>
        </w:rPr>
        <w:t xml:space="preserve">Source: </w:t>
      </w:r>
      <w:r>
        <w:t>AAAS: Science Advances: Table of Contents</w:t>
      </w:r>
      <w:r>
        <w:t xml:space="preserve">    </w:t>
      </w:r>
      <w:r>
        <w:rPr>
          <w:b/>
        </w:rPr>
        <w:t xml:space="preserve">Pub date: </w:t>
      </w:r>
      <w:r>
        <w:t>2026-02-11 08:00:00+00:00</w:t>
      </w:r>
      <w:r>
        <w:t xml:space="preserve">    </w:t>
      </w:r>
      <w:r>
        <w:rPr>
          <w:b/>
        </w:rPr>
        <w:t xml:space="preserve">DOI: </w:t>
      </w:r>
      <w:hyperlink r:id="rId687">
        <w:r>
          <w:rPr>
            <w:color w:val="1155CC"/>
            <w:u w:val="single"/>
          </w:rPr>
          <w:t>10.1126/sciadv.adz6970</w:t>
        </w:r>
      </w:hyperlink>
    </w:p>
    <w:p>
      <w:pPr>
        <w:spacing w:before="0" w:after="120"/>
      </w:pPr>
      <w:r>
        <w:rPr>
          <w:b/>
        </w:rPr>
        <w:t xml:space="preserve">Notes: </w:t>
      </w:r>
      <w:r>
        <w:t>abstract_source=crossref</w:t>
      </w:r>
    </w:p>
    <w:p>
      <w:pPr>
        <w:spacing w:before="0" w:after="80" w:lineRule="auto" w:line="276"/>
      </w:pPr>
      <w:r>
        <w:rPr>
          <w:b/>
        </w:rPr>
        <w:t xml:space="preserve">摘要（ZH）: </w:t>
      </w:r>
      <w:r>
        <w:t>苯丙胺氨溶酶(PAL)催化了该途径中的第一个承诺步骤,并被长期视为细胞性酶。在这里,我们透露PAL通过进行磷酸化和迁移到核体中,对阿拉伯多变性中较高的氟氯素含量作出反应。PAL的核固存会减少其细胞质丰度和酶活动,导致迅速抑制苯丙胺代谢通量。同时,核定位的PAL会与转录因子TT8发生相互作用,干扰MBW的复杂形成和下调的氟氯素生物合成基因。</w:t>
      </w:r>
    </w:p>
    <w:p>
      <w:pPr>
        <w:spacing w:before="0" w:after="200" w:lineRule="auto" w:line="276"/>
      </w:pPr>
      <w:r>
        <w:rPr>
          <w:b/>
        </w:rPr>
        <w:t xml:space="preserve">Abstract (EN): </w:t>
      </w:r>
      <w:r>
        <w:t>The phenylpropanoid pathway is essential for plant development and environmental adaptation, producing metabolites such as flavonoids, lignin, and salicylic acid. Phenylalanine ammonia-lyase (PAL) catalyzes the first committed step in this pathway and has long been viewed as a cytoplasmic enzyme. Here, we reveal that PAL responds to elevated flavonoid levels in</w:t>
      </w:r>
      <w:r>
        <w:t xml:space="preserve"> </w:t>
      </w:r>
      <w:r>
        <w:t>Arabidopsis</w:t>
      </w:r>
      <w:r>
        <w:t xml:space="preserve"> </w:t>
      </w:r>
      <w:r>
        <w:t>by undergoing phosphorylation and relocating to the nucleus. Nuclear sequestration of PAL reduces its cytoplasmic abundance and enzymatic activity, resulting in rapid suppression of phenylpropanoid metabolic flux. In parallel, nuclear-localized PAL interacts with the transcription factor TT8, disrupting MBW complex formation and down-regulating flavonoid biosynthetic genes. This dual mechanism enables PAL to act as a metabolic feedback regulator that dynamically adjusts flavonoid production in response to internal metabolic states. Our findings redefine PAL as both a biosynthetic enzyme and a responsive integrator of cellular metabolic status, establishing a previously unknown paradigm for feedback control in plant specialized metabolism.</w:t>
      </w:r>
    </w:p>
    <w:p>
      <w:pPr>
        <w:spacing w:before="120" w:after="120"/>
      </w:pPr>
      <w:r>
        <w:rPr>
          <w:sz w:val="18"/>
        </w:rPr>
        <w:t>——————————————————————————————————————————————————————————————————————</w:t>
      </w:r>
    </w:p>
    <w:p>
      <w:pPr>
        <w:spacing w:before="160" w:after="40" w:line="240" w:lineRule="auto"/>
      </w:pPr>
      <w:r>
        <w:rPr>
          <w:b/>
        </w:rPr>
        <w:t xml:space="preserve">[429] </w:t>
      </w:r>
      <w:hyperlink r:id="rId688">
        <w:r>
          <w:rPr>
            <w:color w:val="1155CC"/>
            <w:u w:val="single"/>
          </w:rPr>
          <w:t>E711-19 定位和定向要求CD8+T对结构界定球球核酸疫苗的反应</w:t>
        </w:r>
      </w:hyperlink>
    </w:p>
    <w:p>
      <w:pPr>
        <w:spacing w:before="0" w:after="80"/>
      </w:pPr>
      <w:r>
        <w:rPr>
          <w:i/>
          <w:sz w:val="20"/>
        </w:rPr>
        <w:t>EN: E711-19 placement and orientation dictate CD8+ T cell response in structurally defined spherical nucleic acid vaccines</w:t>
      </w:r>
    </w:p>
    <w:p>
      <w:pPr>
        <w:spacing w:before="0" w:after="120"/>
      </w:pPr>
      <w:r>
        <w:rPr>
          <w:b/>
        </w:rPr>
        <w:t xml:space="preserve">Source: </w:t>
      </w:r>
      <w:r>
        <w:t>AAAS: Science Advances: Table of Contents</w:t>
      </w:r>
      <w:r>
        <w:t xml:space="preserve">    </w:t>
      </w:r>
      <w:r>
        <w:rPr>
          <w:b/>
        </w:rPr>
        <w:t xml:space="preserve">Pub date: </w:t>
      </w:r>
      <w:r>
        <w:t>2026-02-11 08:00:00+00:00</w:t>
      </w:r>
      <w:r>
        <w:t xml:space="preserve">    </w:t>
      </w:r>
      <w:r>
        <w:rPr>
          <w:b/>
        </w:rPr>
        <w:t xml:space="preserve">DOI: </w:t>
      </w:r>
      <w:hyperlink r:id="rId689">
        <w:r>
          <w:rPr>
            <w:color w:val="1155CC"/>
            <w:u w:val="single"/>
          </w:rPr>
          <w:t>10.1126/sciadv.aec3876</w:t>
        </w:r>
      </w:hyperlink>
    </w:p>
    <w:p>
      <w:pPr>
        <w:spacing w:before="0" w:after="120"/>
      </w:pPr>
      <w:r>
        <w:rPr>
          <w:b/>
        </w:rPr>
        <w:t xml:space="preserve">Notes: </w:t>
      </w:r>
      <w:r>
        <w:t>abstract_source=crossref</w:t>
      </w:r>
    </w:p>
    <w:p>
      <w:pPr>
        <w:spacing w:before="0" w:after="80" w:lineRule="auto" w:line="276"/>
      </w:pPr>
      <w:r>
        <w:rPr>
          <w:b/>
        </w:rPr>
        <w:t xml:space="preserve">摘要（ZH）: </w:t>
      </w:r>
      <w:r>
        <w:t>为了发展有效的纳米结构免疫治疗方法,必须确定最大限度扩大免疫反应的结构性参数。 球状核酸(SNAs)提供了一个模块平台,用于协调抗原-急性酸(SNAs)的交付,在这个平台中,微妙的结构差异会显著影响能量。 此处,三个国民账户体系的设计采用了HLA-A2限制的HLA-A2HPV16 E7 11-19peptide和CpG adjuvant,其构成几乎相同,但在抗原的表述上却有所不同。所有强化的登底细胞激活和CD8+T细胞细胞细胞毒性,与peptide-CpG 粘合体相比,均提供了模块平台;然而,一种变体,N-HSNA,得到了最强烈的反应,诱导出~8倍高的interferon-G分泌和~2.5-fol。</w:t>
      </w:r>
    </w:p>
    <w:p>
      <w:pPr>
        <w:spacing w:before="0" w:after="200" w:lineRule="auto" w:line="276"/>
      </w:pPr>
      <w:r>
        <w:rPr>
          <w:b/>
        </w:rPr>
        <w:t xml:space="preserve">Abstract (EN): </w:t>
      </w:r>
      <w:r>
        <w:t>To develop effective nanostructured immunotherapeutics, identifying structural parameters that maximize immune response is essential. Spherical nucleic acids (SNAs) provide a modular platform for coordinated antigen-adjuvant delivery, where subtle structural differences can markedly influence potency. Herein, three SNAs were designed with HLA-A2–restricted HPV16 E7</w:t>
      </w:r>
      <w:r>
        <w:t xml:space="preserve"> </w:t>
      </w:r>
      <w:r>
        <w:t>11-19</w:t>
      </w:r>
      <w:r>
        <w:t xml:space="preserve"> </w:t>
      </w:r>
      <w:r>
        <w:t>peptide and CpG adjuvant, nearly identical in composition but differing in antigen presentation. All enhanced dendritic cell activation and CD8</w:t>
      </w:r>
      <w:r>
        <w:t xml:space="preserve"> </w:t>
      </w:r>
      <w:r>
        <w:t>+</w:t>
      </w:r>
      <w:r>
        <w:t xml:space="preserve"> </w:t>
      </w:r>
      <w:r>
        <w:t>T cell cytotoxicity in primary human cells compared to peptide-CpG admixture; however, one variant, N-HSNA, elicited the strongest response, inducing ~8-fold higher interferon-γ secretion and ~2.5-fold greater cytotoxicity. In tumor-bearing AAD mice, N-HSNA reduced tumor burden by ~3.5-fold, prolonged survival, and expanded CD8</w:t>
      </w:r>
      <w:r>
        <w:t xml:space="preserve"> </w:t>
      </w:r>
      <w:r>
        <w:t>+</w:t>
      </w:r>
      <w:r>
        <w:t xml:space="preserve"> </w:t>
      </w:r>
      <w:r>
        <w:t>T cells. Transcriptomic profiling revealed up-regulation of activation genes and suppression of exhaustion markers. In patient-derived HPV</w:t>
      </w:r>
      <w:r>
        <w:t xml:space="preserve"> </w:t>
      </w:r>
      <w:r>
        <w:t>+</w:t>
      </w:r>
      <w:r>
        <w:t xml:space="preserve"> </w:t>
      </w:r>
      <w:r>
        <w:t>head and neck cancer spheroids, N-HSNA enhanced cytotoxicity ~2.5-fold, establishing antigen placement and orientation as key parameters for translational cancer immunotherapy.</w:t>
      </w:r>
    </w:p>
    <w:p>
      <w:pPr>
        <w:spacing w:before="120" w:after="120"/>
      </w:pPr>
      <w:r>
        <w:rPr>
          <w:sz w:val="18"/>
        </w:rPr>
        <w:t>——————————————————————————————————————————————————————————————————————</w:t>
      </w:r>
    </w:p>
    <w:p>
      <w:pPr>
        <w:spacing w:before="160" w:after="40" w:line="240" w:lineRule="auto"/>
      </w:pPr>
      <w:r>
        <w:rPr>
          <w:b/>
        </w:rPr>
        <w:t xml:space="preserve">[430] </w:t>
      </w:r>
      <w:hyperlink r:id="rId690">
        <w:r>
          <w:rPr>
            <w:color w:val="1155CC"/>
            <w:u w:val="single"/>
          </w:rPr>
          <w:t>宽频带半导体Ga2O3中的硬室温度强的室内温度铁电</w:t>
        </w:r>
      </w:hyperlink>
    </w:p>
    <w:p>
      <w:pPr>
        <w:spacing w:before="0" w:after="80"/>
      </w:pPr>
      <w:r>
        <w:rPr>
          <w:i/>
          <w:sz w:val="20"/>
        </w:rPr>
        <w:t>EN: Robust room-temperature ferroelectricity in the wide-bandgap semiconductor Ga2O3</w:t>
      </w:r>
    </w:p>
    <w:p>
      <w:pPr>
        <w:spacing w:before="0" w:after="120"/>
      </w:pPr>
      <w:r>
        <w:rPr>
          <w:b/>
        </w:rPr>
        <w:t xml:space="preserve">Source: </w:t>
      </w:r>
      <w:r>
        <w:t>AAAS: Science Advances: Table of Contents</w:t>
      </w:r>
      <w:r>
        <w:t xml:space="preserve">    </w:t>
      </w:r>
      <w:r>
        <w:rPr>
          <w:b/>
        </w:rPr>
        <w:t xml:space="preserve">Pub date: </w:t>
      </w:r>
      <w:r>
        <w:t>2026-02-11 08:00:00+00:00</w:t>
      </w:r>
      <w:r>
        <w:t xml:space="preserve">    </w:t>
      </w:r>
      <w:r>
        <w:rPr>
          <w:b/>
        </w:rPr>
        <w:t xml:space="preserve">DOI: </w:t>
      </w:r>
      <w:hyperlink r:id="rId691">
        <w:r>
          <w:rPr>
            <w:color w:val="1155CC"/>
            <w:u w:val="single"/>
          </w:rPr>
          <w:t>10.1126/sciadv.aec5225</w:t>
        </w:r>
      </w:hyperlink>
    </w:p>
    <w:p>
      <w:pPr>
        <w:spacing w:before="0" w:after="120"/>
      </w:pPr>
      <w:r>
        <w:rPr>
          <w:b/>
        </w:rPr>
        <w:t xml:space="preserve">Notes: </w:t>
      </w:r>
      <w:r>
        <w:t>abstract_source=crossref</w:t>
      </w:r>
    </w:p>
    <w:p>
      <w:pPr>
        <w:spacing w:before="0" w:after="80" w:lineRule="auto" w:line="276"/>
      </w:pPr>
      <w:r>
        <w:rPr>
          <w:b/>
        </w:rPr>
        <w:t xml:space="preserve">摘要（ZH）: </w:t>
      </w:r>
      <w:r>
        <w:t>几十年来,由于宽带带式半导体和铁电材料不兼容,电处理和非挥发性内存的整合一直受到大带半导体和铁电材料之间不兼容的根本性阻碍。 我们通过通过工业兼容的金属-有机化学蒸气沉降,通过工业式金属-有机蒸气沉降,形成一个内在的铁电-宽带宽带式半导体,通过在硬质反应力显微镜、两极歇斯底里测量和正向上负向下测试等系统化特征,我们通过展示稳健的室温-室温性铁电,解决了这一挑战。</w:t>
      </w:r>
    </w:p>
    <w:p>
      <w:pPr>
        <w:spacing w:before="0" w:after="200" w:lineRule="auto" w:line="276"/>
      </w:pPr>
      <w:r>
        <w:rPr>
          <w:b/>
        </w:rPr>
        <w:t xml:space="preserve">Abstract (EN): </w:t>
      </w:r>
      <w:r>
        <w:t>For decades, the integration of power handling and nonvolatile memory has been fundamentally impeded by the incompatibility between wide-bandgap semiconductors and ferroelectric materials. We resolve this challenge by demonstrating robust room-temperature ferroelectricity in epitaxial metastable κ-Ga</w:t>
      </w:r>
      <w:r>
        <w:rPr>
          <w:vertAlign w:val="subscript"/>
        </w:rPr>
        <w:t>2</w:t>
      </w:r>
      <w:r>
        <w:t>O</w:t>
      </w:r>
      <w:r>
        <w:rPr>
          <w:vertAlign w:val="subscript"/>
        </w:rPr>
        <w:t>3</w:t>
      </w:r>
      <w:r>
        <w:t>, grown via industry-compatible metal-organic chemical vapor deposition, creating an intrinsically ferroelectric wide-bandgap semiconductor. Through systematic characterization including piezoresponse force microscopy, polarization hysteresis measurements, and positive up–negative down tests, we provide conclusive evidence of stable ferroelectric switching down to 5-nanometer thickness—exceeding conventional ferroelectric limits—via a unique octahedral-tetrahedral transformation. Ferroelectric tunnel junctions achieve giant tunneling electroresistance exceeding 10</w:t>
      </w:r>
      <w:r>
        <w:rPr>
          <w:vertAlign w:val="subscript"/>
        </w:rPr>
        <w:t>5</w:t>
      </w:r>
      <w:r>
        <w:t>. This fundamental discovery in a mainstream semiconductor challenges conventional materials paradigms and enables monolithic integration of power and memory functionalities on a unified platform.</w:t>
      </w:r>
    </w:p>
    <w:p>
      <w:pPr>
        <w:spacing w:before="120" w:after="120"/>
      </w:pPr>
      <w:r>
        <w:rPr>
          <w:sz w:val="18"/>
        </w:rPr>
        <w:t>——————————————————————————————————————————————————————————————————————</w:t>
      </w:r>
    </w:p>
    <w:p>
      <w:pPr>
        <w:spacing w:before="160" w:after="40" w:line="240" w:lineRule="auto"/>
      </w:pPr>
      <w:r>
        <w:rPr>
          <w:b/>
        </w:rPr>
        <w:t xml:space="preserve">[431] </w:t>
      </w:r>
      <w:hyperlink r:id="rId692">
        <w:r>
          <w:rPr>
            <w:color w:val="1155CC"/>
            <w:u w:val="single"/>
          </w:rPr>
          <w:t>VMAT2机能障碍会妨碍摄取子宫多巴胺,在DJ-1-连接的帕金森神经元中驱动其氧化和α-心核素病理学。</w:t>
        </w:r>
      </w:hyperlink>
    </w:p>
    <w:p>
      <w:pPr>
        <w:spacing w:before="0" w:after="80"/>
      </w:pPr>
      <w:r>
        <w:rPr>
          <w:i/>
          <w:sz w:val="20"/>
        </w:rPr>
        <w:t>EN: VMAT2 dysfunction impairs vesicular dopamine uptake, driving its oxidation and α-synuclein pathology in DJ-1–linked Parkinson’s neurons</w:t>
      </w:r>
    </w:p>
    <w:p>
      <w:pPr>
        <w:spacing w:before="0" w:after="120"/>
      </w:pPr>
      <w:r>
        <w:rPr>
          <w:b/>
        </w:rPr>
        <w:t xml:space="preserve">Source: </w:t>
      </w:r>
      <w:r>
        <w:t>AAAS: Science Advances: Table of Contents</w:t>
      </w:r>
      <w:r>
        <w:t xml:space="preserve">    </w:t>
      </w:r>
      <w:r>
        <w:rPr>
          <w:b/>
        </w:rPr>
        <w:t xml:space="preserve">Pub date: </w:t>
      </w:r>
      <w:r>
        <w:t>2026-02-11 08:00:00+00:00</w:t>
      </w:r>
      <w:r>
        <w:t xml:space="preserve">    </w:t>
      </w:r>
      <w:r>
        <w:rPr>
          <w:b/>
        </w:rPr>
        <w:t xml:space="preserve">DOI: </w:t>
      </w:r>
      <w:hyperlink r:id="rId693">
        <w:r>
          <w:rPr>
            <w:color w:val="1155CC"/>
            <w:u w:val="single"/>
          </w:rPr>
          <w:t>10.1126/sciadv.adz5645</w:t>
        </w:r>
      </w:hyperlink>
    </w:p>
    <w:p>
      <w:pPr>
        <w:spacing w:before="0" w:after="120"/>
      </w:pPr>
      <w:r>
        <w:rPr>
          <w:b/>
        </w:rPr>
        <w:t xml:space="preserve">Notes: </w:t>
      </w:r>
      <w:r>
        <w:t>abstract_source=crossref</w:t>
      </w:r>
    </w:p>
    <w:p>
      <w:pPr>
        <w:spacing w:before="0" w:after="80" w:lineRule="auto" w:line="276"/>
      </w:pPr>
      <w:r>
        <w:rPr>
          <w:b/>
        </w:rPr>
        <w:t xml:space="preserve">摘要（ZH）: </w:t>
      </w:r>
      <w:r>
        <w:t>帕金森氏病(PD)的特征是α-肾核素累积和多巴胺性神经衰变,多巴胺(DA)氧化正在成为关键的病理驱动因素,然而,这一神经毒性过程的根基机制仍然不清楚。使用PD病人和CRISPR(CRISPR)设计的诱导的多功能性干细胞中脊膜多膜性神经元(DJ-1),我们发现细胞分裂性DA有缺陷地被塞进合成囊囊,最终导致DA氧化和α-精神核素病理。深入的蛋白质学、最新艺术成像和超敏感度的DA探测器发现,这些探测器减少了输血性单胺2号运输器(VMAT2)的蛋白质和功能,从而降低了对子细胞的摄取率,从而减少了卵囊的可用性和异常的卵体形态学。此外,VMAT2 ac还发现VMAT2 ac。</w:t>
      </w:r>
    </w:p>
    <w:p>
      <w:pPr>
        <w:spacing w:before="0" w:after="200" w:lineRule="auto" w:line="276"/>
      </w:pPr>
      <w:r>
        <w:rPr>
          <w:b/>
        </w:rPr>
        <w:t xml:space="preserve">Abstract (EN): </w:t>
      </w:r>
      <w:r>
        <w:t>Parkinson’s disease (PD) is characterized by α-synuclein accumulation and dopaminergic neuron degeneration, with dopamine (DA) oxidation emerging as a key pathological driver. However, the mechanisms underlying this neurotoxic process remain unclear. Using PD patient-derived and CRISPR-engineered induced pluripotent stem cell midbrain dopaminergic neurons lacking DJ-1, we identified defective sequestration of cytosolic DA into synaptic vesicles, which culminated in DA oxidation and α-synuclein pathology. In-depth proteomics, state-of-the-art imaging, and ultrasensitive DA probes uncovered that decreased vesicular monoamine transporter 2 (VMAT2) protein and function impaired vesicular DA uptake, resulting in reduced vesicle availability and abnormal vesicle morphology. Furthermore, VMAT2 activity and vesicle endocytosis are processes dependent on adenosine 5′-triphosphate (ATP), which is notably reduced in DJ-1–deficient dopaminergic neurons. ATP supplementation restored vesicular function and alleviated DA-related pathologies in mutant dopaminergic neurons. This study reveals an ATP-sensitive mechanism that regulates DA homeostasis through VMAT2 and vesicle dynamics in midbrain dopaminergic neurons, highlighting enhanced DA sequestration as a promising therapeutic strategy for PD.</w:t>
      </w:r>
    </w:p>
    <w:p>
      <w:pPr>
        <w:spacing w:before="120" w:after="120"/>
      </w:pPr>
      <w:r>
        <w:rPr>
          <w:sz w:val="18"/>
        </w:rPr>
        <w:t>——————————————————————————————————————————————————————————————————————</w:t>
      </w:r>
    </w:p>
    <w:p>
      <w:pPr>
        <w:spacing w:before="160" w:after="40" w:line="240" w:lineRule="auto"/>
      </w:pPr>
      <w:r>
        <w:rPr>
          <w:b/>
        </w:rPr>
        <w:t xml:space="preserve">[432] </w:t>
      </w:r>
      <w:hyperlink r:id="rId694">
        <w:r>
          <w:rPr>
            <w:color w:val="1155CC"/>
            <w:u w:val="single"/>
          </w:rPr>
          <w:t>静默剂变异剂是阿尔茨海默氏病基因上调的主要驱动因素。</w:t>
        </w:r>
      </w:hyperlink>
    </w:p>
    <w:p>
      <w:pPr>
        <w:spacing w:before="0" w:after="80"/>
      </w:pPr>
      <w:r>
        <w:rPr>
          <w:i/>
          <w:sz w:val="20"/>
        </w:rPr>
        <w:t>EN: Silencer variants are key drivers of gene up-regulation in Alzheimer’s disease</w:t>
      </w:r>
    </w:p>
    <w:p>
      <w:pPr>
        <w:spacing w:before="0" w:after="120"/>
      </w:pPr>
      <w:r>
        <w:rPr>
          <w:b/>
        </w:rPr>
        <w:t xml:space="preserve">Source: </w:t>
      </w:r>
      <w:r>
        <w:t>AAAS: Science Advances: Table of Contents</w:t>
      </w:r>
      <w:r>
        <w:t xml:space="preserve">    </w:t>
      </w:r>
      <w:r>
        <w:rPr>
          <w:b/>
        </w:rPr>
        <w:t xml:space="preserve">Pub date: </w:t>
      </w:r>
      <w:r>
        <w:t>2026-02-11 08:00:00+00:00</w:t>
      </w:r>
      <w:r>
        <w:t xml:space="preserve">    </w:t>
      </w:r>
      <w:r>
        <w:rPr>
          <w:b/>
        </w:rPr>
        <w:t xml:space="preserve">DOI: </w:t>
      </w:r>
      <w:hyperlink r:id="rId695">
        <w:r>
          <w:rPr>
            <w:color w:val="1155CC"/>
            <w:u w:val="single"/>
          </w:rPr>
          <w:t>10.1126/sciadv.adz3323</w:t>
        </w:r>
      </w:hyperlink>
    </w:p>
    <w:p>
      <w:pPr>
        <w:spacing w:before="0" w:after="120"/>
      </w:pPr>
      <w:r>
        <w:rPr>
          <w:b/>
        </w:rPr>
        <w:t xml:space="preserve">Notes: </w:t>
      </w:r>
      <w:r>
        <w:t>abstract_source=crossref</w:t>
      </w:r>
    </w:p>
    <w:p>
      <w:pPr>
        <w:spacing w:before="0" w:after="80" w:lineRule="auto" w:line="276"/>
      </w:pPr>
      <w:r>
        <w:rPr>
          <w:b/>
        </w:rPr>
        <w:t xml:space="preserve">摘要（ZH）: </w:t>
      </w:r>
      <w:r>
        <w:t>阿尔茨海默氏病(AD)的遗传机制为~90%的阿尔茨海默氏病(AD)的遗传机制 — — 存在于非编码DNA中的相关变体(DA)的约90%的遗传机制仍然没有得到很好的理解。 为了解决这个问题,我们开发了一个深层学习框架,将大量直方修改数据与单细胞开染色体剖面剖面谱集成,以评价非编码变体的监管潜力。 这个模型确定了1457个消音器和3084个增强的AD相关变体,将基因地标归类为仅限消音器(SL)、仅限增强器(EN)或双重功能(ENL)。 EN Loci主要监管住家代谢过程,SLoci(包括MS4A6A和HLA-D)与免疫反应(在AD微型中高达70%的高度调控)。</w:t>
      </w:r>
    </w:p>
    <w:p>
      <w:pPr>
        <w:spacing w:before="0" w:after="200" w:lineRule="auto" w:line="276"/>
      </w:pPr>
      <w:r>
        <w:rPr>
          <w:b/>
        </w:rPr>
        <w:t xml:space="preserve">Abstract (EN): </w:t>
      </w:r>
      <w:r>
        <w:t>The genetic mechanisms of ~90% of Alzheimer’s disease (AD)–associated variants residing in noncoding DNA remain poorly understood. To address this, we developed a deep learning framework that integrates bulk histone modification data with single-cell open chromatin profiles to evaluate the regulatory potential of noncoding variants. This model identified 1457 silencer and 3084 enhancer AD-associated variants in dorsolateral prefrontal cortex, classifying gene loci as silencer-only (SL), enhancer-only (EN), or dual-function (ENSL). EN loci predominantly regulate housekeeping metabolic processes, SL loci (including</w:t>
      </w:r>
      <w:r>
        <w:t xml:space="preserve"> </w:t>
      </w:r>
      <w:r>
        <w:t>MS4A6A</w:t>
      </w:r>
      <w:r>
        <w:t xml:space="preserve"> </w:t>
      </w:r>
      <w:r>
        <w:t>and</w:t>
      </w:r>
      <w:r>
        <w:t xml:space="preserve"> </w:t>
      </w:r>
      <w:r>
        <w:t>HLA-D</w:t>
      </w:r>
      <w:r>
        <w:t xml:space="preserve"> </w:t>
      </w:r>
      <w:r>
        <w:t>) are linked to immune responses (with ~70% substantially up-regulated in AD microglia), while ENSL loci are implicated in neurofibrillary tangle assembly. Our model achieves robust power in assessing the impact of regulatory variants, with ~70% directional concordance with experimental results. It identified rs636317 as a putative causal silencer variant, distinguishing it from a neutral variant located 11 base pairs away. This study advances understanding of the AD-associated regulatory landscape and provides a framework for ascertaining noncoding variants in AD pathogenesis.</w:t>
      </w:r>
    </w:p>
    <w:p>
      <w:pPr>
        <w:spacing w:before="120" w:after="120"/>
      </w:pPr>
      <w:r>
        <w:rPr>
          <w:sz w:val="18"/>
        </w:rPr>
        <w:t>——————————————————————————————————————————————————————————————————————</w:t>
      </w:r>
    </w:p>
    <w:p>
      <w:pPr>
        <w:spacing w:before="160" w:after="40" w:line="240" w:lineRule="auto"/>
      </w:pPr>
      <w:r>
        <w:rPr>
          <w:b/>
        </w:rPr>
        <w:t xml:space="preserve">[433] </w:t>
      </w:r>
      <w:hyperlink r:id="rId696">
        <w:r>
          <w:rPr>
            <w:color w:val="1155CC"/>
            <w:u w:val="single"/>
          </w:rPr>
          <w:t>以多孔介质运输相聚物的多孔介质</w:t>
        </w:r>
      </w:hyperlink>
    </w:p>
    <w:p>
      <w:pPr>
        <w:spacing w:before="0" w:after="80"/>
      </w:pPr>
      <w:r>
        <w:rPr>
          <w:i/>
          <w:sz w:val="20"/>
        </w:rPr>
        <w:t>EN: Diffusiophoretic transport of colloids in porous media</w:t>
      </w:r>
    </w:p>
    <w:p>
      <w:pPr>
        <w:spacing w:before="0" w:after="120"/>
      </w:pPr>
      <w:r>
        <w:rPr>
          <w:b/>
        </w:rPr>
        <w:t xml:space="preserve">Source: </w:t>
      </w:r>
      <w:r>
        <w:t>AAAS: Science Advances: Table of Contents</w:t>
      </w:r>
      <w:r>
        <w:t xml:space="preserve">    </w:t>
      </w:r>
      <w:r>
        <w:rPr>
          <w:b/>
        </w:rPr>
        <w:t xml:space="preserve">Pub date: </w:t>
      </w:r>
      <w:r>
        <w:t>2026-02-11 08:00:00+00:00</w:t>
      </w:r>
      <w:r>
        <w:t xml:space="preserve">    </w:t>
      </w:r>
      <w:r>
        <w:rPr>
          <w:b/>
        </w:rPr>
        <w:t xml:space="preserve">DOI: </w:t>
      </w:r>
      <w:hyperlink r:id="rId697">
        <w:r>
          <w:rPr>
            <w:color w:val="1155CC"/>
            <w:u w:val="single"/>
          </w:rPr>
          <w:t>10.1126/sciadv.ady9874</w:t>
        </w:r>
      </w:hyperlink>
    </w:p>
    <w:p>
      <w:pPr>
        <w:spacing w:before="0" w:after="120"/>
      </w:pPr>
      <w:r>
        <w:rPr>
          <w:b/>
        </w:rPr>
        <w:t xml:space="preserve">Notes: </w:t>
      </w:r>
      <w:r>
        <w:t>abstract_source=crossref</w:t>
      </w:r>
    </w:p>
    <w:p>
      <w:pPr>
        <w:spacing w:before="0" w:after="80" w:lineRule="auto" w:line="276"/>
      </w:pPr>
      <w:r>
        <w:rPr>
          <w:b/>
        </w:rPr>
        <w:t xml:space="preserve">摘要（ZH）: </w:t>
      </w:r>
      <w:r>
        <w:t>化学梯度在多孔介质流中普遍存在,从蓄水层的潮汐盐梯度到土壤中的灌溉驱动梯度,以及组织内代谢活动产生的土壤和离子梯度,尽管已知化学梯度驱使类固醇的异硫磷迁移,但这些无平衡力在多孔介质流中基本上被忽视。在典型的次表层条件下,优惠通道内的流速按数量级超过快速度,表明diffusophoresis将限于停滞的区块。在这里,我们利用微流体实验、数字模拟和理论模型显示,即使是典型的天然混合的中等溶液梯度也能显著改变共聚物的迁移。我们发现一个以前被忽视的效应:c</w:t>
      </w:r>
    </w:p>
    <w:p>
      <w:pPr>
        <w:spacing w:before="0" w:after="200" w:lineRule="auto" w:line="276"/>
      </w:pPr>
      <w:r>
        <w:rPr>
          <w:b/>
        </w:rPr>
        <w:t xml:space="preserve">Abstract (EN): </w:t>
      </w:r>
      <w:r>
        <w:t>Chemical gradients are ubiquitous in porous media flows, from tidal salt gradients in aquifers to irrigation-driven gradients in soils and ionic gradients from metabolic activity in tissues. Although chemical gradients are known to drive diffusiophoretic migration of colloids, these nonequilibrium forces have largely been ignored in porous media flows. Under typical subsurface conditions, flow velocities within preferential pathways exceed phoretic velocities by orders of magnitude, suggesting that diffusiophoresis would be limited to stagnant pockets. Here, using microfluidic experiments, numerical simulations, and theoretical modeling, we show that even moderate solute gradients, typical of natural mixing, can markedly alter colloid transport. We uncover a previously overlooked effect: cross-streamline phoretic migration within preferential flow pathways, which changes macroscopic dispersion by orders of magnitude and suppresses the impact of geometric disorder on transport. Our findings challenge classical models of colloid transport, highlighting the broad implications of solute gradients for technological, biomedical, and environmental applications.</w:t>
      </w:r>
    </w:p>
    <w:p>
      <w:pPr>
        <w:spacing w:before="120" w:after="120"/>
      </w:pPr>
      <w:r>
        <w:rPr>
          <w:sz w:val="18"/>
        </w:rPr>
        <w:t>——————————————————————————————————————————————————————————————————————</w:t>
      </w:r>
    </w:p>
    <w:p>
      <w:pPr>
        <w:spacing w:before="160" w:after="40" w:line="240" w:lineRule="auto"/>
      </w:pPr>
      <w:r>
        <w:rPr>
          <w:b/>
        </w:rPr>
        <w:t xml:space="preserve">[434] </w:t>
      </w:r>
      <w:hyperlink r:id="rId698">
        <w:r>
          <w:rPr>
            <w:color w:val="1155CC"/>
            <w:u w:val="single"/>
          </w:rPr>
          <w:t>植物叶白板中光合膜中蛋白景观的不振设计原则</w:t>
        </w:r>
      </w:hyperlink>
    </w:p>
    <w:p>
      <w:pPr>
        <w:spacing w:before="0" w:after="80"/>
      </w:pPr>
      <w:r>
        <w:rPr>
          <w:i/>
          <w:sz w:val="20"/>
        </w:rPr>
        <w:t>EN: Unraveling design principles of protein landscapes in photosynthetic membranes in plant chloroplasts</w:t>
      </w:r>
    </w:p>
    <w:p>
      <w:pPr>
        <w:spacing w:before="0" w:after="120"/>
      </w:pPr>
      <w:r>
        <w:rPr>
          <w:b/>
        </w:rPr>
        <w:t xml:space="preserve">Source: </w:t>
      </w:r>
      <w:r>
        <w:t>AAAS: Science Advances: Table of Contents</w:t>
      </w:r>
      <w:r>
        <w:t xml:space="preserve">    </w:t>
      </w:r>
      <w:r>
        <w:rPr>
          <w:b/>
        </w:rPr>
        <w:t xml:space="preserve">Pub date: </w:t>
      </w:r>
      <w:r>
        <w:t>2026-02-11 08:00:00+00:00</w:t>
      </w:r>
      <w:r>
        <w:t xml:space="preserve">    </w:t>
      </w:r>
      <w:r>
        <w:rPr>
          <w:b/>
        </w:rPr>
        <w:t xml:space="preserve">DOI: </w:t>
      </w:r>
      <w:hyperlink r:id="rId699">
        <w:r>
          <w:rPr>
            <w:color w:val="1155CC"/>
            <w:u w:val="single"/>
          </w:rPr>
          <w:t>10.1126/sciadv.aeb2410</w:t>
        </w:r>
      </w:hyperlink>
    </w:p>
    <w:p>
      <w:pPr>
        <w:spacing w:before="0" w:after="120"/>
      </w:pPr>
      <w:r>
        <w:rPr>
          <w:b/>
        </w:rPr>
        <w:t xml:space="preserve">Notes: </w:t>
      </w:r>
      <w:r>
        <w:t>abstract_source=crossref</w:t>
      </w:r>
    </w:p>
    <w:p>
      <w:pPr>
        <w:spacing w:before="0" w:after="80" w:lineRule="auto" w:line="276"/>
      </w:pPr>
      <w:r>
        <w:rPr>
          <w:b/>
        </w:rPr>
        <w:t xml:space="preserve">摘要（ZH）: </w:t>
      </w:r>
      <w:r>
        <w:t>光合膜内蛋白质的超分子组织对于植物的能量转换至关重要。 在这里,我们引入了一个分析和计算管道,整合高分辨率冷冻器 — — 扫描电子显微镜、生化量化、先进的蒙特卡洛计算机模拟,以及统计方法,以阐明原状阿拉伯双膜叶中颗粒膜蛋白质的难以捉摸的景观。 我们的综合分析挑战了主流观点,即冻结裂缝样本中外光谱裂面上的颗粒只代表光子系统II。 相反,这些粒子还包括细胞色斑b 6 f 复合体。 此外,这些粒子还包含细胞色素 b 6 f 复合体。</w:t>
      </w:r>
    </w:p>
    <w:p>
      <w:pPr>
        <w:spacing w:before="0" w:after="200" w:lineRule="auto" w:line="276"/>
      </w:pPr>
      <w:r>
        <w:rPr>
          <w:b/>
        </w:rPr>
        <w:t xml:space="preserve">Abstract (EN): </w:t>
      </w:r>
      <w:r>
        <w:t>The supramolecular organization of proteins within photosynthetic membranes is crucial for energy conversion in plants. Here, we introduce an analytical and computational pipeline that integrates high-resolution cryo–scanning electron microscopy, biochemical quantification, advanced Monte Carlo computer simulations, and statistical methods to elucidate the elusive protein landscapes of grana membranes in intact</w:t>
      </w:r>
      <w:r>
        <w:t xml:space="preserve"> </w:t>
      </w:r>
      <w:r>
        <w:t>Arabidopsis</w:t>
      </w:r>
      <w:r>
        <w:t xml:space="preserve"> </w:t>
      </w:r>
      <w:r>
        <w:t>leaves. Our integrated analysis challenges the prevailing view that particles on the exoplasmic fracture faces in freeze-fracture samples represent photosystem II exclusively. Instead, these particles also include cytochrome</w:t>
      </w:r>
      <w:r>
        <w:t xml:space="preserve"> </w:t>
      </w:r>
      <w:r>
        <w:t>b</w:t>
      </w:r>
      <w:r>
        <w:rPr>
          <w:vertAlign w:val="subscript"/>
        </w:rPr>
        <w:t>6</w:t>
      </w:r>
      <w:r>
        <w:t>f</w:t>
      </w:r>
      <w:r>
        <w:t xml:space="preserve"> </w:t>
      </w:r>
      <w:r>
        <w:t>complexes. Furthermore, our steric clash analysis demonstrates that stacked membranes contain a mixture of larger PSII supercomplexes (C</w:t>
      </w:r>
      <w:r>
        <w:rPr>
          <w:vertAlign w:val="subscript"/>
        </w:rPr>
        <w:t>2</w:t>
      </w:r>
      <w:r>
        <w:t>S</w:t>
      </w:r>
      <w:r>
        <w:rPr>
          <w:vertAlign w:val="subscript"/>
        </w:rPr>
        <w:t>2</w:t>
      </w:r>
      <w:r>
        <w:t>M</w:t>
      </w:r>
      <w:r>
        <w:rPr>
          <w:vertAlign w:val="subscript"/>
        </w:rPr>
        <w:t>2</w:t>
      </w:r>
      <w:r>
        <w:t>and C</w:t>
      </w:r>
      <w:r>
        <w:rPr>
          <w:vertAlign w:val="subscript"/>
        </w:rPr>
        <w:t>2</w:t>
      </w:r>
      <w:r>
        <w:t>S</w:t>
      </w:r>
      <w:r>
        <w:rPr>
          <w:vertAlign w:val="subscript"/>
        </w:rPr>
        <w:t>2</w:t>
      </w:r>
      <w:r>
        <w:t>) in addition to a smaller complex (C</w:t>
      </w:r>
      <w:r>
        <w:rPr>
          <w:vertAlign w:val="subscript"/>
        </w:rPr>
        <w:t>2</w:t>
      </w:r>
      <w:r>
        <w:t>). This suggests that in vivo PSII supercomplexes exist in an equilibrium distribution of differing sizes. Furthermore, we discovered that, although size exclusion effects govern the global protein arrangement, local packing exhibits orientational order indicative of lateral attractive protein-protein interactions.</w:t>
      </w:r>
    </w:p>
    <w:p>
      <w:pPr>
        <w:spacing w:before="120" w:after="120"/>
      </w:pPr>
      <w:r>
        <w:rPr>
          <w:sz w:val="18"/>
        </w:rPr>
        <w:t>——————————————————————————————————————————————————————————————————————</w:t>
      </w:r>
    </w:p>
    <w:p>
      <w:pPr>
        <w:spacing w:before="160" w:after="40" w:line="240" w:lineRule="auto"/>
      </w:pPr>
      <w:r>
        <w:rPr>
          <w:b/>
        </w:rPr>
        <w:t xml:space="preserve">[435] </w:t>
      </w:r>
      <w:hyperlink r:id="rId700">
        <w:r>
          <w:rPr>
            <w:color w:val="1155CC"/>
            <w:u w:val="single"/>
          </w:rPr>
          <w:t>Natalizumab通过封锁内皮间皮性VCAM1-天文异狄氏异狄氏4α4相互作用,加剧了NMOSD中的天体细胞病症。</w:t>
        </w:r>
      </w:hyperlink>
    </w:p>
    <w:p>
      <w:pPr>
        <w:spacing w:before="0" w:after="80"/>
      </w:pPr>
      <w:r>
        <w:rPr>
          <w:i/>
          <w:sz w:val="20"/>
        </w:rPr>
        <w:t>EN: Natalizumab exacerbates astrocytopathy in NMOSD via blockade of endothelial VCAM1–astrocytic integrin α4 interaction</w:t>
      </w:r>
    </w:p>
    <w:p>
      <w:pPr>
        <w:spacing w:before="0" w:after="120"/>
      </w:pPr>
      <w:r>
        <w:rPr>
          <w:b/>
        </w:rPr>
        <w:t xml:space="preserve">Source: </w:t>
      </w:r>
      <w:r>
        <w:t>Proceedings of the National Academy of Sciences: Keyword search for query</w:t>
      </w:r>
      <w:r>
        <w:t xml:space="preserve">    </w:t>
      </w:r>
      <w:r>
        <w:rPr>
          <w:b/>
        </w:rPr>
        <w:t xml:space="preserve">Pub date: </w:t>
      </w:r>
      <w:r>
        <w:t>2026-02-11 08:00:00+00:00</w:t>
      </w:r>
      <w:r>
        <w:t xml:space="preserve">    </w:t>
      </w:r>
      <w:r>
        <w:rPr>
          <w:b/>
        </w:rPr>
        <w:t xml:space="preserve">DOI: </w:t>
      </w:r>
      <w:hyperlink r:id="rId701">
        <w:r>
          <w:rPr>
            <w:color w:val="1155CC"/>
            <w:u w:val="single"/>
          </w:rPr>
          <w:t>10.1073/pnas.2520566123</w:t>
        </w:r>
      </w:hyperlink>
    </w:p>
    <w:p>
      <w:pPr>
        <w:spacing w:before="0" w:after="120"/>
      </w:pPr>
      <w:r>
        <w:rPr>
          <w:b/>
        </w:rPr>
        <w:t xml:space="preserve">Notes: </w:t>
      </w:r>
      <w:r>
        <w:t>abstract_source=crossref</w:t>
      </w:r>
    </w:p>
    <w:p>
      <w:pPr>
        <w:spacing w:before="0" w:after="80" w:lineRule="auto" w:line="276"/>
      </w:pPr>
      <w:r>
        <w:rPr>
          <w:b/>
        </w:rPr>
        <w:t xml:space="preserve">摘要（ZH）: </w:t>
      </w:r>
      <w:r>
        <w:t>中枢神经系统(CNS)罕见的自动免疫性炎炎症(NMOSD)是中枢神经系统(CNS)的一种罕见的自动免疫性炎症(NMOSD),与多发性硬化症(MS)具有相同的临床特征,但通常表现为更严重的症状。在天体细胞上的病原IgG自体针对aquaporin-4(AQP4)渠道的存在是一个非常具体的生物标志,将NMOSD与MS区别开来。与MS不同的是,NMOSD的特征是,它具有深刻的天体力破坏特征,对治疗表现出独特的反应。 值得注意的是,在MS中有效的疾病改变疗法(DMDMTs),包括产前脊髓灰病、脑膜间炎(interferon)和支离子体,不仅未能惠及NMOSD病人,而且还可能加剧疾病的发展。</w:t>
      </w:r>
    </w:p>
    <w:p>
      <w:pPr>
        <w:spacing w:before="0" w:after="200" w:lineRule="auto" w:line="276"/>
      </w:pPr>
      <w:r>
        <w:rPr>
          <w:b/>
        </w:rPr>
        <w:t xml:space="preserve">Abstract (EN): </w:t>
      </w:r>
      <w:r>
        <w:t>Neuromyelitis optica spectrum disorder (NMOSD) is a rare autoimmune inflammatory disorder of the central nervous system (CNS) that shares clinical features with multiple sclerosis (MS) but typically manifests with more severe symptoms. The presence of pathogenic IgG autoantibodies targeting aquaporin-4 (AQP4) channels on astrocytes serves as a highly specific biomarker that distinguishes NMOSD from MS. Unlike MS, NMOSD is characterized by profound astrocytic destruction and exhibits a distinct response to therapies. Notably, disease-modifying therapies (DMTs) effective in MS, including natalizumab, interferon-β, and fingolimod, not only fail to benefit NMOSD patients but may also exacerbate disease progression. The precise molecular mechanisms underlying this immunomodulator-induced exacerbation, however, remain not yet fully elucidated. Here, we demonstrate that natalizumab alleviated experimental autoimmune encephalomyelitis (EAE) while exacerbating the autoimmune astrocytopathy in an “EAE-NMOSD” mouse model, a phenomenon associated with a reduction in actively proliferating astrocytes. Through molecular and signaling pathway analyses, we identify that endothelial-derived vascular cell adhesion molecule 1 (VCAM1) activates astrocytes via integrin α4 signaling, thereby mitigating astrocytopathy in NMOSD-like mice. Furthermore, astrocyte-specific integrin α4 deficiency exacerbates astrocytopathy, and notably, natalizumab-induced disease exacerbation does not occur in integrin α4-conditional knockout (CKO) mice. Finally, pharmacological activation of astrocytes rescues natalizumab-induced damage and ameliorates demyelination in NMOSD-like mice. Collectively, our findings provide mechanistic gaps regarding the clinical phenomenon underlying natalizumab-induced NMOSD exacerbation and suggest astrocyte-targeted therapeutic strategies as a potential intervention for NMOSD.</w:t>
      </w:r>
    </w:p>
    <w:p>
      <w:pPr>
        <w:spacing w:before="120" w:after="120"/>
      </w:pPr>
      <w:r>
        <w:rPr>
          <w:sz w:val="18"/>
        </w:rPr>
        <w:t>——————————————————————————————————————————————————————————————————————</w:t>
      </w:r>
    </w:p>
    <w:p>
      <w:pPr>
        <w:spacing w:before="160" w:after="40" w:line="240" w:lineRule="auto"/>
      </w:pPr>
      <w:r>
        <w:rPr>
          <w:b/>
        </w:rPr>
        <w:t xml:space="preserve">[436] </w:t>
      </w:r>
      <w:hyperlink r:id="rId702">
        <w:r>
          <w:rPr>
            <w:color w:val="1155CC"/>
            <w:u w:val="single"/>
          </w:rPr>
          <w:t>人工注入工程特大karyocytes,生产体内的红蛋白小板,以加强癌症免疫疗法</w:t>
        </w:r>
      </w:hyperlink>
    </w:p>
    <w:p>
      <w:pPr>
        <w:spacing w:before="0" w:after="80"/>
      </w:pPr>
      <w:r>
        <w:rPr>
          <w:i/>
          <w:sz w:val="20"/>
        </w:rPr>
        <w:t>EN: Intravenous infusion of engineered megakaryocytes to produce oncolytic platelets in vivo for enhanced cancer immunotherapy</w:t>
      </w:r>
    </w:p>
    <w:p>
      <w:pPr>
        <w:spacing w:before="0" w:after="120"/>
      </w:pPr>
      <w:r>
        <w:rPr>
          <w:b/>
        </w:rPr>
        <w:t xml:space="preserve">Source: </w:t>
      </w:r>
      <w:r>
        <w:t>Proceedings of the National Academy of Sciences: Keyword search for query</w:t>
      </w:r>
      <w:r>
        <w:t xml:space="preserve">    </w:t>
      </w:r>
      <w:r>
        <w:rPr>
          <w:b/>
        </w:rPr>
        <w:t xml:space="preserve">Pub date: </w:t>
      </w:r>
      <w:r>
        <w:t>2026-02-11 08:00:00+00:00</w:t>
      </w:r>
      <w:r>
        <w:t xml:space="preserve">    </w:t>
      </w:r>
      <w:r>
        <w:rPr>
          <w:b/>
        </w:rPr>
        <w:t xml:space="preserve">DOI: </w:t>
      </w:r>
      <w:hyperlink r:id="rId703">
        <w:r>
          <w:rPr>
            <w:color w:val="1155CC"/>
            <w:u w:val="single"/>
          </w:rPr>
          <w:t>10.1073/pnas.2419694123</w:t>
        </w:r>
      </w:hyperlink>
    </w:p>
    <w:p>
      <w:pPr>
        <w:spacing w:before="0" w:after="120"/>
      </w:pPr>
      <w:r>
        <w:rPr>
          <w:b/>
        </w:rPr>
        <w:t xml:space="preserve">Notes: </w:t>
      </w:r>
      <w:r>
        <w:t>abstract_source=crossref</w:t>
      </w:r>
    </w:p>
    <w:p>
      <w:pPr>
        <w:spacing w:before="0" w:after="80" w:lineRule="auto" w:line="276"/>
      </w:pPr>
      <w:r>
        <w:rPr>
          <w:b/>
        </w:rPr>
        <w:t xml:space="preserve">摘要（ZH）: </w:t>
      </w:r>
      <w:r>
        <w:t>通过系统管理,将肿瘤病毒(OVs)以肿瘤为对象,通过系统管理,不仅能够扩大从初级肿瘤到广泛转移的肺部治疗,而且能够改善临床的遵守和便利性。我们在这里,利用血栓状血球过程的杠杆作用,对包扎5型(M-Ad5)的肿瘤性肾上腺病毒(OVs)进行巨型虫细胞工程,以生产活性血球小板。通过静脉注射,M-Ad5通过肺部手术,释放OVs-harbored治疗小板,将OVs-harbored治疗小板在肺部动荡微型环境下循环。在切片的屏蔽下,OVs通过中和抗性抗体来抵抗不活动,并积极针对广泛的非注射性癌症损伤。M-Ad5向患A549肺癌的老鼠的静脉注入M-Ad5可能会严重抑制肿瘤。</w:t>
      </w:r>
    </w:p>
    <w:p>
      <w:pPr>
        <w:spacing w:before="0" w:after="200" w:lineRule="auto" w:line="276"/>
      </w:pPr>
      <w:r>
        <w:rPr>
          <w:b/>
        </w:rPr>
        <w:t xml:space="preserve">Abstract (EN): </w:t>
      </w:r>
      <w:r>
        <w:t>Tumor-targeted delivery of oncolytic viruses (OVs) via systemic administration could not only expand virotherapy beyond primary tumors to widespread metastases, but also improve clinical adherence and convenience. We here engineer megakaryocytes encapsulating oncolytic adenovirus type 5 (M-Ad5) to produce oncolytic platelets in vivo by leveraging the thrombopoiesis process. Upon intravenous administration, M-Ad5 travels through the lungs, where it can release OVs-harbored therapeutic platelets into circulation under pulmonary turbulence microenvironments. Under the shelter of platelets, OVs resist inactivation by neutralizing antibodies and actively target widespread noninjectable cancer lesions. Intravenous infusion of M-Ad5 to mice with A549 lung cancer could significantly inhibit tumor growth and prolong survival. In multiple mouse tumor models, M-Ad5 induced a robust antitumor immune response by reprogramming the immunosuppressive tumor microenvironment, and potentiated the response to immune checkpoint inhibitors by recruiting more immune cells. We demonstrated that M-Ad5 in combination with PDL1 inhibitors activated tumor antigen-specific CD8</w:t>
      </w:r>
      <w:r>
        <w:t xml:space="preserve"> </w:t>
      </w:r>
      <w:r>
        <w:t>+</w:t>
      </w:r>
      <w:r>
        <w:t xml:space="preserve"> </w:t>
      </w:r>
      <w:r>
        <w:t>T cells and memory T cells, thereby suppressing the growth of CT26 colorectal cancer metastasis, and preventing postsurgical B16F10 cancer recurrence and metastatic spread, as well as providing long-term immune protection against the rechallenged tumors.</w:t>
      </w:r>
    </w:p>
    <w:p>
      <w:pPr>
        <w:spacing w:before="120" w:after="120"/>
      </w:pPr>
      <w:r>
        <w:rPr>
          <w:sz w:val="18"/>
        </w:rPr>
        <w:t>——————————————————————————————————————————————————————————————————————</w:t>
      </w:r>
    </w:p>
    <w:p>
      <w:pPr>
        <w:spacing w:before="160" w:after="40" w:line="240" w:lineRule="auto"/>
      </w:pPr>
      <w:r>
        <w:rPr>
          <w:b/>
        </w:rPr>
        <w:t xml:space="preserve">[437] </w:t>
      </w:r>
      <w:hyperlink r:id="rId704">
        <w:r>
          <w:rPr>
            <w:color w:val="1155CC"/>
            <w:u w:val="single"/>
          </w:rPr>
          <w:t>无领无领的RiPPs 扩大真菌二级代谢物的堆积</w:t>
        </w:r>
      </w:hyperlink>
    </w:p>
    <w:p>
      <w:pPr>
        <w:spacing w:before="0" w:after="80"/>
      </w:pPr>
      <w:r>
        <w:rPr>
          <w:i/>
          <w:sz w:val="20"/>
        </w:rPr>
        <w:t>EN: Leaderless RiPPs expand the repertoire of fungal secondary metabolites</w:t>
      </w:r>
    </w:p>
    <w:p>
      <w:pPr>
        <w:spacing w:before="0" w:after="120"/>
      </w:pPr>
      <w:r>
        <w:rPr>
          <w:b/>
        </w:rPr>
        <w:t xml:space="preserve">Source: </w:t>
      </w:r>
      <w:r>
        <w:t>Proceedings of the National Academy of Sciences: Keyword search for query</w:t>
      </w:r>
      <w:r>
        <w:t xml:space="preserve">    </w:t>
      </w:r>
      <w:r>
        <w:rPr>
          <w:b/>
        </w:rPr>
        <w:t xml:space="preserve">Pub date: </w:t>
      </w:r>
      <w:r>
        <w:t>2026-02-11 08:00:00+00:00</w:t>
      </w:r>
      <w:r>
        <w:t xml:space="preserve">    </w:t>
      </w:r>
      <w:r>
        <w:rPr>
          <w:b/>
        </w:rPr>
        <w:t xml:space="preserve">DOI: </w:t>
      </w:r>
      <w:hyperlink r:id="rId705">
        <w:r>
          <w:rPr>
            <w:color w:val="1155CC"/>
            <w:u w:val="single"/>
          </w:rPr>
          <w:t>10.1073/pnas.2529748123</w:t>
        </w:r>
      </w:hyperlink>
    </w:p>
    <w:p>
      <w:pPr>
        <w:spacing w:before="0" w:after="120"/>
      </w:pPr>
      <w:r>
        <w:rPr>
          <w:b/>
        </w:rPr>
        <w:t xml:space="preserve">Notes: </w:t>
      </w:r>
      <w:r>
        <w:t>abstract_source=crossref</w:t>
      </w:r>
    </w:p>
    <w:p>
      <w:pPr>
        <w:spacing w:before="0" w:after="80" w:lineRule="auto" w:line="276"/>
      </w:pPr>
      <w:r>
        <w:rPr>
          <w:b/>
        </w:rPr>
        <w:t xml:space="preserve">摘要（ZH）: </w:t>
      </w:r>
      <w:r>
        <w:t>细菌、植物、动物和真菌生产的第二代代谢物是子菌、植物、动物和真菌生产的二代代代谢物。卡诺尼真菌先质的真菌RipP前体拥有在毛发期间断裂的领先序列。真菌中描述的第一种RipPP是MSDIN衍生的对致命阿曼塔蘑菇毒性负责的Peptides。在这项研究中,我们增加了对真菌RiPP的常规理解,发现了一个已经多样化且缺乏领先序列的子类,一个在真菌中无领导人RiPP的经验范例。我们用对NMR和MS/MS的组合分析,并用最新的生物信息管道将MSDIN基因配成在阿曼尼塔的无领导人Peptipeds,一个欧洲人。</w:t>
      </w:r>
    </w:p>
    <w:p>
      <w:pPr>
        <w:spacing w:before="0" w:after="200" w:lineRule="auto" w:line="276"/>
      </w:pPr>
      <w:r>
        <w:rPr>
          <w:b/>
        </w:rPr>
        <w:t xml:space="preserve">Abstract (EN): </w:t>
      </w:r>
      <w:r>
        <w:t>Ribosomally synthesized and post-translationally modified peptides (RiPPs) are secondary metabolites produced by bacteria, plants, animals, and fungi. Canonical fungal RiPP precursors possess a leader sequence cleaved during maturation. The first RiPPs described in fungi were the MSDIN-derived peptides responsible for the toxicity of lethal</w:t>
      </w:r>
      <w:r>
        <w:t xml:space="preserve"> </w:t>
      </w:r>
      <w:r>
        <w:t>Amanita</w:t>
      </w:r>
      <w:r>
        <w:t xml:space="preserve"> </w:t>
      </w:r>
      <w:r>
        <w:t>mushrooms. In this study, we upend the conventional understanding of fungal RiPPs, discovering a subclass that has diversified and lacks a leader sequence, an empirical example of leaderless RiPPs in fungi. We use a combinatorial analysis of NMR and MS/MS with an updated bioinformatic pipeline to pair MSDIN genes to leaderless peptides in</w:t>
      </w:r>
      <w:r>
        <w:t xml:space="preserve"> </w:t>
      </w:r>
      <w:r>
        <w:t>Amanita phalloides</w:t>
      </w:r>
      <w:r>
        <w:t xml:space="preserve"> </w:t>
      </w:r>
      <w:r>
        <w:t>, a European species spreading in California. Leaderless MSDIN transcripts are expressed several orders of magnitude more than most canonical MSDINs, with significantly higher expression in invasive populations. Our results redefine the understanding of fungal RiPP architectures and suggest differential regulation of non-canonical RiPPs may contribute to the invasion biology of the world’s deadliest mushroom.</w:t>
      </w:r>
    </w:p>
    <w:p>
      <w:pPr>
        <w:spacing w:before="120" w:after="120"/>
      </w:pPr>
      <w:r>
        <w:rPr>
          <w:sz w:val="18"/>
        </w:rPr>
        <w:t>——————————————————————————————————————————————————————————————————————</w:t>
      </w:r>
    </w:p>
    <w:p>
      <w:pPr>
        <w:spacing w:before="160" w:after="40" w:line="240" w:lineRule="auto"/>
      </w:pPr>
      <w:r>
        <w:rPr>
          <w:b/>
        </w:rPr>
        <w:t xml:space="preserve">[438] </w:t>
      </w:r>
      <w:hyperlink r:id="rId706">
        <w:r>
          <w:rPr>
            <w:color w:val="1155CC"/>
            <w:u w:val="single"/>
          </w:rPr>
          <w:t>一般福利:从经济角度考虑公平问题</w:t>
        </w:r>
      </w:hyperlink>
    </w:p>
    <w:p>
      <w:pPr>
        <w:spacing w:before="0" w:after="80"/>
      </w:pPr>
      <w:r>
        <w:rPr>
          <w:i/>
          <w:sz w:val="20"/>
        </w:rPr>
        <w:t>EN: What is the general Welfare: Welfare economic perspectives on equity</w:t>
      </w:r>
    </w:p>
    <w:p>
      <w:pPr>
        <w:spacing w:before="0" w:after="120"/>
      </w:pPr>
      <w:r>
        <w:rPr>
          <w:b/>
        </w:rPr>
        <w:t xml:space="preserve">Source: </w:t>
      </w:r>
      <w:r>
        <w:t>Proceedings of the National Academy of Sciences: Keyword search for query</w:t>
      </w:r>
      <w:r>
        <w:t xml:space="preserve">    </w:t>
      </w:r>
      <w:r>
        <w:rPr>
          <w:b/>
        </w:rPr>
        <w:t xml:space="preserve">Pub date: </w:t>
      </w:r>
      <w:r>
        <w:t>2026-02-11 08:00:00+00:00</w:t>
      </w:r>
      <w:r>
        <w:t xml:space="preserve">    </w:t>
      </w:r>
      <w:r>
        <w:rPr>
          <w:b/>
        </w:rPr>
        <w:t xml:space="preserve">DOI: </w:t>
      </w:r>
      <w:hyperlink r:id="rId707">
        <w:r>
          <w:rPr>
            <w:color w:val="1155CC"/>
            <w:u w:val="single"/>
          </w:rPr>
          <w:t>10.1073/pnas.2529376123</w:t>
        </w:r>
      </w:hyperlink>
    </w:p>
    <w:p>
      <w:pPr>
        <w:spacing w:before="0" w:after="120"/>
      </w:pPr>
      <w:r>
        <w:rPr>
          <w:b/>
        </w:rPr>
        <w:t xml:space="preserve">Notes: </w:t>
      </w:r>
      <w:r>
        <w:t>abstract_source=crossref</w:t>
      </w:r>
    </w:p>
    <w:p>
      <w:pPr>
        <w:spacing w:before="0" w:after="80" w:lineRule="auto" w:line="276"/>
      </w:pPr>
      <w:r>
        <w:rPr>
          <w:b/>
        </w:rPr>
        <w:t xml:space="preserve">摘要（ZH）: </w:t>
      </w:r>
      <w:r>
        <w:t>研究者不能肯定地解释美国《宪法》制定者在写“一般福利”时的意图是什么。 然而,研究人员可以通过具体规定社会福利功能来猜测,这些功能旨在表达民众的偏好。 福利经济学的大量文献对此问题做出了回应。然而,经济学家往往通过假设个人有同质、间接主义和自我偏好来简化政策分析。个人可以持有各种不同的私人和分配偏好。为了加强政策分析,经济学家应该具体规定社会福利功能,以体现个人实际偏好的丰富性和多样性。可能性很大。我注重公平偏好。</w:t>
      </w:r>
    </w:p>
    <w:p>
      <w:pPr>
        <w:spacing w:before="0" w:after="200" w:lineRule="auto" w:line="276"/>
      </w:pPr>
      <w:r>
        <w:rPr>
          <w:b/>
        </w:rPr>
        <w:t xml:space="preserve">Abstract (EN): </w:t>
      </w:r>
      <w:r>
        <w:t>Researchers cannot definitely interpret what the framers of the United States Constitution intended when they wrote of the “general Welfare.” Nevertheless, researchers can conjecture by specifying social welfare functions that aim to express the preferences of the population. An extensive literature in welfare economics addresses the matter. Nevertheless, economists have often simplified policy analysis by assuming that individuals have homogeneous, consequentialist, and self-centered preferences. Individuals may hold heterogeneous private and distributional preferences. To enhance policy analysis, economists should specify social welfare functions that express the richness and variety of actual personal preferences. The possibilities are vast. I focus on preferences for equity. There has been much controversy regarding interpretation of equity, a term that public discourse has used in vague and conflicting ways. Specifying social welfare functions that formally express different interpretations of equity will not eliminate disagreements, but it should clarify concepts and reduce the inconsistencies that afflict verbal communication.</w:t>
      </w:r>
    </w:p>
    <w:p>
      <w:pPr>
        <w:spacing w:before="120" w:after="120"/>
      </w:pPr>
      <w:r>
        <w:rPr>
          <w:sz w:val="18"/>
        </w:rPr>
        <w:t>——————————————————————————————————————————————————————————————————————</w:t>
      </w:r>
    </w:p>
    <w:p>
      <w:pPr>
        <w:spacing w:before="160" w:after="40" w:line="240" w:lineRule="auto"/>
      </w:pPr>
      <w:r>
        <w:rPr>
          <w:b/>
        </w:rPr>
        <w:t xml:space="preserve">[439] </w:t>
      </w:r>
      <w:hyperlink r:id="rId708">
        <w:r>
          <w:rPr>
            <w:color w:val="1155CC"/>
            <w:u w:val="single"/>
          </w:rPr>
          <w:t>GM-CSF替代自动免疫性肺肺肺肺动肺蛋白质病</w:t>
        </w:r>
      </w:hyperlink>
    </w:p>
    <w:p>
      <w:pPr>
        <w:spacing w:before="0" w:after="80"/>
      </w:pPr>
      <w:r>
        <w:rPr>
          <w:i/>
          <w:sz w:val="20"/>
        </w:rPr>
        <w:t>EN: Lipid nanoparticle GM-CSF replacement for autoimmune pulmonary alveolar proteinosis</w:t>
      </w:r>
    </w:p>
    <w:p>
      <w:pPr>
        <w:spacing w:before="0" w:after="120"/>
      </w:pPr>
      <w:r>
        <w:rPr>
          <w:b/>
        </w:rPr>
        <w:t xml:space="preserve">Source: </w:t>
      </w:r>
      <w:r>
        <w:t>Proceedings of the National Academy of Sciences: Keyword search for query</w:t>
      </w:r>
      <w:r>
        <w:t xml:space="preserve">    </w:t>
      </w:r>
      <w:r>
        <w:rPr>
          <w:b/>
        </w:rPr>
        <w:t xml:space="preserve">Pub date: </w:t>
      </w:r>
      <w:r>
        <w:t>2026-02-11 08:00:00+00:00</w:t>
      </w:r>
      <w:r>
        <w:t xml:space="preserve">    </w:t>
      </w:r>
      <w:r>
        <w:rPr>
          <w:b/>
        </w:rPr>
        <w:t xml:space="preserve">DOI: </w:t>
      </w:r>
      <w:hyperlink r:id="rId709">
        <w:r>
          <w:rPr>
            <w:color w:val="1155CC"/>
            <w:u w:val="single"/>
          </w:rPr>
          <w:t>10.1073/pnas.2511483123</w:t>
        </w:r>
      </w:hyperlink>
    </w:p>
    <w:p>
      <w:pPr>
        <w:spacing w:before="0" w:after="120"/>
      </w:pPr>
      <w:r>
        <w:rPr>
          <w:b/>
        </w:rPr>
        <w:t xml:space="preserve">Notes: </w:t>
      </w:r>
      <w:r>
        <w:t>abstract_source=crossref</w:t>
      </w:r>
    </w:p>
    <w:p>
      <w:pPr>
        <w:spacing w:before="0" w:after="80" w:lineRule="auto" w:line="276"/>
      </w:pPr>
      <w:r>
        <w:rPr>
          <w:b/>
        </w:rPr>
        <w:t xml:space="preserve">摘要（ZH）: </w:t>
      </w:r>
      <w:r>
        <w:t>临床数据表明,吸入再结合的GM-CSF会减少AP病人的症状,为以MRNA为基础的以MRNA为基础的GM-CSF替代疗法提供了理由。然而,这需要在NUB化后有效交付MRNA。在这里,我们报告了一种称为NUB化肺交付2(NLD2)的脂纳米粒子在体外的迭接设计,在神经化后有效提供MRNA。</w:t>
      </w:r>
    </w:p>
    <w:p>
      <w:pPr>
        <w:spacing w:before="0" w:after="200" w:lineRule="auto" w:line="276"/>
      </w:pPr>
      <w:r>
        <w:rPr>
          <w:b/>
        </w:rPr>
        <w:t xml:space="preserve">Abstract (EN): </w:t>
      </w:r>
      <w:r>
        <w:t>Granulocyte–macrophage colony-stimulating factor (GM-CSF) deficiency drives autoimmune pulmonary alveolar proteinosis (aPAP), a disease characterized by impaired macrophage-mediated clearance of pulmonary surfactants. Clinical data suggest that inhaled recombinant GM-CSF reduces symptoms in aPAP patients, providing a rationale for mRNA-based GM-CSF replacement therapies. However, these require effective mRNA delivery after nebulization. Here, we report the iterative in vivo design of a lipid nanoparticle, named nebulized lung delivery 2 (NLD2), that efficiently delivers mRNA after nebulization. NLD2 carrying GM-CSF mRNA transfected alveolar macrophages in vivo, leading to interleukin-10 pathway activation and subsequent surfactant lipoprotein clearance. In a preclinical disease model of aPAP, GM-CSF mRNA delivery reduced surfactant protein thickness more than recombinant GM-CSF. These data support continued exploration of nebulized lipid nanoparticle therapies for aPAP.</w:t>
      </w:r>
    </w:p>
    <w:p>
      <w:pPr>
        <w:spacing w:before="120" w:after="120"/>
      </w:pPr>
      <w:r>
        <w:rPr>
          <w:sz w:val="18"/>
        </w:rPr>
        <w:t>——————————————————————————————————————————————————————————————————————</w:t>
      </w:r>
    </w:p>
    <w:p>
      <w:pPr>
        <w:spacing w:before="160" w:after="40" w:line="240" w:lineRule="auto"/>
      </w:pPr>
      <w:r>
        <w:rPr>
          <w:b/>
        </w:rPr>
        <w:t xml:space="preserve">[440] </w:t>
      </w:r>
      <w:hyperlink r:id="rId710">
        <w:r>
          <w:rPr>
            <w:color w:val="1155CC"/>
            <w:u w:val="single"/>
          </w:rPr>
          <w:t>商品边境更缓慢地向热带森林扩展,森林小农户在热带森林中</w:t>
        </w:r>
      </w:hyperlink>
    </w:p>
    <w:p>
      <w:pPr>
        <w:spacing w:before="0" w:after="80"/>
      </w:pPr>
      <w:r>
        <w:rPr>
          <w:i/>
          <w:sz w:val="20"/>
        </w:rPr>
        <w:t>EN: Commodity frontiers expand more slowly into tropical forests where forest smallholders are present</w:t>
      </w:r>
    </w:p>
    <w:p>
      <w:pPr>
        <w:spacing w:before="0" w:after="120"/>
      </w:pPr>
      <w:r>
        <w:rPr>
          <w:b/>
        </w:rPr>
        <w:t xml:space="preserve">Source: </w:t>
      </w:r>
      <w:r>
        <w:t>Proceedings of the National Academy of Sciences: Keyword search for query</w:t>
      </w:r>
      <w:r>
        <w:t xml:space="preserve">    </w:t>
      </w:r>
      <w:r>
        <w:rPr>
          <w:b/>
        </w:rPr>
        <w:t xml:space="preserve">Pub date: </w:t>
      </w:r>
      <w:r>
        <w:t>2026-02-11 08:00:00+00:00</w:t>
      </w:r>
      <w:r>
        <w:t xml:space="preserve">    </w:t>
      </w:r>
      <w:r>
        <w:rPr>
          <w:b/>
        </w:rPr>
        <w:t xml:space="preserve">DOI: </w:t>
      </w:r>
      <w:hyperlink r:id="rId711">
        <w:r>
          <w:rPr>
            <w:color w:val="1155CC"/>
            <w:u w:val="single"/>
          </w:rPr>
          <w:t>10.1073/pnas.2528453123</w:t>
        </w:r>
      </w:hyperlink>
    </w:p>
    <w:p>
      <w:pPr>
        <w:spacing w:before="0" w:after="120"/>
      </w:pPr>
      <w:r>
        <w:rPr>
          <w:b/>
        </w:rPr>
        <w:t xml:space="preserve">Notes: </w:t>
      </w:r>
      <w:r>
        <w:t>abstract_source=crossref</w:t>
      </w:r>
    </w:p>
    <w:p>
      <w:pPr>
        <w:spacing w:before="0" w:after="80" w:lineRule="auto" w:line="276"/>
      </w:pPr>
      <w:r>
        <w:rPr>
          <w:b/>
        </w:rPr>
        <w:t xml:space="preserve">摘要（ZH）: </w:t>
      </w:r>
      <w:r>
        <w:t>将商品农业扩展到热带森林带来了重大的社会生态影响。 但很少有人知道推动这一扩张的资本化行为者与小农户之间在何地以及如何互动,特别是在小农户居住在森林内的地方。 它们在毁林问题上互动的两种替代结果是有道理的:随着所有行为者争夺土地而加速砍伐森林(即土地高峰假说 ), 或者,作为阻碍彼此扩张的行为者而减缓砍伐森林(即竞争假说 ) 。 我们测试这两个全球毁林热点的假设:干查科(Dry Chaco)和奇基塔诺森林(共近100万平方公里 ), 使用覆盖空间重叠的陆地系统代表。</w:t>
      </w:r>
    </w:p>
    <w:p>
      <w:pPr>
        <w:spacing w:before="0" w:after="200" w:lineRule="auto" w:line="276"/>
      </w:pPr>
      <w:r>
        <w:rPr>
          <w:b/>
        </w:rPr>
        <w:t xml:space="preserve">Abstract (EN): </w:t>
      </w:r>
      <w:r>
        <w:t>The expansion of commodity agriculture into tropical forests leads to major social–ecological impacts. Yet little is known about where and how the capitalized actors driving this expansion interact with smallholders, particularly where smallholders live inside the forest. Two alternative outcomes of their interactions on deforestation are plausible: accelerated deforestation as all actors compete for land (i.e., land rush hypothesis) or, alternatively, slower deforestation as actors hinder each other’s expansion (i.e., competition hypothesis). We test these hypotheses for two global deforestation hotspots: the Dry Chaco and the Chiquitano Forests (together nearly 1 million km</w:t>
      </w:r>
      <w:r>
        <w:rPr>
          <w:vertAlign w:val="subscript"/>
        </w:rPr>
        <w:t>2</w:t>
      </w:r>
      <w:r>
        <w:t>), using a land-systems representation that captures spatially overlapping land-use actors. We integrate satellite-based forest-loss time series with an independent reconstruction of land-system change from 2000 to 2023 in a Bayesian regression framework. This reveals three key findings: First, capitalized agriculture has expanded mainly over areas used by forest-dependent smallholders and Indigenous communities, indicating strongly intensifying land competition. Second, where forest-dwelling smallholders persist, their presence can mitigate deforestation pressure from expanding commodity frontiers. Third, the presence of either forest-dwelling smallholders or conservation areas maintains forest cover, but their combined presence does not amplify the protection effect. Overall, our findings show that interactions between agribusinesses and smallholders are key factors that shape the social–ecological outcomes of frontier expansion in the tropics. Accounting for land-system overlaps in research and policymaking on frontiers can therefore improve efforts to safeguard forests while supporting traditional livelihoods, especially in contested, rapidly changing landscapes.</w:t>
      </w:r>
    </w:p>
    <w:p>
      <w:pPr>
        <w:spacing w:before="120" w:after="120"/>
      </w:pPr>
      <w:r>
        <w:rPr>
          <w:sz w:val="18"/>
        </w:rPr>
        <w:t>——————————————————————————————————————————————————————————————————————</w:t>
      </w:r>
    </w:p>
    <w:p>
      <w:pPr>
        <w:spacing w:before="160" w:after="40" w:line="240" w:lineRule="auto"/>
      </w:pPr>
      <w:r>
        <w:rPr>
          <w:b/>
        </w:rPr>
        <w:t xml:space="preserve">[441] </w:t>
      </w:r>
      <w:hyperlink r:id="rId712">
        <w:r>
          <w:rPr>
            <w:color w:val="1155CC"/>
            <w:u w:val="single"/>
          </w:rPr>
          <w:t>含有ADP-肋骨折变的血清合成和翻译后修改的peptide</w:t>
        </w:r>
      </w:hyperlink>
    </w:p>
    <w:p>
      <w:pPr>
        <w:spacing w:before="0" w:after="80"/>
      </w:pPr>
      <w:r>
        <w:rPr>
          <w:i/>
          <w:sz w:val="20"/>
        </w:rPr>
        <w:t>EN: A ribosomally synthesized and posttranslationally modified peptide with ADP-ribosylation</w:t>
      </w:r>
    </w:p>
    <w:p>
      <w:pPr>
        <w:spacing w:before="0" w:after="120"/>
      </w:pPr>
      <w:r>
        <w:rPr>
          <w:b/>
        </w:rPr>
        <w:t xml:space="preserve">Source: </w:t>
      </w:r>
      <w:r>
        <w:t>Proceedings of the National Academy of Sciences: Keyword search for query</w:t>
      </w:r>
      <w:r>
        <w:t xml:space="preserve">    </w:t>
      </w:r>
      <w:r>
        <w:rPr>
          <w:b/>
        </w:rPr>
        <w:t xml:space="preserve">Pub date: </w:t>
      </w:r>
      <w:r>
        <w:t>2026-02-11 08:00:00+00:00</w:t>
      </w:r>
      <w:r>
        <w:t xml:space="preserve">    </w:t>
      </w:r>
      <w:r>
        <w:rPr>
          <w:b/>
        </w:rPr>
        <w:t xml:space="preserve">DOI: </w:t>
      </w:r>
      <w:hyperlink r:id="rId713">
        <w:r>
          <w:rPr>
            <w:color w:val="1155CC"/>
            <w:u w:val="single"/>
          </w:rPr>
          <w:t>10.1073/pnas.2527653123</w:t>
        </w:r>
      </w:hyperlink>
    </w:p>
    <w:p>
      <w:pPr>
        <w:spacing w:before="0" w:after="120"/>
      </w:pPr>
      <w:r>
        <w:rPr>
          <w:b/>
        </w:rPr>
        <w:t xml:space="preserve">Notes: </w:t>
      </w:r>
      <w:r>
        <w:t>abstract_source=crossref</w:t>
      </w:r>
    </w:p>
    <w:p>
      <w:pPr>
        <w:spacing w:before="0" w:after="80" w:lineRule="auto" w:line="276"/>
      </w:pPr>
      <w:r>
        <w:rPr>
          <w:b/>
        </w:rPr>
        <w:t xml:space="preserve">摘要（ZH）: </w:t>
      </w:r>
      <w:r>
        <w:t>Ribosom合成和后翻译修改的peptides(RiPPs)是发现新的酶化学和结构复杂性的肥沃土壤。在这里,我们描述通过加密生物合成基因组的异血化表达方式获得的异异异ADP-里正辛基三氯化物。结构和功能分析揭示了交叉联系、ADP-肋骨结合和氧化性peptide分裂的结合,突出了RipP路径生成高度功能化分子架子的能力。通过将ADP-ribosylation作为以前不被承认的RipP的修改和暴露在激进的SAM和非铁酶中的再活性,这项工作扩大了RipPB生物合成化学的景观,并为天然产品潜水提供了机会。</w:t>
      </w:r>
    </w:p>
    <w:p>
      <w:pPr>
        <w:spacing w:before="0" w:after="200" w:lineRule="auto" w:line="276"/>
      </w:pPr>
      <w:r>
        <w:rPr>
          <w:b/>
        </w:rPr>
        <w:t xml:space="preserve">Abstract (EN): </w:t>
      </w:r>
      <w:r>
        <w:t>Ribosomally synthesized and posttranslationally modified peptides (RiPPs) are a fertile ground for uncovering new enzymatic chemistry and structural complexity. Here, we describe minviopeptin, an unusual ADP-ribosylated triceptide accessed through heterologous expression of a cryptic biosynthetic gene cluster. Structural and functional analyses reveal a combination of crosslinking, ADP-ribosylation, and oxidative peptide cleavage, underscoring the capacity of RiPP pathways to generate densely functionalized molecular scaffolds. By revealing ADP-ribosylation as a previously unrecognized RiPP modification and exposing reactivity within radical SAM and nonheme iron enzymes, this work broadens the landscape of RiPP biosynthetic chemistries and offers opportunities for natural product diversification and peptide engineering.</w:t>
      </w:r>
    </w:p>
    <w:p>
      <w:pPr>
        <w:spacing w:before="120" w:after="120"/>
      </w:pPr>
      <w:r>
        <w:rPr>
          <w:sz w:val="18"/>
        </w:rPr>
        <w:t>——————————————————————————————————————————————————————————————————————</w:t>
      </w:r>
    </w:p>
    <w:p>
      <w:pPr>
        <w:spacing w:before="160" w:after="40" w:line="240" w:lineRule="auto"/>
      </w:pPr>
      <w:r>
        <w:rPr>
          <w:b/>
        </w:rPr>
        <w:t xml:space="preserve">[442] </w:t>
      </w:r>
      <w:hyperlink r:id="rId714">
        <w:r>
          <w:rPr>
            <w:color w:val="1155CC"/>
            <w:u w:val="single"/>
          </w:rPr>
          <w:t>双倍抑制Mtor和Calceneurin路径会减少失踪的自我-由NK 细胞-中间显微血管排斥</w:t>
        </w:r>
      </w:hyperlink>
    </w:p>
    <w:p>
      <w:pPr>
        <w:spacing w:before="0" w:after="80"/>
      </w:pPr>
      <w:r>
        <w:rPr>
          <w:i/>
          <w:sz w:val="20"/>
        </w:rPr>
        <w:t>EN: Dual inhibition of mTOR and calcineurin pathways mitigates missing self–induced NK cell–mediated microvascular rejection</w:t>
      </w:r>
    </w:p>
    <w:p>
      <w:pPr>
        <w:spacing w:before="0" w:after="120"/>
      </w:pPr>
      <w:r>
        <w:rPr>
          <w:b/>
        </w:rPr>
        <w:t xml:space="preserve">Source: </w:t>
      </w:r>
      <w:r>
        <w:t>Proceedings of the National Academy of Sciences: Keyword search for query</w:t>
      </w:r>
      <w:r>
        <w:t xml:space="preserve">    </w:t>
      </w:r>
      <w:r>
        <w:rPr>
          <w:b/>
        </w:rPr>
        <w:t xml:space="preserve">Pub date: </w:t>
      </w:r>
      <w:r>
        <w:t>2026-02-11 08:00:00+00:00</w:t>
      </w:r>
      <w:r>
        <w:t xml:space="preserve">    </w:t>
      </w:r>
      <w:r>
        <w:rPr>
          <w:b/>
        </w:rPr>
        <w:t xml:space="preserve">DOI: </w:t>
      </w:r>
      <w:hyperlink r:id="rId715">
        <w:r>
          <w:rPr>
            <w:color w:val="1155CC"/>
            <w:u w:val="single"/>
          </w:rPr>
          <w:t>10.1073/pnas.2516594123</w:t>
        </w:r>
      </w:hyperlink>
    </w:p>
    <w:p>
      <w:pPr>
        <w:spacing w:before="0" w:after="120"/>
      </w:pPr>
      <w:r>
        <w:rPr>
          <w:b/>
        </w:rPr>
        <w:t xml:space="preserve">Notes: </w:t>
      </w:r>
      <w:r>
        <w:t>abstract_source=crossref</w:t>
      </w:r>
    </w:p>
    <w:p>
      <w:pPr>
        <w:spacing w:before="0" w:after="80" w:lineRule="auto" w:line="276"/>
      </w:pPr>
      <w:r>
        <w:rPr>
          <w:b/>
        </w:rPr>
        <w:t xml:space="preserve">摘要（ZH）: </w:t>
      </w:r>
      <w:r>
        <w:t>移植内皮细胞无法向接收的自然杀手(NK)细胞提供HLA-I依赖的抑制性抑制信号(自失自我,MS,MS),驱动捐赠者特有的抗体独立的显性显微血管炎(MVI),导致移植失败。这项研究旨在阐明与MS有联系的NK细胞激活和探索治疗战略的信号路径。肾移植生物模型分析确定钙信号信号路径和微粒是MS诱发NK细胞激活的关键调节器。开发了两种实验模型来模仿病态:在人类纳戈尔诺-卡拉巴赫细胞的体外培养中,带有异源性微血管内皮细胞和一个肌肉心脏移植模型。这些模型表明,单是卡列苯霉素抑制剂(CNI)就有一个有限的模型。</w:t>
      </w:r>
    </w:p>
    <w:p>
      <w:pPr>
        <w:spacing w:before="0" w:after="200" w:lineRule="auto" w:line="276"/>
      </w:pPr>
      <w:r>
        <w:rPr>
          <w:b/>
        </w:rPr>
        <w:t xml:space="preserve">Abstract (EN): </w:t>
      </w:r>
      <w:r>
        <w:t>The inability of graft endothelial cells to deliver HLA-I-dependent inhibitory signals to recipient natural killer (NK) cells (missing self, MS), drives donor-specific antibody-independent microvascular inflammation (MVI), leading to graft failure. This study aimed to elucidate the signaling pathways involved in MS-associated NK cell activation and explore therapeutic strategies. Analyses of kidney graft biopsies identified calcium signaling pathways and mTOR as a key regulator of MS-induced NK cell activation. Two experimental models were developed to mimic the pathological condition: in vitro cocultures of human NK cells with allogeneic microvascular endothelial cells and a murine heart transplantation model. These models showed that while calcineurin inhibitor (CNI) alone had a limited impact, combining CNI with mTOR inhibitors (mTORinh) synergistically reduced NK cell activation and endothelial damage. In a pilot clinical study involving 50 renal transplant recipients with MS-associated NK cell–mediated microvascular inflammation, patients who tolerated mTORinh introduced on top of CNI at diagnosis demonstrated reduced MVI lesions and improved graft survival compared to a historical cohort left on CNI and mycophenolate mofetil. This translational study identifies mTOR inhibition as a pivotal adjunct to CNI in mitigating MS-associated NK cell–mediated inflammation, potentially improving long-term graft outcomes.</w:t>
      </w:r>
    </w:p>
    <w:p>
      <w:pPr>
        <w:spacing w:before="120" w:after="120"/>
      </w:pPr>
      <w:r>
        <w:rPr>
          <w:sz w:val="18"/>
        </w:rPr>
        <w:t>——————————————————————————————————————————————————————————————————————</w:t>
      </w:r>
    </w:p>
    <w:p>
      <w:pPr>
        <w:spacing w:before="160" w:after="40" w:line="240" w:lineRule="auto"/>
      </w:pPr>
      <w:r>
        <w:rPr>
          <w:b/>
        </w:rPr>
        <w:t xml:space="preserve">[443] </w:t>
      </w:r>
      <w:hyperlink r:id="rId716">
        <w:r>
          <w:rPr>
            <w:color w:val="1155CC"/>
            <w:u w:val="single"/>
          </w:rPr>
          <w:t>Epsilon-near-near-0薄薄薄膜与进行聚合物纳米乙烷之间的电联结</w:t>
        </w:r>
      </w:hyperlink>
    </w:p>
    <w:p>
      <w:pPr>
        <w:spacing w:before="0" w:after="80"/>
      </w:pPr>
      <w:r>
        <w:rPr>
          <w:i/>
          <w:sz w:val="20"/>
        </w:rPr>
        <w:t>EN: Electrotunable coupling between an epsilon-near-zero thin film and conducting polymer nanoantennas</w:t>
      </w:r>
    </w:p>
    <w:p>
      <w:pPr>
        <w:spacing w:before="0" w:after="120"/>
      </w:pPr>
      <w:r>
        <w:rPr>
          <w:b/>
        </w:rPr>
        <w:t xml:space="preserve">Source: </w:t>
      </w:r>
      <w:r>
        <w:t>Proceedings of the National Academy of Sciences: Keyword search for query</w:t>
      </w:r>
      <w:r>
        <w:t xml:space="preserve">    </w:t>
      </w:r>
      <w:r>
        <w:rPr>
          <w:b/>
        </w:rPr>
        <w:t xml:space="preserve">Pub date: </w:t>
      </w:r>
      <w:r>
        <w:t>2026-02-11 08:00:00+00:00</w:t>
      </w:r>
      <w:r>
        <w:t xml:space="preserve">    </w:t>
      </w:r>
      <w:r>
        <w:rPr>
          <w:b/>
        </w:rPr>
        <w:t xml:space="preserve">DOI: </w:t>
      </w:r>
      <w:hyperlink r:id="rId717">
        <w:r>
          <w:rPr>
            <w:color w:val="1155CC"/>
            <w:u w:val="single"/>
          </w:rPr>
          <w:t>10.1073/pnas.2517549123</w:t>
        </w:r>
      </w:hyperlink>
    </w:p>
    <w:p>
      <w:pPr>
        <w:spacing w:before="0" w:after="120"/>
      </w:pPr>
      <w:r>
        <w:rPr>
          <w:b/>
        </w:rPr>
        <w:t xml:space="preserve">Notes: </w:t>
      </w:r>
      <w:r>
        <w:t>abstract_source=crossref</w:t>
      </w:r>
    </w:p>
    <w:p>
      <w:pPr>
        <w:spacing w:before="0" w:after="80" w:lineRule="auto" w:line="276"/>
      </w:pPr>
      <w:r>
        <w:rPr>
          <w:b/>
        </w:rPr>
        <w:t xml:space="preserve">摘要（ZH）: </w:t>
      </w:r>
      <w:r>
        <w:t>纳米结构化聚合物中的等离子共振共振为活跃的金枪鱼式纳米光谱和元表层提供了一条令人信服的途径,因为它们能够通过电化学剂量进行动态调节。 虽然它们较低的运动力限制了与高贵金属质谱质相比的共振质量,但我们实验性地证明,进行聚合纳米硝基纳的共振能有效地将底部薄丁氧化锡层的薄丁二氧化锡层的聚-近零(ENZ)模式与高贵金属粒子-ENZ相互作用方式相组合在一起。 我们显示,通过电偏差或化学再氧化控制,组合强度可以通过电动偏差或化学再氧化控制进行可变变变变变,从而能够以超过90%的调制深度对ENZ层的电磁场增强进行动态调整。</w:t>
      </w:r>
    </w:p>
    <w:p>
      <w:pPr>
        <w:spacing w:before="0" w:after="200" w:lineRule="auto" w:line="276"/>
      </w:pPr>
      <w:r>
        <w:rPr>
          <w:b/>
        </w:rPr>
        <w:t xml:space="preserve">Abstract (EN): </w:t>
      </w:r>
      <w:r>
        <w:t>Plasmonic resonances in nanostructured conducting polymers provide a compelling route to actively tunable nanophotonics and metasurfaces, owing to their ability to be dynamically modulated through electrochemical doping. Although their lower mobility limits resonance quality compared to noble metal plasmonics, we experimentally demonstrate that the resonances of conducting polymer nanoantennas can effectively couple to epsilon-near-zero (ENZ) mode of an underlying thin indium tin oxide layer, in a manner analogous to noble metal plasmon–ENZ interactions. We show that the coupling strength can be modulated reversibly via electrical bias or chemical redox control, enabling dynamic tuning of electromagnetic field enhancement in the ENZ layer with a modulation depth exceeding 90%. These findings establish conducting polymer nanoantennas as a versatile platform for reconfigurable ENZ-based photonic systems, paving the way for nanophotonic devices with tunable linear and nonlinear optical functionalities.</w:t>
      </w:r>
    </w:p>
    <w:p>
      <w:pPr>
        <w:spacing w:before="120" w:after="120"/>
      </w:pPr>
      <w:r>
        <w:rPr>
          <w:sz w:val="18"/>
        </w:rPr>
        <w:t>——————————————————————————————————————————————————————————————————————</w:t>
      </w:r>
    </w:p>
    <w:p>
      <w:pPr>
        <w:spacing w:before="160" w:after="40" w:line="240" w:lineRule="auto"/>
      </w:pPr>
      <w:r>
        <w:rPr>
          <w:b/>
        </w:rPr>
        <w:t xml:space="preserve">[444] </w:t>
      </w:r>
      <w:hyperlink r:id="rId718">
        <w:r>
          <w:rPr>
            <w:color w:val="1155CC"/>
            <w:u w:val="single"/>
          </w:rPr>
          <w:t>对向向变形过渡的异异基因控制</w:t>
        </w:r>
      </w:hyperlink>
    </w:p>
    <w:p>
      <w:pPr>
        <w:spacing w:before="0" w:after="80"/>
      </w:pPr>
      <w:r>
        <w:rPr>
          <w:i/>
          <w:sz w:val="20"/>
        </w:rPr>
        <w:t>EN: Optogenetic control of transition to metamorphosis</w:t>
      </w:r>
    </w:p>
    <w:p>
      <w:pPr>
        <w:spacing w:before="0" w:after="120"/>
      </w:pPr>
      <w:r>
        <w:rPr>
          <w:b/>
        </w:rPr>
        <w:t xml:space="preserve">Source: </w:t>
      </w:r>
      <w:r>
        <w:t>Proceedings of the National Academy of Sciences: Keyword search for query</w:t>
      </w:r>
      <w:r>
        <w:t xml:space="preserve">    </w:t>
      </w:r>
      <w:r>
        <w:rPr>
          <w:b/>
        </w:rPr>
        <w:t xml:space="preserve">Pub date: </w:t>
      </w:r>
      <w:r>
        <w:t>2026-02-11 08:00:00+00:00</w:t>
      </w:r>
      <w:r>
        <w:t xml:space="preserve">    </w:t>
      </w:r>
      <w:r>
        <w:rPr>
          <w:b/>
        </w:rPr>
        <w:t xml:space="preserve">DOI: </w:t>
      </w:r>
      <w:hyperlink r:id="rId719">
        <w:r>
          <w:rPr>
            <w:color w:val="1155CC"/>
            <w:u w:val="single"/>
          </w:rPr>
          <w:t>10.1073/pnas.2524141123</w:t>
        </w:r>
      </w:hyperlink>
    </w:p>
    <w:p>
      <w:pPr>
        <w:spacing w:before="0" w:after="120"/>
      </w:pPr>
      <w:r>
        <w:rPr>
          <w:b/>
        </w:rPr>
        <w:t xml:space="preserve">Notes: </w:t>
      </w:r>
      <w:r>
        <w:t>abstract_source=crossref</w:t>
      </w:r>
    </w:p>
    <w:p>
      <w:pPr>
        <w:spacing w:before="0" w:after="80" w:lineRule="auto" w:line="276"/>
      </w:pPr>
      <w:r>
        <w:rPr>
          <w:b/>
        </w:rPr>
        <w:t xml:space="preserve">摘要（ZH）: </w:t>
      </w:r>
      <w:r>
        <w:t>在工程学中,通常使用系统识别方法,从对受时间影响的扰动的反应中推断出复杂系统的简单而预测模型。在这里,我们在整个有机体规模上应用这一战略,建立一个对德罗索非拉的变形承诺的预测模型。在这个动物发育的关键时刻,幼虫停止喂养,并开始以成人为形态。关于对变形承诺的神经内分泌电路评估了增长和编程程序,最终触发了停止生长和引发变形的系统激素的生产。这些电路以前的研究依赖于相对静止的遗传扰动和饥荒实验。</w:t>
      </w:r>
    </w:p>
    <w:p>
      <w:pPr>
        <w:spacing w:before="0" w:after="200" w:lineRule="auto" w:line="276"/>
      </w:pPr>
      <w:r>
        <w:rPr>
          <w:b/>
        </w:rPr>
        <w:t xml:space="preserve">Abstract (EN): </w:t>
      </w:r>
      <w:r>
        <w:t>System identification approaches are commonly used in engineering to infer simple yet predictive models of complex systems from their responses to time-dependent perturbations. Here, we apply this strategy at the whole organism scale, establishing a predictive model of commitment to metamorphosis in</w:t>
      </w:r>
      <w:r>
        <w:t xml:space="preserve"> </w:t>
      </w:r>
      <w:r>
        <w:t>Drosophila</w:t>
      </w:r>
      <w:r>
        <w:t xml:space="preserve"> </w:t>
      </w:r>
      <w:r>
        <w:t>. At this critical point in animal development, the larva stops feeding and proceeds to take on the adult form. The neuroendocrine circuits governing commitment to metamorphosis assess the growth and patterning programs, eventually triggering the production of systemic hormones that terminate growth and initiate metamorphosis. Previous studies of these circuits relied on relatively static genetic perturbations and starvation experiments. Here, we take advantage of optogenetic approaches in</w:t>
      </w:r>
      <w:r>
        <w:t xml:space="preserve"> </w:t>
      </w:r>
      <w:r>
        <w:t>Drosophila</w:t>
      </w:r>
      <w:r>
        <w:t xml:space="preserve"> </w:t>
      </w:r>
      <w:r>
        <w:t>to flexibly perturb a key signaling node within the endocrine gland in otherwise undisturbed larvae. We used this approach to infer parameters in a compact mathematical model and demonstrate that it makes accurate predictions of larval commitment to metamorphosis. Our work paves the way for quantitative studies of other juvenile-to-adult transitions, including mammalian puberty, which relies on strikingly similar mechanisms.</w:t>
      </w:r>
    </w:p>
    <w:p>
      <w:pPr>
        <w:spacing w:before="120" w:after="120"/>
      </w:pPr>
      <w:r>
        <w:rPr>
          <w:sz w:val="18"/>
        </w:rPr>
        <w:t>——————————————————————————————————————————————————————————————————————</w:t>
      </w:r>
    </w:p>
    <w:p>
      <w:pPr>
        <w:spacing w:before="160" w:after="40" w:line="240" w:lineRule="auto"/>
      </w:pPr>
      <w:r>
        <w:rPr>
          <w:b/>
        </w:rPr>
        <w:t xml:space="preserve">[445] </w:t>
      </w:r>
      <w:hyperlink r:id="rId720">
        <w:r>
          <w:rPr>
            <w:color w:val="1155CC"/>
            <w:u w:val="single"/>
          </w:rPr>
          <w:t>合成传播: Munc13 组装到 PI( 4, 5, 5, P2- 丰富域域) 上, 组装到合作捕捉微囊的三角体上</w:t>
        </w:r>
      </w:hyperlink>
    </w:p>
    <w:p>
      <w:pPr>
        <w:spacing w:before="0" w:after="80"/>
      </w:pPr>
      <w:r>
        <w:rPr>
          <w:i/>
          <w:sz w:val="20"/>
        </w:rPr>
        <w:t>EN: Synaptic transmission: Munc13 assembles onto PI(4,5)P2-rich domains into trimers that cooperate to capture vesicles</w:t>
      </w:r>
    </w:p>
    <w:p>
      <w:pPr>
        <w:spacing w:before="0" w:after="120"/>
      </w:pPr>
      <w:r>
        <w:rPr>
          <w:b/>
        </w:rPr>
        <w:t xml:space="preserve">Source: </w:t>
      </w:r>
      <w:r>
        <w:t>Proceedings of the National Academy of Sciences: Keyword search for query</w:t>
      </w:r>
      <w:r>
        <w:t xml:space="preserve">    </w:t>
      </w:r>
      <w:r>
        <w:rPr>
          <w:b/>
        </w:rPr>
        <w:t xml:space="preserve">Pub date: </w:t>
      </w:r>
      <w:r>
        <w:t>2026-02-11 08:00:00+00:00</w:t>
      </w:r>
      <w:r>
        <w:t xml:space="preserve">    </w:t>
      </w:r>
      <w:r>
        <w:rPr>
          <w:b/>
        </w:rPr>
        <w:t xml:space="preserve">DOI: </w:t>
      </w:r>
      <w:hyperlink r:id="rId721">
        <w:r>
          <w:rPr>
            <w:color w:val="1155CC"/>
            <w:u w:val="single"/>
          </w:rPr>
          <w:t>10.1073/pnas.2523347123</w:t>
        </w:r>
      </w:hyperlink>
    </w:p>
    <w:p>
      <w:pPr>
        <w:spacing w:before="0" w:after="120"/>
      </w:pPr>
      <w:r>
        <w:rPr>
          <w:b/>
        </w:rPr>
        <w:t xml:space="preserve">Notes: </w:t>
      </w:r>
      <w:r>
        <w:t>abstract_source=crossref</w:t>
      </w:r>
    </w:p>
    <w:p>
      <w:pPr>
        <w:spacing w:before="0" w:after="80" w:lineRule="auto" w:line="276"/>
      </w:pPr>
      <w:r>
        <w:rPr>
          <w:b/>
        </w:rPr>
        <w:t xml:space="preserve">摘要（ZH）: </w:t>
      </w:r>
      <w:r>
        <w:t>Munc13-1是前合成血浆等离子膜膜膜快速释放的合成囊囊中的一种关键蛋白质,以前曾透露Munc13-1周期在至少两种不同的分解体之间,一种是立立(开放)分子分解,一种是立(立)立(立)分子分解,另一种是作为六边形组织的横向(闭)分解。Munc13结合了PI(4,5,5,5)P2,一种是输卵管对接和聚变所需的等离子膜磷素磷素。我们报告说,Munc13被招募到PI(4,5,5)P2个区域,由支持双层的Gramin-1A juxta-mmbrane peptide 所引导引。对域内Munc13的复制数的统计分析表明,Munc13存在于三个分子组中,即它组合成三个分子组。</w:t>
      </w:r>
    </w:p>
    <w:p>
      <w:pPr>
        <w:spacing w:before="0" w:after="200" w:lineRule="auto" w:line="276"/>
      </w:pPr>
      <w:r>
        <w:rPr>
          <w:b/>
        </w:rPr>
        <w:t xml:space="preserve">Abstract (EN): </w:t>
      </w:r>
      <w:r>
        <w:t>Munc13-1 is a key protein involved in priming synaptic vesicles for rapid release at the presynaptic plasma membrane. It was previously revealed that Munc13-1 cycles between at least two alternate conformations, an upright (open) molecular conformation organized as a trimer and a lateral (closed) conformation organized as a hexagon. Munc13 binds PI(4,5)P</w:t>
      </w:r>
      <w:r>
        <w:rPr>
          <w:vertAlign w:val="subscript"/>
        </w:rPr>
        <w:t>2</w:t>
      </w:r>
      <w:r>
        <w:t>, a plasma membrane phospholipid essential for vesicle docking and fusion. We report that Munc13 is recruited to PI(4,5)P</w:t>
      </w:r>
      <w:r>
        <w:rPr>
          <w:vertAlign w:val="subscript"/>
        </w:rPr>
        <w:t>2</w:t>
      </w:r>
      <w:r>
        <w:t>domains induced by a Syntaxin-1A juxta-membrane peptide in supported bilayers. Statistical analysis of the copy numbers of Munc13 within the domains suggests that Munc13 exists in clusters of three molecules, i.e., it assembles into trimers. The trimeric clusters disappear with engineered interface mutations disrupting the upright trimers in cryo-EM as well as reconstituted vesicle priming suggesting the trimers observed on bilayers are identical to the upright trimer structures. These upright trimers can also be identified by cryo-electron tomography on vesicles containing PI(4,5)P</w:t>
      </w:r>
      <w:r>
        <w:rPr>
          <w:vertAlign w:val="subscript"/>
        </w:rPr>
        <w:t>2</w:t>
      </w:r>
      <w:r>
        <w:t>and Syntaxin-1A. Clusters of 3 or more Munc13 trimers forming on PI(4,5)P</w:t>
      </w:r>
      <w:r>
        <w:rPr>
          <w:vertAlign w:val="subscript"/>
        </w:rPr>
        <w:t>2</w:t>
      </w:r>
      <w:r>
        <w:t>domains efficiently capture phosphatidylserine-containing small unilamellar vesicles via their C</w:t>
      </w:r>
      <w:r>
        <w:rPr>
          <w:vertAlign w:val="subscript"/>
        </w:rPr>
        <w:t>2</w:t>
      </w:r>
      <w:r>
        <w:t>C domains, as shown by the effect of mutations that disrupt synaptic vesicle binding in synapses. We propose a two-step model for vesicle priming: i) synaptic vesicles are captured by clusters of upright trimers of Munc13 that self-assemble within PI(4,5)P</w:t>
      </w:r>
      <w:r>
        <w:rPr>
          <w:vertAlign w:val="subscript"/>
        </w:rPr>
        <w:t>2</w:t>
      </w:r>
      <w:r>
        <w:t>enriched domains; ii) these trimers transition into lateral hexamers when vesicles have bound and the transition would be promoted when the closed conformation of Munc13 is stabilized by diacylglycerol binding, resulting from Ca</w:t>
      </w:r>
      <w:r>
        <w:t xml:space="preserve"> </w:t>
      </w:r>
      <w:r>
        <w:t>2+</w:t>
      </w:r>
      <w:r>
        <w:t xml:space="preserve"> </w:t>
      </w:r>
      <w:r>
        <w:t>-dependent hydrolysis of PI(4,5)P</w:t>
      </w:r>
      <w:r>
        <w:rPr>
          <w:vertAlign w:val="subscript"/>
        </w:rPr>
        <w:t>2</w:t>
      </w:r>
      <w:r>
        <w:t>.</w:t>
      </w:r>
    </w:p>
    <w:p>
      <w:pPr>
        <w:spacing w:before="120" w:after="120"/>
      </w:pPr>
      <w:r>
        <w:rPr>
          <w:sz w:val="18"/>
        </w:rPr>
        <w:t>——————————————————————————————————————————————————————————————————————</w:t>
      </w:r>
    </w:p>
    <w:p>
      <w:pPr>
        <w:spacing w:before="160" w:after="40" w:line="240" w:lineRule="auto"/>
      </w:pPr>
      <w:r>
        <w:rPr>
          <w:b/>
        </w:rPr>
        <w:t xml:space="preserve">[446] </w:t>
      </w:r>
      <w:hyperlink r:id="rId722">
        <w:r>
          <w:rPr>
            <w:color w:val="1155CC"/>
            <w:u w:val="single"/>
          </w:rPr>
          <w:t>腹部超声波激活阿fferent vagus神经纤维并诱发抗炎效应。</w:t>
        </w:r>
      </w:hyperlink>
    </w:p>
    <w:p>
      <w:pPr>
        <w:spacing w:before="0" w:after="80"/>
      </w:pPr>
      <w:r>
        <w:rPr>
          <w:i/>
          <w:sz w:val="20"/>
        </w:rPr>
        <w:t>EN: Abdominal ultrasound activates afferent vagus nerve fibers and induces anti-inflammatory effects</w:t>
      </w:r>
    </w:p>
    <w:p>
      <w:pPr>
        <w:spacing w:before="0" w:after="120"/>
      </w:pPr>
      <w:r>
        <w:rPr>
          <w:b/>
        </w:rPr>
        <w:t xml:space="preserve">Source: </w:t>
      </w:r>
      <w:r>
        <w:t>Proceedings of the National Academy of Sciences: Keyword search for query</w:t>
      </w:r>
      <w:r>
        <w:t xml:space="preserve">    </w:t>
      </w:r>
      <w:r>
        <w:rPr>
          <w:b/>
        </w:rPr>
        <w:t xml:space="preserve">Pub date: </w:t>
      </w:r>
      <w:r>
        <w:t>2026-02-11 08:00:00+00:00</w:t>
      </w:r>
      <w:r>
        <w:t xml:space="preserve">    </w:t>
      </w:r>
      <w:r>
        <w:rPr>
          <w:b/>
        </w:rPr>
        <w:t xml:space="preserve">DOI: </w:t>
      </w:r>
      <w:hyperlink r:id="rId723">
        <w:r>
          <w:rPr>
            <w:color w:val="1155CC"/>
            <w:u w:val="single"/>
          </w:rPr>
          <w:t>10.1073/pnas.2518969123</w:t>
        </w:r>
      </w:hyperlink>
    </w:p>
    <w:p>
      <w:pPr>
        <w:spacing w:before="0" w:after="120"/>
      </w:pPr>
      <w:r>
        <w:rPr>
          <w:b/>
        </w:rPr>
        <w:t xml:space="preserve">Notes: </w:t>
      </w:r>
      <w:r>
        <w:t>abstract_source=crossref</w:t>
      </w:r>
    </w:p>
    <w:p>
      <w:pPr>
        <w:spacing w:before="0" w:after="80" w:lineRule="auto" w:line="276"/>
      </w:pPr>
      <w:r>
        <w:rPr>
          <w:b/>
        </w:rPr>
        <w:t xml:space="preserve">摘要（ZH）: </w:t>
      </w:r>
      <w:r>
        <w:t>前几次研究表明,超声波通过α-7 硝基乙酰胆碱酯酶受体(α7nAChR)在胸膜中发出信号,促进抗炎宏观分化。然而,引发这一反应的上游事件尚未阐明。这里,我们证明腹膜超声波激活了室外活性血管纤维并抑制了系统炎。在脂性沙律(LPS)诱发的内分泌血清模型中,腹膜超声波显著降低血浆TNF-α的浓度。这种抗炎效应因亚隔膜变异体(SDVx)或(SDVx)而减弱。</w:t>
      </w:r>
    </w:p>
    <w:p>
      <w:pPr>
        <w:spacing w:before="0" w:after="200" w:lineRule="auto" w:line="276"/>
      </w:pPr>
      <w:r>
        <w:rPr>
          <w:b/>
        </w:rPr>
        <w:t xml:space="preserve">Abstract (EN): </w:t>
      </w:r>
      <w:r>
        <w:t>Abdominal ultrasound has emerged as a noninvasive modality with immunomodulatory potential. Although its anti-inflammatory effects have been demonstrated in various disease models, the underlying mechanisms remain unclear. Previous studies suggest that ultrasound promotes anti-inflammatory macrophage polarization via α7 nicotinic acetylcholine receptor (α7nAChR) signaling in the spleen. However, the upstream events initiating this response have not been elucidated. Here, we demonstrate that abdominal ultrasound activates afferent vagal fibers and suppress systemic inflammation. In a murine model of lipopolysaccharide (LPS)-induced endotoxemia, abdominal ultrasound significantly reduced plasma TNF-α levels. This anti-inflammatory effect was attenuated by subdiaphragmatic vagotomy (SDVx) or afferent vagal blockade. Electrophysiological recordings revealed increased cervical vagus nerve activity during ultrasound stimulation, which was eliminated by intraperitoneal lidocaine, confirming activation of abdominal sensory afferents. Furthermore, abdominal ultrasound induced c-Fos expression in the nucleus tractus solitarius (NTS), consistent with central activation via vagal afferent input. These findings provide direct mechanistic evidence that abdominal ultrasound stimulates afferent vagal pathways.</w:t>
      </w:r>
    </w:p>
    <w:p>
      <w:pPr>
        <w:spacing w:before="120" w:after="120"/>
      </w:pPr>
      <w:r>
        <w:rPr>
          <w:sz w:val="18"/>
        </w:rPr>
        <w:t>——————————————————————————————————————————————————————————————————————</w:t>
      </w:r>
    </w:p>
    <w:p>
      <w:pPr>
        <w:spacing w:before="160" w:after="40" w:line="240" w:lineRule="auto"/>
      </w:pPr>
      <w:r>
        <w:rPr>
          <w:b/>
        </w:rPr>
        <w:t xml:space="preserve">[447] </w:t>
      </w:r>
      <w:hyperlink r:id="rId724">
        <w:r>
          <w:rPr>
            <w:color w:val="1155CC"/>
            <w:u w:val="single"/>
          </w:rPr>
          <w:t>Escherichia coli通过在快速更新环境中氨基酸复合化,促进了Escherichia coli获取细菌性铁</w:t>
        </w:r>
      </w:hyperlink>
    </w:p>
    <w:p>
      <w:pPr>
        <w:spacing w:before="0" w:after="80"/>
      </w:pPr>
      <w:r>
        <w:rPr>
          <w:i/>
          <w:sz w:val="20"/>
        </w:rPr>
        <w:t>EN: Bacterial iron acquisition by Escherichia coli is facilitated by amino acid complexation in a rapid-renewal environment</w:t>
      </w:r>
    </w:p>
    <w:p>
      <w:pPr>
        <w:spacing w:before="0" w:after="120"/>
      </w:pPr>
      <w:r>
        <w:rPr>
          <w:b/>
        </w:rPr>
        <w:t xml:space="preserve">Source: </w:t>
      </w:r>
      <w:r>
        <w:t>Proceedings of the National Academy of Sciences: Keyword search for query</w:t>
      </w:r>
      <w:r>
        <w:t xml:space="preserve">    </w:t>
      </w:r>
      <w:r>
        <w:rPr>
          <w:b/>
        </w:rPr>
        <w:t xml:space="preserve">Pub date: </w:t>
      </w:r>
      <w:r>
        <w:t>2026-02-11 08:00:00+00:00</w:t>
      </w:r>
      <w:r>
        <w:t xml:space="preserve">    </w:t>
      </w:r>
      <w:r>
        <w:rPr>
          <w:b/>
        </w:rPr>
        <w:t xml:space="preserve">DOI: </w:t>
      </w:r>
      <w:hyperlink r:id="rId725">
        <w:r>
          <w:rPr>
            <w:color w:val="1155CC"/>
            <w:u w:val="single"/>
          </w:rPr>
          <w:t>10.1073/pnas.2520431123</w:t>
        </w:r>
      </w:hyperlink>
    </w:p>
    <w:p>
      <w:pPr>
        <w:spacing w:before="0" w:after="120"/>
      </w:pPr>
      <w:r>
        <w:rPr>
          <w:b/>
        </w:rPr>
        <w:t xml:space="preserve">Notes: </w:t>
      </w:r>
      <w:r>
        <w:t>abstract_source=crossref</w:t>
      </w:r>
    </w:p>
    <w:p>
      <w:pPr>
        <w:spacing w:before="0" w:after="80" w:lineRule="auto" w:line="276"/>
      </w:pPr>
      <w:r>
        <w:rPr>
          <w:b/>
        </w:rPr>
        <w:t xml:space="preserve">摘要（ZH）: </w:t>
      </w:r>
      <w:r>
        <w:t>在自然环境中,细菌往往遇到低浓度的养分混合物,这些混合物不断得到流体流等物理过程的补充。在这种条件下研究细菌生理学具有实验性的挑战性,因为很难保持稳定、低营养浓度并迅速更新。关于养分限制的大多数研究都采用化疗法等方法,这些方法依靠较长的更新时间来维持低浓度。我们开发了受微氟化物启发的Milliflividic 连续培养装置(MCCD),使在低微分子浓度的养分混合物中进行细菌种植,以液流驱动的快速更新。与微氟化物系统不同,中链公司保留了足够的培养量来支持分量的“o”。</w:t>
      </w:r>
    </w:p>
    <w:p>
      <w:pPr>
        <w:spacing w:before="0" w:after="200" w:lineRule="auto" w:line="276"/>
      </w:pPr>
      <w:r>
        <w:rPr>
          <w:b/>
        </w:rPr>
        <w:t xml:space="preserve">Abstract (EN): </w:t>
      </w:r>
      <w:r>
        <w:t>In natural environments, bacteria often encounter low concentrations of nutrient mixtures that are continuously replenished by physical processes such as fluid flow. Studying bacterial physiology under such conditions is experimentally challenging because it is difficult to maintain steady, low nutrient concentrations with rapid renewal. Most studies on nutrient limitation have used approaches such as the chemostat, which rely on long renewal times to sustain low concentrations. We developed a Millifluidic Continuous Culture Device (MCCD), inspired by microfluidics, that enables bacterial cultivation in nutrient mixtures at low micromolar concentrations with rapid renewal driven by fluid flow. Unlike microfluidic systems, the MCCD retains sufficient culture volume to support batch-scale ‘omic analyses. Using the MCCD, we cultured</w:t>
      </w:r>
      <w:r>
        <w:t xml:space="preserve"> </w:t>
      </w:r>
      <w:r>
        <w:t>Escherichia coli</w:t>
      </w:r>
      <w:r>
        <w:t xml:space="preserve"> </w:t>
      </w:r>
      <w:r>
        <w:t>in a mixture of amino acids and nucleobases at three concentration ranges spanning a fivefold difference in growth rates. Surprisingly, at the lowest concentration range, cells exhibited proteomic signatures of iron limitation despite equal total ferrous iron across conditions. Uptake experiments with labeled iron–histidine and iron–cysteine complexes confirmed that amino acids facilitated ferrous iron acquisition. Under continuous flow, siderophores were washed out, rendering this pathway ineffective and revealing a previously unrecognized mechanism of iron acquisition via soluble ferrous iron–amino acid complexes. These findings highlight the importance of studying bacterial physiology at low nutrient concentrations and also suggest a broader role for other organic substrates capable of complexing iron as potential iron sources in environments with rapid renewal.</w:t>
      </w:r>
    </w:p>
    <w:p>
      <w:pPr>
        <w:spacing w:before="120" w:after="120"/>
      </w:pPr>
      <w:r>
        <w:rPr>
          <w:sz w:val="18"/>
        </w:rPr>
        <w:t>——————————————————————————————————————————————————————————————————————</w:t>
      </w:r>
    </w:p>
    <w:p>
      <w:pPr>
        <w:spacing w:before="160" w:after="40" w:line="240" w:lineRule="auto"/>
      </w:pPr>
      <w:r>
        <w:rPr>
          <w:b/>
        </w:rPr>
        <w:t xml:space="preserve">[448] </w:t>
      </w:r>
      <w:hyperlink r:id="rId726">
        <w:r>
          <w:rPr>
            <w:color w:val="1155CC"/>
            <w:u w:val="single"/>
          </w:rPr>
          <w:t>[ASAP]电化学活性地表面积测量的隐藏复杂性</w:t>
        </w:r>
      </w:hyperlink>
    </w:p>
    <w:p>
      <w:pPr>
        <w:spacing w:before="0" w:after="80"/>
      </w:pPr>
      <w:r>
        <w:rPr>
          <w:i/>
          <w:sz w:val="20"/>
        </w:rPr>
        <w:t>EN: [ASAP] The Hidden Complexities of Electrochemically Active Surface Area Measurements</w:t>
      </w:r>
    </w:p>
    <w:p>
      <w:pPr>
        <w:spacing w:before="0" w:after="120"/>
      </w:pPr>
      <w:r>
        <w:rPr>
          <w:b/>
        </w:rPr>
        <w:t xml:space="preserve">Source: </w:t>
      </w:r>
      <w:r>
        <w:t>ACS Energy Letters: Latest Articles (ACS Publications)</w:t>
      </w:r>
      <w:r>
        <w:t xml:space="preserve">    </w:t>
      </w:r>
      <w:r>
        <w:rPr>
          <w:b/>
        </w:rPr>
        <w:t xml:space="preserve">Pub date: </w:t>
      </w:r>
      <w:r>
        <w:t>2026-02-11 10:00:42+00:00</w:t>
      </w:r>
      <w:r>
        <w:t xml:space="preserve">    </w:t>
      </w:r>
      <w:r>
        <w:rPr>
          <w:b/>
        </w:rPr>
        <w:t xml:space="preserve">DOI: </w:t>
      </w:r>
      <w:hyperlink r:id="rId727">
        <w:r>
          <w:rPr>
            <w:color w:val="1155CC"/>
            <w:u w:val="single"/>
          </w:rPr>
          <w:t>10.1021/acsenergylett.5c04204</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[449] </w:t>
      </w:r>
      <w:hyperlink r:id="rId728">
        <w:r>
          <w:rPr>
            <w:color w:val="1155CC"/>
            <w:u w:val="single"/>
          </w:rPr>
          <w:t>[ASAP] 有机金属-对称金属-有机岩层的内在精密C1-对称金属的选择性合成的理性分解法</w:t>
        </w:r>
      </w:hyperlink>
    </w:p>
    <w:p>
      <w:pPr>
        <w:spacing w:before="0" w:after="80"/>
      </w:pPr>
      <w:r>
        <w:rPr>
          <w:i/>
          <w:sz w:val="20"/>
        </w:rPr>
        <w:t>EN: [ASAP] A Rational Desymmetrization Approach for Enantioselective Synthesis of Inherently Chiral C1-Symmetric Metal–Organic Cages</w:t>
      </w:r>
    </w:p>
    <w:p>
      <w:pPr>
        <w:spacing w:before="0" w:after="120"/>
      </w:pPr>
      <w:r>
        <w:rPr>
          <w:b/>
        </w:rPr>
        <w:t xml:space="preserve">Source: </w:t>
      </w:r>
      <w:r>
        <w:t>Journal of the American Chemical Society: Latest Articles (ACS Publications)</w:t>
      </w:r>
      <w:r>
        <w:t xml:space="preserve">    </w:t>
      </w:r>
      <w:r>
        <w:rPr>
          <w:b/>
        </w:rPr>
        <w:t xml:space="preserve">Pub date: </w:t>
      </w:r>
      <w:r>
        <w:t>2026-02-11 10:21:30+00:00</w:t>
      </w:r>
      <w:r>
        <w:t xml:space="preserve">    </w:t>
      </w:r>
      <w:r>
        <w:rPr>
          <w:b/>
        </w:rPr>
        <w:t xml:space="preserve">DOI: </w:t>
      </w:r>
      <w:hyperlink r:id="rId729">
        <w:r>
          <w:rPr>
            <w:color w:val="1155CC"/>
            <w:u w:val="single"/>
          </w:rPr>
          <w:t>10.1021/jacs.5c19421</w:t>
        </w:r>
      </w:hyperlink>
    </w:p>
    <w:p>
      <w:pPr>
        <w:spacing w:before="0" w:after="120"/>
      </w:pPr>
      <w:r>
        <w:rPr>
          <w:b/>
        </w:rPr>
        <w:t xml:space="preserve">Notes: </w:t>
      </w:r>
      <w:r>
        <w:t>abstract_source=pubmed</w:t>
      </w:r>
    </w:p>
    <w:p>
      <w:pPr>
        <w:spacing w:before="0" w:after="80" w:lineRule="auto" w:line="276"/>
      </w:pPr>
      <w:r>
        <w:rPr>
          <w:b/>
        </w:rPr>
        <w:t xml:space="preserve">摘要（ZH）: </w:t>
      </w:r>
      <w:r>
        <w:t>C1-对称结构的构造至关重要,因为它们完全缺乏对称性,造成了独特的不对称封闭环境,这对于诸如对应选择性识别和催化等应用非常可取。虽然通过共价合成成功地建造了许多C1-对称性建筑,但通过非相价互动的完全非对称的内在手性、完全对称性结构的组装在很大程度上尚未探索,对上分子化学构成一个巨大的挑战。我们在此报告通过理性的分级对称破碎战略,对准性C1-对称性上层分子结构进行的第一个对称性选择性合成。从D4-对称的Pd2L4协调笼开始,对称性是相互对称性的。</w:t>
      </w:r>
    </w:p>
    <w:p>
      <w:pPr>
        <w:spacing w:before="0" w:after="200" w:lineRule="auto" w:line="276"/>
      </w:pPr>
      <w:r>
        <w:rPr>
          <w:b/>
        </w:rPr>
        <w:t xml:space="preserve">Abstract (EN): </w:t>
      </w:r>
      <w:r>
        <w:t>The construction of C1-symmetric architectures is of paramount importance, as their complete lack of symmetry creates a uniquely asymmetric confined environment, which is highly desirable for applications such as enantioselective recognition and catalysis. While numerous C1-symmetric architectures have been successfully constructed via covalent synthesis, the assembly of such inherently chiral, fully asymmetric topologies through noncovalent interactions remains largely unexplored and represents a formidable challenge in supramolecular chemistry. We report herein the first enantioselective synthesis of inherently chiral C1-symmetric supramolecular structures through a rational stepwise symmetry-breaking strategy. Starting from a D4h-symmetric Pd2L4 coordination cage, the symmetry was systematically reduced to D2h, C2v, Cs, and final C1 via the sequential introduction of an exohedral and two endohedral symmetry-breaking groups (SBG). The endohedral SBGs bear a central chirality center, enabling effective chirality transfer to the cage framework and facilitating the enantioselective assembly. The resulting C1-symmetric cages were thoroughly characterized by 1H/2D NMR, high-resolution mass spectroscopy, and CD spectroscopy. DFT calculations and variable-temperature NMR spectroscopy provide mechanistic insight into the chiral induction process. The generality of this strategy was demonstrated by constructing inherently chiral nanocavities with varying endohedral SBGs and internal functional groups. Preliminary host-guest studies confirmed the binding capability of these chiral cavities toward both neutral and anionic guest molecules. The inherent asymmetry of the cavity facilitates enantiomer discrimination, and its enantioselectivity can be modulated through cavity editing by introducing small internal functional groups. Our study establishes a versatile approach to construct highly asymmetric confined nanoenvironment, offering new opportunities for asymmetric catalysis and molecular recognition.</w:t>
      </w:r>
    </w:p>
    <w:p>
      <w:pPr>
        <w:spacing w:before="120" w:after="120"/>
      </w:pPr>
      <w:r>
        <w:rPr>
          <w:sz w:val="18"/>
        </w:rPr>
        <w:t>——————————————————————————————————————————————————————————————————————</w:t>
      </w:r>
    </w:p>
    <w:p>
      <w:pPr>
        <w:spacing w:before="160" w:after="40" w:line="240" w:lineRule="auto"/>
      </w:pPr>
      <w:r>
        <w:rPr>
          <w:b/>
        </w:rPr>
        <w:t xml:space="preserve">[450] </w:t>
      </w:r>
      <w:hyperlink r:id="rId730">
        <w:r>
          <w:rPr>
            <w:color w:val="1155CC"/>
            <w:u w:val="single"/>
          </w:rPr>
          <w:t>[ASAP] 带有扩增信号的自力反同源物歧视自力信号的自组齐拉尔·纳米气道阵列</w:t>
        </w:r>
      </w:hyperlink>
    </w:p>
    <w:p>
      <w:pPr>
        <w:spacing w:before="0" w:after="80"/>
      </w:pPr>
      <w:r>
        <w:rPr>
          <w:i/>
          <w:sz w:val="20"/>
        </w:rPr>
        <w:t>EN: [ASAP] Self-Assembled Chiral Nanochannel Arrays with Amplified Signal for Self-Powered Enantiomer Discrimination</w:t>
      </w:r>
    </w:p>
    <w:p>
      <w:pPr>
        <w:spacing w:before="0" w:after="120"/>
      </w:pPr>
      <w:r>
        <w:rPr>
          <w:b/>
        </w:rPr>
        <w:t xml:space="preserve">Source: </w:t>
      </w:r>
      <w:r>
        <w:t>Journal of the American Chemical Society: Latest Articles (ACS Publications)</w:t>
      </w:r>
      <w:r>
        <w:t xml:space="preserve">    </w:t>
      </w:r>
      <w:r>
        <w:rPr>
          <w:b/>
        </w:rPr>
        <w:t xml:space="preserve">Pub date: </w:t>
      </w:r>
      <w:r>
        <w:t>2026-02-11 11:47:26+00:00</w:t>
      </w:r>
      <w:r>
        <w:t xml:space="preserve">    </w:t>
      </w:r>
      <w:r>
        <w:rPr>
          <w:b/>
        </w:rPr>
        <w:t xml:space="preserve">DOI: </w:t>
      </w:r>
      <w:hyperlink r:id="rId731">
        <w:r>
          <w:rPr>
            <w:color w:val="1155CC"/>
            <w:u w:val="single"/>
          </w:rPr>
          <w:t>10.1021/jacs.5c18501</w:t>
        </w:r>
      </w:hyperlink>
    </w:p>
    <w:p>
      <w:pPr>
        <w:spacing w:before="0" w:after="120"/>
      </w:pPr>
      <w:r>
        <w:rPr>
          <w:b/>
        </w:rPr>
        <w:t xml:space="preserve">Notes: </w:t>
      </w:r>
      <w:r>
        <w:t>abstract_source=pubmed</w:t>
      </w:r>
    </w:p>
    <w:p>
      <w:pPr>
        <w:spacing w:before="0" w:after="80" w:lineRule="auto" w:line="276"/>
      </w:pPr>
      <w:r>
        <w:rPr>
          <w:b/>
        </w:rPr>
        <w:t xml:space="preserve">摘要（ZH）: </w:t>
      </w:r>
      <w:r>
        <w:t>分子手力对于药物合成、材料设计和其他生命活动非常重要。因此,发展高效、方便和快速的手力识别技术具有巨大的工业和生理意义。在这里,我们展示了一种电化学方法,通过使用高密度手性手动纳米通道对手动分子进行敏感的实时识别。手动呼吸剂将Porphyrin-核心恒星同质聚合物(p-HP)自组成定购的螺旋激素阵列,为手动选择性纳米管道提供对应选择性识别能力。这种定义明确的组装可以使表面能量转换和手动分子识别具有双重功能,与手动分子自动纳米传感器相结合。</w:t>
      </w:r>
    </w:p>
    <w:p>
      <w:pPr>
        <w:spacing w:before="0" w:after="200" w:lineRule="auto" w:line="276"/>
      </w:pPr>
      <w:r>
        <w:rPr>
          <w:b/>
        </w:rPr>
        <w:t xml:space="preserve">Abstract (EN): </w:t>
      </w:r>
      <w:r>
        <w:t>Molecular chirality is significantly important for drug synthesis, material design, and other life activities. Thus, developing an efficient, convenient, and rapid technique for chiral recognition is of great industrial and physiological significance. Here, we demonstrate an electrochemical method for the sensitive real-time recognition of chiral molecules by using high-density chiral nanochannels. The chiral porphyrins direct the self-assembly of porphyrin-cored star homopolymers (p-HP) into ordered helical porphyrin arrays, providing chiral-selective nanochannels with enantioselective recognition capabilities. This well-defined assembly enables dual functionality of osmotic energy conversion and chiral molecule recognition, which is combined with a self-powered nanosensor for chiral molecule recognition. This work bridges the gap between molecular chirality and macroscopic membrane engineering, offering a sustainable platform for convenient chiral molecule recognition.</w:t>
      </w:r>
    </w:p>
    <w:p>
      <w:pPr>
        <w:spacing w:before="120" w:after="120"/>
      </w:pPr>
      <w:r>
        <w:rPr>
          <w:sz w:val="18"/>
        </w:rPr>
        <w:t>——————————————————————————————————————————————————————————————————————</w:t>
      </w:r>
    </w:p>
    <w:p>
      <w:pPr>
        <w:spacing w:before="160" w:after="40" w:line="240" w:lineRule="auto"/>
      </w:pPr>
      <w:r>
        <w:rPr>
          <w:b/>
        </w:rPr>
        <w:t xml:space="preserve">[451] </w:t>
      </w:r>
      <w:hyperlink r:id="rId732">
        <w:r>
          <w:rPr>
            <w:color w:val="1155CC"/>
            <w:u w:val="single"/>
          </w:rPr>
          <w:t>[ASAP] 3D-DNA同步3D-DNA 双色漫步-驱动双色RNA Aptamers照明,用于无标签和Attomolar对乳腺癌中多环子RNA进行多环子剖析</w:t>
        </w:r>
      </w:hyperlink>
    </w:p>
    <w:p>
      <w:pPr>
        <w:spacing w:before="0" w:after="80"/>
      </w:pPr>
      <w:r>
        <w:rPr>
          <w:i/>
          <w:sz w:val="20"/>
        </w:rPr>
        <w:t>EN: [ASAP] Synchronous 3D-DNA Walking-Driven Dual-Color RNA Aptamers Lighting-Up for Label-Free and Attomolar Profiling of Multiple circRNAs in Breast Cancer</w:t>
      </w:r>
    </w:p>
    <w:p>
      <w:pPr>
        <w:spacing w:before="0" w:after="120"/>
      </w:pPr>
      <w:r>
        <w:rPr>
          <w:b/>
        </w:rPr>
        <w:t xml:space="preserve">Source: </w:t>
      </w:r>
      <w:r>
        <w:t>Journal of the American Chemical Society: Latest Articles (ACS Publications)</w:t>
      </w:r>
      <w:r>
        <w:t xml:space="preserve">    </w:t>
      </w:r>
      <w:r>
        <w:rPr>
          <w:b/>
        </w:rPr>
        <w:t xml:space="preserve">Pub date: </w:t>
      </w:r>
      <w:r>
        <w:t>2026-02-11 12:23:38+00:00</w:t>
      </w:r>
      <w:r>
        <w:t xml:space="preserve">    </w:t>
      </w:r>
      <w:r>
        <w:rPr>
          <w:b/>
        </w:rPr>
        <w:t xml:space="preserve">DOI: </w:t>
      </w:r>
      <w:hyperlink r:id="rId733">
        <w:r>
          <w:rPr>
            <w:color w:val="1155CC"/>
            <w:u w:val="single"/>
          </w:rPr>
          <w:t>10.1021/jacs.5c18880</w:t>
        </w:r>
      </w:hyperlink>
    </w:p>
    <w:p>
      <w:pPr>
        <w:spacing w:before="0" w:after="120"/>
      </w:pPr>
      <w:r>
        <w:rPr>
          <w:b/>
        </w:rPr>
        <w:t xml:space="preserve">Notes: </w:t>
      </w:r>
      <w:r>
        <w:t>abstract_source=pubmed</w:t>
      </w:r>
    </w:p>
    <w:p>
      <w:pPr>
        <w:spacing w:before="0" w:after="80" w:lineRule="auto" w:line="276"/>
      </w:pPr>
      <w:r>
        <w:rPr>
          <w:b/>
        </w:rPr>
        <w:t xml:space="preserve">摘要（ZH）: </w:t>
      </w:r>
      <w:r>
        <w:t>圆环RNA(circRNAs)是共同封闭的、寿命长的、单strand的RNAs,在通过多种分子机制的肿瘤产生和进步过程中具有关键作用,然而,精确检测多环RNAs因其物种间多样性和高度序列同质性而构成重大挑战。在这里,我们展示了同步的3D-DNA行进驱动双色双向驱动双色RNA aptamer灯光,用于无标签和对乳腺癌中多环RNA进行原子式测量。该纳米设备由两对捕捉探测器和垫锁探测器组成。在目标circRNAs(circMTO1和cirCDYL)存在的情况下,它们特别与以磁珠为固定的后盘连接点(BSJ)连接的捕捉探测器区域进行混合,以获得RNA/DNA热度双晶体,即新星。</w:t>
      </w:r>
    </w:p>
    <w:p>
      <w:pPr>
        <w:spacing w:before="0" w:after="200" w:lineRule="auto" w:line="276"/>
      </w:pPr>
      <w:r>
        <w:rPr>
          <w:b/>
        </w:rPr>
        <w:t xml:space="preserve">Abstract (EN): </w:t>
      </w:r>
      <w:r>
        <w:t>Circular RNAs (circRNAs) are covalently closed, long-lived, single-stranded RNAs with key roles in tumorigenesis and progression through diverse molecular mechanisms. Nevertheless, the accurate detection of multiple circRNAs poses a major challenge due to their interspecies diversity and high degree of sequence homology. Herein, we demonstrate synchronous 3D-DNA walking-driven dual-color RNA aptamer lighting-up for label-free and attomolar measurement of multiple circRNAs in breast cancer. This nanodevice comprises two pairs of capture probes and padlock probes. In the presence of target circRNAs (circMTO1 and circCDYL), they hybridize specifically with the back-splice junction (BSJ)-binding domains of capture probes anchored on magnetic beads to obtain the RNA/DNA heteroduplexes, initiating duplex-specific nuclease-powered 3D-DNA walking and subsequent T7/T3 RNA polymerase-catalyzed rolling circle transcription (RCT) to produce long-repeat ssRNAs (i.e., Mango and MG aptamers). Then, TO1-biotin and MG selectively bind with Mango and MG aptamers to obtain the TO1-biotin/MG nanostructures for the generation of amplified dual-color fluorescence signals. This nanodevice achieves excellent specificity and attomolar sensitivity with a limit of detection of 10.96 aM for circMTO1 and 17.78 aM for circCDYL. Moreover, it can accurately quantify circRNAs in diverse cell types at the single-cell level, reliably distinguish breast cancer cells from normal cells, and effectively discriminate circRNA expressions in breast cancer tissues and healthy counterparts. Importantly, it exhibits high accuracy in diagnosing breast cancer across the clinical spectrum from early stage I-II (91.1%) to advanced stage III-IV (99.4%), providing a valuable platform for biomedical research and clinical diagnostics.</w:t>
      </w:r>
    </w:p>
    <w:p>
      <w:pPr>
        <w:spacing w:before="120" w:after="120"/>
      </w:pPr>
      <w:r>
        <w:rPr>
          <w:sz w:val="18"/>
        </w:rPr>
        <w:t>——————————————————————————————————————————————————————————————————————</w:t>
      </w:r>
    </w:p>
    <w:p>
      <w:pPr>
        <w:spacing w:before="160" w:after="40" w:line="240" w:lineRule="auto"/>
      </w:pPr>
      <w:r>
        <w:rPr>
          <w:b/>
        </w:rPr>
        <w:t xml:space="preserve">[452] </w:t>
      </w:r>
      <w:hyperlink r:id="rId734">
        <w:r>
          <w:rPr>
            <w:color w:val="1155CC"/>
            <w:u w:val="single"/>
          </w:rPr>
          <w:t>[ASAP] IgG1 Fc 区域结构评价中带有特定地点的甲基溴特定任务、未标明的NMR方法</w:t>
        </w:r>
      </w:hyperlink>
    </w:p>
    <w:p>
      <w:pPr>
        <w:spacing w:before="0" w:after="80"/>
      </w:pPr>
      <w:r>
        <w:rPr>
          <w:i/>
          <w:sz w:val="20"/>
        </w:rPr>
        <w:t>EN: [ASAP] Unlabeled NMR Approach with Site-Specific Methyl Assignments for Structural Evaluation of the IgG1 Fc Region</w:t>
      </w:r>
    </w:p>
    <w:p>
      <w:pPr>
        <w:spacing w:before="0" w:after="120"/>
      </w:pPr>
      <w:r>
        <w:rPr>
          <w:b/>
        </w:rPr>
        <w:t xml:space="preserve">Source: </w:t>
      </w:r>
      <w:r>
        <w:t>Journal of the American Chemical Society: Latest Articles (ACS Publications)</w:t>
      </w:r>
      <w:r>
        <w:t xml:space="preserve">    </w:t>
      </w:r>
      <w:r>
        <w:rPr>
          <w:b/>
        </w:rPr>
        <w:t xml:space="preserve">Pub date: </w:t>
      </w:r>
      <w:r>
        <w:t>2026-02-11 13:00:13+00:00</w:t>
      </w:r>
      <w:r>
        <w:t xml:space="preserve">    </w:t>
      </w:r>
      <w:r>
        <w:rPr>
          <w:b/>
        </w:rPr>
        <w:t xml:space="preserve">DOI: </w:t>
      </w:r>
      <w:hyperlink r:id="rId735">
        <w:r>
          <w:rPr>
            <w:color w:val="1155CC"/>
            <w:u w:val="single"/>
          </w:rPr>
          <w:t>10.1021/jacs.5c18997</w:t>
        </w:r>
      </w:hyperlink>
    </w:p>
    <w:p>
      <w:pPr>
        <w:spacing w:before="0" w:after="120"/>
      </w:pPr>
      <w:r>
        <w:rPr>
          <w:b/>
        </w:rPr>
        <w:t xml:space="preserve">Notes: </w:t>
      </w:r>
      <w:r>
        <w:t>abstract_source=pubmed</w:t>
      </w:r>
    </w:p>
    <w:p>
      <w:pPr>
        <w:spacing w:before="0" w:after="80" w:lineRule="auto" w:line="276"/>
      </w:pPr>
      <w:r>
        <w:rPr>
          <w:b/>
        </w:rPr>
        <w:t xml:space="preserve">摘要（ZH）: </w:t>
      </w:r>
      <w:r>
        <w:t>单克隆抗体是生物制药的基石,其安全和功效在很大程度上取决于其较高级结构(HOS)。核磁共振光谱学已经成为HOS评估的一个很有希望的工具,但其应用在很大程度上依赖指纹方法,而没有残留水平的解释。这里,我们报告在人类IgG1的Fc区域,通过氨基酸选择性标签和与脊柱共振的关联(使用天际联动和NOE连接,并得到变异的进一步支持)建立起来的甲基共振作用的现场特有任务,这些任务使我们能够识别依赖玻璃形态的光谱变异,包括核心烟联和终端星变异的独特特征,以及一个Fc光谱。</w:t>
      </w:r>
    </w:p>
    <w:p>
      <w:pPr>
        <w:spacing w:before="0" w:after="200" w:lineRule="auto" w:line="276"/>
      </w:pPr>
      <w:r>
        <w:rPr>
          <w:b/>
        </w:rPr>
        <w:t xml:space="preserve">Abstract (EN): </w:t>
      </w:r>
      <w:r>
        <w:t>Monoclonal antibodies are the cornerstone biopharmaceuticals whose safety and efficacy critically depend on their higher-order structure (HOS). Nuclear magnetic resonance (NMR) spectroscopy has emerged as a promising tool for HOS evaluation, yet its application has largely relied on fingerprinting approaches without residue-level interpretation. Here, we report site-specific assignments of methyl resonances in the Fc region of human IgG1, established through amino acid-selective labeling and correlation with backbone resonances using scalar coupling and NOE connectivities, further supported by mutagenesis. These assignments allowed us to identify glycoform-dependent spectral variations, including distinct signatures of core fucosylation and terminal galactosylation, as well as an Fc-specific amino acid substitution. Importantly, these spectral probes were detectable even in antibodies at natural isotopic abundance, enabling practical applications to therapeutic products without isotopic labeling. Furthermore, dynamic filtering highlighted methyl resonances from hinge and receptor-binding residues with elevated mobility, providing localized insights into functional sites. Collectively, our results establish unlabeled methyl NMR as a robust platform for sensitive and practical HOS assessment of therapeutic antibodies. This approach is broadly applicable to monitor glycosylation heterogeneity, chemical modifications, and batch-to-batch consistency, thereby offering a valuable framework for development and quality control of both innovative biopharmaceuticals and biosimilars.</w:t>
      </w:r>
    </w:p>
    <w:p>
      <w:pPr>
        <w:spacing w:before="120" w:after="120"/>
      </w:pPr>
      <w:r>
        <w:rPr>
          <w:sz w:val="18"/>
        </w:rPr>
        <w:t>——————————————————————————————————————————————————————————————————————</w:t>
      </w:r>
    </w:p>
    <w:p>
      <w:pPr>
        <w:spacing w:before="160" w:after="40" w:line="240" w:lineRule="auto"/>
      </w:pPr>
      <w:r>
        <w:rPr>
          <w:b/>
        </w:rPr>
        <w:t xml:space="preserve">[453] </w:t>
      </w:r>
      <w:hyperlink r:id="rId736">
        <w:r>
          <w:rPr>
            <w:color w:val="1155CC"/>
            <w:u w:val="single"/>
          </w:rPr>
          <w:t>[ASAP]作为攀登2e-ORR火山坑顶部的阶梯的活跃场地结构混乱</w:t>
        </w:r>
      </w:hyperlink>
    </w:p>
    <w:p>
      <w:pPr>
        <w:spacing w:before="0" w:after="80"/>
      </w:pPr>
      <w:r>
        <w:rPr>
          <w:i/>
          <w:sz w:val="20"/>
        </w:rPr>
        <w:t>EN: [ASAP] Chaos of Active Site Structure as a Ladder to Climbing the Apex of the 2e–ORR Volcano Plot</w:t>
      </w:r>
    </w:p>
    <w:p>
      <w:pPr>
        <w:spacing w:before="0" w:after="120"/>
      </w:pPr>
      <w:r>
        <w:rPr>
          <w:b/>
        </w:rPr>
        <w:t xml:space="preserve">Source: </w:t>
      </w:r>
      <w:r>
        <w:t>Journal of the American Chemical Society: Latest Articles (ACS Publications)</w:t>
      </w:r>
      <w:r>
        <w:t xml:space="preserve">    </w:t>
      </w:r>
      <w:r>
        <w:rPr>
          <w:b/>
        </w:rPr>
        <w:t xml:space="preserve">Pub date: </w:t>
      </w:r>
      <w:r>
        <w:t>2026-02-11 13:14:49+00:00</w:t>
      </w:r>
      <w:r>
        <w:t xml:space="preserve">    </w:t>
      </w:r>
      <w:r>
        <w:rPr>
          <w:b/>
        </w:rPr>
        <w:t xml:space="preserve">DOI: </w:t>
      </w:r>
      <w:hyperlink r:id="rId737">
        <w:r>
          <w:rPr>
            <w:color w:val="1155CC"/>
            <w:u w:val="single"/>
          </w:rPr>
          <w:t>10.1021/jacs.5c15908</w:t>
        </w:r>
      </w:hyperlink>
    </w:p>
    <w:p>
      <w:pPr>
        <w:spacing w:before="0" w:after="120"/>
      </w:pPr>
      <w:r>
        <w:rPr>
          <w:b/>
        </w:rPr>
        <w:t xml:space="preserve">Notes: </w:t>
      </w:r>
      <w:r>
        <w:t>abstract_source=pubmed</w:t>
      </w:r>
    </w:p>
    <w:p>
      <w:pPr>
        <w:spacing w:before="0" w:after="80" w:lineRule="auto" w:line="276"/>
      </w:pPr>
      <w:r>
        <w:rPr>
          <w:b/>
        </w:rPr>
        <w:t xml:space="preserve">摘要（ZH）: </w:t>
      </w:r>
      <w:r>
        <w:t>中性介质中的双电子氧减氧反应(2e-ORR)为高效合成过氧化氢(H2O2)提供了一种生态友好和实用的战略,但对于电催化装置和不良催化剂活动的认识有限,阻碍了其发展。 我们提议了一个战略设计原则,用于高性能四类协调的基于原子的共聚共聚共聚催化剂,其基础是几何变化和电子变异的原子共聚共聚共聚碳催化剂,代号 作定量描述,能够捕捉到当地导流波动对催化性性能的影响。 是阐明OR活动与共同单原子催化剂系统协调环境之间的关系的有效指标,从而说明高活性催化剂系统的起源。</w:t>
      </w:r>
    </w:p>
    <w:p>
      <w:pPr>
        <w:spacing w:before="0" w:after="200" w:lineRule="auto" w:line="276"/>
      </w:pPr>
      <w:r>
        <w:rPr>
          <w:b/>
        </w:rPr>
        <w:t xml:space="preserve">Abstract (EN): </w:t>
      </w:r>
      <w:r>
        <w:t>Two-electron oxygen reduction reaction (2e-ORR) in neutral media offers an eco-friendly and practical strategy for efficient synthesis of hydrogen peroxide (H2O2), yet limited understanding of electrocatalytic mechanisms and poor catalyst activity hinder its development. We propose a strategic design principle for high-performance four-coordinated Co single-atom catalysts based on atomic entropy fluctuation by both geometric and electronic modifications, quantitatively described by the descriptor φ, which is able to capture the impact of local entropy fluctuations on catalytic performance. φ serves as an effective metric for elucidating the relationship between ORR activity and the coordination environment in Co single-atom catalyst systems, thereby elucidating the origin of the high activity of CoN3S, which lies close to the apex of the volcano peak. Based on the prediction, the as-synthesized Co-N3SC catalyst achieved a 97% selectivity for H2O2 electrosynthesis at low overpotentials in neutral electrolytes. Impressively, Co-N3SC exhibited remarkable stability and delivered a cumulative yield of 10.58 g of H2O2 in flow cell devices (110 h @0.18A). In a solid-state electrolyte electrolyzer, it achieved a production rate of 10.25 mol gcat-1 h-1, enabling the direct synthesis of high-purity urea peroxide. This work offers not only strategies for designing highly active and selective 2e-ORR catalysts but deep insights into coordination environment-activity regulation and validation of practical catalyst applications.</w:t>
      </w:r>
    </w:p>
    <w:p>
      <w:pPr>
        <w:spacing w:before="120" w:after="120"/>
      </w:pPr>
      <w:r>
        <w:rPr>
          <w:sz w:val="18"/>
        </w:rPr>
        <w:t>——————————————————————————————————————————————————————————————————————</w:t>
      </w:r>
    </w:p>
    <w:p>
      <w:pPr>
        <w:spacing w:before="160" w:after="40" w:line="240" w:lineRule="auto"/>
      </w:pPr>
      <w:r>
        <w:rPr>
          <w:b/>
        </w:rPr>
        <w:t xml:space="preserve">[454] </w:t>
      </w:r>
      <w:hyperlink r:id="rId738">
        <w:r>
          <w:rPr>
            <w:color w:val="1155CC"/>
            <w:u w:val="single"/>
          </w:rPr>
          <w:t>以地表为基地的三边电电 皮肤阵列:与宽带声波读取器的接触和近距离触觉绘图</w:t>
        </w:r>
      </w:hyperlink>
    </w:p>
    <w:p>
      <w:pPr>
        <w:spacing w:before="0" w:after="80"/>
      </w:pPr>
      <w:r>
        <w:rPr>
          <w:i/>
          <w:sz w:val="20"/>
        </w:rPr>
        <w:t>EN: Large‐Area 2D Metasurface‐Based Triboelectric E‐Skin Arrays: Contact &amp; Proximity Tactile Mapping with Broadband Acoustic Readouts</w:t>
      </w:r>
    </w:p>
    <w:p>
      <w:pPr>
        <w:spacing w:before="0" w:after="120"/>
      </w:pPr>
      <w:r>
        <w:rPr>
          <w:b/>
        </w:rPr>
        <w:t xml:space="preserve">Source: </w:t>
      </w:r>
      <w:r>
        <w:t>Wiley: Advanced Materials: Table of Contents</w:t>
      </w:r>
      <w:r>
        <w:t xml:space="preserve">    </w:t>
      </w:r>
      <w:r>
        <w:rPr>
          <w:b/>
        </w:rPr>
        <w:t xml:space="preserve">Pub date: </w:t>
      </w:r>
      <w:r>
        <w:t>2026-02-11 15:17:10+00:00</w:t>
      </w:r>
      <w:r>
        <w:t xml:space="preserve">    </w:t>
      </w:r>
      <w:r>
        <w:rPr>
          <w:b/>
        </w:rPr>
        <w:t xml:space="preserve">DOI: </w:t>
      </w:r>
      <w:hyperlink r:id="rId739">
        <w:r>
          <w:rPr>
            <w:color w:val="1155CC"/>
            <w:u w:val="single"/>
          </w:rPr>
          <w:t>10.1002/adma.202521525</w:t>
        </w:r>
      </w:hyperlink>
    </w:p>
    <w:p>
      <w:pPr>
        <w:spacing w:before="0" w:after="120"/>
      </w:pPr>
      <w:r>
        <w:rPr>
          <w:b/>
        </w:rPr>
        <w:t xml:space="preserve">Notes: </w:t>
      </w:r>
      <w:r>
        <w:t>abstract_source=crossref</w:t>
      </w:r>
    </w:p>
    <w:p>
      <w:pPr>
        <w:spacing w:before="0" w:after="80" w:lineRule="auto" w:line="276"/>
      </w:pPr>
      <w:r>
        <w:rPr>
          <w:b/>
        </w:rPr>
        <w:t xml:space="preserve">摘要（ZH）: </w:t>
      </w:r>
      <w:r>
        <w:t>ABSTACT ABSTACT 电机合电、自动、灵活转导驱动电子皮层最近的进展主要是由电动三生电纳米器驱动的,这些电动三生电纳米器以多功能传感器和能源采集器的内在作用运行。因此,TENG在尖端可磨损技术中的可操作性可以通过引入 2D 电磁元表层,通过增强电动电动联动优化功能。在这里,我们引入了2D 元表层TENG 电子皮层,在单一超强平台中将触动(接触和感应)和声学感测整合成一体。大面积纳米网(NC)元表层通过激光干涉利思(LILL)和苏夫(Sof)在100 微米多甲基氧基硅(PDMS) 胶片上进行工程设计。</w:t>
      </w:r>
    </w:p>
    <w:p>
      <w:pPr>
        <w:spacing w:before="0" w:after="200" w:lineRule="auto" w:line="276"/>
      </w:pPr>
      <w:r>
        <w:rPr>
          <w:b/>
        </w:rPr>
        <w:t xml:space="preserve">Abstract (EN): </w:t>
      </w:r>
      <w:r>
        <w:t>Recent advances in electromechanically coupled, self‐powered, flexible transducer‐enabled electronic skins are predominantly driven by the capacitive triboelectric nanogenerators (TENGs), which operate intrinsically as multifunctional sensor‐cum‐energy harvester. The resulting TENG's operability in cutting‐edge wearable technologies can be significantly augmented by introducing 2D dielectric metasurfaces, which optimize functionality through enhanced electromechanical coupling. Here, we introduce a 2D metasurface‐TENG e‐skin that unifies tactile (contact and inductive) and acoustic sensing in a single ultrathin platform. Large‐area nanocone (NC) metasurfaces are engineered on 100 µm polydimethoxysilane (PDMS) films via laser‐interference lithography (LIL) and soft molding, which boosts triboelectric charge density and provides optical diffraction cues for strain monitoring. Integrated into a 3 × 3 array, the device delivers real‐time tactile pressure imaging with low crosstalk and non‐contact proximity detection. The NC‐TENG patch also functions as a self‐powered acoustic sensor, in which the sound pressure level (SPL) and frequency response are quantified in both spatial and spectral domains over a broad frequency range (∼50–6400 Hz). Compared to pristine PDMS, the metasurface enhances open‐circuit voltage by ≈46% under identical loading and sustains stable electrical output. By coupling electromechanical and electro‐acoustic transductions with metasurface optics, this work advances multimodal, arrayed e‐skins for next‐generation human‐machine interfaces and wearable sensing.</w:t>
      </w:r>
    </w:p>
    <w:p>
      <w:pPr>
        <w:spacing w:before="120" w:after="120"/>
      </w:pPr>
      <w:r>
        <w:rPr>
          <w:sz w:val="18"/>
        </w:rPr>
        <w:t>——————————————————————————————————————————————————————————————————————</w:t>
      </w:r>
    </w:p>
    <w:p>
      <w:pPr>
        <w:spacing w:before="160" w:after="40" w:line="240" w:lineRule="auto"/>
      </w:pPr>
      <w:r>
        <w:rPr>
          <w:b/>
        </w:rPr>
        <w:t xml:space="preserve">[455] </w:t>
      </w:r>
      <w:hyperlink r:id="rId740">
        <w:r>
          <w:rPr>
            <w:color w:val="1155CC"/>
            <w:u w:val="single"/>
          </w:rPr>
          <w:t>工程型双重目标纳米器关闭并增强癌症免疫周期</w:t>
        </w:r>
      </w:hyperlink>
    </w:p>
    <w:p>
      <w:pPr>
        <w:spacing w:before="0" w:after="80"/>
      </w:pPr>
      <w:r>
        <w:rPr>
          <w:i/>
          <w:sz w:val="20"/>
        </w:rPr>
        <w:t>EN: Close and Enhance the Cancer‐Immunity Cycle by Engineered Dual‐Targeted Nano‐Adaptors</w:t>
      </w:r>
    </w:p>
    <w:p>
      <w:pPr>
        <w:spacing w:before="0" w:after="120"/>
      </w:pPr>
      <w:r>
        <w:rPr>
          <w:b/>
        </w:rPr>
        <w:t xml:space="preserve">Source: </w:t>
      </w:r>
      <w:r>
        <w:t>Wiley: Advanced Materials: Table of Contents</w:t>
      </w:r>
      <w:r>
        <w:t xml:space="preserve">    </w:t>
      </w:r>
      <w:r>
        <w:rPr>
          <w:b/>
        </w:rPr>
        <w:t xml:space="preserve">Pub date: </w:t>
      </w:r>
      <w:r>
        <w:t>2026-02-11 15:18:02+00:00</w:t>
      </w:r>
      <w:r>
        <w:t xml:space="preserve">    </w:t>
      </w:r>
      <w:r>
        <w:rPr>
          <w:b/>
        </w:rPr>
        <w:t xml:space="preserve">DOI: </w:t>
      </w:r>
      <w:hyperlink r:id="rId741">
        <w:r>
          <w:rPr>
            <w:color w:val="1155CC"/>
            <w:u w:val="single"/>
          </w:rPr>
          <w:t>10.1002/adma.202521444</w:t>
        </w:r>
      </w:hyperlink>
    </w:p>
    <w:p>
      <w:pPr>
        <w:spacing w:before="0" w:after="120"/>
      </w:pPr>
      <w:r>
        <w:rPr>
          <w:b/>
        </w:rPr>
        <w:t xml:space="preserve">Notes: </w:t>
      </w:r>
      <w:r>
        <w:t>abstract_source=crossref</w:t>
      </w:r>
    </w:p>
    <w:p>
      <w:pPr>
        <w:spacing w:before="0" w:after="80" w:lineRule="auto" w:line="276"/>
      </w:pPr>
      <w:r>
        <w:rPr>
          <w:b/>
        </w:rPr>
        <w:t xml:space="preserve">摘要（ZH）: </w:t>
      </w:r>
      <w:r>
        <w:t>癌症免疫周期(CIC)提供了一个概念框架,通过针对系统性免疫中的关键事件,为获得有效的抗肿瘤免疫反应提供了一个概念框架;然而,成功完成CIC往往需要多种治疗模式的协调行动,需要将其纳入一个统一的系统,以克服常规混合疗法的局限性。在这里,我们提出了一个多式和可编程平台,将多种治疗性生物分子纳入单一制剂,通过双重目标纳米适应器(TNA)纳米技术构建多功能纳米医学和双特定抗体,以强化CIC。具体地说,TNA纳米医学的目标是在CIC内采取五个关键步骤,包括:</w:t>
      </w:r>
    </w:p>
    <w:p>
      <w:pPr>
        <w:spacing w:before="0" w:after="200" w:lineRule="auto" w:line="276"/>
      </w:pPr>
      <w:r>
        <w:rPr>
          <w:b/>
        </w:rPr>
        <w:t xml:space="preserve">Abstract (EN): </w:t>
      </w:r>
      <w:r>
        <w:t>The cancer‐immunity cycle (CIC) provides a conceptual framework for eliciting effective anti‐tumor immune responses by targeting key events in systemic immunity. However, the successful completion of the CIC often requires the coordinated action of multiple therapeutic modalities, necessitating their integration into a unified system to overcome the limitations of conventional combination therapies. Here, we present a multimodal and programmable platform that integrates diverse therapeutic biomolecules into single agents, enabling the construction of versatile nanomedicines and bispecific antibodies through dual‐targeted nano‐adaptor (TNA) nanotechnology to potentiate the CIC. Specifically, TNA nanomedicines target five critical steps within the CIC, including antigen release, dendritic cell (DC) maturation, T‐cell activation, mitigation of T‐cell exhaustion, and tumor cell killing. Meanwhile, TNA bispecific antibodies enhance DC‐T cell interactions to strengthen adaptive immunity and reinforce NK‐tumor cell interactions to promote cytotoxicity. We demonstrate that TNAs elicit robust anti‐tumor immunity, eradicating established tumors and suppressing metastatic dissemination. Owing to their modular and programmable architecture, TNAs hold broad potential for applications in immunotherapy and beyond.</w:t>
      </w:r>
    </w:p>
    <w:p>
      <w:pPr>
        <w:spacing w:before="120" w:after="120"/>
      </w:pPr>
      <w:r>
        <w:rPr>
          <w:sz w:val="18"/>
        </w:rPr>
        <w:t>——————————————————————————————————————————————————————————————————————</w:t>
      </w:r>
    </w:p>
    <w:p>
      <w:pPr>
        <w:spacing w:before="160" w:after="40" w:line="240" w:lineRule="auto"/>
      </w:pPr>
      <w:r>
        <w:rPr>
          <w:b/>
        </w:rPr>
        <w:t xml:space="preserve">[456] </w:t>
      </w:r>
      <w:hyperlink r:id="rId742">
        <w:r>
          <w:rPr>
            <w:color w:val="1155CC"/>
            <w:u w:val="single"/>
          </w:rPr>
          <w:t>引导的抗推离磁共聚稳定,从废液锂电池中重新构造的阴极</w:t>
        </w:r>
      </w:hyperlink>
    </w:p>
    <w:p>
      <w:pPr>
        <w:spacing w:before="0" w:after="80"/>
      </w:pPr>
      <w:r>
        <w:rPr>
          <w:i/>
          <w:sz w:val="20"/>
        </w:rPr>
        <w:t>EN: Orientation Site‐Induced Antiferromagnetic Coupling Stabilizes Reconstructed Cathode From Spent Lithium‐Ion Batteries</w:t>
      </w:r>
    </w:p>
    <w:p>
      <w:pPr>
        <w:spacing w:before="0" w:after="120"/>
      </w:pPr>
      <w:r>
        <w:rPr>
          <w:b/>
        </w:rPr>
        <w:t xml:space="preserve">Source: </w:t>
      </w:r>
      <w:r>
        <w:t>Wiley: Angewandte Chemie International Edition: Table of Contents</w:t>
      </w:r>
      <w:r>
        <w:t xml:space="preserve">    </w:t>
      </w:r>
      <w:r>
        <w:rPr>
          <w:b/>
        </w:rPr>
        <w:t xml:space="preserve">Pub date: </w:t>
      </w:r>
      <w:r>
        <w:t>2026-02-11 15:18:09+00:00</w:t>
      </w:r>
      <w:r>
        <w:t xml:space="preserve">    </w:t>
      </w:r>
      <w:r>
        <w:rPr>
          <w:b/>
        </w:rPr>
        <w:t xml:space="preserve">DOI: </w:t>
      </w:r>
      <w:hyperlink r:id="rId743">
        <w:r>
          <w:rPr>
            <w:color w:val="1155CC"/>
            <w:u w:val="single"/>
          </w:rPr>
          <w:t>10.1002/anie.202522851</w:t>
        </w:r>
      </w:hyperlink>
    </w:p>
    <w:p>
      <w:pPr>
        <w:spacing w:before="0" w:after="120"/>
      </w:pPr>
      <w:r>
        <w:rPr>
          <w:b/>
        </w:rPr>
        <w:t xml:space="preserve">Notes: </w:t>
      </w:r>
      <w:r>
        <w:t>abstract_source=crossref</w:t>
      </w:r>
    </w:p>
    <w:p>
      <w:pPr>
        <w:spacing w:before="0" w:after="80" w:lineRule="auto" w:line="276"/>
      </w:pPr>
      <w:r>
        <w:rPr>
          <w:b/>
        </w:rPr>
        <w:t xml:space="preserve">摘要（ZH）: </w:t>
      </w:r>
      <w:r>
        <w:t>用过的层层二氧化二氮阴极的直接再生为资源回收和循环电池制造提供了一个可持续的途径,然而,其长期稳定性受到内在电子互动的根本性制约,特别是Ni 3轨道轨道和O 2轨道轨道之间内在的型混合有利于有害的氮迁移和岩石盐阶段的形成,最终导致能力迅速退化。在这里,我们利用用过的LiNi 0.5 Co 0.2 Mn 0.3 O的原李氏空缺。</w:t>
      </w:r>
    </w:p>
    <w:p>
      <w:pPr>
        <w:spacing w:before="0" w:after="200" w:lineRule="auto" w:line="276"/>
      </w:pPr>
      <w:r>
        <w:rPr>
          <w:b/>
        </w:rPr>
        <w:t xml:space="preserve">Abstract (EN): </w:t>
      </w:r>
      <w:r>
        <w:t>Direct regeneration of spent layered ternary oxide cathodes offers a sustainable pathway for resource recovery and circular battery manufacturing. However, their long‐term stability is fundamentally constrained by intrinsic electronic interactions. In particular, the inherent π‐type hybridization between Ni 3</w:t>
      </w:r>
      <w:r>
        <w:t xml:space="preserve"> </w:t>
      </w:r>
      <w:r>
        <w:t>d</w:t>
      </w:r>
      <w:r>
        <w:t xml:space="preserve"> </w:t>
      </w:r>
      <w:r>
        <w:t>orbitals and O 2</w:t>
      </w:r>
      <w:r>
        <w:t xml:space="preserve"> </w:t>
      </w:r>
      <w:r>
        <w:t>p</w:t>
      </w:r>
      <w:r>
        <w:t xml:space="preserve"> </w:t>
      </w:r>
      <w:r>
        <w:t>orbitals facilitates detrimental Ni migration and rock‐salt phase formation, ultimately leading to rapid capacity degradation. Here, we leverage the preexisting Li vacancies in spent LiNi</w:t>
      </w:r>
      <w:r>
        <w:t xml:space="preserve"> </w:t>
      </w:r>
      <w:r>
        <w:t>0.5</w:t>
      </w:r>
      <w:r>
        <w:t xml:space="preserve"> </w:t>
      </w:r>
      <w:r>
        <w:t>Co</w:t>
      </w:r>
      <w:r>
        <w:t xml:space="preserve"> </w:t>
      </w:r>
      <w:r>
        <w:t>0.2</w:t>
      </w:r>
      <w:r>
        <w:t xml:space="preserve"> </w:t>
      </w:r>
      <w:r>
        <w:t>Mn</w:t>
      </w:r>
      <w:r>
        <w:t xml:space="preserve"> </w:t>
      </w:r>
      <w:r>
        <w:t>0.3</w:t>
      </w:r>
      <w:r>
        <w:t xml:space="preserve"> </w:t>
      </w:r>
      <w:r>
        <w:t>O</w:t>
      </w:r>
      <w:r>
        <w:rPr>
          <w:vertAlign w:val="subscript"/>
        </w:rPr>
        <w:t>2</w:t>
      </w:r>
      <w:r>
        <w:t>(NCM) as orientation sites to induce localized lattice stress fields during regeneration. The resulting lattice perturbation modulates the spin configuration of bridging O anions, thereby triggering antiferromagnetic coupling between adjacent Ni cations and O anions. Consequently, the Ni─O orbital hybridization transitions from weak π‐dominated to robust σ‐dominated interactions, as evidenced by enhanced covalent character of the Ni─O bonds. This reinforced bonding framework effectively suppresses Ni migration and defect propagation during repeated lithiation/delithiation cycles. As a result, the regenerated NCM cathode exhibits significantly improved durability, retaining ∼60% of its initial capacity after 750 cycles. These findings reveal a direct correlation between the local valence bond evolution and cycling reversibility of cathode materials, offering new design principles and mechanistic insights for stabilizing regenerated cathode materials.</w:t>
      </w:r>
    </w:p>
    <w:p>
      <w:pPr>
        <w:spacing w:before="120" w:after="120"/>
      </w:pPr>
      <w:r>
        <w:rPr>
          <w:sz w:val="18"/>
        </w:rPr>
        <w:t>——————————————————————————————————————————————————————————————————————</w:t>
      </w:r>
    </w:p>
    <w:p>
      <w:pPr>
        <w:spacing w:before="160" w:after="40" w:line="240" w:lineRule="auto"/>
      </w:pPr>
      <w:r>
        <w:rPr>
          <w:b/>
        </w:rPr>
        <w:t xml:space="preserve">[457] </w:t>
      </w:r>
      <w:hyperlink r:id="rId744">
        <w:r>
          <w:rPr>
            <w:color w:val="1155CC"/>
            <w:u w:val="single"/>
          </w:rPr>
          <w:t>具有综合质子辐射防护和空间电子能源储存能力的综合质子辐射防护和能源储存能力的多价共价铝化氢氢化石材料</w:t>
        </w:r>
      </w:hyperlink>
    </w:p>
    <w:p>
      <w:pPr>
        <w:spacing w:before="0" w:after="80"/>
      </w:pPr>
      <w:r>
        <w:rPr>
          <w:i/>
          <w:sz w:val="20"/>
        </w:rPr>
        <w:t>EN: Covalent Amorphous Alumina‐Hydrogenated Graphene Materials With Integrated Proton Radiation Shielding and Energy Storage Capability for Space Electronics</w:t>
      </w:r>
    </w:p>
    <w:p>
      <w:pPr>
        <w:spacing w:before="0" w:after="120"/>
      </w:pPr>
      <w:r>
        <w:rPr>
          <w:b/>
        </w:rPr>
        <w:t xml:space="preserve">Source: </w:t>
      </w:r>
      <w:r>
        <w:t>Wiley: Advanced Materials: Table of Contents</w:t>
      </w:r>
      <w:r>
        <w:t xml:space="preserve">    </w:t>
      </w:r>
      <w:r>
        <w:rPr>
          <w:b/>
        </w:rPr>
        <w:t xml:space="preserve">Pub date: </w:t>
      </w:r>
      <w:r>
        <w:t>2026-02-11 15:19:11+00:00</w:t>
      </w:r>
      <w:r>
        <w:t xml:space="preserve">    </w:t>
      </w:r>
      <w:r>
        <w:rPr>
          <w:b/>
        </w:rPr>
        <w:t xml:space="preserve">DOI: </w:t>
      </w:r>
      <w:hyperlink r:id="rId745">
        <w:r>
          <w:rPr>
            <w:color w:val="1155CC"/>
            <w:u w:val="single"/>
          </w:rPr>
          <w:t>10.1002/adma.202511363</w:t>
        </w:r>
      </w:hyperlink>
    </w:p>
    <w:p>
      <w:pPr>
        <w:spacing w:before="0" w:after="120"/>
      </w:pPr>
      <w:r>
        <w:rPr>
          <w:b/>
        </w:rPr>
        <w:t xml:space="preserve">Notes: </w:t>
      </w:r>
      <w:r>
        <w:t>abstract_source=crossref</w:t>
      </w:r>
    </w:p>
    <w:p>
      <w:pPr>
        <w:spacing w:before="0" w:after="80" w:lineRule="auto" w:line="276"/>
      </w:pPr>
      <w:r>
        <w:rPr>
          <w:b/>
        </w:rPr>
        <w:t xml:space="preserve">摘要（ZH）: </w:t>
      </w:r>
      <w:r>
        <w:t>将质子辐射防护与能源储存能力相结合的适应性材料平台的开发对于实现空间电子的微型化和成本效益高的可靠性至关重要。在这里,我们展示了一种工业上可行的技术,用于制造可降低高能质子、储存电能和适应缩小规模的可塑光氢氢化石墨(AHG)胶片。具体地说,这种制造包括热驱动降水和碳物种结晶化成氢化石墨层,以及将铝氧化成在镍合金表面的无定型铝。AHG电影展出了能质子的有效衰减(15.2MeV,4.3x10)。</w:t>
      </w:r>
    </w:p>
    <w:p>
      <w:pPr>
        <w:spacing w:before="0" w:after="200" w:lineRule="auto" w:line="276"/>
      </w:pPr>
      <w:r>
        <w:rPr>
          <w:b/>
        </w:rPr>
        <w:t xml:space="preserve">Abstract (EN): </w:t>
      </w:r>
      <w:r>
        <w:t>The development of adaptive material platforms that integrate proton radiation shielding with energy storage capabilities is critical for achieving both miniaturization and cost‐effective reliability in space electronics. Here, we present an industrially viable technology for fabricating covalent amorphous alumina‐hydrogenated graphene (AHG) films that can attenuate energetic protons, store electrical energy, and adapt to downsizing. Specifically, the fabrication involves thermal‐driven precipitation and crystallization of carbon species into hydrogenated graphene layers, along with oxidation of aluminum into amorphous alumina, on a nickel‐copper alloy surface. AHG films exhibit effective attenuation of energetic protons (15.2 MeV, 4.3 × 10</w:t>
      </w:r>
      <w:r>
        <w:rPr>
          <w:vertAlign w:val="subscript"/>
        </w:rPr>
        <w:t>12</w:t>
      </w:r>
      <w:r>
        <w:t>p/cm</w:t>
      </w:r>
      <w:r>
        <w:rPr>
          <w:vertAlign w:val="subscript"/>
        </w:rPr>
        <w:t>2</w:t>
      </w:r>
      <w:r>
        <w:t>), primarily attributed to proton trapping via C─H bond formation within the film matrix. Moreover, AHG films are laser‐scribed into interdigitated electrodes for constructing micro‐supercapacitors (µ‐SCs) with impressive energy (8.33 mWh/cm</w:t>
      </w:r>
      <w:r>
        <w:rPr>
          <w:vertAlign w:val="subscript"/>
        </w:rPr>
        <w:t>3</w:t>
      </w:r>
      <w:r>
        <w:t>) and power (130 mW/cm</w:t>
      </w:r>
      <w:r>
        <w:rPr>
          <w:vertAlign w:val="subscript"/>
        </w:rPr>
        <w:t>3</w:t>
      </w:r>
      <w:r>
        <w:t>) densities.</w:t>
      </w:r>
      <w:r>
        <w:t xml:space="preserve"> </w:t>
      </w:r>
      <w:r>
        <w:t>Operando</w:t>
      </w:r>
      <w:r>
        <w:t xml:space="preserve"> </w:t>
      </w:r>
      <w:r>
        <w:t>measurements of the AHG µ‐SCs demonstrate their dual functions in reducing the incident protons by ∼1.9 MeV in energy and ∼5.8 × 10</w:t>
      </w:r>
      <w:r>
        <w:rPr>
          <w:vertAlign w:val="subscript"/>
        </w:rPr>
        <w:t>11</w:t>
      </w:r>
      <w:r>
        <w:t>protons/cm</w:t>
      </w:r>
      <w:r>
        <w:rPr>
          <w:vertAlign w:val="subscript"/>
        </w:rPr>
        <w:t>2</w:t>
      </w:r>
      <w:r>
        <w:t>in fluence, while maintaining stable capacitive behavior with ∼93% capacitance retained after the severe irradiation. These findings suggest significant potential for developing single multifunctional products as a replacement for both traditional radiation shields and energy storage devices in next‐generation space electronics.</w:t>
      </w:r>
    </w:p>
    <w:p>
      <w:pPr>
        <w:spacing w:before="120" w:after="120"/>
      </w:pPr>
      <w:r>
        <w:rPr>
          <w:sz w:val="18"/>
        </w:rPr>
        <w:t>——————————————————————————————————————————————————————————————————————</w:t>
      </w:r>
    </w:p>
    <w:p>
      <w:pPr>
        <w:spacing w:before="160" w:after="40" w:line="240" w:lineRule="auto"/>
      </w:pPr>
      <w:r>
        <w:rPr>
          <w:b/>
        </w:rPr>
        <w:t xml:space="preserve">[458] </w:t>
      </w:r>
      <w:hyperlink r:id="rId746">
        <w:r>
          <w:rPr>
            <w:color w:val="1155CC"/>
            <w:u w:val="single"/>
          </w:rPr>
          <w:t>通过电子结构在白金合金之上对白金矿址进行电动脱氢</w:t>
        </w:r>
      </w:hyperlink>
    </w:p>
    <w:p>
      <w:pPr>
        <w:spacing w:before="0" w:after="80"/>
      </w:pPr>
      <w:r>
        <w:rPr>
          <w:i/>
          <w:sz w:val="20"/>
        </w:rPr>
        <w:t>EN: Enhancing Photocatalytic Propane Dehydrogenation via Electronic Structure Modulation of Platinum Sites Over Platinum‐Based Alloys</w:t>
      </w:r>
    </w:p>
    <w:p>
      <w:pPr>
        <w:spacing w:before="0" w:after="120"/>
      </w:pPr>
      <w:r>
        <w:rPr>
          <w:b/>
        </w:rPr>
        <w:t xml:space="preserve">Source: </w:t>
      </w:r>
      <w:r>
        <w:t>Wiley: Angewandte Chemie International Edition: Table of Contents</w:t>
      </w:r>
      <w:r>
        <w:t xml:space="preserve">    </w:t>
      </w:r>
      <w:r>
        <w:rPr>
          <w:b/>
        </w:rPr>
        <w:t xml:space="preserve">Pub date: </w:t>
      </w:r>
      <w:r>
        <w:t>2026-02-11 15:20:23+00:00</w:t>
      </w:r>
      <w:r>
        <w:t xml:space="preserve">    </w:t>
      </w:r>
      <w:r>
        <w:rPr>
          <w:b/>
        </w:rPr>
        <w:t xml:space="preserve">DOI: </w:t>
      </w:r>
      <w:hyperlink r:id="rId747">
        <w:r>
          <w:rPr>
            <w:color w:val="1155CC"/>
            <w:u w:val="single"/>
          </w:rPr>
          <w:t>10.1002/anie.202524711</w:t>
        </w:r>
      </w:hyperlink>
    </w:p>
    <w:p>
      <w:pPr>
        <w:spacing w:before="0" w:after="120"/>
      </w:pPr>
      <w:r>
        <w:rPr>
          <w:b/>
        </w:rPr>
        <w:t xml:space="preserve">Notes: </w:t>
      </w:r>
      <w:r>
        <w:t>abstract_source=crossref</w:t>
      </w:r>
    </w:p>
    <w:p>
      <w:pPr>
        <w:spacing w:before="0" w:after="80" w:lineRule="auto" w:line="276"/>
      </w:pPr>
      <w:r>
        <w:rPr>
          <w:b/>
        </w:rPr>
        <w:t xml:space="preserve">摘要（ZH）: </w:t>
      </w:r>
      <w:r>
        <w:t>ABSTACT 光电催化丙烷脱氢脱氢(PDH) 尽管目前丙烯产量不能令人满意,但仍为在温和条件下生产丙烯提供了一条有希望的道路。在这里,我们向Pt/ZnO引入了几种第二种金属催化剂,通过形成PtM合金来调节Pt的电子结构。在所有这些催化剂中,PtPb合金/ZnO催化剂(PtPb/ZnO)展示了最佳光电催化PDH活动。实验和密度功能理论计算都表明,PtPb合金大大增加了Pt的电密度,削弱了Pt和prylene之间的相互作用。这有利于在光催化PDH期间分离产生的丙烯,从而帮助释放了Pt活性点,用于反应性连接。</w:t>
      </w:r>
    </w:p>
    <w:p>
      <w:pPr>
        <w:spacing w:before="0" w:after="200" w:lineRule="auto" w:line="276"/>
      </w:pPr>
      <w:r>
        <w:rPr>
          <w:b/>
        </w:rPr>
        <w:t xml:space="preserve">Abstract (EN): </w:t>
      </w:r>
      <w:r>
        <w:t>Photocatalytic propane dehydrogenation (PDH) offers a promising route for propylene production under mild conditions despite the unsatisfactory propylene yield at present. Herein, we have introduced several second metals into Pt/ZnO catalyst to modulate the electronic structure of Pt by forming PtM alloys. Among all these catalysts, PtPb alloys/ZnO catalyst (PtPb/ZnO) exhibits the optimum photocatalytic PDH activity. Both experiments and density functional theory calculations reveals that PtPb alloys significantly increases the electron density of Pt, weakening the interaction between Pt and propylene. This facilitates the desorption of the produced propylene during photocatalytic PDH, thus helping to release Pt active sites for reactant conversion. A 3.6‐fold increase on propylene yield of photocatalytic PDH has been achieved over PtPb/ZnO with a propylene production rate of 5.4 mmol g</w:t>
      </w:r>
      <w:r>
        <w:t xml:space="preserve"> </w:t>
      </w:r>
      <w:r>
        <w:t>−1</w:t>
      </w:r>
      <w:r>
        <w:t xml:space="preserve"> </w:t>
      </w:r>
      <w:r>
        <w:t>h</w:t>
      </w:r>
      <w:r>
        <w:t xml:space="preserve"> </w:t>
      </w:r>
      <w:r>
        <w:t>−1</w:t>
      </w:r>
      <w:r>
        <w:t xml:space="preserve"> </w:t>
      </w:r>
      <w:r>
        <w:t>. Our findings highlight the critical relationship between the electronic structure of Pt active sites and performance, marking product desorption modulation an effective strategy to boost photocatalytic PDH.</w:t>
      </w:r>
    </w:p>
    <w:p>
      <w:pPr>
        <w:spacing w:before="120" w:after="120"/>
      </w:pPr>
      <w:r>
        <w:rPr>
          <w:sz w:val="18"/>
        </w:rPr>
        <w:t>——————————————————————————————————————————————————————————————————————</w:t>
      </w:r>
    </w:p>
    <w:p>
      <w:pPr>
        <w:spacing w:before="160" w:after="40" w:line="240" w:lineRule="auto"/>
      </w:pPr>
      <w:r>
        <w:rPr>
          <w:b/>
        </w:rPr>
        <w:t xml:space="preserve">[459] </w:t>
      </w:r>
      <w:hyperlink r:id="rId748">
        <w:r>
          <w:rPr>
            <w:color w:val="1155CC"/>
            <w:u w:val="single"/>
          </w:rPr>
          <w:t>用于高分辨率 X射成像的 定向微结构闪烁器</w:t>
        </w:r>
      </w:hyperlink>
    </w:p>
    <w:p>
      <w:pPr>
        <w:spacing w:before="0" w:after="80"/>
      </w:pPr>
      <w:r>
        <w:rPr>
          <w:i/>
          <w:sz w:val="20"/>
        </w:rPr>
        <w:t>EN: Oriented Microstructured Scintillator for High‐Resolution X‐Ray Imaging</w:t>
      </w:r>
    </w:p>
    <w:p>
      <w:pPr>
        <w:spacing w:before="0" w:after="120"/>
      </w:pPr>
      <w:r>
        <w:rPr>
          <w:b/>
        </w:rPr>
        <w:t xml:space="preserve">Source: </w:t>
      </w:r>
      <w:r>
        <w:t>Wiley: Advanced Materials: Table of Contents</w:t>
      </w:r>
      <w:r>
        <w:t xml:space="preserve">    </w:t>
      </w:r>
      <w:r>
        <w:rPr>
          <w:b/>
        </w:rPr>
        <w:t xml:space="preserve">Pub date: </w:t>
      </w:r>
      <w:r>
        <w:t>2026-02-11 15:20:59+00:00</w:t>
      </w:r>
      <w:r>
        <w:t xml:space="preserve">    </w:t>
      </w:r>
      <w:r>
        <w:rPr>
          <w:b/>
        </w:rPr>
        <w:t xml:space="preserve">DOI: </w:t>
      </w:r>
      <w:hyperlink r:id="rId749">
        <w:r>
          <w:rPr>
            <w:color w:val="1155CC"/>
            <w:u w:val="single"/>
          </w:rPr>
          <w:t>10.1002/adma.202521655</w:t>
        </w:r>
      </w:hyperlink>
    </w:p>
    <w:p>
      <w:pPr>
        <w:spacing w:before="0" w:after="120"/>
      </w:pPr>
      <w:r>
        <w:rPr>
          <w:b/>
        </w:rPr>
        <w:t xml:space="preserve">Notes: </w:t>
      </w:r>
      <w:r>
        <w:t>abstract_source=crossref</w:t>
      </w:r>
    </w:p>
    <w:p>
      <w:pPr>
        <w:spacing w:before="0" w:after="80" w:lineRule="auto" w:line="276"/>
      </w:pPr>
      <w:r>
        <w:rPr>
          <w:b/>
        </w:rPr>
        <w:t xml:space="preserve">摘要（ZH）: </w:t>
      </w:r>
      <w:r>
        <w:t>结构化的焚化炉被视为实现高分辨率X射线成像的唯一战略。 不幸的是,建造大型和统一的集成候选人且具有定向微结构仍然是一项不可克服的挑战。在这里,我们提出并展示了一个新型的大型的高度统一的集成型微结构化玻璃复合焚化器,通过触发元相色玻璃的定向结晶习惯。它的特点是柱状微晶体阵列阵列,在玻璃阶段嵌入高折射指数,其反射指数相对较低。这能够形成一个带有轻封闭能力的内在波导结构,其中光子向传播。</w:t>
      </w:r>
    </w:p>
    <w:p>
      <w:pPr>
        <w:spacing w:before="0" w:after="200" w:lineRule="auto" w:line="276"/>
      </w:pPr>
      <w:r>
        <w:rPr>
          <w:b/>
        </w:rPr>
        <w:t xml:space="preserve">Abstract (EN): </w:t>
      </w:r>
      <w:r>
        <w:t>The structured scintillator is regarded as the sole strategy for achieving high‐resolution X‐ray imaging. Unfortunately, the construction of large‐sized and uniform integrated candidates with oriented microstructure remains an insurmountable challenge. Herein, we propose and demonstrate a novel large‐scale, highly uniform integrated oriented microstructured glass composite scintillator by triggering the oriented crystallization habit of the metastable glass. It is featured by columnar microcrystalline arrays with a high refractive index embedded in the glass phase with a relatively low refractive index. This enables to form an intrinsic waveguide configuration with light confinement capabilities, in which the directional propagation of photons can be realized. As a result, an excellent scintillation performance with the X‐ray excited luminescence intensity of 5.67 times that of BGO can be realized. It also demonstrates the excellent environmental resistance because of the all‐oxide system. By using this oriented microstructured glass composite scintillator, the X‐ray imaging system is built, and an impressive imaging resolution of 30 lp mm</w:t>
      </w:r>
      <w:r>
        <w:t xml:space="preserve"> </w:t>
      </w:r>
      <w:r>
        <w:t>−1</w:t>
      </w:r>
      <w:r>
        <w:t xml:space="preserve"> </w:t>
      </w:r>
      <w:r>
        <w:t>is successfully achieved. The progress represents a giant step toward high‐resolution X‐ray imaging with structured scintillators.</w:t>
      </w:r>
    </w:p>
    <w:p>
      <w:pPr>
        <w:spacing w:before="120" w:after="120"/>
      </w:pPr>
      <w:r>
        <w:rPr>
          <w:sz w:val="18"/>
        </w:rPr>
        <w:t>——————————————————————————————————————————————————————————————————————</w:t>
      </w:r>
    </w:p>
    <w:p>
      <w:pPr>
        <w:spacing w:before="160" w:after="40" w:line="240" w:lineRule="auto"/>
      </w:pPr>
      <w:r>
        <w:rPr>
          <w:b/>
        </w:rPr>
        <w:t xml:space="preserve">[460] </w:t>
      </w:r>
      <w:hyperlink r:id="rId750">
        <w:r>
          <w:rPr>
            <w:color w:val="1155CC"/>
            <w:u w:val="single"/>
          </w:rPr>
          <w:t>[ASAP] 无线电活动、基于金-单-Atom的人工酶,配有链状生物催化和强化无线电敏化,以防止在恶意中出现假象和重复发生</w:t>
        </w:r>
      </w:hyperlink>
    </w:p>
    <w:p>
      <w:pPr>
        <w:spacing w:before="0" w:after="80"/>
      </w:pPr>
      <w:r>
        <w:rPr>
          <w:i/>
          <w:sz w:val="20"/>
        </w:rPr>
        <w:t>EN: [ASAP] Radio-Activable Gold-Single-Atom-Based Artificial Enzymes with Cascade Biocatalysis and Enhanced Radiosensitization to Prevent Metastasis and Recurrence in Malignancies</w:t>
      </w:r>
    </w:p>
    <w:p>
      <w:pPr>
        <w:spacing w:before="0" w:after="120"/>
      </w:pPr>
      <w:r>
        <w:rPr>
          <w:b/>
        </w:rPr>
        <w:t xml:space="preserve">Source: </w:t>
      </w:r>
      <w:r>
        <w:t>Journal of the American Chemical Society: Latest Articles (ACS Publications)</w:t>
      </w:r>
      <w:r>
        <w:t xml:space="preserve">    </w:t>
      </w:r>
      <w:r>
        <w:rPr>
          <w:b/>
        </w:rPr>
        <w:t xml:space="preserve">Pub date: </w:t>
      </w:r>
      <w:r>
        <w:t>2026-02-11 15:21:57+00:00</w:t>
      </w:r>
      <w:r>
        <w:t xml:space="preserve">    </w:t>
      </w:r>
      <w:r>
        <w:rPr>
          <w:b/>
        </w:rPr>
        <w:t xml:space="preserve">DOI: </w:t>
      </w:r>
      <w:hyperlink r:id="rId751">
        <w:r>
          <w:rPr>
            <w:color w:val="1155CC"/>
            <w:u w:val="single"/>
          </w:rPr>
          <w:t>10.1021/jacs.5c20880</w:t>
        </w:r>
      </w:hyperlink>
    </w:p>
    <w:p>
      <w:pPr>
        <w:spacing w:before="0" w:after="120"/>
      </w:pPr>
      <w:r>
        <w:rPr>
          <w:b/>
        </w:rPr>
        <w:t xml:space="preserve">Notes: </w:t>
      </w:r>
      <w:r>
        <w:t>abstract_source=pubmed</w:t>
      </w:r>
    </w:p>
    <w:p>
      <w:pPr>
        <w:spacing w:before="0" w:after="80" w:lineRule="auto" w:line="276"/>
      </w:pPr>
      <w:r>
        <w:rPr>
          <w:b/>
        </w:rPr>
        <w:t xml:space="preserve">摘要（ZH）: </w:t>
      </w:r>
      <w:r>
        <w:t>放射疗法是肿瘤治疗的基石,经常与化疗或免疫疗法结合使用,但其效力往往受到射线阻力和系统抗肿瘤免疫作用不足的限制,要克服这些挑战,就必须开发创新的无线电活性剂,以提高治疗效率,抑制转移和复发。在这里,我们介绍无线电活性金质单原子人工酶(Au-RadioSAE)系统的新设计,该系统具有先进的生物催化和辐射敏化,以防止转移性复发。通过放射疗法,Au-RadioSAE可触发细胞内活性氧物种迅速增加,扩大DNA破坏,并引发强细胞坏塞。</w:t>
      </w:r>
    </w:p>
    <w:p>
      <w:pPr>
        <w:spacing w:before="0" w:after="200" w:lineRule="auto" w:line="276"/>
      </w:pPr>
      <w:r>
        <w:rPr>
          <w:b/>
        </w:rPr>
        <w:t xml:space="preserve">Abstract (EN): </w:t>
      </w:r>
      <w:r>
        <w:t>Radiotherapy is a cornerstone of oncological treatment and is frequently used in combination with chemotherapy or immunotherapy. However, its effectiveness is often limited by radioresistance and insufficient activation of systemic antitumor immunity. Overcoming these challenges necessitates the development of innovative radio-activable agents that can enhance therapeutic efficacy and suppress metastasis and recurrence. Here, we present the de novo design of a radio-activable gold-single-atom-based artificial enzyme (Au-RadioSAE) system with superior biocatalysis and radiosensitization to prevent metastatic recurrence. Upon activation by radiotherapy, Au-RadioSAE triggers a rapid increase in intracellular reactive oxygen species, amplifies DNA damage, and initiates potent cell necroptosis. Simultaneously, it remodels the tumor immune microenvironment by enhancing CD8+ T cell infiltration, promoting M1 macrophage polarization, and enhancing radioimmunotherapy. In a CT26 murine model, Au-RadioSAE significantly inhibited tumor growth and recurrence. When combined with an anti-PD-1 immune checkpoint inhibitor, it strongly induced immunogenic cell death in nonirradiated tumors, leading to the synergistic suppression of metastatic growth. This innovative design offers a promising strategy for developing radio-activable artificial enzymes that synergize radiotherapy and immunotherapy, particularly in preventing metastasis and recurrence in advanced malignancies.</w:t>
      </w:r>
    </w:p>
    <w:p>
      <w:pPr>
        <w:spacing w:before="120" w:after="120"/>
      </w:pPr>
      <w:r>
        <w:rPr>
          <w:sz w:val="18"/>
        </w:rPr>
        <w:t>——————————————————————————————————————————————————————————————————————</w:t>
      </w:r>
    </w:p>
    <w:p>
      <w:pPr>
        <w:spacing w:before="160" w:after="40" w:line="240" w:lineRule="auto"/>
      </w:pPr>
      <w:r>
        <w:rPr>
          <w:b/>
        </w:rPr>
        <w:t xml:space="preserve">[461] </w:t>
      </w:r>
      <w:hyperlink r:id="rId752">
        <w:r>
          <w:rPr>
            <w:color w:val="1155CC"/>
            <w:u w:val="single"/>
          </w:rPr>
          <w:t>含有耐久水电解结合界面的薄膜</w:t>
        </w:r>
      </w:hyperlink>
    </w:p>
    <w:p>
      <w:pPr>
        <w:spacing w:before="0" w:after="80"/>
      </w:pPr>
      <w:r>
        <w:rPr>
          <w:i/>
          <w:sz w:val="20"/>
        </w:rPr>
        <w:t>EN: Dual‐Scale‐Patterned Anion Exchange Membrane With Coupled Interface for Durable Water Electrolysis</w:t>
      </w:r>
    </w:p>
    <w:p>
      <w:pPr>
        <w:spacing w:before="0" w:after="120"/>
      </w:pPr>
      <w:r>
        <w:rPr>
          <w:b/>
        </w:rPr>
        <w:t xml:space="preserve">Source: </w:t>
      </w:r>
      <w:r>
        <w:t>Wiley: Advanced Materials: Table of Contents</w:t>
      </w:r>
      <w:r>
        <w:t xml:space="preserve">    </w:t>
      </w:r>
      <w:r>
        <w:rPr>
          <w:b/>
        </w:rPr>
        <w:t xml:space="preserve">Pub date: </w:t>
      </w:r>
      <w:r>
        <w:t>2026-02-11 15:23:02+00:00</w:t>
      </w:r>
      <w:r>
        <w:t xml:space="preserve">    </w:t>
      </w:r>
      <w:r>
        <w:rPr>
          <w:b/>
        </w:rPr>
        <w:t xml:space="preserve">DOI: </w:t>
      </w:r>
      <w:hyperlink r:id="rId753">
        <w:r>
          <w:rPr>
            <w:color w:val="1155CC"/>
            <w:u w:val="single"/>
          </w:rPr>
          <w:t>10.1002/adma.202521844</w:t>
        </w:r>
      </w:hyperlink>
    </w:p>
    <w:p>
      <w:pPr>
        <w:spacing w:before="0" w:after="120"/>
      </w:pPr>
      <w:r>
        <w:rPr>
          <w:b/>
        </w:rPr>
        <w:t xml:space="preserve">Notes: </w:t>
      </w:r>
      <w:r>
        <w:t>abstract_source=crossref</w:t>
      </w:r>
    </w:p>
    <w:p>
      <w:pPr>
        <w:spacing w:before="0" w:after="80" w:lineRule="auto" w:line="276"/>
      </w:pPr>
      <w:r>
        <w:rPr>
          <w:b/>
        </w:rPr>
        <w:t xml:space="preserve">摘要（ZH）: </w:t>
      </w:r>
      <w:r>
        <w:t>广泛采用阴离子交换膜水电解受到快速性能衰减的阻碍,主要是在低催化剂装载条件下催化剂层分离造成的,为了克服这种情况,我们提出了一个结构分级的AEM设计,以建立从分子一级到膜/催化剂层界面的有效运输途径。在散装运输一级,分子动态模拟和实验性验证证实,基于C-F骨干和灵活的圆柱侧链的所设计的聚合物矩阵促进了有利的微相分离。这导致连接良好的离子纳米通道,从而便利了高容量氢氧化物的导导。在膜/气体界面上,一种生物模型。</w:t>
      </w:r>
    </w:p>
    <w:p>
      <w:pPr>
        <w:spacing w:before="0" w:after="200" w:lineRule="auto" w:line="276"/>
      </w:pPr>
      <w:r>
        <w:rPr>
          <w:b/>
        </w:rPr>
        <w:t xml:space="preserve">Abstract (EN): </w:t>
      </w:r>
      <w:r>
        <w:t>The widespread adoption of anion exchange membrane (AEM) water electrolysis is impeded by rapid performance decay, largely caused by catalyst layer detachment under low catalyst loading conditions. To overcome this, we present a structurally graded AEM design that establishes efficient transport pathways from the molecular level to the membrane/catalyst layer interface. At the bulk transport level, molecular dynamics simulations and experimental validation confirm that the designed polymer matrix, based on the C‐F backbone and flexible cationic side chains, promotes favorable microphase separation. This leads to well‐connected ionic nanochannels that facilitate superior bulk hydroxide conduction. At the membrane/catalyst interface, a biomimetic micro‐nano pattern, inspired by aquatic plants, is engineered onto the membrane surface via an industrially scalable embossing calendaring process. The resulting patterned interface optimizes interfacial contact, enhancing catalyst adhesion and mass transfer. By integrating these two scales of transport, a highly efficient membrane electrode assembly is realized, enabling synergistic management of ions, water, and gas bubbles. The resulting AEM achieves a record‐high hydroxide ion conductivity of 338.2 mS cm</w:t>
      </w:r>
      <w:r>
        <w:t xml:space="preserve"> </w:t>
      </w:r>
      <w:r>
        <w:t>−1</w:t>
      </w:r>
      <w:r>
        <w:t xml:space="preserve"> </w:t>
      </w:r>
      <w:r>
        <w:t>at 80°C and exceptional ductility, with elongation of 162.0%, surpassing all previously reported AEMs. More importantly, the water electrolysis demonstrates markedly enhanced operational stability under various conditions.</w:t>
      </w:r>
    </w:p>
    <w:p>
      <w:pPr>
        <w:spacing w:before="120" w:after="120"/>
      </w:pPr>
      <w:r>
        <w:rPr>
          <w:sz w:val="18"/>
        </w:rPr>
        <w:t>——————————————————————————————————————————————————————————————————————</w:t>
      </w:r>
    </w:p>
    <w:p>
      <w:pPr>
        <w:spacing w:before="160" w:after="40" w:line="240" w:lineRule="auto"/>
      </w:pPr>
      <w:r>
        <w:rPr>
          <w:b/>
        </w:rPr>
        <w:t xml:space="preserve">[462] </w:t>
      </w:r>
      <w:hyperlink r:id="rId754">
        <w:r>
          <w:rPr>
            <w:color w:val="1155CC"/>
            <w:u w:val="single"/>
          </w:rPr>
          <w:t>催化废物:通过快速固化,用于高级催化的引土结构与含铁碎屑挥发合金的构成</w:t>
        </w:r>
      </w:hyperlink>
    </w:p>
    <w:p>
      <w:pPr>
        <w:spacing w:before="0" w:after="80"/>
      </w:pPr>
      <w:r>
        <w:rPr>
          <w:i/>
          <w:sz w:val="20"/>
        </w:rPr>
        <w:t>EN: Waste to Catalyst: Tuning Structure and Composition of Ferrous Scrap‐Derived Alloys by Rapid Solidification for Advanced Catalysis</w:t>
      </w:r>
    </w:p>
    <w:p>
      <w:pPr>
        <w:spacing w:before="0" w:after="120"/>
      </w:pPr>
      <w:r>
        <w:rPr>
          <w:b/>
        </w:rPr>
        <w:t xml:space="preserve">Source: </w:t>
      </w:r>
      <w:r>
        <w:t>Wiley: Advanced Materials: Table of Contents</w:t>
      </w:r>
      <w:r>
        <w:t xml:space="preserve">    </w:t>
      </w:r>
      <w:r>
        <w:rPr>
          <w:b/>
        </w:rPr>
        <w:t xml:space="preserve">Pub date: </w:t>
      </w:r>
      <w:r>
        <w:t>2026-02-11 15:23:45+00:00</w:t>
      </w:r>
      <w:r>
        <w:t xml:space="preserve">    </w:t>
      </w:r>
      <w:r>
        <w:rPr>
          <w:b/>
        </w:rPr>
        <w:t xml:space="preserve">DOI: </w:t>
      </w:r>
      <w:hyperlink r:id="rId755">
        <w:r>
          <w:rPr>
            <w:color w:val="1155CC"/>
            <w:u w:val="single"/>
          </w:rPr>
          <w:t>10.1002/adma.72545</w:t>
        </w:r>
      </w:hyperlink>
    </w:p>
    <w:p>
      <w:pPr>
        <w:spacing w:before="0" w:after="120"/>
      </w:pPr>
      <w:r>
        <w:rPr>
          <w:b/>
        </w:rPr>
        <w:t xml:space="preserve">Notes: </w:t>
      </w:r>
      <w:r>
        <w:t>abstract_source=crossref</w:t>
      </w:r>
    </w:p>
    <w:p>
      <w:pPr>
        <w:spacing w:before="0" w:after="80" w:lineRule="auto" w:line="276"/>
      </w:pPr>
      <w:r>
        <w:rPr>
          <w:b/>
        </w:rPr>
        <w:t xml:space="preserve">摘要（ZH）: </w:t>
      </w:r>
      <w:r>
        <w:t>大量有色废料资源仍未回收,丰富的铁含量使它们具有作为环境催化剂的潜力,然而,在催化过程中实际应用有色废料仍是一项重大挑战,因此,提议了一项基于快速固化的战略,以扩大特定表面面积,调节微结构,并在有色废料中引入高残余压力,从而增强催化性能;引进高残余压力,并建造一个不固定的结构,大大提高了性能,使退化效率在40秒之内达到98%,使5.866微米的高k 粘度达到5.866微米。</w:t>
      </w:r>
    </w:p>
    <w:p>
      <w:pPr>
        <w:spacing w:before="0" w:after="200" w:lineRule="auto" w:line="276"/>
      </w:pPr>
      <w:r>
        <w:rPr>
          <w:b/>
        </w:rPr>
        <w:t xml:space="preserve">Abstract (EN): </w:t>
      </w:r>
      <w:r>
        <w:t>A significant amount of ferrous scrap resources remain unrecycled, and the abundant iron content gives them potential as environmental catalysts. However, the practical application of ferrous scrap in catalysis remains a significant challenge. Herein, a strategy based on rapid solidification to increase the specific surface area, regulate the microstructure, and introduce high residual stress in ferrous scrap is proposed, leading to enhanced catalytic performance. The introduction of high residual stress and the construction of an amorphous structure significantly enhance performance, enabling a degradation efficiency of 98% within 40 s and a high</w:t>
      </w:r>
      <w:r>
        <w:t xml:space="preserve"> </w:t>
      </w:r>
      <w:r>
        <w:t>k</w:t>
      </w:r>
      <w:r>
        <w:t xml:space="preserve"> </w:t>
      </w:r>
      <w:r>
        <w:t>obs</w:t>
      </w:r>
      <w:r>
        <w:t xml:space="preserve"> </w:t>
      </w:r>
      <w:r>
        <w:t>of 5.866 min</w:t>
      </w:r>
      <w:r>
        <w:t xml:space="preserve"> </w:t>
      </w:r>
      <w:r>
        <w:t>−1</w:t>
      </w:r>
      <w:r>
        <w:t xml:space="preserve"> </w:t>
      </w:r>
      <w:r>
        <w:t>. Theoretical calculations reveal that progressively optimizing the phase structure—from the</w:t>
      </w:r>
      <w:r>
        <w:t xml:space="preserve"> </w:t>
      </w:r>
      <w:r>
        <w:t>α</w:t>
      </w:r>
      <w:r>
        <w:t xml:space="preserve"> </w:t>
      </w:r>
      <w:r>
        <w:t>‐phase to the</w:t>
      </w:r>
      <w:r>
        <w:t xml:space="preserve"> </w:t>
      </w:r>
      <w:r>
        <w:t>ε</w:t>
      </w:r>
      <w:r>
        <w:t xml:space="preserve"> </w:t>
      </w:r>
      <w:r>
        <w:t>‐phase and then an amorphous phase—promotes persulfate (PS) adsorption, and significantly enhances the electron transfer capability. Furthermore, optimizing the composition of the catalyst improves its stability to 30 cycles and develops a novel catalyst with dual functionality for both pollutant degradation and water electrolysis, exhibiting an oxygen evolution reaction (OER) overpotential</w:t>
      </w:r>
      <w:r>
        <w:t xml:space="preserve"> </w:t>
      </w:r>
      <w:r>
        <w:t>η</w:t>
      </w:r>
      <w:r>
        <w:rPr>
          <w:vertAlign w:val="subscript"/>
        </w:rPr>
        <w:t>10</w:t>
      </w:r>
      <w:r>
        <w:t>of 309 mV. These findings provide a new perspective for the recycling of ferrous scrap and offer innovative ideas for developing multifunctional catalytic materials, which are capable of addressing integrated challenges in water treatment and clean energy conversion.</w:t>
      </w:r>
    </w:p>
    <w:p>
      <w:pPr>
        <w:spacing w:before="120" w:after="120"/>
      </w:pPr>
      <w:r>
        <w:rPr>
          <w:sz w:val="18"/>
        </w:rPr>
        <w:t>——————————————————————————————————————————————————————————————————————</w:t>
      </w:r>
    </w:p>
    <w:p>
      <w:pPr>
        <w:spacing w:before="160" w:after="40" w:line="240" w:lineRule="auto"/>
      </w:pPr>
      <w:r>
        <w:rPr>
          <w:b/>
        </w:rPr>
        <w:t xml:space="preserve">[463] </w:t>
      </w:r>
      <w:hyperlink r:id="rId756">
        <w:r>
          <w:rPr>
            <w:color w:val="1155CC"/>
            <w:u w:val="single"/>
          </w:rPr>
          <w:t>ZrNbFeNi基氢同位素储存合金中受产品稳定化战略驱动的抗过比例抗异的干涉运动</w:t>
        </w:r>
      </w:hyperlink>
    </w:p>
    <w:p>
      <w:pPr>
        <w:spacing w:before="0" w:after="80"/>
      </w:pPr>
      <w:r>
        <w:rPr>
          <w:i/>
          <w:sz w:val="20"/>
        </w:rPr>
        <w:t>EN: Interfacial Modulation for Anti‐Disproportionation in Zr‐Nb‐Fe‐Ni Based Hydrogen Isotope Storage Alloys Driven by Product Destabilization Strategy</w:t>
      </w:r>
    </w:p>
    <w:p>
      <w:pPr>
        <w:spacing w:before="0" w:after="120"/>
      </w:pPr>
      <w:r>
        <w:rPr>
          <w:b/>
        </w:rPr>
        <w:t xml:space="preserve">Source: </w:t>
      </w:r>
      <w:r>
        <w:t>Wiley: Advanced Materials: Table of Contents</w:t>
      </w:r>
      <w:r>
        <w:t xml:space="preserve">    </w:t>
      </w:r>
      <w:r>
        <w:rPr>
          <w:b/>
        </w:rPr>
        <w:t xml:space="preserve">Pub date: </w:t>
      </w:r>
      <w:r>
        <w:t>2026-02-11 15:25:03+00:00</w:t>
      </w:r>
      <w:r>
        <w:t xml:space="preserve">    </w:t>
      </w:r>
      <w:r>
        <w:rPr>
          <w:b/>
        </w:rPr>
        <w:t xml:space="preserve">DOI: </w:t>
      </w:r>
      <w:hyperlink r:id="rId757">
        <w:r>
          <w:rPr>
            <w:color w:val="1155CC"/>
            <w:u w:val="single"/>
          </w:rPr>
          <w:t>10.1002/adma.202523063</w:t>
        </w:r>
      </w:hyperlink>
    </w:p>
    <w:p>
      <w:pPr>
        <w:spacing w:before="0" w:after="120"/>
      </w:pPr>
      <w:r>
        <w:rPr>
          <w:b/>
        </w:rPr>
        <w:t xml:space="preserve">Notes: </w:t>
      </w:r>
      <w:r>
        <w:t>abstract_source=crossref</w:t>
      </w:r>
    </w:p>
    <w:p>
      <w:pPr>
        <w:spacing w:before="0" w:after="80" w:lineRule="auto" w:line="276"/>
      </w:pPr>
      <w:r>
        <w:rPr>
          <w:b/>
        </w:rPr>
        <w:t xml:space="preserve">摘要（ZH）: </w:t>
      </w:r>
      <w:r>
        <w:t>热/氢气引起的比例失调是实际 Zr 2 以Fe为基础的氢同位素储存合金的最致命障碍之一。这里揭示了在比例不相称界面产生的一种跨轴运输抑制效应,从产品“稳定”角度进行理论筛选,从产品“稳定”角度将小型Nb替代物确定为发展抗比例失调的Zr 1.9 Nb 1.0 Nb 0.1 F 0.7 Ni0.3合金的有效途径。这种成分保持超低平衡氢压和加速氢吸收。</w:t>
      </w:r>
    </w:p>
    <w:p>
      <w:pPr>
        <w:spacing w:before="0" w:after="200" w:lineRule="auto" w:line="276"/>
      </w:pPr>
      <w:r>
        <w:rPr>
          <w:b/>
        </w:rPr>
        <w:t xml:space="preserve">Abstract (EN): </w:t>
      </w:r>
      <w:r>
        <w:t>Thermal/hydrogen‐induced disproportionation is one of the most fatal obstacles for practical Zr</w:t>
      </w:r>
      <w:r>
        <w:rPr>
          <w:vertAlign w:val="subscript"/>
        </w:rPr>
        <w:t>2</w:t>
      </w:r>
      <w:r>
        <w:t>Fe‐based hydrogen isotope storage alloys. Here, an interfacial transport inhibition effect at the disproportionation interface is revealed, in which theoretical screening from a product‐destabilization perspective identifies minor Nb substitution as an effective route to developing a disproportionation‐resistant Zr</w:t>
      </w:r>
      <w:r>
        <w:t xml:space="preserve"> </w:t>
      </w:r>
      <w:r>
        <w:t>1.9</w:t>
      </w:r>
      <w:r>
        <w:t xml:space="preserve"> </w:t>
      </w:r>
      <w:r>
        <w:t>Nb</w:t>
      </w:r>
      <w:r>
        <w:t xml:space="preserve"> </w:t>
      </w:r>
      <w:r>
        <w:t>0.1</w:t>
      </w:r>
      <w:r>
        <w:t xml:space="preserve"> </w:t>
      </w:r>
      <w:r>
        <w:t>Fe</w:t>
      </w:r>
      <w:r>
        <w:t xml:space="preserve"> </w:t>
      </w:r>
      <w:r>
        <w:t>0.7</w:t>
      </w:r>
      <w:r>
        <w:t xml:space="preserve"> </w:t>
      </w:r>
      <w:r>
        <w:t>Ni</w:t>
      </w:r>
      <w:r>
        <w:t xml:space="preserve"> </w:t>
      </w:r>
      <w:r>
        <w:t>0.3</w:t>
      </w:r>
      <w:r>
        <w:t xml:space="preserve"> </w:t>
      </w:r>
      <w:r>
        <w:t>alloy. This composition preserves an ultralow equilibrium hydrogen pressure and accelerated hydrogen absorption kinetics, while simultaneously delivering markedly enhanced resistance to disproportionation and outstanding cycling stability under harsh conditions. By integrating experimental results with thermodynamic and kinetic analyses, this work directs modification studies toward the viewpoint of interfacial transport kinetics for disproportionation. Combined density functional theory analyses and Ab initio molecular dynamics simulations systematically reveal that dispersed substitutional Nb atoms act as interfacial pinning centers at the hydride/disproportionation interfaces, effectively inhibiting detrimental interfacial phase transformation, closely related to weakened interfacial bonding strength, charge transfer, and orbital hybridization. Consequently, disproportionation‐related atomic rearrangement as well as the nucleation and growth of ZrH</w:t>
      </w:r>
      <w:r>
        <w:rPr>
          <w:vertAlign w:val="subscript"/>
        </w:rPr>
        <w:t>2</w:t>
      </w:r>
      <w:r>
        <w:t>are kinetically retarded. For the first time, these findings demonstrated that targeted interfacial kinetic engineering constitutes an effective strategy for suppressing disproportionation in Zr</w:t>
      </w:r>
      <w:r>
        <w:rPr>
          <w:vertAlign w:val="subscript"/>
        </w:rPr>
        <w:t>2</w:t>
      </w:r>
      <w:r>
        <w:t>Fe‐based hydrogen storage systems.</w:t>
      </w:r>
    </w:p>
    <w:p>
      <w:pPr>
        <w:spacing w:before="120" w:after="120"/>
      </w:pPr>
      <w:r>
        <w:rPr>
          <w:sz w:val="18"/>
        </w:rPr>
        <w:t>——————————————————————————————————————————————————————————————————————</w:t>
      </w:r>
    </w:p>
    <w:p>
      <w:pPr>
        <w:spacing w:before="160" w:after="40" w:line="240" w:lineRule="auto"/>
      </w:pPr>
      <w:r>
        <w:rPr>
          <w:b/>
        </w:rPr>
        <w:t xml:space="preserve">[464] </w:t>
      </w:r>
      <w:hyperlink r:id="rId758">
        <w:r>
          <w:rPr>
            <w:color w:val="1155CC"/>
            <w:u w:val="single"/>
          </w:rPr>
          <w:t>Ultrathin 中度松动结膜分离器可快速和耐久的锌和金属水电池</w:t>
        </w:r>
      </w:hyperlink>
    </w:p>
    <w:p>
      <w:pPr>
        <w:spacing w:before="0" w:after="80"/>
      </w:pPr>
      <w:r>
        <w:rPr>
          <w:i/>
          <w:sz w:val="20"/>
        </w:rPr>
        <w:t>EN: Ultrathin Mesoporous Ionic Brushes Separator Enables Fast and Durable Zinc‐Metal Aqueous Batteries</w:t>
      </w:r>
    </w:p>
    <w:p>
      <w:pPr>
        <w:spacing w:before="0" w:after="120"/>
      </w:pPr>
      <w:r>
        <w:rPr>
          <w:b/>
        </w:rPr>
        <w:t xml:space="preserve">Source: </w:t>
      </w:r>
      <w:r>
        <w:t>Wiley: Advanced Materials: Table of Contents</w:t>
      </w:r>
      <w:r>
        <w:t xml:space="preserve">    </w:t>
      </w:r>
      <w:r>
        <w:rPr>
          <w:b/>
        </w:rPr>
        <w:t xml:space="preserve">Pub date: </w:t>
      </w:r>
      <w:r>
        <w:t>2026-02-11 15:25:51+00:00</w:t>
      </w:r>
      <w:r>
        <w:t xml:space="preserve">    </w:t>
      </w:r>
      <w:r>
        <w:rPr>
          <w:b/>
        </w:rPr>
        <w:t xml:space="preserve">DOI: </w:t>
      </w:r>
      <w:hyperlink r:id="rId759">
        <w:r>
          <w:rPr>
            <w:color w:val="1155CC"/>
            <w:u w:val="single"/>
          </w:rPr>
          <w:t>10.1002/adma.202523619</w:t>
        </w:r>
      </w:hyperlink>
    </w:p>
    <w:p>
      <w:pPr>
        <w:spacing w:before="0" w:after="120"/>
      </w:pPr>
      <w:r>
        <w:rPr>
          <w:b/>
        </w:rPr>
        <w:t xml:space="preserve">Notes: </w:t>
      </w:r>
      <w:r>
        <w:t>abstract_source=crossref</w:t>
      </w:r>
    </w:p>
    <w:p>
      <w:pPr>
        <w:spacing w:before="0" w:after="80" w:lineRule="auto" w:line="276"/>
      </w:pPr>
      <w:r>
        <w:rPr>
          <w:b/>
        </w:rPr>
        <w:t xml:space="preserve">摘要（ZH）: </w:t>
      </w:r>
      <w:r>
        <w:t>ABSTACT Zinc金属水性电池(ZnABs)作为有希望的电网级能源储存候选体出现,但严重的 Zn dendrite 形成和阳极侧反应会降解周期寿命并阻碍实际应用。在这里,我们报告了一个超丁(27 微米)的中子离子线刷子(MiB)分离器,该分离器以磺酸结结架订购的中子硅酸纳米薄片为基础,用于稳定的ZnABs。井然有序的穿孔间栖动物结构结构作为离子矫正器发挥作用,实现增强转移动力学和同质浓缩场,从而促进无晶沉积,由现场数字传动学和动能分析核实。此外,纳米通道内有选择性地捕捉取主要沙瓦的水分子的离子刷子。</w:t>
      </w:r>
    </w:p>
    <w:p>
      <w:pPr>
        <w:spacing w:before="0" w:after="200" w:lineRule="auto" w:line="276"/>
      </w:pPr>
      <w:r>
        <w:rPr>
          <w:b/>
        </w:rPr>
        <w:t xml:space="preserve">Abstract (EN): </w:t>
      </w:r>
      <w:r>
        <w:t>Zinc metal aqueous batteries (ZnABs) emerge as promising candidates for grid‐scale energy storage, yet severe Zn dendrite formation and anode side reactions degrade cycle life and hinder practical application. Herein, we report an ultrathin (27 µm) mesoporous ionic brushes (MiB) separator based on sulfonic grafted ordered mesoporous silica nanosheets for stable ZnABs. The well‐ordered perforative mesopores architecture functions as an ion rectifier that achieves enhanced transfer kinetics and a homogeneous concentration field, thereby promoting dendrite‐free deposition, as verified by in situ digital holography and kinetic analyses. Moreover, ionic brushes confined within nanochannels selectively capture water molecules from the primary solvation shell of Zn</w:t>
      </w:r>
      <w:r>
        <w:t xml:space="preserve"> </w:t>
      </w:r>
      <w:r>
        <w:t>2+</w:t>
      </w:r>
      <w:r>
        <w:t xml:space="preserve"> </w:t>
      </w:r>
      <w:r>
        <w:t>, facilitating desolvation and constructing a localized water‐lean interfacial environment, which effectively suppresses water‐related side reactions, as evidenced by various in situ spectroscopy, electrochemical analyses, and theoretical calculations. Consequently, the MiB separator enables the Zn anode to achieve a high Coulombic efficiency of 99.7%, ultralong lifespan over 4300 h, fast plating kinetics of 20 mA cm</w:t>
      </w:r>
      <w:r>
        <w:t xml:space="preserve"> </w:t>
      </w:r>
      <w:r>
        <w:t>−2</w:t>
      </w:r>
      <w:r>
        <w:t xml:space="preserve"> </w:t>
      </w:r>
      <w:r>
        <w:t>, and high Zn utilization rate of 51.6%. Furthermore, Zn‐V</w:t>
      </w:r>
      <w:r>
        <w:rPr>
          <w:vertAlign w:val="subscript"/>
        </w:rPr>
        <w:t>2</w:t>
      </w:r>
      <w:r>
        <w:t>O</w:t>
      </w:r>
      <w:r>
        <w:rPr>
          <w:vertAlign w:val="subscript"/>
        </w:rPr>
        <w:t>5</w:t>
      </w:r>
      <w:r>
        <w:t>cells achieve perdurable capacity retention of 91.5% after 3500 cycles. This work presents a rational mesoporous separator design that synchronously regulates ion transport and interfacial solvation chemistry for highly reversible ZnABs.</w:t>
      </w:r>
    </w:p>
    <w:p>
      <w:pPr>
        <w:spacing w:before="120" w:after="120"/>
      </w:pPr>
      <w:r>
        <w:rPr>
          <w:sz w:val="18"/>
        </w:rPr>
        <w:t>——————————————————————————————————————————————————————————————————————</w:t>
      </w:r>
    </w:p>
    <w:p>
      <w:pPr>
        <w:spacing w:before="160" w:after="40" w:line="240" w:lineRule="auto"/>
      </w:pPr>
      <w:r>
        <w:rPr>
          <w:b/>
        </w:rPr>
        <w:t xml:space="preserve">[465] </w:t>
      </w:r>
      <w:hyperlink r:id="rId760">
        <w:r>
          <w:rPr>
            <w:color w:val="1155CC"/>
            <w:u w:val="single"/>
          </w:rPr>
          <w:t>用于气体和液体碳氢化合物分离的恒星材料水晶工程</w:t>
        </w:r>
      </w:hyperlink>
    </w:p>
    <w:p>
      <w:pPr>
        <w:spacing w:before="0" w:after="80"/>
      </w:pPr>
      <w:r>
        <w:rPr>
          <w:i/>
          <w:sz w:val="20"/>
        </w:rPr>
        <w:t>EN: Crystal Engineering of Reticular Materials for Gas‐ and Liquid‐Phase Hydrocarbon Separation</w:t>
      </w:r>
    </w:p>
    <w:p>
      <w:pPr>
        <w:spacing w:before="0" w:after="120"/>
      </w:pPr>
      <w:r>
        <w:rPr>
          <w:b/>
        </w:rPr>
        <w:t xml:space="preserve">Source: </w:t>
      </w:r>
      <w:r>
        <w:t>Wiley: Advanced Materials: Table of Contents</w:t>
      </w:r>
      <w:r>
        <w:t xml:space="preserve">    </w:t>
      </w:r>
      <w:r>
        <w:rPr>
          <w:b/>
        </w:rPr>
        <w:t xml:space="preserve">Pub date: </w:t>
      </w:r>
      <w:r>
        <w:t>2026-02-11 15:26:36+00:00</w:t>
      </w:r>
      <w:r>
        <w:t xml:space="preserve">    </w:t>
      </w:r>
      <w:r>
        <w:rPr>
          <w:b/>
        </w:rPr>
        <w:t xml:space="preserve">DOI: </w:t>
      </w:r>
      <w:hyperlink r:id="rId761">
        <w:r>
          <w:rPr>
            <w:color w:val="1155CC"/>
            <w:u w:val="single"/>
          </w:rPr>
          <w:t>10.1002/adma.202512551</w:t>
        </w:r>
      </w:hyperlink>
    </w:p>
    <w:p>
      <w:pPr>
        <w:spacing w:before="0" w:after="120"/>
      </w:pPr>
      <w:r>
        <w:rPr>
          <w:b/>
        </w:rPr>
        <w:t xml:space="preserve">Notes: </w:t>
      </w:r>
      <w:r>
        <w:t>abstract_source=crossref</w:t>
      </w:r>
    </w:p>
    <w:p>
      <w:pPr>
        <w:spacing w:before="0" w:after="80" w:lineRule="auto" w:line="276"/>
      </w:pPr>
      <w:r>
        <w:rPr>
          <w:b/>
        </w:rPr>
        <w:t xml:space="preserve">摘要（ZH）: </w:t>
      </w:r>
      <w:r>
        <w:t>晶体工程侧重于晶体的设计、特性和应用,而矩形化学则涉及将分子构件与建立网络结构联系起来,这些领域的交叉性明显表现在对多孔协调网络和共价有机框架的结构/功能关系进行系统研究的次数中,多孔协调网络和共价有机框架的结构/功能关系,多孔和共价有机框架本质上是模块式的,因此,多氯化萘和共价框架可以以对其他类别多孔固体不可行的方式对孔状尺寸和化学进行系统微调。</w:t>
      </w:r>
    </w:p>
    <w:p>
      <w:pPr>
        <w:spacing w:before="0" w:after="200" w:lineRule="auto" w:line="276"/>
      </w:pPr>
      <w:r>
        <w:rPr>
          <w:b/>
        </w:rPr>
        <w:t xml:space="preserve">Abstract (EN): </w:t>
      </w:r>
      <w:r>
        <w:t>Crystal engineering focuses upon the design, properties, and applications of crystals, whereas reticular chemistry involves linking molecular building blocks to create network structures. The intersection of these areas is evident in the number of systematic studies of structure/function relationships concerning porous coordination networks (PCNs) and covalent organic frameworks (COFs). PCNs and COFs are inherently modular in nature and therefore amenable to systematic fine‐tuning of both pore size and chemistry in a manner that is infeasible for other classes of porous solid. This review highlights how this exquisite control over pore size and chemistry has enabled the development of a new generation of physisorbents that are effective in the context of industrially relevant hydrocarbon (HC) separations. The motivation behind such reticular sorbents is the need to replace today's energy‐intensive HC separation methods with more sustainable alternatives. Physisorbents are attractive in this context as they can offer the high selectivity needed for trace removal of impurities along with relatively low energy of recycling. This review details how crystal engineering strategies offer precise control of pore size and chemistry to enable HC selectivity to reach hitherto unprecedented levels. Nevertheless, despite these property advances, challenges remain to be addressed before commercial adoption becomes feasible.</w:t>
      </w:r>
    </w:p>
    <w:p>
      <w:pPr>
        <w:spacing w:before="120" w:after="120"/>
      </w:pPr>
      <w:r>
        <w:rPr>
          <w:sz w:val="18"/>
        </w:rPr>
        <w:t>——————————————————————————————————————————————————————————————————————</w:t>
      </w:r>
    </w:p>
    <w:p>
      <w:pPr>
        <w:spacing w:before="160" w:after="40" w:line="240" w:lineRule="auto"/>
      </w:pPr>
      <w:r>
        <w:rPr>
          <w:b/>
        </w:rPr>
        <w:t xml:space="preserve">[466] </w:t>
      </w:r>
      <w:hyperlink r:id="rId762">
        <w:r>
          <w:rPr>
            <w:color w:val="1155CC"/>
            <w:u w:val="single"/>
          </w:rPr>
          <w:t>与海洋防污工程软协调链集成设计相结合的变异网络 SLIPS 海洋防污工程</w:t>
        </w:r>
      </w:hyperlink>
    </w:p>
    <w:p>
      <w:pPr>
        <w:spacing w:before="0" w:after="80"/>
      </w:pPr>
      <w:r>
        <w:rPr>
          <w:i/>
          <w:sz w:val="20"/>
        </w:rPr>
        <w:t>EN: Heterogeneous Network SLIPS Coating with Soft‐Hard Chain Integration Design for Marine Antifouling Engineering</w:t>
      </w:r>
    </w:p>
    <w:p>
      <w:pPr>
        <w:spacing w:before="0" w:after="120"/>
      </w:pPr>
      <w:r>
        <w:rPr>
          <w:b/>
        </w:rPr>
        <w:t xml:space="preserve">Source: </w:t>
      </w:r>
      <w:r>
        <w:t>Wiley: Advanced Materials: Table of Contents</w:t>
      </w:r>
      <w:r>
        <w:t xml:space="preserve">    </w:t>
      </w:r>
      <w:r>
        <w:rPr>
          <w:b/>
        </w:rPr>
        <w:t xml:space="preserve">Pub date: </w:t>
      </w:r>
      <w:r>
        <w:t>2026-02-11 15:27:32+00:00</w:t>
      </w:r>
      <w:r>
        <w:t xml:space="preserve">    </w:t>
      </w:r>
      <w:r>
        <w:rPr>
          <w:b/>
        </w:rPr>
        <w:t xml:space="preserve">DOI: </w:t>
      </w:r>
      <w:hyperlink r:id="rId763">
        <w:r>
          <w:rPr>
            <w:color w:val="1155CC"/>
            <w:u w:val="single"/>
          </w:rPr>
          <w:t>10.1002/adma.202522578</w:t>
        </w:r>
      </w:hyperlink>
    </w:p>
    <w:p>
      <w:pPr>
        <w:spacing w:before="0" w:after="120"/>
      </w:pPr>
      <w:r>
        <w:rPr>
          <w:b/>
        </w:rPr>
        <w:t xml:space="preserve">Notes: </w:t>
      </w:r>
      <w:r>
        <w:t>abstract_source=crossref</w:t>
      </w:r>
    </w:p>
    <w:p>
      <w:pPr>
        <w:spacing w:before="0" w:after="80" w:lineRule="auto" w:line="276"/>
      </w:pPr>
      <w:r>
        <w:rPr>
          <w:b/>
        </w:rPr>
        <w:t xml:space="preserve">摘要（ZH）: </w:t>
      </w:r>
      <w:r>
        <w:t>ABSTACT 开发能维持长期防污活动的耐久涂层,对于海洋监测系统在生物复杂的海洋环境中可靠运行至关重要。 我们在此报告一个通过分子设计战略设计的多式网络滑滑液体渗漏表面涂层(SLIPS),该设计将低表层能源僵化框架与动态的自湿软网络相结合。 硬框架由三相联的硫醇- 功能化聚氯丁二烯基硅氧烷(POSSQ(SH) 8)和氟化液体硝酸橡胶(F 13 ALNBR)的交叉网络组成。 软网络以三相联的交叉结构为基础。</w:t>
      </w:r>
    </w:p>
    <w:p>
      <w:pPr>
        <w:spacing w:before="0" w:after="200" w:lineRule="auto" w:line="276"/>
      </w:pPr>
      <w:r>
        <w:rPr>
          <w:b/>
        </w:rPr>
        <w:t xml:space="preserve">Abstract (EN): </w:t>
      </w:r>
      <w:r>
        <w:t>Developing durable coatings that sustain long‐term antifouling activity is critical for the reliable operation of ocean monitoring systems in biologically complex marine environments. Here, we report a heterogeneous‐network slippery liquid‐infused porous surface (SLIPS) coating engineered through a molecular design strategy. This design integrates a low‐surface‐energy rigid framework with a dynamic, self‐healing soft network. The rigid framework is formed by a cross‐linked network of thiol‐functionalized polyhedral oligomeric silsesquioxane (POSS‐(SH)</w:t>
      </w:r>
      <w:r>
        <w:rPr>
          <w:vertAlign w:val="subscript"/>
        </w:rPr>
        <w:t>8</w:t>
      </w:r>
      <w:r>
        <w:t>) and fluorinated liquid nitrile rubber (F</w:t>
      </w:r>
      <w:r>
        <w:rPr>
          <w:vertAlign w:val="subscript"/>
        </w:rPr>
        <w:t>13</w:t>
      </w:r>
      <w:r>
        <w:t>‐LNBR). The soft network is based on a three‐arm cross‐linked structure constructed from hexamethylene‐diisocyanate isocyanurate trimer (THDI) and 2‐ureido‐4[1H]‐pyrimidinone (UPy) units. Infused with silicone oil, the coating exhibits robust mechanical strength, demonstrated by an erosion rate of 74.37 nm/s, and autonomous self‐healing capability enabled by multiple hydrogen bonds in both aerial and underwater conditions. Remarkably, the release rate of the silicone oil and the uniformity of surface hydrophobicity are precisely regulated by incorporating UPy units with tailored molecular structures and perfluoroacrylate monomers with varying hydrophobic chain lengths. Owing to these rational design elements, the coating repels a broad spectrum of fouling agents, including bacteria, algae, and highly viscous crude oil, while maintaining excellent flexibility and wear resistance. During a 90‐day field test in real seawater, the coating's transmittance decreased by only 5.8%. This synergistic design addresses key limitations in current SLIPS technologies, offering a viable pathway toward long‐term antifouling performance in challenging marine environments.</w:t>
      </w:r>
    </w:p>
    <w:p>
      <w:pPr>
        <w:spacing w:before="120" w:after="120"/>
      </w:pPr>
      <w:r>
        <w:rPr>
          <w:sz w:val="18"/>
        </w:rPr>
        <w:t>——————————————————————————————————————————————————————————————————————</w:t>
      </w:r>
    </w:p>
    <w:p>
      <w:pPr>
        <w:spacing w:before="160" w:after="40" w:line="240" w:lineRule="auto"/>
      </w:pPr>
      <w:r>
        <w:rPr>
          <w:b/>
        </w:rPr>
        <w:t xml:space="preserve">[467] </w:t>
      </w:r>
      <w:hyperlink r:id="rId764">
        <w:r>
          <w:rPr>
            <w:color w:val="1155CC"/>
            <w:u w:val="single"/>
          </w:rPr>
          <w:t>具有轻度控制模式的光控晶体管</w:t>
        </w:r>
      </w:hyperlink>
    </w:p>
    <w:p>
      <w:pPr>
        <w:spacing w:before="0" w:after="80"/>
      </w:pPr>
      <w:r>
        <w:rPr>
          <w:i/>
          <w:sz w:val="20"/>
        </w:rPr>
        <w:t>EN: Opto‐Ferroelectric Coupling Enhanced α‐In2Se3 Transistors With Light‐Controlled Mode Switchover</w:t>
      </w:r>
    </w:p>
    <w:p>
      <w:pPr>
        <w:spacing w:before="0" w:after="120"/>
      </w:pPr>
      <w:r>
        <w:rPr>
          <w:b/>
        </w:rPr>
        <w:t xml:space="preserve">Source: </w:t>
      </w:r>
      <w:r>
        <w:t>Wiley: Advanced Materials: Table of Contents</w:t>
      </w:r>
      <w:r>
        <w:t xml:space="preserve">    </w:t>
      </w:r>
      <w:r>
        <w:rPr>
          <w:b/>
        </w:rPr>
        <w:t xml:space="preserve">Pub date: </w:t>
      </w:r>
      <w:r>
        <w:t>2026-02-11 15:29:06+00:00</w:t>
      </w:r>
      <w:r>
        <w:t xml:space="preserve">    </w:t>
      </w:r>
      <w:r>
        <w:rPr>
          <w:b/>
        </w:rPr>
        <w:t xml:space="preserve">DOI: </w:t>
      </w:r>
      <w:hyperlink r:id="rId765">
        <w:r>
          <w:rPr>
            <w:color w:val="1155CC"/>
            <w:u w:val="single"/>
          </w:rPr>
          <w:t>10.1002/adma.202514329</w:t>
        </w:r>
      </w:hyperlink>
    </w:p>
    <w:p>
      <w:pPr>
        <w:spacing w:before="0" w:after="120"/>
      </w:pPr>
      <w:r>
        <w:rPr>
          <w:b/>
        </w:rPr>
        <w:t xml:space="preserve">Notes: </w:t>
      </w:r>
      <w:r>
        <w:t>abstract_source=crossref</w:t>
      </w:r>
    </w:p>
    <w:p>
      <w:pPr>
        <w:spacing w:before="0" w:after="80" w:lineRule="auto" w:line="276"/>
      </w:pPr>
      <w:r>
        <w:rPr>
          <w:b/>
        </w:rPr>
        <w:t xml:space="preserve">摘要（ZH）: </w:t>
      </w:r>
      <w:r>
        <w:t>Neurormophic 计算是实现复杂模式识别工程的理想方法;然而,它通常与数字逻辑处理器不相容,限制了其应用范围。 利用一种热电联动增强效应,我们在此实现在铁电晶体管中逻辑处理与神经形态计算之间的轻控模式转换,在2Se 3/hBN作为大门电介质,在MOS 2作为通道。 在黑暗条件下,晶体管以数字逻辑模式运行,时/时/时比率高,为10-9,超低子色素。</w:t>
      </w:r>
    </w:p>
    <w:p>
      <w:pPr>
        <w:spacing w:before="0" w:after="200" w:lineRule="auto" w:line="276"/>
      </w:pPr>
      <w:r>
        <w:rPr>
          <w:b/>
        </w:rPr>
        <w:t xml:space="preserve">Abstract (EN): </w:t>
      </w:r>
      <w:r>
        <w:t>Neuromorphic computing is an ideal approach for achieving complex pattern recognition works; however, it is usually incompatible with digital logic processing units, limiting its application scope. Leveraging an opto‐ferroelectric coupling enhanced effect, we herein achieve the light‐controlled mode switchover between logic processing and neuromorphic computing in a ferroelectric transistor with α‐In</w:t>
      </w:r>
      <w:r>
        <w:rPr>
          <w:vertAlign w:val="subscript"/>
        </w:rPr>
        <w:t>2</w:t>
      </w:r>
      <w:r>
        <w:t>Se</w:t>
      </w:r>
      <w:r>
        <w:rPr>
          <w:vertAlign w:val="subscript"/>
        </w:rPr>
        <w:t>3</w:t>
      </w:r>
      <w:r>
        <w:t>/h‐BN as gate dielectrics and MoS</w:t>
      </w:r>
      <w:r>
        <w:rPr>
          <w:vertAlign w:val="subscript"/>
        </w:rPr>
        <w:t>2</w:t>
      </w:r>
      <w:r>
        <w:t>as channel. Under dark conditions, the transistor operates in digital logic mode with a high current on/off ratio of 10</w:t>
      </w:r>
      <w:r>
        <w:rPr>
          <w:vertAlign w:val="subscript"/>
        </w:rPr>
        <w:t>9</w:t>
      </w:r>
      <w:r>
        <w:t>, ultra‐low subthreshold swing (SS) of 33 mV/dec, and low leakage current of 5.6 × 10</w:t>
      </w:r>
      <w:r>
        <w:t xml:space="preserve"> </w:t>
      </w:r>
      <w:r>
        <w:t>−13</w:t>
      </w:r>
      <w:r>
        <w:t xml:space="preserve"> </w:t>
      </w:r>
      <w:r>
        <w:t>A, which is promising for logic processing applications. The inverter and NOR circuits with high noise margin and low power consumption were further implemented via interconnecting n‐ and p‐type transistors. Under light conditions, the ferroelectric polarization field of α‐In</w:t>
      </w:r>
      <w:r>
        <w:rPr>
          <w:vertAlign w:val="subscript"/>
        </w:rPr>
        <w:t>2</w:t>
      </w:r>
      <w:r>
        <w:t>Se</w:t>
      </w:r>
      <w:r>
        <w:rPr>
          <w:vertAlign w:val="subscript"/>
        </w:rPr>
        <w:t>3</w:t>
      </w:r>
      <w:r>
        <w:t>is significantly enhanced, leading to an enlarged hysteresis window (Δ</w:t>
      </w:r>
      <w:r>
        <w:t xml:space="preserve"> </w:t>
      </w:r>
      <w:r>
        <w:t>V</w:t>
      </w:r>
      <w:r>
        <w:t xml:space="preserve"> </w:t>
      </w:r>
      <w:r>
        <w:t>) and switching the transistor into an optoelectronic synapse mode for neuromorphic computing, which can support image classification with an accuracy of up to 94.43% and a low energy consumption of 0.47 pJ/spike. This work provides an opto‐ferroelectric coupling‐enhanced transistor that addresses the incompatibility issue between digital logic and neuromorphic computing units, offering a new pathway for next‐generation computing devices.</w:t>
      </w:r>
    </w:p>
    <w:p>
      <w:pPr>
        <w:spacing w:before="120" w:after="120"/>
      </w:pPr>
      <w:r>
        <w:rPr>
          <w:sz w:val="18"/>
        </w:rPr>
        <w:t>——————————————————————————————————————————————————————————————————————</w:t>
      </w:r>
    </w:p>
    <w:p>
      <w:pPr>
        <w:spacing w:before="160" w:after="40" w:line="240" w:lineRule="auto"/>
      </w:pPr>
      <w:r>
        <w:rPr>
          <w:b/>
        </w:rPr>
        <w:t xml:space="preserve">[468] </w:t>
      </w:r>
      <w:hyperlink r:id="rId766">
        <w:r>
          <w:rPr>
            <w:color w:val="1155CC"/>
            <w:u w:val="single"/>
          </w:rPr>
          <w:t>用于人工情报应用的质子材料和装置</w:t>
        </w:r>
      </w:hyperlink>
    </w:p>
    <w:p>
      <w:pPr>
        <w:spacing w:before="0" w:after="80"/>
      </w:pPr>
      <w:r>
        <w:rPr>
          <w:i/>
          <w:sz w:val="20"/>
        </w:rPr>
        <w:t>EN: Spintronic Materials and Devices for Artificial Intelligence Applications</w:t>
      </w:r>
    </w:p>
    <w:p>
      <w:pPr>
        <w:spacing w:before="0" w:after="120"/>
      </w:pPr>
      <w:r>
        <w:rPr>
          <w:b/>
        </w:rPr>
        <w:t xml:space="preserve">Source: </w:t>
      </w:r>
      <w:r>
        <w:t>Wiley: Advanced Materials: Table of Contents</w:t>
      </w:r>
      <w:r>
        <w:t xml:space="preserve">    </w:t>
      </w:r>
      <w:r>
        <w:rPr>
          <w:b/>
        </w:rPr>
        <w:t xml:space="preserve">Pub date: </w:t>
      </w:r>
      <w:r>
        <w:t>2026-02-11 15:33:02+00:00</w:t>
      </w:r>
      <w:r>
        <w:t xml:space="preserve">    </w:t>
      </w:r>
      <w:r>
        <w:rPr>
          <w:b/>
        </w:rPr>
        <w:t xml:space="preserve">DOI: </w:t>
      </w:r>
      <w:hyperlink r:id="rId767">
        <w:r>
          <w:rPr>
            <w:color w:val="1155CC"/>
            <w:u w:val="single"/>
          </w:rPr>
          <w:t>10.1002/adma.202518570</w:t>
        </w:r>
      </w:hyperlink>
    </w:p>
    <w:p>
      <w:pPr>
        <w:spacing w:before="0" w:after="120"/>
      </w:pPr>
      <w:r>
        <w:rPr>
          <w:b/>
        </w:rPr>
        <w:t xml:space="preserve">Notes: </w:t>
      </w:r>
      <w:r>
        <w:t>abstract_source=crossref</w:t>
      </w:r>
    </w:p>
    <w:p>
      <w:pPr>
        <w:spacing w:before="0" w:after="80" w:lineRule="auto" w:line="276"/>
      </w:pPr>
      <w:r>
        <w:rPr>
          <w:b/>
        </w:rPr>
        <w:t xml:space="preserve">摘要（ZH）: </w:t>
      </w:r>
      <w:r>
        <w:t>脊柱技术的核心在于将电子的内在旋转状态及其电荷用于信息存储和处理。 以螺旋为基础的电子装置操纵必然能带来特殊的特性,如无限耐力、高速操作、可缩缩和非挥发性。 这些特性使得脊椎装置非常适合满足人造智能(AI)对各种应用中节能、可缩放的计算机硬件日益增长的需求。 本次审查首先引入了脊椎基本原理,强调了其对AI应用的独特优势,并提供了脊椎装置结构的概况。 然后我们审视了最近在Emergi领域取得的进展。</w:t>
      </w:r>
    </w:p>
    <w:p>
      <w:pPr>
        <w:spacing w:before="0" w:after="200" w:lineRule="auto" w:line="276"/>
      </w:pPr>
      <w:r>
        <w:rPr>
          <w:b/>
        </w:rPr>
        <w:t xml:space="preserve">Abstract (EN): </w:t>
      </w:r>
      <w:r>
        <w:t>The core of spintronic technologies lies in the use of electrons’ intrinsic spin states, along with their electric charge, for information storage and processing. Spin‐based manipulation of electronic devices inherently enables exceptional properties, such as infinite endurance, high‐speed operation, scalability, and non‐volatility. These attributes make spintronic devices highly suitable for addressing the growing demands of artificial intelligence (AI) for energy‐efficient, scalable computing hardware across diverse applications. This review begins by introducing the fundamental principles of spintronics, emphasizing its unique advantages for AI applications, and providing an overview of spintronic device architectures. We then examine recent advances in emerging spintronic materials, including antiferromagnets, 2D magnets, altermagnets, and topological magnetic materials. The diverse spintronic materials and structures contribute to the realization of various cutting‐edge AI technologies. We will highlight in‐memory computing, which minimizes energy for data transfer; neuromorphic computing, which emulates the architecture and functionality of the human brain; and probabilistic computing, which harnesses stochastic spintronic behaviors for hardware‐efficient computation. Finally, we conclude the review by highlighting the challenges and the critical role of fundamental materials research in unlocking the full potential of spintronics, which contributes to driving AI technologies and systems forward.</w:t>
      </w:r>
    </w:p>
    <w:p>
      <w:pPr>
        <w:spacing w:before="120" w:after="120"/>
      </w:pPr>
      <w:r>
        <w:rPr>
          <w:sz w:val="18"/>
        </w:rPr>
        <w:t>——————————————————————————————————————————————————————————————————————</w:t>
      </w:r>
    </w:p>
    <w:p>
      <w:pPr>
        <w:spacing w:before="160" w:after="40" w:line="240" w:lineRule="auto"/>
      </w:pPr>
      <w:r>
        <w:rPr>
          <w:b/>
        </w:rPr>
        <w:t xml:space="preserve">[469] </w:t>
      </w:r>
      <w:hyperlink r:id="rId768">
        <w:r>
          <w:rPr>
            <w:color w:val="1155CC"/>
            <w:u w:val="single"/>
          </w:rPr>
          <w:t>多层次的热界面工程打破了高能源密度高 Barrier 贸易断线</w:t>
        </w:r>
      </w:hyperlink>
    </w:p>
    <w:p>
      <w:pPr>
        <w:spacing w:before="0" w:after="80"/>
      </w:pPr>
      <w:r>
        <w:rPr>
          <w:i/>
          <w:sz w:val="20"/>
        </w:rPr>
        <w:t>EN: Multilevel Heterointerface Engineering Breaks the Trap‐Barrier Trade‐Off in High‐Energy‐Density Polymer Dielectrics</w:t>
      </w:r>
    </w:p>
    <w:p>
      <w:pPr>
        <w:spacing w:before="0" w:after="120"/>
      </w:pPr>
      <w:r>
        <w:rPr>
          <w:b/>
        </w:rPr>
        <w:t xml:space="preserve">Source: </w:t>
      </w:r>
      <w:r>
        <w:t>Wiley: Advanced Materials: Table of Contents</w:t>
      </w:r>
      <w:r>
        <w:t xml:space="preserve">    </w:t>
      </w:r>
      <w:r>
        <w:rPr>
          <w:b/>
        </w:rPr>
        <w:t xml:space="preserve">Pub date: </w:t>
      </w:r>
      <w:r>
        <w:t>2026-02-11 15:35:02+00:00</w:t>
      </w:r>
      <w:r>
        <w:t xml:space="preserve">    </w:t>
      </w:r>
      <w:r>
        <w:rPr>
          <w:b/>
        </w:rPr>
        <w:t xml:space="preserve">DOI: </w:t>
      </w:r>
      <w:hyperlink r:id="rId769">
        <w:r>
          <w:rPr>
            <w:color w:val="1155CC"/>
            <w:u w:val="single"/>
          </w:rPr>
          <w:t>10.1002/adma.202517624</w:t>
        </w:r>
      </w:hyperlink>
    </w:p>
    <w:p>
      <w:pPr>
        <w:spacing w:before="0" w:after="120"/>
      </w:pPr>
      <w:r>
        <w:rPr>
          <w:b/>
        </w:rPr>
        <w:t xml:space="preserve">Notes: </w:t>
      </w:r>
      <w:r>
        <w:t>abstract_source=crossref</w:t>
      </w:r>
    </w:p>
    <w:p>
      <w:pPr>
        <w:spacing w:before="0" w:after="80" w:lineRule="auto" w:line="276"/>
      </w:pPr>
      <w:r>
        <w:rPr>
          <w:b/>
        </w:rPr>
        <w:t xml:space="preserve">摘要（ZH）: </w:t>
      </w:r>
      <w:r>
        <w:t>ABSTACT 聚合电的低能量密度、低效率操作和热能不稳定阻碍了在恶劣的环境条件下部署胶片电容器; 接口工程已成为一项强有力的战略,引进充电陷阱或建造内部屏障,从而调节承运人的动态并增强能源储存。 我们在此提出一个多层次的异质界面工程战略,通过拉蒂接合将原氮氧化物和硝化纳米纳米元件整合在一起。 大型工作功能偏移和带宽对比导致间断带弯曲和内建电场,形成一个辅助的引导、阻隔和限制载荷载体的诱导、阻隔带和限制承载器网络。 这种设计实际上可以使电场形成一个相互连接的陷阱屏障网络。</w:t>
      </w:r>
    </w:p>
    <w:p>
      <w:pPr>
        <w:spacing w:before="0" w:after="200" w:lineRule="auto" w:line="276"/>
      </w:pPr>
      <w:r>
        <w:rPr>
          <w:b/>
        </w:rPr>
        <w:t xml:space="preserve">Abstract (EN): </w:t>
      </w:r>
      <w:r>
        <w:t>The low energy density, inefficient operation, and thermal instability of polymer dielectrics hinder the deployment of film capacitors under harsh environmental conditions. Interface engineering has emerged as a powerful strategy to introduce charge traps or construct interfacial barriers, thereby regulating carrier dynamics and enhancing energy storage. Here, we propose a multilevel heterointerface engineering strategy that integrates boron nitride and barium niobate nanosheets through lattice interlocking. The large work‐function offset and bandgap contrast induce interfacial band bending and a built‐in electric field, forming a complementary trap‐barrier network that guides, blocks, and confines charge carriers. This design effectively suppresses charge injection and mobility, enhances interfacial polarization, and mitigates the propagation of breakdown pathways. Consequently, BNO@BN/PEI composites achieve exceptional energy storage performance, delivering 9.02 J cm</w:t>
      </w:r>
      <w:r>
        <w:t xml:space="preserve"> </w:t>
      </w:r>
      <w:r>
        <w:t>−3</w:t>
      </w:r>
      <w:r>
        <w:t xml:space="preserve"> </w:t>
      </w:r>
      <w:r>
        <w:t>(</w:t>
      </w:r>
      <w:r>
        <w:t xml:space="preserve"> </w:t>
      </w:r>
      <w:r>
        <w:t>η</w:t>
      </w:r>
      <w:r>
        <w:t xml:space="preserve"> </w:t>
      </w:r>
      <w:r>
        <w:t>= 92%) at room temperature and sustaining 6.1 J cm</w:t>
      </w:r>
      <w:r>
        <w:t xml:space="preserve"> </w:t>
      </w:r>
      <w:r>
        <w:t>−3</w:t>
      </w:r>
      <w:r>
        <w:t xml:space="preserve"> </w:t>
      </w:r>
      <w:r>
        <w:t>(</w:t>
      </w:r>
      <w:r>
        <w:t xml:space="preserve"> </w:t>
      </w:r>
      <w:r>
        <w:t>η</w:t>
      </w:r>
      <w:r>
        <w:t xml:space="preserve"> </w:t>
      </w:r>
      <w:r>
        <w:t>≈ 90%) at 150°C, while still preserving 4.6 J cm</w:t>
      </w:r>
      <w:r>
        <w:t xml:space="preserve"> </w:t>
      </w:r>
      <w:r>
        <w:t>−3</w:t>
      </w:r>
      <w:r>
        <w:t xml:space="preserve"> </w:t>
      </w:r>
      <w:r>
        <w:t>at 200°C. First‐principles calculations and finite element simulations further validate the structural and functional superiority of the multilevel heterointerface. This work establishes multilevel heterointerface engineering as a generalizable paradigm for breaking the trap‐barrier trade‐off in conventional dielectric design and paves the way for next‐generation high‐energy‐density and thermally robust polymer capacitors.</w:t>
      </w:r>
    </w:p>
    <w:p>
      <w:pPr>
        <w:spacing w:before="120" w:after="120"/>
      </w:pPr>
      <w:r>
        <w:rPr>
          <w:sz w:val="18"/>
        </w:rPr>
        <w:t>——————————————————————————————————————————————————————————————————————</w:t>
      </w:r>
    </w:p>
    <w:p>
      <w:pPr>
        <w:spacing w:before="160" w:after="40" w:line="240" w:lineRule="auto"/>
      </w:pPr>
      <w:r>
        <w:rPr>
          <w:b/>
        </w:rPr>
        <w:t xml:space="preserve">[470] </w:t>
      </w:r>
      <w:hyperlink r:id="rId770">
        <w:r>
          <w:rPr>
            <w:color w:val="1155CC"/>
            <w:u w:val="single"/>
          </w:rPr>
          <w:t>蒸发铝氮化的分解热电装置</w:t>
        </w:r>
      </w:hyperlink>
    </w:p>
    <w:p>
      <w:pPr>
        <w:spacing w:before="0" w:after="80"/>
      </w:pPr>
      <w:r>
        <w:rPr>
          <w:i/>
          <w:sz w:val="20"/>
        </w:rPr>
        <w:t>EN: Revealing the Defect‐Driven Ferroelectric Mechanisms of Aluminum Nitride</w:t>
      </w:r>
    </w:p>
    <w:p>
      <w:pPr>
        <w:spacing w:before="0" w:after="120"/>
      </w:pPr>
      <w:r>
        <w:rPr>
          <w:b/>
        </w:rPr>
        <w:t xml:space="preserve">Source: </w:t>
      </w:r>
      <w:r>
        <w:t>Wiley: Advanced Materials: Table of Contents</w:t>
      </w:r>
      <w:r>
        <w:t xml:space="preserve">    </w:t>
      </w:r>
      <w:r>
        <w:rPr>
          <w:b/>
        </w:rPr>
        <w:t xml:space="preserve">Pub date: </w:t>
      </w:r>
      <w:r>
        <w:t>2026-02-11 15:43:05+00:00</w:t>
      </w:r>
      <w:r>
        <w:t xml:space="preserve">    </w:t>
      </w:r>
      <w:r>
        <w:rPr>
          <w:b/>
        </w:rPr>
        <w:t xml:space="preserve">DOI: </w:t>
      </w:r>
      <w:hyperlink r:id="rId771">
        <w:r>
          <w:rPr>
            <w:color w:val="1155CC"/>
            <w:u w:val="single"/>
          </w:rPr>
          <w:t>10.1002/adma.202520258</w:t>
        </w:r>
      </w:hyperlink>
    </w:p>
    <w:p>
      <w:pPr>
        <w:spacing w:before="0" w:after="120"/>
      </w:pPr>
      <w:r>
        <w:rPr>
          <w:b/>
        </w:rPr>
        <w:t xml:space="preserve">Notes: </w:t>
      </w:r>
      <w:r>
        <w:t>abstract_source=crossref</w:t>
      </w:r>
    </w:p>
    <w:p>
      <w:pPr>
        <w:spacing w:before="0" w:after="80" w:lineRule="auto" w:line="276"/>
      </w:pPr>
      <w:r>
        <w:rPr>
          <w:b/>
        </w:rPr>
        <w:t xml:space="preserve">摘要（ZH）: </w:t>
      </w:r>
      <w:r>
        <w:t>ABSTACT Wurtzite IIInitride 化合物是CMOS,与广泛使用铁电的工业利益相兼容的CMOS,尽管它们的极地结构对极地结构极耐极分逆转的反作用。在这里,我们通过直接电离离子束处理,以纳米模型化的缺陷工程作为后增长替代常规碳化替代物,在WäAlN中诱导和调节铁电的特性,使用纳米模型化的缺陷工程作为后增长替代物。</w:t>
      </w:r>
    </w:p>
    <w:p>
      <w:pPr>
        <w:spacing w:before="0" w:after="200" w:lineRule="auto" w:line="276"/>
      </w:pPr>
      <w:r>
        <w:rPr>
          <w:b/>
        </w:rPr>
        <w:t xml:space="preserve">Abstract (EN): </w:t>
      </w:r>
      <w:r>
        <w:t>Wurtzite III‐nitride compounds are CMOS‐compatible with widespread industrial interest to exercise ferroelectricity, despite their polar structure being highly resistant to polarization reversal. Here, we induce and tune ferroelectric properties in w‐AlN via direct‐write ion‐beam processing, using nanoscale patterned defect engineering as a post‐growth alternative to conventional cation substitution. Nanometric piezoresponse spectroscopy of the focused He</w:t>
      </w:r>
      <w:r>
        <w:t xml:space="preserve"> </w:t>
      </w:r>
      <w:r>
        <w:t>+</w:t>
      </w:r>
      <w:r>
        <w:t xml:space="preserve"> </w:t>
      </w:r>
      <w:r>
        <w:t>beam patterned defect concentrations in ferroelectric Al</w:t>
      </w:r>
      <w:r>
        <w:t xml:space="preserve"> </w:t>
      </w:r>
      <w:r>
        <w:t>0.92</w:t>
      </w:r>
      <w:r>
        <w:t xml:space="preserve"> </w:t>
      </w:r>
      <w:r>
        <w:t>B</w:t>
      </w:r>
      <w:r>
        <w:t xml:space="preserve"> </w:t>
      </w:r>
      <w:r>
        <w:t>0.08</w:t>
      </w:r>
      <w:r>
        <w:t xml:space="preserve"> </w:t>
      </w:r>
      <w:r>
        <w:t>N measures a localized 10x enhancement in effective piezoresponse and 40% reduction in switching barrier. The irradiation‐induced point defects convert piezoelectric AlN into a ferroelectric system with site‐saturated nucleation and raise the dielectric susceptibility, switched polarization, and effective piezoelectric coefficient. Enhanced defect‐lattice interactions in AlN increase carrier conduction and phonon scattering loss but preserve long‐range crystallinity. Based on atomistic analysis of nudged elastic band density functional theory calculations and reactive force field simulations, both nitrogen vacancies and defect complexes disrupt bond ordering, facilitating a line‐by‐line low‐barrier switching of pristine AlN.</w:t>
      </w:r>
    </w:p>
    <w:p>
      <w:pPr>
        <w:spacing w:before="120" w:after="120"/>
      </w:pPr>
      <w:r>
        <w:rPr>
          <w:sz w:val="18"/>
        </w:rPr>
        <w:t>——————————————————————————————————————————————————————————————————————</w:t>
      </w:r>
    </w:p>
    <w:p>
      <w:pPr>
        <w:spacing w:before="160" w:after="40" w:line="240" w:lineRule="auto"/>
      </w:pPr>
      <w:r>
        <w:rPr>
          <w:b/>
        </w:rPr>
        <w:t xml:space="preserve">[471] </w:t>
      </w:r>
      <w:hyperlink r:id="rId772">
        <w:r>
          <w:rPr>
            <w:color w:val="1155CC"/>
            <w:u w:val="single"/>
          </w:rPr>
          <w:t>[ASAP] 扩大吸收层的改良电化学直接空气捕获</w:t>
        </w:r>
      </w:hyperlink>
    </w:p>
    <w:p>
      <w:pPr>
        <w:spacing w:before="0" w:after="80"/>
      </w:pPr>
      <w:r>
        <w:rPr>
          <w:i/>
          <w:sz w:val="20"/>
        </w:rPr>
        <w:t>EN: [ASAP] Improved Electrochemical Direct Air Capture by an Extended Absorption Layer</w:t>
      </w:r>
    </w:p>
    <w:p>
      <w:pPr>
        <w:spacing w:before="0" w:after="120"/>
      </w:pPr>
      <w:r>
        <w:rPr>
          <w:b/>
        </w:rPr>
        <w:t xml:space="preserve">Source: </w:t>
      </w:r>
      <w:r>
        <w:t>ACS Energy Letters: Latest Articles (ACS Publications)</w:t>
      </w:r>
      <w:r>
        <w:t xml:space="preserve">    </w:t>
      </w:r>
      <w:r>
        <w:rPr>
          <w:b/>
        </w:rPr>
        <w:t xml:space="preserve">Pub date: </w:t>
      </w:r>
      <w:r>
        <w:t>2026-02-11 15:48:54+00:00</w:t>
      </w:r>
      <w:r>
        <w:t xml:space="preserve">    </w:t>
      </w:r>
      <w:r>
        <w:rPr>
          <w:b/>
        </w:rPr>
        <w:t xml:space="preserve">DOI: </w:t>
      </w:r>
      <w:hyperlink r:id="rId773">
        <w:r>
          <w:rPr>
            <w:color w:val="1155CC"/>
            <w:u w:val="single"/>
          </w:rPr>
          <w:t>10.1021/acsenergylett.5c04245</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[472] </w:t>
      </w:r>
      <w:hyperlink r:id="rId774">
        <w:r>
          <w:rPr>
            <w:color w:val="1155CC"/>
            <w:u w:val="single"/>
          </w:rPr>
          <w:t>[ASAP]Chemist-Chemist-Guided Human - AI 共效有机框架合成工作流</w:t>
        </w:r>
      </w:hyperlink>
    </w:p>
    <w:p>
      <w:pPr>
        <w:spacing w:before="0" w:after="80"/>
      </w:pPr>
      <w:r>
        <w:rPr>
          <w:i/>
          <w:sz w:val="20"/>
        </w:rPr>
        <w:t>EN: [ASAP] Chemist-Guided Human–AI Workflow for Covalent Organic Framework Synthesis</w:t>
      </w:r>
    </w:p>
    <w:p>
      <w:pPr>
        <w:spacing w:before="0" w:after="120"/>
      </w:pPr>
      <w:r>
        <w:rPr>
          <w:b/>
        </w:rPr>
        <w:t xml:space="preserve">Source: </w:t>
      </w:r>
      <w:r>
        <w:t>Journal of the American Chemical Society: Latest Articles (ACS Publications)</w:t>
      </w:r>
      <w:r>
        <w:t xml:space="preserve">    </w:t>
      </w:r>
      <w:r>
        <w:rPr>
          <w:b/>
        </w:rPr>
        <w:t xml:space="preserve">Pub date: </w:t>
      </w:r>
      <w:r>
        <w:t>2026-02-11 15:49:03+00:00</w:t>
      </w:r>
      <w:r>
        <w:t xml:space="preserve">    </w:t>
      </w:r>
      <w:r>
        <w:rPr>
          <w:b/>
        </w:rPr>
        <w:t xml:space="preserve">DOI: </w:t>
      </w:r>
      <w:hyperlink r:id="rId775">
        <w:r>
          <w:rPr>
            <w:color w:val="1155CC"/>
            <w:u w:val="single"/>
          </w:rPr>
          <w:t>10.1021/jacs.5c20068</w:t>
        </w:r>
      </w:hyperlink>
    </w:p>
    <w:p>
      <w:pPr>
        <w:spacing w:before="0" w:after="120"/>
      </w:pPr>
      <w:r>
        <w:rPr>
          <w:b/>
        </w:rPr>
        <w:t xml:space="preserve">Notes: </w:t>
      </w:r>
      <w:r>
        <w:t>abstract_source=openalex</w:t>
      </w:r>
    </w:p>
    <w:p>
      <w:pPr>
        <w:spacing w:before="0" w:after="80" w:lineRule="auto" w:line="276"/>
      </w:pPr>
      <w:r>
        <w:rPr>
          <w:b/>
        </w:rPr>
        <w:t xml:space="preserve">摘要（ZH）: </w:t>
      </w:r>
      <w:r>
        <w:t>共价有机框架(COFs)的合成在很大程度上仍然由化学家的文献知情直觉和反复的试镜和试镜驱动,这很难推广和复制。在这里,我们展示了化学家指导的人类-AI工作流程,将这一推理流程数字化,进行循环研究、假设形成和迭代,将结构化的文献知识库与检索增强的大型语言模型和实验认知更新结合起来。我们首先建造了共价综合知识库,其中包括从800多份出版物中提取的2709项协议。由于一种看不见的链接组合,工作流程检索了一个顶端的环形区,并通过分层抽样和背景变换来收集证据,生成了一种在溶剂系统、催化剂、临时之前的分布式合成系统。</w:t>
      </w:r>
    </w:p>
    <w:p>
      <w:pPr>
        <w:spacing w:before="0" w:after="200" w:lineRule="auto" w:line="276"/>
      </w:pPr>
      <w:r>
        <w:rPr>
          <w:b/>
        </w:rPr>
        <w:t xml:space="preserve">Abstract (EN): </w:t>
      </w:r>
      <w:r>
        <w:t>The synthesis of covalent organic frameworks (COFs) is still largely driven by chemists' literature-informed intuition and iterative trial-and-error, which can be difficult to scale and reproduce. Here we present a chemist-guided human-AI workflow that digitizes this reasoning loop─search, hypothesis formation, and iteration─by coupling a structured literature knowledge base with retrieval-augmented large language models and experiment-aware updates. We first construct a COF synthesis knowledge base containing 2709 protocols extracted from over 800 publications. Given an unseen linker combination, the workflow retrieves a Top-K neighborhood and assembles evidence through stratified sampling and context permutation, generating a range-type synthesis prior over solvent system, catalyst, temperature, time, and stoichiometry. A diagnosis module then interprets macroscopic observations together with powder X-ray diffraction (PXRD) files using a failure taxonomy and proposes targeted updates and next-round experiments. In leave-one-out benchmarks on 60 held-out COFs, the best context-assembly and self-consensus settings improve solvent-catalyst hit rates from baseline levels to up to 0.83, supporting robust transfer beyond individual case studies. We demonstrate the workflow by synthesizing two fluorinated COFs, TAPPy-4F and TAPPy-8F, both exhibiting crystallinity and permanent porosity. By simulating the chemist's reasoning loop, this human-AI system integrates expert knowledge with model-driven exploration, offering a generalizable and scalable paradigm for the rational design of complex reticular materials.</w:t>
      </w:r>
    </w:p>
    <w:p>
      <w:pPr>
        <w:spacing w:before="120" w:after="120"/>
      </w:pPr>
      <w:r>
        <w:rPr>
          <w:sz w:val="18"/>
        </w:rPr>
        <w:t>——————————————————————————————————————————————————————————————————————</w:t>
      </w:r>
    </w:p>
    <w:p>
      <w:pPr>
        <w:spacing w:before="160" w:after="40" w:line="240" w:lineRule="auto"/>
      </w:pPr>
      <w:r>
        <w:rPr>
          <w:b/>
        </w:rPr>
        <w:t xml:space="preserve">[473] </w:t>
      </w:r>
      <w:hyperlink r:id="rId776">
        <w:r>
          <w:rPr>
            <w:color w:val="1155CC"/>
            <w:u w:val="single"/>
          </w:rPr>
          <w:t>[ASAP] 以单晶线聚氧代谢物基为主的用于高效太阳能光热电转换的原子级多氧代谢金属工程[ASAP]</w:t>
        </w:r>
      </w:hyperlink>
    </w:p>
    <w:p>
      <w:pPr>
        <w:spacing w:before="0" w:after="80"/>
      </w:pPr>
      <w:r>
        <w:rPr>
          <w:i/>
          <w:sz w:val="20"/>
        </w:rPr>
        <w:t>EN: [ASAP] Atomic-Level Heterometallic Engineering in Single-Crystalline Polyoxometalate-Based MOF for Efficient Solar Photo-Thermo-Electric Conversion</w:t>
      </w:r>
    </w:p>
    <w:p>
      <w:pPr>
        <w:spacing w:before="0" w:after="120"/>
      </w:pPr>
      <w:r>
        <w:rPr>
          <w:b/>
        </w:rPr>
        <w:t xml:space="preserve">Source: </w:t>
      </w:r>
      <w:r>
        <w:t>Journal of the American Chemical Society: Latest Articles (ACS Publications)</w:t>
      </w:r>
      <w:r>
        <w:t xml:space="preserve">    </w:t>
      </w:r>
      <w:r>
        <w:rPr>
          <w:b/>
        </w:rPr>
        <w:t xml:space="preserve">Pub date: </w:t>
      </w:r>
      <w:r>
        <w:t>2026-02-11 15:49:36+00:00</w:t>
      </w:r>
      <w:r>
        <w:t xml:space="preserve">    </w:t>
      </w:r>
      <w:r>
        <w:rPr>
          <w:b/>
        </w:rPr>
        <w:t xml:space="preserve">DOI: </w:t>
      </w:r>
      <w:hyperlink r:id="rId777">
        <w:r>
          <w:rPr>
            <w:color w:val="1155CC"/>
            <w:u w:val="single"/>
          </w:rPr>
          <w:t>10.1021/jacs.5c20698</w:t>
        </w:r>
      </w:hyperlink>
    </w:p>
    <w:p>
      <w:pPr>
        <w:spacing w:before="0" w:after="120"/>
      </w:pPr>
      <w:r>
        <w:rPr>
          <w:b/>
        </w:rPr>
        <w:t xml:space="preserve">Notes: </w:t>
      </w:r>
      <w:r>
        <w:t>abstract_source=openalex</w:t>
      </w:r>
    </w:p>
    <w:p>
      <w:pPr>
        <w:spacing w:before="0" w:after="80" w:lineRule="auto" w:line="276"/>
      </w:pPr>
      <w:r>
        <w:rPr>
          <w:b/>
        </w:rPr>
        <w:t xml:space="preserve">摘要（ZH）: </w:t>
      </w:r>
      <w:r>
        <w:t>由于从混合值 Mo &lt; sups&gt; V &lt; /sup &gt; / Mo &lt; supp &gt; VI &lt; /sup &gt; 站点解开自由电子,因此,基于聚苯乙烯的聚氧烷化合物表现出广泛的太阳吸收,并具有利用太阳能的巨大潜力,然而,在离散分子组群中,隔热充电器的转移仍局限在单个多氧原子单位内,限制载体的移动性,将载体的移动性限制在分子选择中。本研究报告开辟了一个三维[Zn &lt; sub&gt;4 &lt;/sub&gt; Mo &lt;sup&gt;V &lt;/supsub&gt;9 &lt;/sub &gt; Mosup &gt; VI &lt;/suppsub&gt;4 &lt;/sub&gt;O &lt;sub&gt;40 &lt;/sub &gt; &lt;sub &gt; &lt;sub &gt; &lt;2 &lt;/sub &gt; &gt; &gt; &lt;subi &gt; &lt; &lt; &lt; &lt; subi/i/sub &gt; &gt; &gt; &gt; &gt; &lt; asubí &gt; &gt; &lt; n &lt; /i*/i{/i{/subdodododooxometate 以</w:t>
      </w:r>
    </w:p>
    <w:p>
      <w:pPr>
        <w:spacing w:before="0" w:after="200" w:lineRule="auto" w:line="276"/>
      </w:pPr>
      <w:r>
        <w:rPr>
          <w:b/>
        </w:rPr>
        <w:t xml:space="preserve">Abstract (EN): </w:t>
      </w:r>
      <w:r>
        <w:t>Owing to delocalized free electrons from mixed-valence Mo&lt;sup&gt;V&lt;/sup&gt;/Mo&lt;sup&gt;VI&lt;/sup&gt; sites, the resulting molybdenum-based polyoxometalates compounds exhibit broad-spectrum solar absorption and hold significant potential for solar energy utilization. However, in discrete molecular clusters, intervalence charge transfer remains confined within individual polyoxometalate units, restricting carrier mobility to intramolecular hopping. This study pioneers a three-dimensional [Zn&lt;sub&gt;4&lt;/sub&gt;Mo&lt;sup&gt;V&lt;/sup&gt;&lt;sub&gt;9&lt;/sub&gt;Mo&lt;sup&gt;VI&lt;/sup&gt;&lt;sub&gt;4&lt;/sub&gt;O&lt;sub&gt;40&lt;/sub&gt;(mbim)&lt;sub&gt;2&lt;/sub&gt;]&lt;sub&gt;&lt;i&gt;n&lt;/i&gt;&lt;/sub&gt; polyoxometalate-based metal-organic framework (denoted as AHF-Zn&lt;sub&gt;4&lt;/sub&gt;) that enables intercluster charge delocalization across the extended lattice, significantly enhancing photothermal conversion efficiency. Leveraging crystallographic insights, strategic substitution of 25% Zn&lt;sup&gt;2+&lt;/sup&gt; sites with magnetic metal ions (Co&lt;sup&gt;2+&lt;/sup&gt;, Ni&lt;sup&gt;2+&lt;/sup&gt;, Mn&lt;sup&gt;2+&lt;/sup&gt;) further optimizes electron transport dynamics. X-ray absorption spectroscopy and density functional theory analyses revealed that the unfilled d orbitals of the heterometals provide more active electrons compared to Zn&lt;sup&gt;2+&lt;/sup&gt;, facilitating the electron-vibration coupling effect, further increasing the nonradiative relaxation rate. Under 1 sun irradiation, the maximum temperature of AHF-CoZn&lt;sub&gt;3&lt;/sub&gt; based MOF can reach approximately 75 °C. Through integration with thermoelectric modules, the evaporator stably achieves an output power of 1088 mW m&lt;sup&gt;-2&lt;/sup&gt;, enabling continuous power generation via the temperature gradient along the TE modules. This work provides a novel strategy for designing high-performance polyoxometalate-based MOF photothermal materials and demonstrates their potential applications in solar water purification, desalination, and solar thermoelectric power generation.</w:t>
      </w:r>
    </w:p>
    <w:p>
      <w:pPr>
        <w:spacing w:before="120" w:after="120"/>
      </w:pPr>
      <w:r>
        <w:rPr>
          <w:sz w:val="18"/>
        </w:rPr>
        <w:t>——————————————————————————————————————————————————————————————————————</w:t>
      </w:r>
    </w:p>
    <w:p>
      <w:pPr>
        <w:spacing w:before="160" w:after="40" w:line="240" w:lineRule="auto"/>
      </w:pPr>
      <w:r>
        <w:rPr>
          <w:b/>
        </w:rPr>
        <w:t xml:space="preserve">[474] </w:t>
      </w:r>
      <w:hyperlink r:id="rId778">
        <w:r>
          <w:rPr>
            <w:color w:val="1155CC"/>
            <w:u w:val="single"/>
          </w:rPr>
          <w:t>[ASAP] 动态阴极/电极-电极界面</w:t>
        </w:r>
      </w:hyperlink>
    </w:p>
    <w:p>
      <w:pPr>
        <w:spacing w:before="0" w:after="80"/>
      </w:pPr>
      <w:r>
        <w:rPr>
          <w:i/>
          <w:sz w:val="20"/>
        </w:rPr>
        <w:t>EN: [ASAP] Dynamic Anode/Cathode–Electrolyte Interface Induced through Polymer Evolution for Durable Lithium Metal Batteries</w:t>
      </w:r>
    </w:p>
    <w:p>
      <w:pPr>
        <w:spacing w:before="0" w:after="120"/>
      </w:pPr>
      <w:r>
        <w:rPr>
          <w:b/>
        </w:rPr>
        <w:t xml:space="preserve">Source: </w:t>
      </w:r>
      <w:r>
        <w:t>Journal of the American Chemical Society: Latest Articles (ACS Publications)</w:t>
      </w:r>
      <w:r>
        <w:t xml:space="preserve">    </w:t>
      </w:r>
      <w:r>
        <w:rPr>
          <w:b/>
        </w:rPr>
        <w:t xml:space="preserve">Pub date: </w:t>
      </w:r>
      <w:r>
        <w:t>2026-02-11 16:26:58+00:00</w:t>
      </w:r>
      <w:r>
        <w:t xml:space="preserve">    </w:t>
      </w:r>
      <w:r>
        <w:rPr>
          <w:b/>
        </w:rPr>
        <w:t xml:space="preserve">DOI: </w:t>
      </w:r>
      <w:hyperlink r:id="rId779">
        <w:r>
          <w:rPr>
            <w:color w:val="1155CC"/>
            <w:u w:val="single"/>
          </w:rPr>
          <w:t>10.1021/jacs.5c18082</w:t>
        </w:r>
      </w:hyperlink>
    </w:p>
    <w:p>
      <w:pPr>
        <w:spacing w:before="0" w:after="120"/>
      </w:pPr>
      <w:r>
        <w:rPr>
          <w:b/>
        </w:rPr>
        <w:t xml:space="preserve">Notes: </w:t>
      </w:r>
      <w:r>
        <w:t>abstract_source=openalex</w:t>
      </w:r>
    </w:p>
    <w:p>
      <w:pPr>
        <w:spacing w:before="0" w:after="80" w:lineRule="auto" w:line="276"/>
      </w:pPr>
      <w:r>
        <w:rPr>
          <w:b/>
        </w:rPr>
        <w:t xml:space="preserve">摘要（ZH）: </w:t>
      </w:r>
      <w:r>
        <w:t>为打破李金属电池(LMBs)的可循环瓶颈,对李阳极上的固体-电路界面(SEI)进行了广泛的微调,以打破李阳极上的李金属电池(LMBs)的循环瓶颈。与此同时,LMBs的循环行为也取决于阴极稳定性,因此,它有希望制定同时限制李脱氧酸盐生长和阴极粒粒变形的战略。在此过程中,通过雄性酐(MA)和六氟丁基丙烯酸(HFA)单体(HFA)的共同聚合,在李阳极上建造了人工界面(称为MAFF)。这种MAF层建立了由无机丰富的内部和聚合体外构成的混合的SEI组件。LiPO &lt;sub&gt;4 &lt;/sub&gt;(LFP)或Li &lt;sub&gt;0.8 &lt;/sub&gt;Co &lt;Sub&lt;0.1 &lt;/sub&gt; &lt;Mn &lt;sub&gt;0.1 &lt;/sub&gt; &lt;/sub</w:t>
      </w:r>
    </w:p>
    <w:p>
      <w:pPr>
        <w:spacing w:before="0" w:after="200" w:lineRule="auto" w:line="276"/>
      </w:pPr>
      <w:r>
        <w:rPr>
          <w:b/>
        </w:rPr>
        <w:t xml:space="preserve">Abstract (EN): </w:t>
      </w:r>
      <w:r>
        <w:t>Fine-tuning the solid-electrolyte interface (SEI) on the Li anode has been widely developed to break through the cyclability bottleneck of Li metal batteries (LMBs). Meanwhile, the cycling behavior of LMBs is also dependent on cathode stability, and hence, it is promising to develop strategies that simultaneously constrain Li dendrite growth and cathode particle distortion. Herein, through copolymerization of maleic anhydride (MA) and hexafluorobutyl acrylate (HFA) monomers, an artificial interface (noted as MAF) is constructed on the Li anode. Such an MAF layer establishes hybrid SEI components consisting of an inorganic-rich interior and a polymer exterior. Its bifunctional contributions on the Li anode and the LiFePO&lt;sub&gt;4&lt;/sub&gt; (LFP) or LiNi&lt;sub&gt;0.8&lt;/sub&gt;Co&lt;sub&gt;0.1&lt;/sub&gt;Mn&lt;sub&gt;0.1&lt;/sub&gt;O&lt;sub&gt;2&lt;/sub&gt; (NCM811) cathode are validated by virtue of its dynamic polymer evolution upon LMB cycling. Besides providing lithophilic sites for even Li&lt;sup&gt;+&lt;/sup&gt; plating, the fluorinated oligomers within the MAF exterior further evolve under an ethylene carbonate (EC)-based electrolyte, inducing dynamic maturation of the LiF-rich cathode-electrolyte interface (CEI). As a result, Li||Li symmetric cells perform for over 900 h of cycling at 1 mA cm&lt;sup&gt;-2&lt;/sup&gt;, while Li||LFP and Li||NCM811 cells maintain capacity retentions of 90.2% after 1500 cycles and 80.6% after 350 cycles at their respective 1 C rate.</w:t>
      </w:r>
    </w:p>
    <w:p>
      <w:pPr>
        <w:spacing w:before="120" w:after="120"/>
      </w:pPr>
      <w:r>
        <w:rPr>
          <w:sz w:val="18"/>
        </w:rPr>
        <w:t>——————————————————————————————————————————————————————————————————————</w:t>
      </w:r>
    </w:p>
    <w:p>
      <w:pPr>
        <w:spacing w:before="160" w:after="40" w:line="240" w:lineRule="auto"/>
      </w:pPr>
      <w:r>
        <w:rPr>
          <w:b/>
        </w:rPr>
        <w:t xml:space="preserve">[475] </w:t>
      </w:r>
      <w:hyperlink r:id="rId780">
        <w:r>
          <w:rPr>
            <w:color w:val="1155CC"/>
            <w:u w:val="single"/>
          </w:rPr>
          <w:t>[ASAP] O2 减排刺激对Cu(111)催化氢进化</w:t>
        </w:r>
      </w:hyperlink>
    </w:p>
    <w:p>
      <w:pPr>
        <w:spacing w:before="0" w:after="80"/>
      </w:pPr>
      <w:r>
        <w:rPr>
          <w:i/>
          <w:sz w:val="20"/>
        </w:rPr>
        <w:t>EN: [ASAP] O2 Reduction Stimulates Adatom Generation on Cu(111) Catalyzing Hydrogen Evolution</w:t>
      </w:r>
    </w:p>
    <w:p>
      <w:pPr>
        <w:spacing w:before="0" w:after="120"/>
      </w:pPr>
      <w:r>
        <w:rPr>
          <w:b/>
        </w:rPr>
        <w:t xml:space="preserve">Source: </w:t>
      </w:r>
      <w:r>
        <w:t>Journal of the American Chemical Society: Latest Articles (ACS Publications)</w:t>
      </w:r>
      <w:r>
        <w:t xml:space="preserve">    </w:t>
      </w:r>
      <w:r>
        <w:rPr>
          <w:b/>
        </w:rPr>
        <w:t xml:space="preserve">Pub date: </w:t>
      </w:r>
      <w:r>
        <w:t>2026-02-11 16:55:44+00:00</w:t>
      </w:r>
      <w:r>
        <w:t xml:space="preserve">    </w:t>
      </w:r>
      <w:r>
        <w:rPr>
          <w:b/>
        </w:rPr>
        <w:t xml:space="preserve">DOI: </w:t>
      </w:r>
      <w:hyperlink r:id="rId781">
        <w:r>
          <w:rPr>
            <w:color w:val="1155CC"/>
            <w:u w:val="single"/>
          </w:rPr>
          <w:t>10.1021/jacs.5c20244</w:t>
        </w:r>
      </w:hyperlink>
    </w:p>
    <w:p>
      <w:pPr>
        <w:spacing w:before="0" w:after="120"/>
      </w:pPr>
      <w:r>
        <w:rPr>
          <w:b/>
        </w:rPr>
        <w:t xml:space="preserve">Notes: </w:t>
      </w:r>
      <w:r>
        <w:t>abstract_source=pubmed</w:t>
      </w:r>
    </w:p>
    <w:p>
      <w:pPr>
        <w:spacing w:before="0" w:after="80" w:lineRule="auto" w:line="276"/>
      </w:pPr>
      <w:r>
        <w:rPr>
          <w:b/>
        </w:rPr>
        <w:t xml:space="preserve">摘要（ZH）: </w:t>
      </w:r>
      <w:r>
        <w:t>使用电化学质谱仪(EC-MS)调查地表氢化物形成、氧减少反应(ORR)和高氯酸Cu(111)的氢进化反应(HER)的结合动态。从亚饱和电解解酸开始,氢化物形成通过两个重叠的阴极波产生,由于电极表面的重组而循环变化,与清除剩余氧化物物种相联系。大运河自由能源计算表明,地表氢化物稳定了对粗糙的原始梯田,有助于在标本准备期间引入的麻醉性空隙-地表缺陷。引入受控量的O2明显地渗透了这一行为,将氢化物形成转移到更负的潜力和ac。</w:t>
      </w:r>
    </w:p>
    <w:p>
      <w:pPr>
        <w:spacing w:before="0" w:after="200" w:lineRule="auto" w:line="276"/>
      </w:pPr>
      <w:r>
        <w:rPr>
          <w:b/>
        </w:rPr>
        <w:t xml:space="preserve">Abstract (EN): </w:t>
      </w:r>
      <w:r>
        <w:t>Electrochemical mass spectrometry (EC-MS) was used to investigate the coupled dynamics of surface hydride formation, the oxygen reduction reaction (ORR), and the hydrogen evolution reaction (HER) on Cu(111) in perchloric acid. Starting with an Ar-saturated electrolyte, hydride formation proceeds via two overlapping cathodic waves that evolve with cycling due to the restructuring of the electrode surface, associated with the removal of residual oxide species. Grand canonical free-energy calculations indicate that the surface hydride stabilizes pristine terraces against roughening and helps to anneal vacancy-adatom defects introduced during specimen preparation. Introducing controlled amounts of O2 markedly perturbs this behavior, shifting hydride formation to more negative potentials and accelerating HER kinetics, as revealed by EC-MS. Density functional theory and molecular dynamics simulations show that coadsorption of H with ORR intermediates (OH*/OOH*) promotes Cu(111) restructuring through adatom-vacancy formation and subsurface O incorporation. The resulting fluxional adatom sites enhance the HER activity and modulate the ORR kinetics under mixed control. Extended O2 exposure irreversibly restructures the surface and reshapes the hydride formation waves resulting in a lasting imprint on surface reactivity that remains even after returning to nominally O2-free conditions. These findings demonstrate that coupled adsorbates restructure Cu(111) under an electrochemical bias, generating new active sites with direct implications for the performance and stability of Cu electrocatalysts.</w:t>
      </w:r>
    </w:p>
    <w:p>
      <w:pPr>
        <w:spacing w:before="120" w:after="120"/>
      </w:pPr>
      <w:r>
        <w:rPr>
          <w:sz w:val="18"/>
        </w:rPr>
        <w:t>——————————————————————————————————————————————————————————————————————</w:t>
      </w:r>
    </w:p>
    <w:p>
      <w:pPr>
        <w:spacing w:before="160" w:after="40" w:line="240" w:lineRule="auto"/>
      </w:pPr>
      <w:r>
        <w:rPr>
          <w:b/>
        </w:rPr>
        <w:t xml:space="preserve">[476] </w:t>
      </w:r>
      <w:hyperlink r:id="rId782">
        <w:r>
          <w:rPr>
            <w:color w:val="1155CC"/>
            <w:u w:val="single"/>
          </w:rPr>
          <w:t>[ASAP] Craig Exccited- State Metallabenzenes中的热度:如何、何时、为何?</w:t>
        </w:r>
      </w:hyperlink>
    </w:p>
    <w:p>
      <w:pPr>
        <w:spacing w:before="0" w:after="80"/>
      </w:pPr>
      <w:r>
        <w:rPr>
          <w:i/>
          <w:sz w:val="20"/>
        </w:rPr>
        <w:t>EN: [ASAP] Craig Excited-State Aromaticity in Metallabenzenes: How, When, and Why?</w:t>
      </w:r>
    </w:p>
    <w:p>
      <w:pPr>
        <w:spacing w:before="0" w:after="120"/>
      </w:pPr>
      <w:r>
        <w:rPr>
          <w:b/>
        </w:rPr>
        <w:t xml:space="preserve">Source: </w:t>
      </w:r>
      <w:r>
        <w:t>Journal of the American Chemical Society: Latest Articles (ACS Publications)</w:t>
      </w:r>
      <w:r>
        <w:t xml:space="preserve">    </w:t>
      </w:r>
      <w:r>
        <w:rPr>
          <w:b/>
        </w:rPr>
        <w:t xml:space="preserve">Pub date: </w:t>
      </w:r>
      <w:r>
        <w:t>2026-02-11 17:13:59+00:00</w:t>
      </w:r>
      <w:r>
        <w:t xml:space="preserve">    </w:t>
      </w:r>
      <w:r>
        <w:rPr>
          <w:b/>
        </w:rPr>
        <w:t xml:space="preserve">DOI: </w:t>
      </w:r>
      <w:hyperlink r:id="rId783">
        <w:r>
          <w:rPr>
            <w:color w:val="1155CC"/>
            <w:u w:val="single"/>
          </w:rPr>
          <w:t>10.1021/jacs.5c18055</w:t>
        </w:r>
      </w:hyperlink>
    </w:p>
    <w:p>
      <w:pPr>
        <w:spacing w:before="0" w:after="120"/>
      </w:pPr>
      <w:r>
        <w:rPr>
          <w:b/>
        </w:rPr>
        <w:t xml:space="preserve">Notes: </w:t>
      </w:r>
      <w:r>
        <w:t>abstract_source=pubmed</w:t>
      </w:r>
    </w:p>
    <w:p>
      <w:pPr>
        <w:spacing w:before="0" w:after="80" w:lineRule="auto" w:line="276"/>
      </w:pPr>
      <w:r>
        <w:rPr>
          <w:b/>
        </w:rPr>
        <w:t xml:space="preserve">摘要（ZH）: </w:t>
      </w:r>
      <w:r>
        <w:t>刺激状态芳烃性扩大了芳烃性概念的范围,以描述光振动时的额外分子稳定性和反应性。虽然已经查明了Huckel和Möbius的刺激状态芳烃物种,但Craig 兴奋状态芳烃性芳烃性,涉及平面金属循环中[4n+2]电子的[4n+2] ;在此,我们报告,基于早期过渡的金属(M=Ti、Sc、Y、La、Ac)基金属拉苯在最小的单体和三重体兴奋状态中展示了Craig 6 芳烃性,这得到一系列基于电子、几何、能和磁性等特征的芳烃性指数的支持。 值得注意的是,原动力功率债券理论显示,在振动状态波函数中,极支配着环电迁移的轨道,导致相向反向。</w:t>
      </w:r>
    </w:p>
    <w:p>
      <w:pPr>
        <w:spacing w:before="0" w:after="200" w:lineRule="auto" w:line="276"/>
      </w:pPr>
      <w:r>
        <w:rPr>
          <w:b/>
        </w:rPr>
        <w:t xml:space="preserve">Abstract (EN): </w:t>
      </w:r>
      <w:r>
        <w:t>Excited-state aromaticity expands the concept of aromaticity to describe additional molecular stability and reactivity upon photoexcitation. While both Hückel and Möbius excited-state aromatic species have been identified, Craig excited-state aromaticity involving [4n+2] electrons in planar metallacycles remains unrecognized. Herein, we report that early transition metal (M = Ti, Sc, Y, La, Ac)-based metallabenzenes exhibit Craig 6π aromaticity in their lowest singlet and triplet ππ* excited states, which is supported by a range of aromaticity indices based on electronic, geometric, energetic, and magnetic properties. Notably, ab initio valence bond theory reveals that the dyz orbital dominates the cyclic electron delocalization in the excited-state wave function, resulting in phase inversion between neighboring atomic orbitals of π-symmetry. In contrast, the dyz orbital is usually doubly occupied in well-identified metallabenzenes with late transition metals which thus display Hückel or Baird (anti)aromaticity via the dxz orbital. Our findings provide the first direct evidence and origin of Craig excited-state aromaticity and establish a unified framework for understanding the electronic structure of metallabenzenes, addressing a significant gap in the exploration of excited-state metalla-aromaticity.</w:t>
      </w:r>
    </w:p>
    <w:p>
      <w:pPr>
        <w:spacing w:before="120" w:after="120"/>
      </w:pPr>
      <w:r>
        <w:rPr>
          <w:sz w:val="18"/>
        </w:rPr>
        <w:t>——————————————————————————————————————————————————————————————————————</w:t>
      </w:r>
    </w:p>
    <w:p>
      <w:pPr>
        <w:spacing w:before="160" w:after="40" w:line="240" w:lineRule="auto"/>
      </w:pPr>
      <w:r>
        <w:rPr>
          <w:b/>
        </w:rPr>
        <w:t xml:space="preserve">[477] </w:t>
      </w:r>
      <w:hyperlink r:id="rId784">
        <w:r>
          <w:rPr>
            <w:color w:val="1155CC"/>
            <w:u w:val="single"/>
          </w:rPr>
          <w:t>[ASAP]量化聚氧化物/CO2环氧化物/CO2环中聚氧化物的影响</w:t>
        </w:r>
      </w:hyperlink>
    </w:p>
    <w:p>
      <w:pPr>
        <w:spacing w:before="0" w:after="80"/>
      </w:pPr>
      <w:r>
        <w:rPr>
          <w:i/>
          <w:sz w:val="20"/>
        </w:rPr>
        <w:t>EN: [ASAP] Quantifying the Influences of Epoxide Binding in Epoxide/CO2 Ring Opening Copolymerization Catalysis</w:t>
      </w:r>
    </w:p>
    <w:p>
      <w:pPr>
        <w:spacing w:before="0" w:after="120"/>
      </w:pPr>
      <w:r>
        <w:rPr>
          <w:b/>
        </w:rPr>
        <w:t xml:space="preserve">Source: </w:t>
      </w:r>
      <w:r>
        <w:t>Journal of the American Chemical Society: Latest Articles (ACS Publications)</w:t>
      </w:r>
      <w:r>
        <w:t xml:space="preserve">    </w:t>
      </w:r>
      <w:r>
        <w:rPr>
          <w:b/>
        </w:rPr>
        <w:t xml:space="preserve">Pub date: </w:t>
      </w:r>
      <w:r>
        <w:t>2026-02-11 18:03:57+00:00</w:t>
      </w:r>
      <w:r>
        <w:t xml:space="preserve">    </w:t>
      </w:r>
      <w:r>
        <w:rPr>
          <w:b/>
        </w:rPr>
        <w:t xml:space="preserve">DOI: </w:t>
      </w:r>
      <w:hyperlink r:id="rId785">
        <w:r>
          <w:rPr>
            <w:color w:val="1155CC"/>
            <w:u w:val="single"/>
          </w:rPr>
          <w:t>10.1021/jacs.5c09088</w:t>
        </w:r>
      </w:hyperlink>
    </w:p>
    <w:p>
      <w:pPr>
        <w:spacing w:before="0" w:after="120"/>
      </w:pPr>
      <w:r>
        <w:rPr>
          <w:b/>
        </w:rPr>
        <w:t xml:space="preserve">Notes: </w:t>
      </w:r>
      <w:r>
        <w:t>abstract_source=pubmed</w:t>
      </w:r>
    </w:p>
    <w:p>
      <w:pPr>
        <w:spacing w:before="0" w:after="80" w:lineRule="auto" w:line="276"/>
      </w:pPr>
      <w:r>
        <w:rPr>
          <w:b/>
        </w:rPr>
        <w:t xml:space="preserve">摘要（ZH）: </w:t>
      </w:r>
      <w:r>
        <w:t>了解和预测过氧化物结构对过氧化物/二氧化碳环中聚合率的影响,开启共同聚合化催化催化是一个长期的挑战。在这里,使用一个已知的高度活跃的CO(III)K(I)催化剂调查六种不同氧化物的结合强对其共同聚合率的影响。由于计算和实验表明,研究与催化相关的CO(III)-过氧化物直接沉淀具有实验性挑战性,因此,使用一个Co(II)K(I)复合体来模拟关键的催化中间体,对过氧化物-催化性相互作用进行量化。通过紫外光谱检查对协调进行调查,以便快速有效地确定关联性或结合常数。</w:t>
      </w:r>
    </w:p>
    <w:p>
      <w:pPr>
        <w:spacing w:before="0" w:after="200" w:lineRule="auto" w:line="276"/>
      </w:pPr>
      <w:r>
        <w:rPr>
          <w:b/>
        </w:rPr>
        <w:t xml:space="preserve">Abstract (EN): </w:t>
      </w:r>
      <w:r>
        <w:t>Understanding and predicting the effect of epoxide structure on the rate of polymerization in epoxide/CO2 ring opening copolymerization catalysis is a long-standing challenge. Here, a known highly active Co(III)K(I) catalyst is used to investigate the influences of six different epoxides' binding strengths on their rates of copolymerization. Since calculations and experiments indicate that studying the catalytically relevant Co(III)-epoxide adduct directly is experimentally challenging, epoxide-catalyst binding interactions are quantified using a Co(II)K(I) complex to model the key catalytic intermediate. Epoxide-catalyst coordination is investigated using UV-vis spectroscopy titrations which provide fast and effective determination of association or binding constants. The epoxide-catalyst equilibrium constants show a clear exponential correlation with copolymerization rates and a new catalyst performance linear free energy relationship is revealed. Epoxides exhibiting stronger catalyst binding constants show higher copolymerization rates. The structure-activity correlation is consistent with the polymerization kinetics, mechanism and DFT calculations. Both the methods to investigate epoxide-catalyst coordination and the linear free energy relationship are shown to apply to the series of six epoxides and a second Co(III)K(I) catalyst. These structure-performance relationships are likely applicable to other transition metal catalysts and should expedite future epoxide and catalyst selection to make useful poly(carbonate) materials.</w:t>
      </w:r>
    </w:p>
    <w:p>
      <w:pPr>
        <w:spacing w:before="120" w:after="120"/>
      </w:pPr>
      <w:r>
        <w:rPr>
          <w:sz w:val="18"/>
        </w:rPr>
        <w:t>——————————————————————————————————————————————————————————————————————</w:t>
      </w:r>
    </w:p>
    <w:p>
      <w:pPr>
        <w:spacing w:before="160" w:after="40" w:line="240" w:lineRule="auto"/>
      </w:pPr>
      <w:r>
        <w:rPr>
          <w:b/>
        </w:rPr>
        <w:t xml:space="preserve">[478] </w:t>
      </w:r>
      <w:hyperlink r:id="rId786">
        <w:r>
          <w:rPr>
            <w:color w:val="1155CC"/>
            <w:u w:val="single"/>
          </w:rPr>
          <w:t>[ASAP] 界面-计量的Jahn — 结构强化 LiMnO2 Cathode 的电讯效应</w:t>
        </w:r>
      </w:hyperlink>
    </w:p>
    <w:p>
      <w:pPr>
        <w:spacing w:before="0" w:after="80"/>
      </w:pPr>
      <w:r>
        <w:rPr>
          <w:i/>
          <w:sz w:val="20"/>
        </w:rPr>
        <w:t>EN: [ASAP] Interface-Mediated Jahn–Teller Effect in a Structure-Reinforced LiMnO2 Cathode</w:t>
      </w:r>
    </w:p>
    <w:p>
      <w:pPr>
        <w:spacing w:before="0" w:after="120"/>
      </w:pPr>
      <w:r>
        <w:rPr>
          <w:b/>
        </w:rPr>
        <w:t xml:space="preserve">Source: </w:t>
      </w:r>
      <w:r>
        <w:t>Journal of the American Chemical Society: Latest Articles (ACS Publications)</w:t>
      </w:r>
      <w:r>
        <w:t xml:space="preserve">    </w:t>
      </w:r>
      <w:r>
        <w:rPr>
          <w:b/>
        </w:rPr>
        <w:t xml:space="preserve">Pub date: </w:t>
      </w:r>
      <w:r>
        <w:t>2026-02-11 18:42:58+00:00</w:t>
      </w:r>
      <w:r>
        <w:t xml:space="preserve">    </w:t>
      </w:r>
      <w:r>
        <w:rPr>
          <w:b/>
        </w:rPr>
        <w:t xml:space="preserve">DOI: </w:t>
      </w:r>
      <w:hyperlink r:id="rId787">
        <w:r>
          <w:rPr>
            <w:color w:val="1155CC"/>
            <w:u w:val="single"/>
          </w:rPr>
          <w:t>10.1021/jacs.5c20036</w:t>
        </w:r>
      </w:hyperlink>
    </w:p>
    <w:p>
      <w:pPr>
        <w:spacing w:before="0" w:after="120"/>
      </w:pPr>
      <w:r>
        <w:rPr>
          <w:b/>
        </w:rPr>
        <w:t xml:space="preserve">Notes: </w:t>
      </w:r>
      <w:r>
        <w:t>abstract_source=pubmed</w:t>
      </w:r>
    </w:p>
    <w:p>
      <w:pPr>
        <w:spacing w:before="0" w:after="80" w:lineRule="auto" w:line="276"/>
      </w:pPr>
      <w:r>
        <w:rPr>
          <w:b/>
        </w:rPr>
        <w:t xml:space="preserve">摘要（ZH）: </w:t>
      </w:r>
      <w:r>
        <w:t>富锰氧化物是充满希望的无钴环球藻,但是它们的生存能力受到合作型Jahn-Teller(CJT)对Mn3+离子的扭曲的困扰。常规战略仅部分缓解这种不稳定性,而没有解决其电子来源。在这里,我们展示了中间轨道命令从根源上抑制CJT扭曲现象的范例。我们用非双向JT订单(SLNC-LMO)建造了一个脊椎层LimO2的血压结构,并以其基准为基准,以对相形体为基准。原子分辨率成像证实了MnO6八赫德拉在界面上的近方形安排。结合密度功能理论计算,我们发现这种非双向命令引入了轨道地貌挫败,从而大幅降低了星际螺旋螺旋。</w:t>
      </w:r>
    </w:p>
    <w:p>
      <w:pPr>
        <w:spacing w:before="0" w:after="200" w:lineRule="auto" w:line="276"/>
      </w:pPr>
      <w:r>
        <w:rPr>
          <w:b/>
        </w:rPr>
        <w:t xml:space="preserve">Abstract (EN): </w:t>
      </w:r>
      <w:r>
        <w:t>Lithium manganese-rich oxides are promising cobalt-free cathodes, but their viability is plagued by cooperative Jahn-Teller (CJT) distortions of Mn3+ ions. Conventional strategies only partially mitigate this instability without addressing its electronic origin. Herein, we demonstrate a paradigm of interfacial orbital ordering to suppress CJT distortions at its root. We construct a spinel-layered LiMnO2 heterostructure with noncollinear JT ordering (SLNC-LMO) and benchmark it against a collinear analog. Atomic-resolution imaging confirms the near-orthogonal arrangement of MnO6 octahedra across the interfaces. Combined with density functional theory calculations, we reveal that this noncollinear ordering introduces orbital geometric frustration, which drastically reduces the eg orbital splitting energy to 0.24 eV from 1.12 eV of the collinear structure. This near restoration of orbital degeneracy suppresses long-range distortion propagation and enhances interfacial cohesion. Consequently, the SLNC-LMO cathode delivers exceptional cycling stability, retaining 100% of its capacity after 500 cycles, far outperforming the collinear counterpart. This work establishes interfacial orbital engineering as a general design principle for stabilizing manganese-rich and other Jahn-Teller-active electrode materials.</w:t>
      </w:r>
    </w:p>
    <w:p>
      <w:pPr>
        <w:spacing w:before="120" w:after="120"/>
      </w:pPr>
      <w:r>
        <w:rPr>
          <w:sz w:val="18"/>
        </w:rPr>
        <w:t>——————————————————————————————————————————————————————————————————————</w:t>
      </w:r>
    </w:p>
    <w:p>
      <w:pPr>
        <w:spacing w:before="160" w:after="40" w:line="240" w:lineRule="auto"/>
      </w:pPr>
      <w:r>
        <w:rPr>
          <w:b/>
        </w:rPr>
        <w:t xml:space="preserve">[479] </w:t>
      </w:r>
      <w:hyperlink r:id="rId788">
        <w:r>
          <w:rPr>
            <w:color w:val="1155CC"/>
            <w:u w:val="single"/>
          </w:rPr>
          <w:t>[ASAP]Ultrafine Sub-1 nm 1D1级协调聚合物Nanowires 推进Inert C(sp3)-H债券光催化功能化</w:t>
        </w:r>
      </w:hyperlink>
    </w:p>
    <w:p>
      <w:pPr>
        <w:spacing w:before="0" w:after="80"/>
      </w:pPr>
      <w:r>
        <w:rPr>
          <w:i/>
          <w:sz w:val="20"/>
        </w:rPr>
        <w:t>EN: [ASAP] Ultrafine Sub-1 nm One-Dimensional Coordination Polymer Nanowires for Boosting Photocatalytic Functionalization of Inert C(sp3)–H Bonds</w:t>
      </w:r>
    </w:p>
    <w:p>
      <w:pPr>
        <w:spacing w:before="0" w:after="120"/>
      </w:pPr>
      <w:r>
        <w:rPr>
          <w:b/>
        </w:rPr>
        <w:t xml:space="preserve">Source: </w:t>
      </w:r>
      <w:r>
        <w:t>Journal of the American Chemical Society: Latest Articles (ACS Publications)</w:t>
      </w:r>
      <w:r>
        <w:t xml:space="preserve">    </w:t>
      </w:r>
      <w:r>
        <w:rPr>
          <w:b/>
        </w:rPr>
        <w:t xml:space="preserve">Pub date: </w:t>
      </w:r>
      <w:r>
        <w:t>2026-02-11 18:43:25+00:00</w:t>
      </w:r>
      <w:r>
        <w:t xml:space="preserve">    </w:t>
      </w:r>
      <w:r>
        <w:rPr>
          <w:b/>
        </w:rPr>
        <w:t xml:space="preserve">DOI: </w:t>
      </w:r>
      <w:hyperlink r:id="rId789">
        <w:r>
          <w:rPr>
            <w:color w:val="1155CC"/>
            <w:u w:val="single"/>
          </w:rPr>
          <w:t>10.1021/jacs.5c21627</w:t>
        </w:r>
      </w:hyperlink>
    </w:p>
    <w:p>
      <w:pPr>
        <w:spacing w:before="0" w:after="120"/>
      </w:pPr>
      <w:r>
        <w:rPr>
          <w:b/>
        </w:rPr>
        <w:t xml:space="preserve">Notes: </w:t>
      </w:r>
      <w:r>
        <w:t>abstract_source=pubmed</w:t>
      </w:r>
    </w:p>
    <w:p>
      <w:pPr>
        <w:spacing w:before="0" w:after="80" w:lineRule="auto" w:line="276"/>
      </w:pPr>
      <w:r>
        <w:rPr>
          <w:b/>
        </w:rPr>
        <w:t xml:space="preserve">摘要（ZH）: </w:t>
      </w:r>
      <w:r>
        <w:t>在这项工作中,我们第一次证明分子催化剂的活动在安装在纳米结构协调聚合物(CPs)中是不受限制的。 可用于通过超声振荡获得超晶纳米电线的氯化石蜡极为有限。我们说明,可以使用电静电悬浮低协调数字的金属离子和电阳性离心机作为构件来设计链状的氯化石蜡。这指导了三维(3D)类似链式氯化离子聚氨基染色素和1,1'(1,4-苯基)双氯(3-carboxy quinolin-1-ium);随后,我们用超松子-1 nm纳米电线来制成三维(3D)氯化聚苯乙烯。</w:t>
      </w:r>
    </w:p>
    <w:p>
      <w:pPr>
        <w:spacing w:before="0" w:after="200" w:lineRule="auto" w:line="276"/>
      </w:pPr>
      <w:r>
        <w:rPr>
          <w:b/>
        </w:rPr>
        <w:t xml:space="preserve">Abstract (EN): </w:t>
      </w:r>
      <w:r>
        <w:t>The heterogenization of molecular catalysts to be compatible with industrialization demands still faces great challenges. In this work, we demonstrate for the first time that the activity of a molecular catalyst is unrestricted when installed in nanostructured coordination polymers (CPs). CPs that can be used to obtain ultrafine nanowires by ultrasound exfoliation are extremely limited. We illustrate that chain-like CPs can be designed using electrostatic ligand-capped low-coordination-number metal ions and electropositive ligands as building blocks. This guides the preparation of the three-dimensional (3D) chain-like CPs from chloride ion-capped Cu-based chromophores and 1,1'-(1,4-phenylenebis(methylene))bis(3-carboxy quinolin-1-ium) chloride; subsequently, ultrafine sub-1 nm nanowires were obtained via ultrasound exfoliation. The formed ultrafine sub-1 nm CP nanowires demonstrate high activity enhancement for functionalization of C(sp3)-H bonds with conversion being significantly increased for alkylation, thiolation, and oxidation of C(sp3)-H bonds after exposure to external surfaces of the flexible nanowires. Therefore, the observed activity increases in the order CuCl2 &lt; bulk CP crystals &lt; CP nanowires in functionalization of C(sp3)-H bonds. This work not only provides a strategy for constructing chain-like CPs and their ultrafine nanowires but also paves the way for expanding the diversity of the ultrafine 1D CP nanowires.</w:t>
      </w:r>
    </w:p>
    <w:p>
      <w:pPr>
        <w:spacing w:before="120" w:after="120"/>
      </w:pPr>
      <w:r>
        <w:rPr>
          <w:sz w:val="18"/>
        </w:rPr>
        <w:t>——————————————————————————————————————————————————————————————————————</w:t>
      </w:r>
    </w:p>
    <w:p>
      <w:pPr>
        <w:spacing w:before="160" w:after="40" w:line="240" w:lineRule="auto"/>
      </w:pPr>
      <w:r>
        <w:rPr>
          <w:b/>
        </w:rPr>
        <w:t xml:space="preserve">[480] </w:t>
      </w:r>
      <w:hyperlink r:id="rId790">
        <w:r>
          <w:rPr>
            <w:color w:val="1155CC"/>
            <w:u w:val="single"/>
          </w:rPr>
          <w:t>[ASAP]在Cyclase 阶段总体合成:Habiterpenol和Dassyscyphin A的对称选择性合成</w:t>
        </w:r>
      </w:hyperlink>
    </w:p>
    <w:p>
      <w:pPr>
        <w:spacing w:before="0" w:after="80"/>
      </w:pPr>
      <w:r>
        <w:rPr>
          <w:i/>
          <w:sz w:val="20"/>
        </w:rPr>
        <w:t>EN: [ASAP] Overriding Stereochemical Outcomes in Cyclase Phase Total Synthesis: Enantioselective Synthesis of Habiterpenol and Dasyscyphin A</w:t>
      </w:r>
    </w:p>
    <w:p>
      <w:pPr>
        <w:spacing w:before="0" w:after="120"/>
      </w:pPr>
      <w:r>
        <w:rPr>
          <w:b/>
        </w:rPr>
        <w:t xml:space="preserve">Source: </w:t>
      </w:r>
      <w:r>
        <w:t>Journal of the American Chemical Society: Latest Articles (ACS Publications)</w:t>
      </w:r>
      <w:r>
        <w:t xml:space="preserve">    </w:t>
      </w:r>
      <w:r>
        <w:rPr>
          <w:b/>
        </w:rPr>
        <w:t xml:space="preserve">Pub date: </w:t>
      </w:r>
      <w:r>
        <w:t>2026-02-11 19:00:07+00:00</w:t>
      </w:r>
      <w:r>
        <w:t xml:space="preserve">    </w:t>
      </w:r>
      <w:r>
        <w:rPr>
          <w:b/>
        </w:rPr>
        <w:t xml:space="preserve">DOI: </w:t>
      </w:r>
      <w:hyperlink r:id="rId791">
        <w:r>
          <w:rPr>
            <w:color w:val="1155CC"/>
            <w:u w:val="single"/>
          </w:rPr>
          <w:t>10.1021/jacs.6c00141</w:t>
        </w:r>
      </w:hyperlink>
    </w:p>
    <w:p>
      <w:pPr>
        <w:spacing w:before="0" w:after="120"/>
      </w:pPr>
      <w:r>
        <w:rPr>
          <w:b/>
        </w:rPr>
        <w:t xml:space="preserve">Notes: </w:t>
      </w:r>
      <w:r>
        <w:t>abstract_source=pubmed</w:t>
      </w:r>
    </w:p>
    <w:p>
      <w:pPr>
        <w:spacing w:before="0" w:after="80" w:lineRule="auto" w:line="276"/>
      </w:pPr>
      <w:r>
        <w:rPr>
          <w:b/>
        </w:rPr>
        <w:t xml:space="preserve">摘要（ZH）: </w:t>
      </w:r>
      <w:r>
        <w:t>在此,我们报告对活性激素和单细胞细胞素A的对应选择性总合。 通过利用四氯碳立体中心缩记协议,我们可以推翻多氯苯乙烯循环反应的内在立体化学偏向。 因此,我们高效和有选择地建造了两种含有非常规Cis-hydine motif的美甲类天然产品多环形脚架。 这项工作表明立体中心在重新规划生物模拟循环的结果方面进行改造的效用,从而使得能够快速合成偏离原型全环环状聚变的畸形框架。</w:t>
      </w:r>
    </w:p>
    <w:p>
      <w:pPr>
        <w:spacing w:before="0" w:after="200" w:lineRule="auto" w:line="276"/>
      </w:pPr>
      <w:r>
        <w:rPr>
          <w:b/>
        </w:rPr>
        <w:t xml:space="preserve">Abstract (EN): </w:t>
      </w:r>
      <w:r>
        <w:t>Herein, we report the enantioselective total syntheses of habiterpenol and dasyscyphin A. By exploiting a quaternary carbon stereocenter epimerization protocol, we could override the intrinsic stereochemical bias of polyolefin cyclization reactions. Accordingly, we achieved the efficient and selective construction of the polycyclic scaffolds of both meroterpenoid natural products that bear an unconventional cis-hydrindane motif. This work demonstrates the utility of stereocenter remodeling in reprogramming the outcomes of biomimetic cyclizations, thus enabling the rapid synthesis of terpenoid frameworks that deviate from the prototypical all-trans-ring fusions.</w:t>
      </w:r>
    </w:p>
    <w:p>
      <w:pPr>
        <w:spacing w:before="120" w:after="120"/>
      </w:pPr>
      <w:r>
        <w:rPr>
          <w:sz w:val="18"/>
        </w:rPr>
        <w:t>——————————————————————————————————————————————————————————————————————</w:t>
      </w:r>
    </w:p>
    <w:p>
      <w:pPr>
        <w:spacing w:before="160" w:after="40" w:line="240" w:lineRule="auto"/>
      </w:pPr>
      <w:r>
        <w:rPr>
          <w:b/>
        </w:rPr>
        <w:t xml:space="preserve">[481] </w:t>
      </w:r>
      <w:hyperlink r:id="rId792">
        <w:r>
          <w:rPr>
            <w:color w:val="1155CC"/>
            <w:u w:val="single"/>
          </w:rPr>
          <w:t>[ASAP] 开发特定前列腺特异性色素测量分解器</w:t>
        </w:r>
      </w:hyperlink>
    </w:p>
    <w:p>
      <w:pPr>
        <w:spacing w:before="0" w:after="80"/>
      </w:pPr>
      <w:r>
        <w:rPr>
          <w:i/>
          <w:sz w:val="20"/>
        </w:rPr>
        <w:t>EN: [ASAP] Development of Prostate-Specific Lysosome-Targeting Degraders</w:t>
      </w:r>
    </w:p>
    <w:p>
      <w:pPr>
        <w:spacing w:before="0" w:after="120"/>
      </w:pPr>
      <w:r>
        <w:rPr>
          <w:b/>
        </w:rPr>
        <w:t xml:space="preserve">Source: </w:t>
      </w:r>
      <w:r>
        <w:t>Journal of the American Chemical Society: Latest Articles (ACS Publications)</w:t>
      </w:r>
      <w:r>
        <w:t xml:space="preserve">    </w:t>
      </w:r>
      <w:r>
        <w:rPr>
          <w:b/>
        </w:rPr>
        <w:t xml:space="preserve">Pub date: </w:t>
      </w:r>
      <w:r>
        <w:t>2026-02-11 19:47:19+00:00</w:t>
      </w:r>
      <w:r>
        <w:t xml:space="preserve">    </w:t>
      </w:r>
      <w:r>
        <w:rPr>
          <w:b/>
        </w:rPr>
        <w:t xml:space="preserve">DOI: </w:t>
      </w:r>
      <w:hyperlink r:id="rId793">
        <w:r>
          <w:rPr>
            <w:color w:val="1155CC"/>
            <w:u w:val="single"/>
          </w:rPr>
          <w:t>10.1021/jacs.5c18594</w:t>
        </w:r>
      </w:hyperlink>
    </w:p>
    <w:p>
      <w:pPr>
        <w:spacing w:before="0" w:after="120"/>
      </w:pPr>
      <w:r>
        <w:rPr>
          <w:b/>
        </w:rPr>
        <w:t xml:space="preserve">Notes: </w:t>
      </w:r>
      <w:r>
        <w:t>abstract_source=pubmed</w:t>
      </w:r>
    </w:p>
    <w:p>
      <w:pPr>
        <w:spacing w:before="0" w:after="80" w:lineRule="auto" w:line="276"/>
      </w:pPr>
      <w:r>
        <w:rPr>
          <w:b/>
        </w:rPr>
        <w:t xml:space="preserve">摘要（ZH）: </w:t>
      </w:r>
      <w:r>
        <w:t>有针对性的蛋白质降解技术已成为治疗癌症和其他疾病的变革治疗模式,虽然在细胞内蛋白降解方面取得了显著进展,但膜蛋白的降解和外细胞目标仍处于早期阶段,在这项研究中,我们开发了一种针对前列腺的膜抗原(PSMA),以其为一种对等目标受体(LTR),针对前列腺的抗膜抗原(PSMA),针对前列腺的抗膜抗原(PSMA),制定了针对前列腺的淋巴降解战略。我们证明,外细胞蛋白和膜蛋白可以通过淋巴途径选择性地在前列腺癌细胞细胞中降解,这些PSMA TARGERG Chimeras(PACs)被证明有选择地、有效、快速和持续地促进淋巴的降解。值得注意的是,Ctx-L3和Atz-L5 Exhibi。</w:t>
      </w:r>
    </w:p>
    <w:p>
      <w:pPr>
        <w:spacing w:before="0" w:after="200" w:lineRule="auto" w:line="276"/>
      </w:pPr>
      <w:r>
        <w:rPr>
          <w:b/>
        </w:rPr>
        <w:t xml:space="preserve">Abstract (EN): </w:t>
      </w:r>
      <w:r>
        <w:t>Targeted protein degradation (TPD) technologies have emerged as transformative therapeutic modality for treating cancers and other diseases. While significant progress has been achieved in intracellular protein degradation, degradation of membrane proteins and extracellular targets remains in an early stage. In this study, we developed a prostate-specific lysosome-targeting degradation strategy using a prostate-specific membrane antigen (PSMA) as a lysosome-targeting receptor (LTR). We demonstrated that both extracellular and membrane proteins can be selectively degraded in prostate cancer cells via the lysosome pathway. These PSMA TArgeting Chimeras (PTACs) were shown to facilitate lysosomal degradation in a selective, potent, rapid, and sustained manner. Notably, Ctx-L3 and Atz-L5 exhibited exceptional degradation potencies in LNCaP cells, with DC50 values of 4.3 pM for EGFR and 2 pM for PD-L1, respectively─among the most potent degraders reported to date. Furthermore, the application of PTACs to degrade PD-L1, using both antibody- and small-molecule-based formats, highlights the versatility of this platform. Collectively, this work advances the application of TPD technology and offers promising avenues for precision medicine in prostate-related diseases.</w:t>
      </w:r>
    </w:p>
    <w:p>
      <w:pPr>
        <w:spacing w:before="120" w:after="120"/>
      </w:pPr>
      <w:r>
        <w:rPr>
          <w:sz w:val="18"/>
        </w:rPr>
        <w:t>——————————————————————————————————————————————————————————————————————</w:t>
      </w:r>
    </w:p>
    <w:p>
      <w:pPr>
        <w:spacing w:before="160" w:after="40" w:line="240" w:lineRule="auto"/>
      </w:pPr>
      <w:r>
        <w:rPr>
          <w:b/>
        </w:rPr>
        <w:t xml:space="preserve">[482] </w:t>
      </w:r>
      <w:hyperlink r:id="rId794">
        <w:r>
          <w:rPr>
            <w:color w:val="1155CC"/>
            <w:u w:val="single"/>
          </w:rPr>
          <w:t>[ASAP] 用于结构性探索的聚氯乙烯酸自动大会</w:t>
        </w:r>
      </w:hyperlink>
    </w:p>
    <w:p>
      <w:pPr>
        <w:spacing w:before="0" w:after="80"/>
      </w:pPr>
      <w:r>
        <w:rPr>
          <w:i/>
          <w:sz w:val="20"/>
        </w:rPr>
        <w:t>EN: [ASAP] Automated Assembly of Polyglucuronic Acids for Structural Explorations</w:t>
      </w:r>
    </w:p>
    <w:p>
      <w:pPr>
        <w:spacing w:before="0" w:after="120"/>
      </w:pPr>
      <w:r>
        <w:rPr>
          <w:b/>
        </w:rPr>
        <w:t xml:space="preserve">Source: </w:t>
      </w:r>
      <w:r>
        <w:t>Journal of the American Chemical Society: Latest Articles (ACS Publications)</w:t>
      </w:r>
      <w:r>
        <w:t xml:space="preserve">    </w:t>
      </w:r>
      <w:r>
        <w:rPr>
          <w:b/>
        </w:rPr>
        <w:t xml:space="preserve">Pub date: </w:t>
      </w:r>
      <w:r>
        <w:t>2026-02-11 20:01:13+00:00</w:t>
      </w:r>
      <w:r>
        <w:t xml:space="preserve">    </w:t>
      </w:r>
      <w:r>
        <w:rPr>
          <w:b/>
        </w:rPr>
        <w:t xml:space="preserve">DOI: </w:t>
      </w:r>
      <w:hyperlink r:id="rId795">
        <w:r>
          <w:rPr>
            <w:color w:val="1155CC"/>
            <w:u w:val="single"/>
          </w:rPr>
          <w:t>10.1021/jacs.5c21268</w:t>
        </w:r>
      </w:hyperlink>
    </w:p>
    <w:p>
      <w:pPr>
        <w:spacing w:before="0" w:after="120"/>
      </w:pPr>
      <w:r>
        <w:rPr>
          <w:b/>
        </w:rPr>
        <w:t xml:space="preserve">Notes: </w:t>
      </w:r>
      <w:r>
        <w:t>abstract_source=pubmed</w:t>
      </w:r>
    </w:p>
    <w:p>
      <w:pPr>
        <w:spacing w:before="0" w:after="80" w:lineRule="auto" w:line="276"/>
      </w:pPr>
      <w:r>
        <w:rPr>
          <w:b/>
        </w:rPr>
        <w:t xml:space="preserve">摘要（ZH）: </w:t>
      </w:r>
      <w:r>
        <w:t>聚氨酸是海洋生物中重要的生物聚合物,它们有助于外细胞矩阵调节、细胞信号和碳循环,然而,聚氨酸固有的结构异质妨碍了建立清晰的结构功能关系的努力。在这里,我们报告了一种自动甘油组装(AGA)方法,该方法能够精确合成具有固定链长和晶体相连接立体化学化学的寡头(GlcA),具有固定链长和晶体相连接的寡头;分子动态模拟揭示了一种特性二倍的热相异性,在短的寡头中具有僵硬性,在较长的序列中出现更大的灵活性。</w:t>
      </w:r>
    </w:p>
    <w:p>
      <w:pPr>
        <w:spacing w:before="0" w:after="200" w:lineRule="auto" w:line="276"/>
      </w:pPr>
      <w:r>
        <w:rPr>
          <w:b/>
        </w:rPr>
        <w:t xml:space="preserve">Abstract (EN): </w:t>
      </w:r>
      <w:r>
        <w:t>Polyuronic acids are important biopolymers in marine organisms, where they contribute to extracellular matrix modulation, cell signaling, and carbon cycling. However, the intrinsic structural heterogeneity of polyuronic acids has hindered efforts to establish clear structure-function relationships. Here, we report an automated glycan assembly (AGA) approach that enables the precise synthesis of β-(1-4)-linked d-glucuronic acid (GlcA) oligomers with defined chain lengths and glycosidic linkage stereochemistry. Molecular dynamics simulations revealed a characteristic 2-fold helical conformation, with rigidity in short oligomers and enhanced flexibility emerging in longer sequences. The calcium binding behavior of these oligomers was explored by NMR titrations, revealing diffuse electrostatic binding rather than localized chelation. Polyglucuronic acid (PGA) oligomers are a well-defined molecular model for dissecting ion-mediated interactions and provide a framework for designing uronic acid-based glycomaterials with tunable properties.</w:t>
      </w:r>
    </w:p>
    <w:p>
      <w:pPr>
        <w:spacing w:before="120" w:after="120"/>
      </w:pPr>
      <w:r>
        <w:rPr>
          <w:sz w:val="18"/>
        </w:rPr>
        <w:t>——————————————————————————————————————————————————————————————————————</w:t>
      </w:r>
    </w:p>
    <w:p>
      <w:pPr>
        <w:spacing w:before="160" w:after="40" w:line="240" w:lineRule="auto"/>
      </w:pPr>
      <w:r>
        <w:rPr>
          <w:b/>
        </w:rPr>
        <w:t xml:space="preserve">[483] </w:t>
      </w:r>
      <w:hyperlink r:id="rId796">
        <w:r>
          <w:rPr>
            <w:color w:val="1155CC"/>
            <w:u w:val="single"/>
          </w:rPr>
          <w:t>沿皮层吸引物表面的神经动态的几何几何反映了注意力的变化</w:t>
        </w:r>
      </w:hyperlink>
    </w:p>
    <w:p>
      <w:pPr>
        <w:spacing w:before="0" w:after="80"/>
      </w:pPr>
      <w:r>
        <w:rPr>
          <w:i/>
          <w:sz w:val="20"/>
        </w:rPr>
        <w:t>EN: Geometry of neural dynamics along the cortical attractor landscape reflects changes in attention</w:t>
      </w:r>
    </w:p>
    <w:p>
      <w:pPr>
        <w:spacing w:before="0" w:after="120"/>
      </w:pPr>
      <w:r>
        <w:rPr>
          <w:b/>
        </w:rPr>
        <w:t xml:space="preserve">Source: </w:t>
      </w:r>
      <w:r>
        <w:t>Nature Communications</w:t>
      </w:r>
      <w:r>
        <w:t xml:space="preserve">    </w:t>
      </w:r>
      <w:r>
        <w:rPr>
          <w:b/>
        </w:rPr>
        <w:t xml:space="preserve">Pub date: </w:t>
      </w:r>
      <w:r>
        <w:t>2026-02-12 00:00:00+00:00</w:t>
      </w:r>
    </w:p>
    <w:p>
      <w:pPr>
        <w:spacing w:before="0" w:after="120"/>
      </w:pPr>
      <w:r>
        <w:rPr>
          <w:b/>
        </w:rPr>
        <w:t xml:space="preserve">Notes: </w:t>
      </w:r>
      <w:r>
        <w:t>abstract_source=nature_html</w:t>
      </w:r>
    </w:p>
    <w:p>
      <w:pPr>
        <w:spacing w:before="0" w:after="80" w:lineRule="auto" w:line="276"/>
      </w:pPr>
      <w:r>
        <w:rPr>
          <w:b/>
        </w:rPr>
        <w:t xml:space="preserve">摘要（ZH）: </w:t>
      </w:r>
      <w:r>
        <w:t>大型脑活动反映了注意力的变化。为了了解如何,我们测试了一个假设,即皮层吸引器表面神经动态的几何学或“丘陵和山谷”运动反映了注意状态。一个将内在动态与刺激驱动的影响区分开来的动态系统模型适合休息、任务和电影观察期间收集的FMRI数据。模型模拟揭示了一组与巨型功能脑网络相匹配的吸引者。对这些吸引者的神经轨迹的速度和方向随着时间和背景的注意状态而发生系统性变化。当参与者关注艰巨任务时,神经动态迅速并直接聚集到与任务相关的吸引者身上。相比之下,</w:t>
      </w:r>
    </w:p>
    <w:p>
      <w:pPr>
        <w:spacing w:before="0" w:after="200" w:lineRule="auto" w:line="276"/>
      </w:pPr>
      <w:r>
        <w:rPr>
          <w:b/>
        </w:rPr>
        <w:t xml:space="preserve">Abstract (EN): </w:t>
      </w:r>
      <w:r>
        <w:t>Large-scale brain activity reflects changes in attention. To understand how, we tested a hypothesis that the geometry of neural dynamics on the cortical attractor landscape, or movement along its “hills and valleys”, reflects attentional states. A dynamical systems model separating intrinsic dynamics from stimulus-driven influences was fit to fMRI data collected during rest, tasks, and movie-watching. Model simulations revealed a set of attractors aligned with canonical functional brain networks. The speed and direction of neural trajectories toward these attractors varied systematically with attentional states over time and across contexts. When participants were paying attention to effortful tasks, neural dynamics converged fast and directly toward a task-relevant attractor. In contrast, when participants were engaged in sitcom episodes, neural dynamics occupied a flatter region of the landscape, directed away from attractors. These findings demonstrate that while attractor locations are largely determined by cortical organization, the geometry of neural dynamics changes systematically across attentional states and contexts.</w:t>
      </w:r>
    </w:p>
    <w:p>
      <w:pPr>
        <w:spacing w:before="120" w:after="120"/>
      </w:pPr>
      <w:r>
        <w:rPr>
          <w:sz w:val="18"/>
        </w:rPr>
        <w:t>——————————————————————————————————————————————————————————————————————</w:t>
      </w:r>
    </w:p>
    <w:p>
      <w:pPr>
        <w:spacing w:before="160" w:after="40" w:line="240" w:lineRule="auto"/>
      </w:pPr>
      <w:r>
        <w:rPr>
          <w:b/>
        </w:rPr>
        <w:t xml:space="preserve">[484] </w:t>
      </w:r>
      <w:hyperlink r:id="rId797">
        <w:r>
          <w:rPr>
            <w:color w:val="1155CC"/>
            <w:u w:val="single"/>
          </w:rPr>
          <w:t>在低能F + H2(v) = 0,j = 1反应中观测van der Waals共振</w:t>
        </w:r>
      </w:hyperlink>
    </w:p>
    <w:p>
      <w:pPr>
        <w:spacing w:before="0" w:after="80"/>
      </w:pPr>
      <w:r>
        <w:rPr>
          <w:i/>
          <w:sz w:val="20"/>
        </w:rPr>
        <w:t>EN: Observation of van der Waals resonances in low-energy F + H2(v = 0, j = 1) reaction</w:t>
      </w:r>
    </w:p>
    <w:p>
      <w:pPr>
        <w:spacing w:before="0" w:after="120"/>
      </w:pPr>
      <w:r>
        <w:rPr>
          <w:b/>
        </w:rPr>
        <w:t xml:space="preserve">Source: </w:t>
      </w:r>
      <w:r>
        <w:t>National Science Review Advance Access</w:t>
      </w:r>
      <w:r>
        <w:t xml:space="preserve">    </w:t>
      </w:r>
      <w:r>
        <w:rPr>
          <w:b/>
        </w:rPr>
        <w:t xml:space="preserve">Pub date: </w:t>
      </w:r>
      <w:r>
        <w:t>2026-02-12 00:00:00+00:00</w:t>
      </w:r>
      <w:r>
        <w:t xml:space="preserve">    </w:t>
      </w:r>
      <w:r>
        <w:rPr>
          <w:b/>
        </w:rPr>
        <w:t xml:space="preserve">DOI: </w:t>
      </w:r>
      <w:hyperlink r:id="rId798">
        <w:r>
          <w:rPr>
            <w:color w:val="1155CC"/>
            <w:u w:val="single"/>
          </w:rPr>
          <w:t>10.1093/nsr/nwag086/8475378</w:t>
        </w:r>
      </w:hyperlink>
    </w:p>
    <w:p>
      <w:pPr>
        <w:spacing w:before="0" w:after="120"/>
      </w:pPr>
      <w:r>
        <w:rPr>
          <w:b/>
        </w:rPr>
        <w:t xml:space="preserve">Notes: </w:t>
      </w:r>
      <w:r>
        <w:t>abstract_source=rss_oup</w:t>
      </w:r>
    </w:p>
    <w:p>
      <w:pPr>
        <w:spacing w:before="0" w:after="80" w:lineRule="auto" w:line="276"/>
      </w:pPr>
      <w:r>
        <w:rPr>
          <w:b/>
        </w:rPr>
        <w:t xml:space="preserve">摘要（ZH）: </w:t>
      </w:r>
      <w:r>
        <w:t>量子共振对化学反应活动产生重要影响,但实验证据迄今仅限于过渡状态或产品通道特征。这里我们提供了第一个直接证据,说明中性分子反应入口通道中的范德华(VdW)共振。我们利用完全量子状态解决的跨分子束散射,研究了基准F+H2(v)</w:t>
      </w:r>
    </w:p>
    <w:p>
      <w:pPr>
        <w:spacing w:before="0" w:after="200" w:lineRule="auto" w:line="276"/>
      </w:pPr>
      <w:r>
        <w:rPr>
          <w:b/>
        </w:rPr>
        <w:t xml:space="preserve">Abstract (EN): </w:t>
      </w:r>
      <w:r>
        <w:t>Quantum resonances exert a crucial impact on chemical reactivity, but experimental evidence has so far been restricted to transition-state or product-channel features. Here we provide the first direct evidence of van der Waals (vdW) resonances in the entrance channel of a neutral molecular reaction. Using fully quantum-state resolved crossed molecular beam scattering, we studied the benchmark F + H2(v</w:t>
      </w:r>
    </w:p>
    <w:p>
      <w:pPr>
        <w:spacing w:before="120" w:after="120"/>
      </w:pPr>
      <w:r>
        <w:rPr>
          <w:sz w:val="18"/>
        </w:rPr>
        <w:t>——————————————————————————————————————————————————————————————————————</w:t>
      </w:r>
    </w:p>
    <w:p>
      <w:pPr>
        <w:spacing w:before="160" w:after="40" w:line="240" w:lineRule="auto"/>
      </w:pPr>
      <w:r>
        <w:rPr>
          <w:b/>
        </w:rPr>
        <w:t xml:space="preserve">[485] </w:t>
      </w:r>
      <w:hyperlink r:id="rId799">
        <w:r>
          <w:rPr>
            <w:color w:val="1155CC"/>
            <w:u w:val="single"/>
          </w:rPr>
          <w:t>欧洲大规模氢使用的资源需求和后果</w:t>
        </w:r>
      </w:hyperlink>
    </w:p>
    <w:p>
      <w:pPr>
        <w:spacing w:before="0" w:after="80"/>
      </w:pPr>
      <w:r>
        <w:rPr>
          <w:i/>
          <w:sz w:val="20"/>
        </w:rPr>
        <w:t>EN: Resource requirements and consequences of large-scale hydrogen use in Europe</w:t>
      </w:r>
    </w:p>
    <w:p>
      <w:pPr>
        <w:spacing w:before="0" w:after="120"/>
      </w:pPr>
      <w:r>
        <w:rPr>
          <w:b/>
        </w:rPr>
        <w:t xml:space="preserve">Source: </w:t>
      </w:r>
      <w:r>
        <w:t>Nature Sustainability</w:t>
      </w:r>
      <w:r>
        <w:t xml:space="preserve">    </w:t>
      </w:r>
      <w:r>
        <w:rPr>
          <w:b/>
        </w:rPr>
        <w:t xml:space="preserve">Pub date: </w:t>
      </w:r>
      <w:r>
        <w:t>2026-02-12 00:00:00+00:00</w:t>
      </w:r>
    </w:p>
    <w:p>
      <w:pPr>
        <w:spacing w:before="0" w:after="120"/>
      </w:pPr>
      <w:r>
        <w:rPr>
          <w:b/>
        </w:rPr>
        <w:t xml:space="preserve">Notes: </w:t>
      </w:r>
      <w:r>
        <w:t>abstract_source=nature_html</w:t>
      </w:r>
    </w:p>
    <w:p>
      <w:pPr>
        <w:spacing w:before="0" w:after="80" w:lineRule="auto" w:line="276"/>
      </w:pPr>
      <w:r>
        <w:rPr>
          <w:b/>
        </w:rPr>
        <w:t xml:space="preserve">摘要（ZH）: </w:t>
      </w:r>
      <w:r>
        <w:t>随着欧洲国家向气候变化影响较低的燃料过渡,可能会出现明显的挑战。 电解氢是运输和工业计划发展的核心,但大规模氢生产可能会带来能源和环境后果。 在这里,我们模拟了2050年欧洲特定地点的氢需求分布,以评估对当地用水风险、区域发电构成和成本以及土地利用总量的可能影响。 结果显示,每年氢生产用水的大约20%被模拟为在预测水压力风险 " 极高 " 的地区发生,而氢生产造成的当地水压力可能变得严重。 广泛使用电解氢需要在电力方面进行大量投资。</w:t>
      </w:r>
    </w:p>
    <w:p>
      <w:pPr>
        <w:spacing w:before="0" w:after="200" w:lineRule="auto" w:line="276"/>
      </w:pPr>
      <w:r>
        <w:rPr>
          <w:b/>
        </w:rPr>
        <w:t xml:space="preserve">Abstract (EN): </w:t>
      </w:r>
      <w:r>
        <w:t>As European countries transition to fuels with lower climate change impact, distinct challenges may arise. Electrolytic hydrogen is central to planned developments in transportation and industry, but large-scale hydrogen production could have energy and environmental consequences. Here we simulate site-specific hydrogen demand distribution for Europe in 2050, to assess possible effects on local water use risks, regional electricity generation composition and cost, and total land use. Results show that around 20% of annual water use for hydrogen production is simulated to happen in areas with ‘extremely high’ projected risk of water stress, and local water stress caused by hydrogen production could become severe. Widespread electrolytic hydrogen use requires large investments in electricity generation, but the impacts on the marginal electricity cost to consumers could be small. The electricity generation system required for producing hydrogen or e-fuels would require less land than cultivating biomass for biofuels. The findings highlight the need for coordinated policy action to ensure that hydrogen deployment aligns with local water availability, regional electricity system development, land constraints and broader sustainability goals.</w:t>
      </w:r>
    </w:p>
    <w:p>
      <w:pPr>
        <w:spacing w:before="120" w:after="120"/>
      </w:pPr>
      <w:r>
        <w:rPr>
          <w:sz w:val="18"/>
        </w:rPr>
        <w:t>——————————————————————————————————————————————————————————————————————</w:t>
      </w:r>
    </w:p>
    <w:p>
      <w:pPr>
        <w:spacing w:before="160" w:after="40" w:line="240" w:lineRule="auto"/>
      </w:pPr>
      <w:r>
        <w:rPr>
          <w:b/>
        </w:rPr>
        <w:t xml:space="preserve">[486] </w:t>
      </w:r>
      <w:hyperlink r:id="rId800">
        <w:r>
          <w:rPr>
            <w:color w:val="1155CC"/>
            <w:u w:val="single"/>
          </w:rPr>
          <w:t>用于设定半导体旋的基准的横条晶片</w:t>
        </w:r>
      </w:hyperlink>
    </w:p>
    <w:p>
      <w:pPr>
        <w:spacing w:before="0" w:after="80"/>
      </w:pPr>
      <w:r>
        <w:rPr>
          <w:i/>
          <w:sz w:val="20"/>
        </w:rPr>
        <w:t>EN: A crossbar chip for benchmarking semiconductor spin qubits</w:t>
      </w:r>
    </w:p>
    <w:p>
      <w:pPr>
        <w:spacing w:before="0" w:after="120"/>
      </w:pPr>
      <w:r>
        <w:rPr>
          <w:b/>
        </w:rPr>
        <w:t xml:space="preserve">Source: </w:t>
      </w:r>
      <w:r>
        <w:t>Nature Electronics</w:t>
      </w:r>
      <w:r>
        <w:t xml:space="preserve">    </w:t>
      </w:r>
      <w:r>
        <w:rPr>
          <w:b/>
        </w:rPr>
        <w:t xml:space="preserve">Pub date: </w:t>
      </w:r>
      <w:r>
        <w:t>2026-02-12 00:00:00+00:00</w:t>
      </w:r>
    </w:p>
    <w:p>
      <w:pPr>
        <w:spacing w:before="0" w:after="120"/>
      </w:pPr>
      <w:r>
        <w:rPr>
          <w:b/>
        </w:rPr>
        <w:t xml:space="preserve">Notes: </w:t>
      </w:r>
      <w:r>
        <w:t>abstract_source=nature_html</w:t>
      </w:r>
    </w:p>
    <w:p>
      <w:pPr>
        <w:spacing w:before="0" w:after="80" w:lineRule="auto" w:line="276"/>
      </w:pPr>
      <w:r>
        <w:rPr>
          <w:b/>
        </w:rPr>
        <w:t xml:space="preserve">摘要（ZH）: </w:t>
      </w:r>
      <w:r>
        <w:t>将半导体旋大规模整合到量子处理器中,将需要对量子组件进行规模定性,但这种定性具有挑战性,通常要求在毫克尔温和磁场存在的情况下进行无线电频率测量。我们在这里报告一个可缩放的结构,用于使用量子点横横条阵列来描述旋转的特性。我们称之为用于工程和测试的quit-array研究平台的这一方法,使用由紧固的旋砖组成的横条阵列,在平板中实施,有可能容纳1 058个单眼旋。我们测量了40个小块的子,并展示了在毫克尔温时的关键设备功能,包括瓷质地址。</w:t>
      </w:r>
    </w:p>
    <w:p>
      <w:pPr>
        <w:spacing w:before="0" w:after="200" w:lineRule="auto" w:line="276"/>
      </w:pPr>
      <w:r>
        <w:rPr>
          <w:b/>
        </w:rPr>
        <w:t xml:space="preserve">Abstract (EN): </w:t>
      </w:r>
      <w:r>
        <w:t>The large-scale integration of semiconductor spin qubits into quantum processors will require the characterization of quantum components at scale. However, such characterization is challenging and typically requires radio-frequency measurements at millikelvin temperatures and the presence of magnetic fields. Here we report a scalable architecture for characterizing spin qubits using a quantum dot crossbar array. The approach, which we term as the qubit-array research platform for engineering and testing, uses a crossbar array comprising tightly pitched spin-qubit tiles and is implemented in planar germanium, with the potential to host 1,058 single-hole spin qubits. We measure a subset of 40 tiles and demonstrate key device functionality at millikelvin temperatures, including tile addressability, threshold voltage and charge noise statistics, as well as the characterization of hole spin qubits and their coherence times in a single tile.</w:t>
      </w:r>
    </w:p>
    <w:p>
      <w:pPr>
        <w:spacing w:before="120" w:after="120"/>
      </w:pPr>
      <w:r>
        <w:rPr>
          <w:sz w:val="18"/>
        </w:rPr>
        <w:t>——————————————————————————————————————————————————————————————————————</w:t>
      </w:r>
    </w:p>
    <w:p>
      <w:pPr>
        <w:spacing w:before="160" w:after="40" w:line="240" w:lineRule="auto"/>
      </w:pPr>
      <w:r>
        <w:rPr>
          <w:b/>
        </w:rPr>
        <w:t xml:space="preserve">[487] </w:t>
      </w:r>
      <w:hyperlink r:id="rId801">
        <w:r>
          <w:rPr>
            <w:color w:val="1155CC"/>
            <w:u w:val="single"/>
          </w:rPr>
          <w:t>出版物出版校正:加强非洲大陆疫苗能力建设</w:t>
        </w:r>
      </w:hyperlink>
    </w:p>
    <w:p>
      <w:pPr>
        <w:spacing w:before="0" w:after="80"/>
      </w:pPr>
      <w:r>
        <w:rPr>
          <w:i/>
          <w:sz w:val="20"/>
        </w:rPr>
        <w:t>EN: Publisher Correction: Strengthening vaccine capacity building on the African continent</w:t>
      </w:r>
    </w:p>
    <w:p>
      <w:pPr>
        <w:spacing w:before="0" w:after="120"/>
      </w:pPr>
      <w:r>
        <w:rPr>
          <w:b/>
        </w:rPr>
        <w:t xml:space="preserve">Source: </w:t>
      </w:r>
      <w:r>
        <w:t>Nature Communications</w:t>
      </w:r>
      <w:r>
        <w:t xml:space="preserve">    </w:t>
      </w:r>
      <w:r>
        <w:rPr>
          <w:b/>
        </w:rPr>
        <w:t xml:space="preserve">Pub date: </w:t>
      </w:r>
      <w:r>
        <w:t>2026-02-12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[488] </w:t>
      </w:r>
      <w:hyperlink r:id="rId802">
        <w:r>
          <w:rPr>
            <w:color w:val="1155CC"/>
            <w:u w:val="single"/>
          </w:rPr>
          <w:t>一些COVID疫苗是如何引发罕见的血细胞紊乱的</w:t>
        </w:r>
      </w:hyperlink>
    </w:p>
    <w:p>
      <w:pPr>
        <w:spacing w:before="0" w:after="80"/>
      </w:pPr>
      <w:r>
        <w:rPr>
          <w:i/>
          <w:sz w:val="20"/>
        </w:rPr>
        <w:t>EN: How some COVID vaccines triggered rare blood-clot disorder</w:t>
      </w:r>
    </w:p>
    <w:p>
      <w:pPr>
        <w:spacing w:before="0" w:after="120"/>
      </w:pPr>
      <w:r>
        <w:rPr>
          <w:b/>
        </w:rPr>
        <w:t xml:space="preserve">Source: </w:t>
      </w:r>
      <w:r>
        <w:t>Nature</w:t>
      </w:r>
      <w:r>
        <w:t xml:space="preserve">    </w:t>
      </w:r>
      <w:r>
        <w:rPr>
          <w:b/>
        </w:rPr>
        <w:t xml:space="preserve">Pub date: </w:t>
      </w:r>
      <w:r>
        <w:t>2026-02-12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[489] </w:t>
      </w:r>
      <w:hyperlink r:id="rId803">
        <w:r>
          <w:rPr>
            <w:color w:val="1155CC"/>
            <w:u w:val="single"/>
          </w:rPr>
          <w:t>美国废除了气候变化是公众威胁的关键“保护结论”</w:t>
        </w:r>
      </w:hyperlink>
    </w:p>
    <w:p>
      <w:pPr>
        <w:spacing w:before="0" w:after="80"/>
      </w:pPr>
      <w:r>
        <w:rPr>
          <w:i/>
          <w:sz w:val="20"/>
        </w:rPr>
        <w:t>EN: US repeals key ‘endangerment finding’ that climate change is a public threat</w:t>
      </w:r>
    </w:p>
    <w:p>
      <w:pPr>
        <w:spacing w:before="0" w:after="120"/>
      </w:pPr>
      <w:r>
        <w:rPr>
          <w:b/>
        </w:rPr>
        <w:t xml:space="preserve">Source: </w:t>
      </w:r>
      <w:r>
        <w:t>Nature</w:t>
      </w:r>
      <w:r>
        <w:t xml:space="preserve">    </w:t>
      </w:r>
      <w:r>
        <w:rPr>
          <w:b/>
        </w:rPr>
        <w:t xml:space="preserve">Pub date: </w:t>
      </w:r>
      <w:r>
        <w:t>2026-02-12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[490] </w:t>
      </w:r>
      <w:hyperlink r:id="rId804">
        <w:r>
          <w:rPr>
            <w:color w:val="1155CC"/>
            <w:u w:val="single"/>
          </w:rPr>
          <w:t>确定科学筹资需求——但不能通过混乱的改革</w:t>
        </w:r>
      </w:hyperlink>
    </w:p>
    <w:p>
      <w:pPr>
        <w:spacing w:before="0" w:after="80"/>
      </w:pPr>
      <w:r>
        <w:rPr>
          <w:i/>
          <w:sz w:val="20"/>
        </w:rPr>
        <w:t>EN: Science funding needs fixing — but not through chaotic reforms</w:t>
      </w:r>
    </w:p>
    <w:p>
      <w:pPr>
        <w:spacing w:before="0" w:after="120"/>
      </w:pPr>
      <w:r>
        <w:rPr>
          <w:b/>
        </w:rPr>
        <w:t xml:space="preserve">Source: </w:t>
      </w:r>
      <w:r>
        <w:t>Nature</w:t>
      </w:r>
      <w:r>
        <w:t xml:space="preserve">    </w:t>
      </w:r>
      <w:r>
        <w:rPr>
          <w:b/>
        </w:rPr>
        <w:t xml:space="preserve">Pub date: </w:t>
      </w:r>
      <w:r>
        <w:t>2026-02-12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[491] </w:t>
      </w:r>
      <w:hyperlink r:id="rId805">
        <w:r>
          <w:rPr>
            <w:color w:val="1155CC"/>
            <w:u w:val="single"/>
          </w:rPr>
          <w:t>三维光学表面绝热器中基于表层表层状态的热热元表层</w:t>
        </w:r>
      </w:hyperlink>
    </w:p>
    <w:p>
      <w:pPr>
        <w:spacing w:before="0" w:after="80"/>
      </w:pPr>
      <w:r>
        <w:rPr>
          <w:i/>
          <w:sz w:val="20"/>
        </w:rPr>
        <w:t>EN: Helical metasurfaces based on topological surface states in three-dimensional photonic topological insulators</w:t>
      </w:r>
    </w:p>
    <w:p>
      <w:pPr>
        <w:spacing w:before="0" w:after="120"/>
      </w:pPr>
      <w:r>
        <w:rPr>
          <w:b/>
        </w:rPr>
        <w:t xml:space="preserve">Source: </w:t>
      </w:r>
      <w:r>
        <w:t>Nature Materials</w:t>
      </w:r>
      <w:r>
        <w:t xml:space="preserve">    </w:t>
      </w:r>
      <w:r>
        <w:rPr>
          <w:b/>
        </w:rPr>
        <w:t xml:space="preserve">Pub date: </w:t>
      </w:r>
      <w:r>
        <w:t>2026-02-12 00:00:00+00:00</w:t>
      </w:r>
    </w:p>
    <w:p>
      <w:pPr>
        <w:spacing w:before="0" w:after="120"/>
      </w:pPr>
      <w:r>
        <w:rPr>
          <w:b/>
        </w:rPr>
        <w:t xml:space="preserve">Notes: </w:t>
      </w:r>
      <w:r>
        <w:t>abstract_source=nature_html</w:t>
      </w:r>
    </w:p>
    <w:p>
      <w:pPr>
        <w:spacing w:before="0" w:after="80" w:lineRule="auto" w:line="276"/>
      </w:pPr>
      <w:r>
        <w:rPr>
          <w:b/>
        </w:rPr>
        <w:t xml:space="preserve">摘要（ZH）: </w:t>
      </w:r>
      <w:r>
        <w:t>地形光学光学扩大了人工电磁材料的景观,并通过强大的边界模式提供了各种反应。 预测三维光学层层组成强大的旋转状态 — — 时热地表状态。 然而,它们的全电实验的实现仍是一个根本性挑战。 在这里,我们展示了三维全电光地层绝缘的实实在在的实现。 我们展示了完全的光学层层以及被困在地形系统开放边界上的无缝地表层状态。 将这些状态与辐射连续体的结合为控制电磁波排放提供了机会。 我们展示了三维的开放界面。</w:t>
      </w:r>
    </w:p>
    <w:p>
      <w:pPr>
        <w:spacing w:before="0" w:after="200" w:lineRule="auto" w:line="276"/>
      </w:pPr>
      <w:r>
        <w:rPr>
          <w:b/>
        </w:rPr>
        <w:t xml:space="preserve">Abstract (EN): </w:t>
      </w:r>
      <w:r>
        <w:t>Topological photonics expands the landscape of artificial electromagnetic materials and provides a variety of responses via robust boundary modes. Three-dimensional photonic topological insulators are predicted to host robust spin–momentum-locked surface states. However, their all-dielectric experimental realization has remained a fundamental challenge. Here we demonstrate a practical realization of a three-dimensional all-dielectric photonic topological insulator. We show a complete photonic topological bandgap as well as gapless topological surface states trapped on open boundaries of topological systems. The coupling of these states to the radiative continuum offers opportunities for controlling the emission of electromagnetic waves. We unveil that open interfaces in three-dimensional photonic topological insulators behave as effective metasurfaces and show that the helical nature of topological surface states supported by the interfaces enables control over far-field emission via the pseudo-spin degree of freedom. Further structuring of the topological interfaces provides further enhancement of such effective metasurfaces by offering control over far-field radiation patterns and directionality of the surface state emission.</w:t>
      </w:r>
    </w:p>
    <w:p>
      <w:pPr>
        <w:spacing w:before="120" w:after="120"/>
      </w:pPr>
      <w:r>
        <w:rPr>
          <w:sz w:val="18"/>
        </w:rPr>
        <w:t>——————————————————————————————————————————————————————————————————————</w:t>
      </w:r>
    </w:p>
    <w:p>
      <w:pPr>
        <w:spacing w:before="160" w:after="40" w:line="240" w:lineRule="auto"/>
      </w:pPr>
      <w:r>
        <w:rPr>
          <w:b/>
        </w:rPr>
        <w:t xml:space="preserve">[492] </w:t>
      </w:r>
      <w:hyperlink r:id="rId806">
        <w:r>
          <w:rPr>
            <w:color w:val="1155CC"/>
            <w:u w:val="single"/>
          </w:rPr>
          <w:t>柔性连接点:机器人变形成一系列半机器人物种</w:t>
        </w:r>
      </w:hyperlink>
    </w:p>
    <w:p>
      <w:pPr>
        <w:spacing w:before="0" w:after="80"/>
      </w:pPr>
      <w:r>
        <w:rPr>
          <w:i/>
          <w:sz w:val="20"/>
        </w:rPr>
        <w:t>EN: Flexible joints: robot morphs into a range of cyborg species</w:t>
      </w:r>
    </w:p>
    <w:p>
      <w:pPr>
        <w:spacing w:before="0" w:after="120"/>
      </w:pPr>
      <w:r>
        <w:rPr>
          <w:b/>
        </w:rPr>
        <w:t xml:space="preserve">Source: </w:t>
      </w:r>
      <w:r>
        <w:t>Nature</w:t>
      </w:r>
      <w:r>
        <w:t xml:space="preserve">    </w:t>
      </w:r>
      <w:r>
        <w:rPr>
          <w:b/>
        </w:rPr>
        <w:t xml:space="preserve">Pub date: </w:t>
      </w:r>
      <w:r>
        <w:t>2026-02-12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[493] </w:t>
      </w:r>
      <w:hyperlink r:id="rId807">
        <w:r>
          <w:rPr>
            <w:color w:val="1155CC"/>
            <w:u w:val="single"/>
          </w:rPr>
          <w:t>大赦国际帮助提出赠款建议,与增加NIH的供资机会挂钩</w:t>
        </w:r>
      </w:hyperlink>
    </w:p>
    <w:p>
      <w:pPr>
        <w:spacing w:before="0" w:after="80"/>
      </w:pPr>
      <w:r>
        <w:rPr>
          <w:i/>
          <w:sz w:val="20"/>
        </w:rPr>
        <w:t>EN: AI help in grant proposals tied to higher funding odds at NIH</w:t>
      </w:r>
    </w:p>
    <w:p>
      <w:pPr>
        <w:spacing w:before="0" w:after="120"/>
      </w:pPr>
      <w:r>
        <w:rPr>
          <w:b/>
        </w:rPr>
        <w:t xml:space="preserve">Source: </w:t>
      </w:r>
      <w:r>
        <w:t>Nature</w:t>
      </w:r>
      <w:r>
        <w:t xml:space="preserve">    </w:t>
      </w:r>
      <w:r>
        <w:rPr>
          <w:b/>
        </w:rPr>
        <w:t xml:space="preserve">Pub date: </w:t>
      </w:r>
      <w:r>
        <w:t>2026-02-12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[494] </w:t>
      </w:r>
      <w:hyperlink r:id="rId808">
        <w:r>
          <w:rPr>
            <w:color w:val="1155CC"/>
            <w:u w:val="single"/>
          </w:rPr>
          <w:t>稳定活N种物种,支持加强氨合成</w:t>
        </w:r>
      </w:hyperlink>
    </w:p>
    <w:p>
      <w:pPr>
        <w:spacing w:before="0" w:after="80"/>
      </w:pPr>
      <w:r>
        <w:rPr>
          <w:i/>
          <w:sz w:val="20"/>
        </w:rPr>
        <w:t>EN: Stabilizing active N species on support for enhancing ammonia synthesis</w:t>
      </w:r>
    </w:p>
    <w:p>
      <w:pPr>
        <w:spacing w:before="0" w:after="120"/>
      </w:pPr>
      <w:r>
        <w:rPr>
          <w:b/>
        </w:rPr>
        <w:t xml:space="preserve">Source: </w:t>
      </w:r>
      <w:r>
        <w:t>National Science Review Advance Access</w:t>
      </w:r>
      <w:r>
        <w:t xml:space="preserve">    </w:t>
      </w:r>
      <w:r>
        <w:rPr>
          <w:b/>
        </w:rPr>
        <w:t xml:space="preserve">Pub date: </w:t>
      </w:r>
      <w:r>
        <w:t>2026-02-12 00:00:00+00:00</w:t>
      </w:r>
      <w:r>
        <w:t xml:space="preserve">    </w:t>
      </w:r>
      <w:r>
        <w:rPr>
          <w:b/>
        </w:rPr>
        <w:t xml:space="preserve">DOI: </w:t>
      </w:r>
      <w:hyperlink r:id="rId809">
        <w:r>
          <w:rPr>
            <w:color w:val="1155CC"/>
            <w:u w:val="single"/>
          </w:rPr>
          <w:t>10.1093/nsr/nwag097/8475377</w:t>
        </w:r>
      </w:hyperlink>
    </w:p>
    <w:p>
      <w:pPr>
        <w:spacing w:before="0" w:after="120"/>
      </w:pPr>
      <w:r>
        <w:rPr>
          <w:b/>
        </w:rPr>
        <w:t xml:space="preserve">Notes: </w:t>
      </w:r>
      <w:r>
        <w:t>abstract_source=rss_oup</w:t>
      </w:r>
    </w:p>
    <w:p>
      <w:pPr>
        <w:spacing w:before="0" w:after="80" w:lineRule="auto" w:line="276"/>
      </w:pPr>
      <w:r>
        <w:rPr>
          <w:b/>
        </w:rPr>
        <w:t xml:space="preserve">摘要（ZH）: </w:t>
      </w:r>
      <w:r>
        <w:t>作为重要的化学原料,氨作为重要的化学原料,在化肥生产和氢能储存方面具有重要意义,通过Haber-Bosch工艺进行的氨合成已经持续了一个多世纪,通过Haber-Bosch工艺的氨合成一直得到持续发展,以往的研究主要强调支持产生的电子捐赠效应,然而,各种现象表明其他支持效应也将有助于这种反应,而详细机制尚未完全发现。</w:t>
      </w:r>
    </w:p>
    <w:p>
      <w:pPr>
        <w:spacing w:before="0" w:after="200" w:lineRule="auto" w:line="276"/>
      </w:pPr>
      <w:r>
        <w:rPr>
          <w:b/>
        </w:rPr>
        <w:t xml:space="preserve">Abstract (EN): </w:t>
      </w:r>
      <w:r>
        <w:t>As an important chemical raw material, ammonia is of great significance in fertilizer production and hydrogen energy storage. Ammonia synthesis via the Haber-Bosch process has been under continuous development for over a century, with previous studies predominantly emphasizing the electron donation effect from the support. However, various phenomena hint other support effect will also contribute to this reaction, while the detailed mechanism is yet to be fully discovered. This research reveals an additional role of the supports and an alternative reaction pathway to boost the ammonia synthesis, based on in situ</w:t>
      </w:r>
    </w:p>
    <w:p>
      <w:pPr>
        <w:spacing w:before="120" w:after="120"/>
      </w:pPr>
      <w:r>
        <w:rPr>
          <w:sz w:val="18"/>
        </w:rPr>
        <w:t>——————————————————————————————————————————————————————————————————————</w:t>
      </w:r>
    </w:p>
    <w:p>
      <w:pPr>
        <w:spacing w:before="160" w:after="40" w:line="240" w:lineRule="auto"/>
      </w:pPr>
      <w:r>
        <w:rPr>
          <w:b/>
        </w:rPr>
        <w:t xml:space="preserve">[495] </w:t>
      </w:r>
      <w:hyperlink r:id="rId810">
        <w:r>
          <w:rPr>
            <w:color w:val="1155CC"/>
            <w:u w:val="single"/>
          </w:rPr>
          <w:t>RNA m5C 甲基化为作物生产力提供了很有希望的战略</w:t>
        </w:r>
      </w:hyperlink>
    </w:p>
    <w:p>
      <w:pPr>
        <w:spacing w:before="0" w:after="80"/>
      </w:pPr>
      <w:r>
        <w:rPr>
          <w:i/>
          <w:sz w:val="20"/>
        </w:rPr>
        <w:t>EN: Elevating RNA m5C methylation provides a promising strategy for crop productivity</w:t>
      </w:r>
    </w:p>
    <w:p>
      <w:pPr>
        <w:spacing w:before="0" w:after="120"/>
      </w:pPr>
      <w:r>
        <w:rPr>
          <w:b/>
        </w:rPr>
        <w:t xml:space="preserve">Source: </w:t>
      </w:r>
      <w:r>
        <w:t>National Science Review Advance Access</w:t>
      </w:r>
      <w:r>
        <w:t xml:space="preserve">    </w:t>
      </w:r>
      <w:r>
        <w:rPr>
          <w:b/>
        </w:rPr>
        <w:t xml:space="preserve">Pub date: </w:t>
      </w:r>
      <w:r>
        <w:t>2026-02-12 00:00:00+00:00</w:t>
      </w:r>
      <w:r>
        <w:t xml:space="preserve">    </w:t>
      </w:r>
      <w:r>
        <w:rPr>
          <w:b/>
        </w:rPr>
        <w:t xml:space="preserve">DOI: </w:t>
      </w:r>
      <w:hyperlink r:id="rId811">
        <w:r>
          <w:rPr>
            <w:color w:val="1155CC"/>
            <w:u w:val="single"/>
          </w:rPr>
          <w:t>10.1093/nsr/nwag102/8475376</w:t>
        </w:r>
      </w:hyperlink>
    </w:p>
    <w:p>
      <w:pPr>
        <w:spacing w:before="0" w:after="120"/>
      </w:pPr>
      <w:r>
        <w:rPr>
          <w:b/>
        </w:rPr>
        <w:t xml:space="preserve">Notes: </w:t>
      </w:r>
      <w:r>
        <w:t>abstract_source=rss_oup</w:t>
      </w:r>
    </w:p>
    <w:p>
      <w:pPr>
        <w:spacing w:before="0" w:after="80" w:lineRule="auto" w:line="276"/>
      </w:pPr>
      <w:r>
        <w:rPr>
          <w:b/>
        </w:rPr>
        <w:t xml:space="preserve">摘要（ZH）: </w:t>
      </w:r>
      <w:r>
        <w:t>RNA 5-甲基细胞碘(m5C)已被确定为对涉及监管多种杀虫剂处理后过程的 mRNA 进行的一项关键的上皮-血清学修改。在这里,我们发现,RNA m5C脱甲基酶OsNOP2被击倒导致M5C浓度升高,并积极影响稻米中的许多农业特征。在对OsNOP2 RNA m5C的体外脱甲基酶功能进行核查之后,我们发现,RNA m5C脱甲基酶(OsNOP2, OsNOP2, RNA m5C)在体外被击倒,导致M5C浓度升高,并积极影响许多大米中的农业特征。</w:t>
      </w:r>
    </w:p>
    <w:p>
      <w:pPr>
        <w:spacing w:before="0" w:after="200" w:lineRule="auto" w:line="276"/>
      </w:pPr>
      <w:r>
        <w:rPr>
          <w:b/>
        </w:rPr>
        <w:t xml:space="preserve">Abstract (EN): </w:t>
      </w:r>
      <w:r>
        <w:t>RNA 5-methylcytidine (m5C) has been identified as a key epi-transcriptomic modification of mRNAs involved in regulating multiple post-transcriptional processes. Here, we found that knockout of the RNA m5C demethylase, OsNOP2, results in elevated m5C levels and positively influences numerous agronomic traits in rice. After verifying OsNOP2 RNA m5C demethylase function in vitro</w:t>
      </w:r>
    </w:p>
    <w:p>
      <w:pPr>
        <w:spacing w:before="120" w:after="120"/>
      </w:pPr>
      <w:r>
        <w:rPr>
          <w:sz w:val="18"/>
        </w:rPr>
        <w:t>——————————————————————————————————————————————————————————————————————</w:t>
      </w:r>
    </w:p>
    <w:p>
      <w:pPr>
        <w:spacing w:before="160" w:after="40" w:line="240" w:lineRule="auto"/>
      </w:pPr>
      <w:r>
        <w:rPr>
          <w:b/>
        </w:rPr>
        <w:t xml:space="preserve">[496] </w:t>
      </w:r>
      <w:hyperlink r:id="rId812">
        <w:r>
          <w:rPr>
            <w:color w:val="1155CC"/>
            <w:u w:val="single"/>
          </w:rPr>
          <w:t>从古老的寺庙到炸弹弹坑:用照片探索老挝的多层历史</w:t>
        </w:r>
      </w:hyperlink>
    </w:p>
    <w:p>
      <w:pPr>
        <w:spacing w:before="0" w:after="80"/>
      </w:pPr>
      <w:r>
        <w:rPr>
          <w:i/>
          <w:sz w:val="20"/>
        </w:rPr>
        <w:t>EN: From ancient temples to bomb craters: explore Laos’s layered history — in photos</w:t>
      </w:r>
    </w:p>
    <w:p>
      <w:pPr>
        <w:spacing w:before="0" w:after="120"/>
      </w:pPr>
      <w:r>
        <w:rPr>
          <w:b/>
        </w:rPr>
        <w:t xml:space="preserve">Source: </w:t>
      </w:r>
      <w:r>
        <w:t>Nature</w:t>
      </w:r>
      <w:r>
        <w:t xml:space="preserve">    </w:t>
      </w:r>
      <w:r>
        <w:rPr>
          <w:b/>
        </w:rPr>
        <w:t xml:space="preserve">Pub date: </w:t>
      </w:r>
      <w:r>
        <w:t>2026-02-12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[497] </w:t>
      </w:r>
      <w:hyperlink r:id="rId813">
        <w:r>
          <w:rPr>
            <w:color w:val="1155CC"/>
            <w:u w:val="single"/>
          </w:rPr>
          <w:t>用于穿戴式保健和语音检测的自动振动传感器</w:t>
        </w:r>
      </w:hyperlink>
    </w:p>
    <w:p>
      <w:pPr>
        <w:spacing w:before="0" w:after="80"/>
      </w:pPr>
      <w:r>
        <w:rPr>
          <w:i/>
          <w:sz w:val="20"/>
        </w:rPr>
        <w:t>EN: Self-powered vibration sensor for wearable health care and voice detection</w:t>
      </w:r>
    </w:p>
    <w:p>
      <w:pPr>
        <w:spacing w:before="0" w:after="120"/>
      </w:pPr>
      <w:r>
        <w:rPr>
          <w:b/>
        </w:rPr>
        <w:t xml:space="preserve">Source: </w:t>
      </w:r>
      <w:r>
        <w:t>Nature</w:t>
      </w:r>
      <w:r>
        <w:t xml:space="preserve">    </w:t>
      </w:r>
      <w:r>
        <w:rPr>
          <w:b/>
        </w:rPr>
        <w:t xml:space="preserve">Pub date: </w:t>
      </w:r>
      <w:r>
        <w:t>2026-02-12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[498] </w:t>
      </w:r>
      <w:hyperlink r:id="rId814">
        <w:r>
          <w:rPr>
            <w:color w:val="1155CC"/>
            <w:u w:val="single"/>
          </w:rPr>
          <w:t>超重减肥药物的“惊人”崛起 — — 以及下一步是什么?</w:t>
        </w:r>
      </w:hyperlink>
    </w:p>
    <w:p>
      <w:pPr>
        <w:spacing w:before="0" w:after="80"/>
      </w:pPr>
      <w:r>
        <w:rPr>
          <w:i/>
          <w:sz w:val="20"/>
        </w:rPr>
        <w:t>EN: The ‘astounding’ rise of semaglutide — and what’s next for weight-loss drugs</w:t>
      </w:r>
    </w:p>
    <w:p>
      <w:pPr>
        <w:spacing w:before="0" w:after="120"/>
      </w:pPr>
      <w:r>
        <w:rPr>
          <w:b/>
        </w:rPr>
        <w:t xml:space="preserve">Source: </w:t>
      </w:r>
      <w:r>
        <w:t>Nature</w:t>
      </w:r>
      <w:r>
        <w:t xml:space="preserve">    </w:t>
      </w:r>
      <w:r>
        <w:rPr>
          <w:b/>
        </w:rPr>
        <w:t xml:space="preserve">Pub date: </w:t>
      </w:r>
      <w:r>
        <w:t>2026-02-12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[499] </w:t>
      </w:r>
      <w:hyperlink r:id="rId815">
        <w:r>
          <w:rPr>
            <w:color w:val="1155CC"/>
            <w:u w:val="single"/>
          </w:rPr>
          <w:t>校正:猪对人死亡肾脏Xenenoproduction的生理学和免疫学</w:t>
        </w:r>
      </w:hyperlink>
    </w:p>
    <w:p>
      <w:pPr>
        <w:spacing w:before="0" w:after="80"/>
      </w:pPr>
      <w:r>
        <w:rPr>
          <w:i/>
          <w:sz w:val="20"/>
        </w:rPr>
        <w:t>EN: Publisher Correction: Physiology and immunology of a pig-to-human decedent kidney xenotransplant</w:t>
      </w:r>
    </w:p>
    <w:p>
      <w:pPr>
        <w:spacing w:before="0" w:after="120"/>
      </w:pPr>
      <w:r>
        <w:rPr>
          <w:b/>
        </w:rPr>
        <w:t xml:space="preserve">Source: </w:t>
      </w:r>
      <w:r>
        <w:t>Nature</w:t>
      </w:r>
      <w:r>
        <w:t xml:space="preserve">    </w:t>
      </w:r>
      <w:r>
        <w:rPr>
          <w:b/>
        </w:rPr>
        <w:t xml:space="preserve">Pub date: </w:t>
      </w:r>
      <w:r>
        <w:t>2026-02-12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[500] </w:t>
      </w:r>
      <w:hyperlink r:id="rId816">
        <w:r>
          <w:rPr>
            <w:color w:val="1155CC"/>
            <w:u w:val="single"/>
          </w:rPr>
          <w:t>运动使大脑重新接线——提高身体的耐力</w:t>
        </w:r>
      </w:hyperlink>
    </w:p>
    <w:p>
      <w:pPr>
        <w:spacing w:before="0" w:after="80"/>
      </w:pPr>
      <w:r>
        <w:rPr>
          <w:i/>
          <w:sz w:val="20"/>
        </w:rPr>
        <w:t>EN: Exercise rewires the brain — boosting the body’s endurance</w:t>
      </w:r>
    </w:p>
    <w:p>
      <w:pPr>
        <w:spacing w:before="0" w:after="120"/>
      </w:pPr>
      <w:r>
        <w:rPr>
          <w:b/>
        </w:rPr>
        <w:t xml:space="preserve">Source: </w:t>
      </w:r>
      <w:r>
        <w:t>Nature</w:t>
      </w:r>
      <w:r>
        <w:t xml:space="preserve">    </w:t>
      </w:r>
      <w:r>
        <w:rPr>
          <w:b/>
        </w:rPr>
        <w:t xml:space="preserve">Pub date: </w:t>
      </w:r>
      <w:r>
        <w:t>2026-02-12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[501] </w:t>
      </w:r>
      <w:hyperlink r:id="rId817">
        <w:r>
          <w:rPr>
            <w:color w:val="1155CC"/>
            <w:u w:val="single"/>
          </w:rPr>
          <w:t>更正:解除超高镍电极和氯化固态电解液解液液电池在稳定全固态锂电池中的相互兼容性</w:t>
        </w:r>
      </w:hyperlink>
    </w:p>
    <w:p>
      <w:pPr>
        <w:spacing w:before="0" w:after="80"/>
      </w:pPr>
      <w:r>
        <w:rPr>
          <w:i/>
          <w:sz w:val="20"/>
        </w:rPr>
        <w:t>EN: Correction: Unraveling the interfacial compatibility of ultrahigh nickel cathodes and chloride solid electrolyte for stable all-solid-state lithium batteries</w:t>
      </w:r>
    </w:p>
    <w:p>
      <w:pPr>
        <w:spacing w:before="0" w:after="120"/>
      </w:pPr>
      <w:r>
        <w:rPr>
          <w:b/>
        </w:rPr>
        <w:t xml:space="preserve">Source: </w:t>
      </w:r>
      <w:r>
        <w:t>RSC - Energy Environ. Sci. latest articles</w:t>
      </w:r>
      <w:r>
        <w:t xml:space="preserve">    </w:t>
      </w:r>
      <w:r>
        <w:rPr>
          <w:b/>
        </w:rPr>
        <w:t xml:space="preserve">Pub date: </w:t>
      </w:r>
      <w:r>
        <w:t>2026-02-12 00:00:00+00:00</w:t>
      </w:r>
    </w:p>
    <w:p>
      <w:pPr>
        <w:spacing w:before="0" w:after="120"/>
      </w:pPr>
      <w:r>
        <w:rPr>
          <w:b/>
        </w:rPr>
        <w:t xml:space="preserve">Notes: </w:t>
      </w:r>
      <w:r>
        <w:t>abstract_source=rsc_html</w:t>
      </w:r>
    </w:p>
    <w:p>
      <w:pPr>
        <w:spacing w:before="0" w:after="80" w:lineRule="auto" w:line="276"/>
      </w:pPr>
      <w:r>
        <w:rPr>
          <w:b/>
        </w:rPr>
        <w:t xml:space="preserve">摘要（ZH）: </w:t>
      </w:r>
      <w:r>
        <w:t>Feng Li等人,Energy Environ. Sci., 2024, 17, 4187-4195, https://doi.org/10.1039/D4EE0130F.对 " 解除超高镍球和氯化固态电解液在稳定固态锂电池中的相互兼容性 " 的更正。</w:t>
      </w:r>
    </w:p>
    <w:p>
      <w:pPr>
        <w:spacing w:before="0" w:after="200" w:lineRule="auto" w:line="276"/>
      </w:pPr>
      <w:r>
        <w:rPr>
          <w:b/>
        </w:rPr>
        <w:t xml:space="preserve">Abstract (EN): </w:t>
      </w:r>
      <w:r>
        <w:t>Correction for ‘Unraveling the interfacial compatibility of ultrahigh nickel cathodes and chloride solid electrolyte for stable all-solid-state lithium batteries’ by Feng Li et al., Energy Environ. Sci., 2024, 17, 4187–4195, https://doi.org/10.1039/D4EE01302F.</w:t>
      </w:r>
    </w:p>
    <w:p>
      <w:pPr>
        <w:spacing w:before="120" w:after="120"/>
      </w:pPr>
      <w:r>
        <w:rPr>
          <w:sz w:val="18"/>
        </w:rPr>
        <w:t>——————————————————————————————————————————————————————————————————————</w:t>
      </w:r>
    </w:p>
    <w:p>
      <w:pPr>
        <w:spacing w:before="160" w:after="40" w:line="240" w:lineRule="auto"/>
      </w:pPr>
      <w:r>
        <w:rPr>
          <w:b/>
        </w:rPr>
        <w:t xml:space="preserve">[502] </w:t>
      </w:r>
      <w:hyperlink r:id="rId818">
        <w:r>
          <w:rPr>
            <w:color w:val="1155CC"/>
            <w:u w:val="single"/>
          </w:rPr>
          <w:t>FAPbI3 Perovskite 稳定纯阶段</w:t>
        </w:r>
      </w:hyperlink>
    </w:p>
    <w:p>
      <w:pPr>
        <w:spacing w:before="0" w:after="80"/>
      </w:pPr>
      <w:r>
        <w:rPr>
          <w:i/>
          <w:sz w:val="20"/>
        </w:rPr>
        <w:t>EN: Stabilizing Pure Phase of FAPbI₃ Perovskite Enabled by Solid-Liquid Low Entropy Ink</w:t>
      </w:r>
    </w:p>
    <w:p>
      <w:pPr>
        <w:spacing w:before="0" w:after="120"/>
      </w:pPr>
      <w:r>
        <w:rPr>
          <w:b/>
        </w:rPr>
        <w:t xml:space="preserve">Source: </w:t>
      </w:r>
      <w:r>
        <w:t>RSC - Energy Environ. Sci. latest articles</w:t>
      </w:r>
      <w:r>
        <w:t xml:space="preserve">    </w:t>
      </w:r>
      <w:r>
        <w:rPr>
          <w:b/>
        </w:rPr>
        <w:t xml:space="preserve">Pub date: </w:t>
      </w:r>
      <w:r>
        <w:t>2026-02-12 00:00:00+00:00</w:t>
      </w:r>
    </w:p>
    <w:p>
      <w:pPr>
        <w:spacing w:before="0" w:after="120"/>
      </w:pPr>
      <w:r>
        <w:rPr>
          <w:b/>
        </w:rPr>
        <w:t xml:space="preserve">Notes: </w:t>
      </w:r>
      <w:r>
        <w:t>abstract_source=rsc_html</w:t>
      </w:r>
    </w:p>
    <w:p>
      <w:pPr>
        <w:spacing w:before="0" w:after="80" w:lineRule="auto" w:line="276"/>
      </w:pPr>
      <w:r>
        <w:rPr>
          <w:b/>
        </w:rPr>
        <w:t xml:space="preserve">摘要（ZH）: </w:t>
      </w:r>
      <w:r>
        <w:t>· 然而,经过密切协调的溶剂产生了一个无序协调网络,增加了喷口中的酶性,并创造了效率低下的阶段性过渡路径。在这里,我们报告了由2-甲基氧乙醇(2-Me)和乙酸成份(FAAc)组成的固体-液态低辛基丙基丙基(LEI),使在环境空气中能够制造Pire AL-FAPBI3薄膜。我们发现,FAAC与Pb2+紧密协调,而2-Me和FAI之间的氢联结会增强FA+的分散,从而抑制了未开发的[PbI3]-复合形成并促进了快速发展。</w:t>
      </w:r>
    </w:p>
    <w:p>
      <w:pPr>
        <w:spacing w:before="0" w:after="200" w:lineRule="auto" w:line="276"/>
      </w:pPr>
      <w:r>
        <w:rPr>
          <w:b/>
        </w:rPr>
        <w:t xml:space="preserve">Abstract (EN): </w:t>
      </w:r>
      <w:r>
        <w:t>Phase-pure α-formamidinium lead iodide (α-FAPbI₃) perovskites that exclude additional cations or anions (for example, methylammonium (MA⁺), Cs⁺, or Br⁻) hold great promise for high-efficiency and thermally stable perovskite solar cells. However, strongly coordinated solvents generate a disordered coordination network, increasing entropy in the ink along with creating inefficient phase transition pathways. Here, we report a solid-liquid low entropy ink (LEI) composed of 2-methoxyethanol (2-Me) and formamidine acetate (FAAc), enabling the fabrication of phase-pure α-FAPbI₃ thin films in ambient air. We found that FAAc strongly coordinates with Pb²⁺, while hydrogen bonding between 2-Me and FAI enhances FA⁺ dispersion, thereby suppressing undesired [PbI₃] -complex formation and promoting rapid phase-pure crystallization with minimal residual solvent. Moreover, this strategy mitigates solvation-induced phase impurities and degradation at buried interfaces. As a result, perovskite solar cells achieved a power conversion efficiency of 25.23% (0.049 cm 2 ) and 23.05% for 5 × 5 cm² modules, representing the highest value reported for phase-pure α-FAPbI₃. Furthermore, perovskite solar modules retain 90% of their initial efficiency over 1000 h of continuous illumination under maximum power point tracking (ISOS-L2).</w:t>
      </w:r>
    </w:p>
    <w:p>
      <w:pPr>
        <w:spacing w:before="120" w:after="120"/>
      </w:pPr>
      <w:r>
        <w:rPr>
          <w:sz w:val="18"/>
        </w:rPr>
        <w:t>——————————————————————————————————————————————————————————————————————</w:t>
      </w:r>
    </w:p>
    <w:p>
      <w:pPr>
        <w:spacing w:before="160" w:after="40" w:line="240" w:lineRule="auto"/>
      </w:pPr>
      <w:r>
        <w:rPr>
          <w:b/>
        </w:rPr>
        <w:t xml:space="preserve">[503] </w:t>
      </w:r>
      <w:hyperlink r:id="rId819">
        <w:r>
          <w:rPr>
            <w:color w:val="1155CC"/>
            <w:u w:val="single"/>
          </w:rPr>
          <w:t>为维护隐私保持需求灵活性和电网现代化采用量抗量同质加密,以保持需求灵活性和电网现代化:系统化审查</w:t>
        </w:r>
      </w:hyperlink>
    </w:p>
    <w:p>
      <w:pPr>
        <w:spacing w:before="0" w:after="80"/>
      </w:pPr>
      <w:r>
        <w:rPr>
          <w:i/>
          <w:sz w:val="20"/>
        </w:rPr>
        <w:t>EN: Quantum-resistant homomorphic encryption for privacy-preserving demand flexibility and grid modernization: A systematized review</w:t>
      </w:r>
    </w:p>
    <w:p>
      <w:pPr>
        <w:spacing w:before="0" w:after="120"/>
      </w:pPr>
      <w:r>
        <w:rPr>
          <w:b/>
        </w:rPr>
        <w:t xml:space="preserve">Source: </w:t>
      </w:r>
      <w:r>
        <w:t>ScienceDirect Publication: Applied Energy</w:t>
      </w:r>
      <w:r>
        <w:t xml:space="preserve">    </w:t>
      </w:r>
      <w:r>
        <w:rPr>
          <w:b/>
        </w:rPr>
        <w:t xml:space="preserve">Pub date: </w:t>
      </w:r>
      <w:r>
        <w:t>2026-02-12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[504] </w:t>
      </w:r>
      <w:hyperlink r:id="rId820">
        <w:r>
          <w:rPr>
            <w:color w:val="1155CC"/>
            <w:u w:val="single"/>
          </w:rPr>
          <w:t>用于早期周期电池电池寿命预测的适应性信心校准半监督的半监督联合体</w:t>
        </w:r>
      </w:hyperlink>
    </w:p>
    <w:p>
      <w:pPr>
        <w:spacing w:before="0" w:after="80"/>
      </w:pPr>
      <w:r>
        <w:rPr>
          <w:i/>
          <w:sz w:val="20"/>
        </w:rPr>
        <w:t>EN: Adaptive confidence-calibrated semi-supervised ensemble for early-cycle battery lifetime prediction</w:t>
      </w:r>
    </w:p>
    <w:p>
      <w:pPr>
        <w:spacing w:before="0" w:after="120"/>
      </w:pPr>
      <w:r>
        <w:rPr>
          <w:b/>
        </w:rPr>
        <w:t xml:space="preserve">Source: </w:t>
      </w:r>
      <w:r>
        <w:t>ScienceDirect Publication: Applied Energy</w:t>
      </w:r>
      <w:r>
        <w:t xml:space="preserve">    </w:t>
      </w:r>
      <w:r>
        <w:rPr>
          <w:b/>
        </w:rPr>
        <w:t xml:space="preserve">Pub date: </w:t>
      </w:r>
      <w:r>
        <w:t>2026-02-12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[505] </w:t>
      </w:r>
      <w:hyperlink r:id="rId821">
        <w:r>
          <w:rPr>
            <w:color w:val="1155CC"/>
            <w:u w:val="single"/>
          </w:rPr>
          <w:t>通过单单单单体的再生性常规聚合化实现化学再循环的多种聚合物</w:t>
        </w:r>
      </w:hyperlink>
    </w:p>
    <w:p>
      <w:pPr>
        <w:spacing w:before="0" w:after="80"/>
      </w:pPr>
      <w:r>
        <w:rPr>
          <w:i/>
          <w:sz w:val="20"/>
        </w:rPr>
        <w:t>EN: Diverse polymers with chemical recyclability via regioirregular polymerization of a single monomer</w:t>
      </w:r>
    </w:p>
    <w:p>
      <w:pPr>
        <w:spacing w:before="0" w:after="120"/>
      </w:pPr>
      <w:r>
        <w:rPr>
          <w:b/>
        </w:rPr>
        <w:t xml:space="preserve">Source: </w:t>
      </w:r>
      <w:r>
        <w:t>Nature Materials</w:t>
      </w:r>
      <w:r>
        <w:t xml:space="preserve">    </w:t>
      </w:r>
      <w:r>
        <w:rPr>
          <w:b/>
        </w:rPr>
        <w:t xml:space="preserve">Pub date: </w:t>
      </w:r>
      <w:r>
        <w:t>2026-02-12 00:00:00+00:00</w:t>
      </w:r>
    </w:p>
    <w:p>
      <w:pPr>
        <w:spacing w:before="0" w:after="120"/>
      </w:pPr>
      <w:r>
        <w:rPr>
          <w:b/>
        </w:rPr>
        <w:t xml:space="preserve">Notes: </w:t>
      </w:r>
      <w:r>
        <w:t>abstract_source=nature_html</w:t>
      </w:r>
    </w:p>
    <w:p>
      <w:pPr>
        <w:spacing w:before="0" w:after="80" w:lineRule="auto" w:line="276"/>
      </w:pPr>
      <w:r>
        <w:rPr>
          <w:b/>
        </w:rPr>
        <w:t xml:space="preserve">摘要（ZH）: </w:t>
      </w:r>
      <w:r>
        <w:t>发展具有循环经济生命周期的聚合物产品,是缓解日益增长的塑料废物和能源危机的一个途径,然而,长期存在的挑战包括合成可缩缩、可金枪鱼材料性能和混合产品化学回收的可行性,我们在这方面制定了一个法形再生常规聚合化战略,通过再生选择性和动态共价债券交换,从单一单单单体中获取多种聚合物结构。我们能够将聚氨酯(PUx,其中x代表聚合物中聚氨酯联系的百分比)与量身定制的聚氨酯内容合成,调整四甲基聚氨酯的再基因常规聚合的反应时间。</w:t>
      </w:r>
    </w:p>
    <w:p>
      <w:pPr>
        <w:spacing w:before="0" w:after="200" w:lineRule="auto" w:line="276"/>
      </w:pPr>
      <w:r>
        <w:rPr>
          <w:b/>
        </w:rPr>
        <w:t xml:space="preserve">Abstract (EN): </w:t>
      </w:r>
      <w:r>
        <w:t>The development of polymer products with a circular economy lifecycle represents a path to alleviate the growing plastic waste and energy crisis. However, long-standing challenges include synthesis scalability, tunable material performance and the feasibility of chemical recycling from mixed products. Here we developed a facile regioirregular polymerization strategy to access diverse polymer structures from a single monomer via regioselectivity and dynamic covalent bond exchange. We were able to synthesize polyurethanes (PUx, where x represents the percentage of urethane linkages in the polymer) with tailored urethane contents by modulating the reaction time for the regioirregular polymerization of tetramethylene urethane. The resulting PUx products showcase remarkable composition-dependent material performance, illustrating high strength, toughness and gas barriers comparable with commercial plastics. In particular, PU57 exhibits superior adhesive strength, outperforming commercial glues. Notably, these diverse PUx products could be converted back to a single monomer, representing a proof-of-concept process for a ‘single monomer ↔ multiple polymers’ closed loop.</w:t>
      </w:r>
    </w:p>
    <w:p>
      <w:pPr>
        <w:spacing w:before="120" w:after="120"/>
      </w:pPr>
      <w:r>
        <w:rPr>
          <w:sz w:val="18"/>
        </w:rPr>
        <w:t>——————————————————————————————————————————————————————————————————————</w:t>
      </w:r>
    </w:p>
    <w:p>
      <w:pPr>
        <w:spacing w:before="160" w:after="40" w:line="240" w:lineRule="auto"/>
      </w:pPr>
      <w:r>
        <w:rPr>
          <w:b/>
        </w:rPr>
        <w:t xml:space="preserve">[506] </w:t>
      </w:r>
      <w:hyperlink r:id="rId822">
        <w:r>
          <w:rPr>
            <w:color w:val="1155CC"/>
            <w:u w:val="single"/>
          </w:rPr>
          <w:t>模拟德国氢的未来:对空间分布、进口和政策协调的深入了解</w:t>
        </w:r>
      </w:hyperlink>
    </w:p>
    <w:p>
      <w:pPr>
        <w:spacing w:before="0" w:after="80"/>
      </w:pPr>
      <w:r>
        <w:rPr>
          <w:i/>
          <w:sz w:val="20"/>
        </w:rPr>
        <w:t>EN: Modeling Germany’s hydrogen future: Insights into spatial distribution, imports, and policy alignment</w:t>
      </w:r>
    </w:p>
    <w:p>
      <w:pPr>
        <w:spacing w:before="0" w:after="120"/>
      </w:pPr>
      <w:r>
        <w:rPr>
          <w:b/>
        </w:rPr>
        <w:t xml:space="preserve">Source: </w:t>
      </w:r>
      <w:r>
        <w:t>ScienceDirect Publication: Applied Energy</w:t>
      </w:r>
      <w:r>
        <w:t xml:space="preserve">    </w:t>
      </w:r>
      <w:r>
        <w:rPr>
          <w:b/>
        </w:rPr>
        <w:t xml:space="preserve">Pub date: </w:t>
      </w:r>
      <w:r>
        <w:t>2026-02-12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[507] </w:t>
      </w:r>
      <w:hyperlink r:id="rId823">
        <w:r>
          <w:rPr>
            <w:color w:val="1155CC"/>
            <w:u w:val="single"/>
          </w:rPr>
          <w:t>基于控制固体氧化氧化物电解和风涡轮发电机的快速频率反应的多不同多剂多试剂最佳政策优化政策</w:t>
        </w:r>
      </w:hyperlink>
    </w:p>
    <w:p>
      <w:pPr>
        <w:spacing w:before="0" w:after="80"/>
      </w:pPr>
      <w:r>
        <w:rPr>
          <w:i/>
          <w:sz w:val="20"/>
        </w:rPr>
        <w:t>EN: Heterogeneous multi-agent proximal policy optimization based control of solid oxide electrolysis and wind turbine generator for fast frequency response</w:t>
      </w:r>
    </w:p>
    <w:p>
      <w:pPr>
        <w:spacing w:before="0" w:after="120"/>
      </w:pPr>
      <w:r>
        <w:rPr>
          <w:b/>
        </w:rPr>
        <w:t xml:space="preserve">Source: </w:t>
      </w:r>
      <w:r>
        <w:t>ScienceDirect Publication: Applied Energy</w:t>
      </w:r>
      <w:r>
        <w:t xml:space="preserve">    </w:t>
      </w:r>
      <w:r>
        <w:rPr>
          <w:b/>
        </w:rPr>
        <w:t xml:space="preserve">Pub date: </w:t>
      </w:r>
      <w:r>
        <w:t>2026-02-12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[508] </w:t>
      </w:r>
      <w:hyperlink r:id="rId824">
        <w:r>
          <w:rPr>
            <w:color w:val="1155CC"/>
            <w:u w:val="single"/>
          </w:rPr>
          <w:t>改进REMod模型的模拟优化,以应对能源系统建模的复杂性</w:t>
        </w:r>
      </w:hyperlink>
    </w:p>
    <w:p>
      <w:pPr>
        <w:spacing w:before="0" w:after="80"/>
      </w:pPr>
      <w:r>
        <w:rPr>
          <w:i/>
          <w:sz w:val="20"/>
        </w:rPr>
        <w:t>EN: Improving the simulation-based optimization in the REMod model to deal with complexity in energy system modeling</w:t>
      </w:r>
    </w:p>
    <w:p>
      <w:pPr>
        <w:spacing w:before="0" w:after="120"/>
      </w:pPr>
      <w:r>
        <w:rPr>
          <w:b/>
        </w:rPr>
        <w:t xml:space="preserve">Source: </w:t>
      </w:r>
      <w:r>
        <w:t>ScienceDirect Publication: Applied Energy</w:t>
      </w:r>
      <w:r>
        <w:t xml:space="preserve">    </w:t>
      </w:r>
      <w:r>
        <w:rPr>
          <w:b/>
        </w:rPr>
        <w:t xml:space="preserve">Pub date: </w:t>
      </w:r>
      <w:r>
        <w:t>2026-02-12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[509] </w:t>
      </w:r>
      <w:hyperlink r:id="rId825">
        <w:r>
          <w:rPr>
            <w:color w:val="1155CC"/>
            <w:u w:val="single"/>
          </w:rPr>
          <w:t>作者更正: 在弹性交合空洞中切换石墨聚型</w:t>
        </w:r>
      </w:hyperlink>
    </w:p>
    <w:p>
      <w:pPr>
        <w:spacing w:before="0" w:after="80"/>
      </w:pPr>
      <w:r>
        <w:rPr>
          <w:i/>
          <w:sz w:val="20"/>
        </w:rPr>
        <w:t>EN: Author Correction: Switching graphitic polytypes in elastically coupled cavities</w:t>
      </w:r>
    </w:p>
    <w:p>
      <w:pPr>
        <w:spacing w:before="0" w:after="120"/>
      </w:pPr>
      <w:r>
        <w:rPr>
          <w:b/>
        </w:rPr>
        <w:t xml:space="preserve">Source: </w:t>
      </w:r>
      <w:r>
        <w:t>Nature Nanotechnology</w:t>
      </w:r>
      <w:r>
        <w:t xml:space="preserve">    </w:t>
      </w:r>
      <w:r>
        <w:rPr>
          <w:b/>
        </w:rPr>
        <w:t xml:space="preserve">Pub date: </w:t>
      </w:r>
      <w:r>
        <w:t>2026-02-12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[510] </w:t>
      </w:r>
      <w:hyperlink r:id="rId826">
        <w:r>
          <w:rPr>
            <w:color w:val="1155CC"/>
            <w:u w:val="single"/>
          </w:rPr>
          <w:t>校正:Microenviron-feedback受管制的水文凝胶作为活伤口愈合材料</w:t>
        </w:r>
      </w:hyperlink>
    </w:p>
    <w:p>
      <w:pPr>
        <w:spacing w:before="0" w:after="80"/>
      </w:pPr>
      <w:r>
        <w:rPr>
          <w:i/>
          <w:sz w:val="20"/>
        </w:rPr>
        <w:t>EN: Author Correction: Microenvironment-feedback regulated hydrogels as living wound healing materials</w:t>
      </w:r>
    </w:p>
    <w:p>
      <w:pPr>
        <w:spacing w:before="0" w:after="120"/>
      </w:pPr>
      <w:r>
        <w:rPr>
          <w:b/>
        </w:rPr>
        <w:t xml:space="preserve">Source: </w:t>
      </w:r>
      <w:r>
        <w:t>Nature Communications</w:t>
      </w:r>
      <w:r>
        <w:t xml:space="preserve">    </w:t>
      </w:r>
      <w:r>
        <w:rPr>
          <w:b/>
        </w:rPr>
        <w:t xml:space="preserve">Pub date: </w:t>
      </w:r>
      <w:r>
        <w:t>2026-02-12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[511] </w:t>
      </w:r>
      <w:hyperlink r:id="rId827">
        <w:r>
          <w:rPr>
            <w:color w:val="1155CC"/>
            <w:u w:val="single"/>
          </w:rPr>
          <w:t>在可再生能源天赋和地理环境制约下实现新的电力空间范式,在可再生能源和地理环境制约下实现协同效应</w:t>
        </w:r>
      </w:hyperlink>
    </w:p>
    <w:p>
      <w:pPr>
        <w:spacing w:before="0" w:after="80"/>
      </w:pPr>
      <w:r>
        <w:rPr>
          <w:i/>
          <w:sz w:val="20"/>
        </w:rPr>
        <w:t>EN: Toward a new spatial paradigm of electricity–computing synergy under renewable energy endowments and geographical environmental constraints</w:t>
      </w:r>
    </w:p>
    <w:p>
      <w:pPr>
        <w:spacing w:before="0" w:after="120"/>
      </w:pPr>
      <w:r>
        <w:rPr>
          <w:b/>
        </w:rPr>
        <w:t xml:space="preserve">Source: </w:t>
      </w:r>
      <w:r>
        <w:t>ScienceDirect Publication: Applied Energy</w:t>
      </w:r>
      <w:r>
        <w:t xml:space="preserve">    </w:t>
      </w:r>
      <w:r>
        <w:rPr>
          <w:b/>
        </w:rPr>
        <w:t xml:space="preserve">Pub date: </w:t>
      </w:r>
      <w:r>
        <w:t>2026-02-12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[512] </w:t>
      </w:r>
      <w:hyperlink r:id="rId828">
        <w:r>
          <w:rPr>
            <w:color w:val="1155CC"/>
            <w:u w:val="single"/>
          </w:rPr>
          <w:t>相控分子束沉积释放软MgAgSb热电,其性能极佳。</w:t>
        </w:r>
      </w:hyperlink>
    </w:p>
    <w:p>
      <w:pPr>
        <w:spacing w:before="0" w:after="80"/>
      </w:pPr>
      <w:r>
        <w:rPr>
          <w:i/>
          <w:sz w:val="20"/>
        </w:rPr>
        <w:t>EN: Phase-controlled molecular beam deposition unlocks flexible MgAgSb thermoelectrics with exceptional performance</w:t>
      </w:r>
    </w:p>
    <w:p>
      <w:pPr>
        <w:spacing w:before="0" w:after="120"/>
      </w:pPr>
      <w:r>
        <w:rPr>
          <w:b/>
        </w:rPr>
        <w:t xml:space="preserve">Source: </w:t>
      </w:r>
      <w:r>
        <w:t>Nature Communications</w:t>
      </w:r>
      <w:r>
        <w:t xml:space="preserve">    </w:t>
      </w:r>
      <w:r>
        <w:rPr>
          <w:b/>
        </w:rPr>
        <w:t xml:space="preserve">Pub date: </w:t>
      </w:r>
      <w:r>
        <w:t>2026-02-12 00:00:00+00:00</w:t>
      </w:r>
    </w:p>
    <w:p>
      <w:pPr>
        <w:spacing w:before="0" w:after="120"/>
      </w:pPr>
      <w:r>
        <w:rPr>
          <w:b/>
        </w:rPr>
        <w:t xml:space="preserve">Notes: </w:t>
      </w:r>
      <w:r>
        <w:t>abstract_source=nature_html</w:t>
      </w:r>
    </w:p>
    <w:p>
      <w:pPr>
        <w:spacing w:before="0" w:after="80" w:lineRule="auto" w:line="276"/>
      </w:pPr>
      <w:r>
        <w:rPr>
          <w:b/>
        </w:rPr>
        <w:t xml:space="preserve">摘要（ZH）: </w:t>
      </w:r>
      <w:r>
        <w:t>软体热电材料对于以灵活电子形式提供可持续能源有着巨大的希望。然而,除了长期的冠军Bi2TE3型软软薄膜外,高性能替代产品仍然稀缺。在这里,我们报告有一个充满希望的灵活热电材料,它以生态友好型MgAgSb为基础,具有很有希望的灵活型热电材料,这种高性能大宗验证的高性能系统长期以来因其内在的易碎性和阶段复杂性而受阻。使用分子光束沉积,我们设法将MgAgSb精确稳定在α级范围内,并精细控制其口腔测量。因此,我们成功地制作了α-MgAgSb型电影,其性能非常出色,实现了0.8个房间温度ZT和19.3 μW cm-1 K-2的最高功率系数,在有希望的火瓶中排在19.3 μW cm-1 K-2。</w:t>
      </w:r>
    </w:p>
    <w:p>
      <w:pPr>
        <w:spacing w:before="0" w:after="200" w:lineRule="auto" w:line="276"/>
      </w:pPr>
      <w:r>
        <w:rPr>
          <w:b/>
        </w:rPr>
        <w:t xml:space="preserve">Abstract (EN): </w:t>
      </w:r>
      <w:r>
        <w:t>Flexible thermoelectric materials hold great promise for sustainable energy supply in flexible electronics. However, beyond the long-standing champion Bi2Te3-based flexible films, high-performance alternatives remain scarce. Here, we report a promising flexible thermoelectric material based on eco-friendly MgAgSb, a bulk-proven high-performance system whose development in flexible form has long been hindered by its intrinsic brittleness and phase complexity. Using molecular beam deposition, we manage to precisely stabilize MgAgSb within its α-phase range and finely control its stoichiometry. As a result, we successfully fabricate the α-MgAgSb film with exceptional performance, achieving a room temperature zT of 0.8 and a peak power factor of 19.3 μW cm-1 K-2, ranking among the promising flexible thermoelectric materials developed. Moreover, the α-MgAgSb film is revealed to exhibit notable flexibility and stability under repeated bending and heating. Leveraging this high-performance stable α-MgAgSb film, the flexible thermoelectric device delivers a maximum normalized power density of 4.9 μW cm-2 K-2. This work opens a pathway for flexible MgAgSb applications and offers strong potential for realizing self-powered flexible technologies.</w:t>
      </w:r>
    </w:p>
    <w:p>
      <w:pPr>
        <w:spacing w:before="120" w:after="120"/>
      </w:pPr>
      <w:r>
        <w:rPr>
          <w:sz w:val="18"/>
        </w:rPr>
        <w:t>——————————————————————————————————————————————————————————————————————</w:t>
      </w:r>
    </w:p>
    <w:p>
      <w:pPr>
        <w:spacing w:before="160" w:after="40" w:line="240" w:lineRule="auto"/>
      </w:pPr>
      <w:r>
        <w:rPr>
          <w:b/>
        </w:rPr>
        <w:t xml:space="preserve">[513] </w:t>
      </w:r>
      <w:hyperlink r:id="rId829">
        <w:r>
          <w:rPr>
            <w:color w:val="1155CC"/>
            <w:u w:val="single"/>
          </w:rPr>
          <w:t>光声波计算断层摄影监测器监测脑脊髓液动态和淋巴功能。</w:t>
        </w:r>
      </w:hyperlink>
    </w:p>
    <w:p>
      <w:pPr>
        <w:spacing w:before="0" w:after="80"/>
      </w:pPr>
      <w:r>
        <w:rPr>
          <w:i/>
          <w:sz w:val="20"/>
        </w:rPr>
        <w:t>EN: Photoacoustic computed tomography monitors cerebrospinal fluid dynamics and glymphatic function</w:t>
      </w:r>
    </w:p>
    <w:p>
      <w:pPr>
        <w:spacing w:before="0" w:after="120"/>
      </w:pPr>
      <w:r>
        <w:rPr>
          <w:b/>
        </w:rPr>
        <w:t xml:space="preserve">Source: </w:t>
      </w:r>
      <w:r>
        <w:t>Nature Communications</w:t>
      </w:r>
      <w:r>
        <w:t xml:space="preserve">    </w:t>
      </w:r>
      <w:r>
        <w:rPr>
          <w:b/>
        </w:rPr>
        <w:t xml:space="preserve">Pub date: </w:t>
      </w:r>
      <w:r>
        <w:t>2026-02-12 00:00:00+00:00</w:t>
      </w:r>
    </w:p>
    <w:p>
      <w:pPr>
        <w:spacing w:before="0" w:after="120"/>
      </w:pPr>
      <w:r>
        <w:rPr>
          <w:b/>
        </w:rPr>
        <w:t xml:space="preserve">Notes: </w:t>
      </w:r>
      <w:r>
        <w:t>abstract_source=nature_html</w:t>
      </w:r>
    </w:p>
    <w:p>
      <w:pPr>
        <w:spacing w:before="0" w:after="80" w:lineRule="auto" w:line="276"/>
      </w:pPr>
      <w:r>
        <w:rPr>
          <w:b/>
        </w:rPr>
        <w:t xml:space="preserve">摘要（ZH）: </w:t>
      </w:r>
      <w:r>
        <w:t>脑膜结膜液(CSF)持续通过大脑和周围组织循环,以清除代谢废物,这个过程随着老化和神经退化疾病而效率降低。 将这种排入活动物体内的过程很难想象,因为现有的成像工具要么缺乏深度,需要放射性跟踪器,要么太慢无法捕捉动态流。 这里,我们展示了全体光声光声计算断层造影(PACT)能够实时地三维跟踪小鼠使用开氏素绿色进行的CSF运输。 我们将CSF运动从脊椎运河进入大脑,在不同的麻醉条件下量化其增殖量,并在老鼠的老年痴呆病模型中检测出有缺陷的清除情况。 与健康的动物相比,有病的小鼠保留t。</w:t>
      </w:r>
    </w:p>
    <w:p>
      <w:pPr>
        <w:spacing w:before="0" w:after="200" w:lineRule="auto" w:line="276"/>
      </w:pPr>
      <w:r>
        <w:rPr>
          <w:b/>
        </w:rPr>
        <w:t xml:space="preserve">Abstract (EN): </w:t>
      </w:r>
      <w:r>
        <w:t>Cerebrospinal fluid (CSF) continuously circulates through the brain and surrounding tissues to remove metabolic waste, a process that becomes less efficient with ageing and in neurodegenerative disease. Visualizing this drainage in living animals has been difficult because existing imaging tools either lack depth, require radioactive tracers, or are too slow to capture dynamic flow. Here, we show that whole-body photoacoustic computed tomography (PACT) enables three-dimensional, real-time tracking of CSF transport in mice using indocyanine green. We visualize CSF movement from the spinal canal into the brain, quantify its efflux under different anesthesia conditions, and detect impaired clearance in a mouse model of Alzheimer’s disease. Compared with healthy animals, diseased mice retain the tracer in the brain for several days, indicating reduced waste removal. These results establish PACT as a non-invasive platform for measuring CSF and glymphatic function in vivo, providing a way to study how brain fluid transport is altered in ageing and neurological disorders.</w:t>
      </w:r>
    </w:p>
    <w:p>
      <w:pPr>
        <w:spacing w:before="120" w:after="120"/>
      </w:pPr>
      <w:r>
        <w:rPr>
          <w:sz w:val="18"/>
        </w:rPr>
        <w:t>——————————————————————————————————————————————————————————————————————</w:t>
      </w:r>
    </w:p>
    <w:p>
      <w:pPr>
        <w:spacing w:before="160" w:after="40" w:line="240" w:lineRule="auto"/>
      </w:pPr>
      <w:r>
        <w:rPr>
          <w:b/>
        </w:rPr>
        <w:t xml:space="preserve">[514] </w:t>
      </w:r>
      <w:hyperlink r:id="rId830">
        <w:r>
          <w:rPr>
            <w:color w:val="1155CC"/>
            <w:u w:val="single"/>
          </w:rPr>
          <w:t>由大型字典衍生的乳酸酯驱动皮肤皮肤皮肤纤维化裂变,通过MCT1(以MCT1为主)的脊椎激素H3淋巴素23在高营养性伤疤中进行风湿改造。</w:t>
        </w:r>
      </w:hyperlink>
    </w:p>
    <w:p>
      <w:pPr>
        <w:spacing w:before="0" w:after="80"/>
      </w:pPr>
      <w:r>
        <w:rPr>
          <w:i/>
          <w:sz w:val="20"/>
        </w:rPr>
        <w:t>EN: Lactate derived from macrophages drives skin dermal fibroblasts phenotypic remodeling via MCT1-primed histone H3 lysine 23 lactylation in hypertrophic scar</w:t>
      </w:r>
    </w:p>
    <w:p>
      <w:pPr>
        <w:spacing w:before="0" w:after="120"/>
      </w:pPr>
      <w:r>
        <w:rPr>
          <w:b/>
        </w:rPr>
        <w:t xml:space="preserve">Source: </w:t>
      </w:r>
      <w:r>
        <w:t>Nature Communications</w:t>
      </w:r>
      <w:r>
        <w:t xml:space="preserve">    </w:t>
      </w:r>
      <w:r>
        <w:rPr>
          <w:b/>
        </w:rPr>
        <w:t xml:space="preserve">Pub date: </w:t>
      </w:r>
      <w:r>
        <w:t>2026-02-12 00:00:00+00:00</w:t>
      </w:r>
    </w:p>
    <w:p>
      <w:pPr>
        <w:spacing w:before="0" w:after="120"/>
      </w:pPr>
      <w:r>
        <w:rPr>
          <w:b/>
        </w:rPr>
        <w:t xml:space="preserve">Notes: </w:t>
      </w:r>
      <w:r>
        <w:t>abstract_source=nature_html</w:t>
      </w:r>
    </w:p>
    <w:p>
      <w:pPr>
        <w:spacing w:before="0" w:after="80" w:lineRule="auto" w:line="276"/>
      </w:pPr>
      <w:r>
        <w:rPr>
          <w:b/>
        </w:rPr>
        <w:t xml:space="preserve">摘要（ZH）: </w:t>
      </w:r>
      <w:r>
        <w:t>超强营养性创伤(HS)是一种纤维化分解障碍,其特征特征是纤维化高活化和异常细胞外基基沉积。本研究将大型衍生乳液确定为通过单色箱状甲状腺运输器1(MCT1)通过单色箱状式运输器1(MCT1)进行纤维化小胸骨再造(Fibroblast phenotyyyyyytral traction)(H3K23LA),在HS中以HS为介质。在HS组织中观测到了高水平的乳液和 MCT1 表达式,在硬体机械微环境中的巨细胞被确定为主要乳液源。通过 MCT1 受控的H3K23LLL,通过MCT2 和 COL11A1.机械、HE2 激活的YAP1/SMAD2信号,而CL11A1 稳定了乳液迁移的MCT1,形成一种活性循环,形成脉冲。</w:t>
      </w:r>
    </w:p>
    <w:p>
      <w:pPr>
        <w:spacing w:before="0" w:after="200" w:lineRule="auto" w:line="276"/>
      </w:pPr>
      <w:r>
        <w:rPr>
          <w:b/>
        </w:rPr>
        <w:t xml:space="preserve">Abstract (EN): </w:t>
      </w:r>
      <w:r>
        <w:t>Hypertrophic scar (HS) is a fibroproliferative disorder characterized by fibroblast hyperactivation and aberrant extracellular matrix deposition. This study identifies macrophage-derived lactate as a key mediator of fibroblast phenotypic remodeling via monocarboxylate transporter 1 (MCT1)-mediated histone H3 lysine 23 lactylation (H3K23la) in HS. Elevated lactate levels and MCT1 expression were observed in HS tissues, with macrophages in stiff mechanical microenvironments identified as the primary lactate source. Lactate influx through MCT1 upregulated H3K23la, thereby promoting transcriptional activation of profibrotic genes HEY2 and COL11A1. Mechanistically, HEY2 activated YAP1/SMAD2 signaling, while COL11A1 stabilized MCT1 to enhance lactate transport, forming a positive loop that amplified fibrosis. Fibroblast-specific Mct1 deletion or pharmacological inhibition of Mct1 in male mice reduced collagen deposition, accelerated wound healing, and attenuated scar formation. Our findings redefine the macrophage-fibroblast crosstalk in HS and establish the MCT1-H3K23la-HEY2/COL11A1 axis, particularly its self-reinforcing loop, as a novel therapeutic target.</w:t>
      </w:r>
    </w:p>
    <w:p>
      <w:pPr>
        <w:spacing w:before="120" w:after="120"/>
      </w:pPr>
      <w:r>
        <w:rPr>
          <w:sz w:val="18"/>
        </w:rPr>
        <w:t>——————————————————————————————————————————————————————————————————————</w:t>
      </w:r>
    </w:p>
    <w:p>
      <w:pPr>
        <w:spacing w:before="160" w:after="40" w:line="240" w:lineRule="auto"/>
      </w:pPr>
      <w:r>
        <w:rPr>
          <w:b/>
        </w:rPr>
        <w:t xml:space="preserve">[515] </w:t>
      </w:r>
      <w:hyperlink r:id="rId831">
        <w:r>
          <w:rPr>
            <w:color w:val="1155CC"/>
            <w:u w:val="single"/>
          </w:rPr>
          <w:t>生物激励热管理纤维和纺织品</w:t>
        </w:r>
      </w:hyperlink>
    </w:p>
    <w:p>
      <w:pPr>
        <w:spacing w:before="0" w:after="80"/>
      </w:pPr>
      <w:r>
        <w:rPr>
          <w:i/>
          <w:sz w:val="20"/>
        </w:rPr>
        <w:t>EN: Bioinspired thermal management fibers and textiles</w:t>
      </w:r>
    </w:p>
    <w:p>
      <w:pPr>
        <w:spacing w:before="0" w:after="120"/>
      </w:pPr>
      <w:r>
        <w:rPr>
          <w:b/>
        </w:rPr>
        <w:t xml:space="preserve">Source: </w:t>
      </w:r>
      <w:r>
        <w:t>RSC - Chem. Soc. Rev. latest articles</w:t>
      </w:r>
      <w:r>
        <w:t xml:space="preserve">    </w:t>
      </w:r>
      <w:r>
        <w:rPr>
          <w:b/>
        </w:rPr>
        <w:t xml:space="preserve">Pub date: </w:t>
      </w:r>
      <w:r>
        <w:t>2026-02-12 00:00:00+00:00</w:t>
      </w:r>
    </w:p>
    <w:p>
      <w:pPr>
        <w:spacing w:before="0" w:after="120"/>
      </w:pPr>
      <w:r>
        <w:rPr>
          <w:b/>
        </w:rPr>
        <w:t xml:space="preserve">Notes: </w:t>
      </w:r>
      <w:r>
        <w:t>abstract_source=rsc_html</w:t>
      </w:r>
    </w:p>
    <w:p>
      <w:pPr>
        <w:spacing w:before="0" w:after="80" w:lineRule="auto" w:line="276"/>
      </w:pPr>
      <w:r>
        <w:rPr>
          <w:b/>
        </w:rPr>
        <w:t xml:space="preserve">摘要（ZH）: </w:t>
      </w:r>
      <w:r>
        <w:t>热管理纤维和纺织品对于人类在各种环境中的生存和适应性至关重要,然而,传统纺织品在专门的热传输设计方面存在缺陷,因此无法满足极端温度环境下热管理的需求,在这方面,北极熊、山驼和骆驼等动物的毛毛和毛发等级不断演变,显示出有效的热管理特性,使他们能够适应特定的生境。从动物毛发、高级纤维和纺织品的独特等级结构中汲取灵感,以便有效地规范人体与周围的热交换。在本次辅导性审查中,我们系统地总结了动物毛发、高级纤维和纺织品的现状。</w:t>
      </w:r>
    </w:p>
    <w:p>
      <w:pPr>
        <w:spacing w:before="0" w:after="200" w:lineRule="auto" w:line="276"/>
      </w:pPr>
      <w:r>
        <w:rPr>
          <w:b/>
        </w:rPr>
        <w:t xml:space="preserve">Abstract (EN): </w:t>
      </w:r>
      <w:r>
        <w:t>Thermal management fibers and textiles are crucial for the survival and adaptability of humans across various environments. However, traditional textiles are deficient in a dedicated heat transfer design and therefore fail to meet the demands of thermal management under extreme temperature environments. In this regard, animals such as polar bears, yaks, and camels have evolved hierarchical hairs and furs that exhibit efficient thermal management properties, enabling them to adapt to their specific habitats. Drawing inspirations from the unique hierarchical structures of animal hairs, advanced fibers and textiles have been developed for the effective regulation of heat exchange between the human body and the surroundings. In this tutorial review, we systematically summarize the state-of-the-art bioinspired thermal management fibers and textiles. First, the fundamental heat transfer principles of human body are outlined, followed by an introduction to the general heat transfer models applicable to textiles. Subsequently, typical natural fibers and hairs from diverse habitats are analyzed for their inherent thermal regulatory adaptations. Additionally, emerging fibers and textiles for thermal management are classified based on fabrication techniques, functions, and applications. Finally, current challenges and bottlenecks of bioinspired thermal management fibers and textiles are discussed to guide the future research. The discussion of interdisciplinary interactions of biology, materials science, and textile engineering in this review will further promote the development of the thermal management textile field in both academia and industry.</w:t>
      </w:r>
    </w:p>
    <w:p>
      <w:pPr>
        <w:spacing w:before="120" w:after="120"/>
      </w:pPr>
      <w:r>
        <w:rPr>
          <w:sz w:val="18"/>
        </w:rPr>
        <w:t>——————————————————————————————————————————————————————————————————————</w:t>
      </w:r>
    </w:p>
    <w:p>
      <w:pPr>
        <w:spacing w:before="160" w:after="40" w:line="240" w:lineRule="auto"/>
      </w:pPr>
      <w:r>
        <w:rPr>
          <w:b/>
        </w:rPr>
        <w:t xml:space="preserve">[516] </w:t>
      </w:r>
      <w:hyperlink r:id="rId832">
        <w:r>
          <w:rPr>
            <w:color w:val="1155CC"/>
            <w:u w:val="single"/>
          </w:rPr>
          <w:t>高压固态电解解器及其关键里+运输的PET高压固态电解器及其关键里加运输</w:t>
        </w:r>
      </w:hyperlink>
    </w:p>
    <w:p>
      <w:pPr>
        <w:spacing w:before="0" w:after="80"/>
      </w:pPr>
      <w:r>
        <w:rPr>
          <w:i/>
          <w:sz w:val="20"/>
        </w:rPr>
        <w:t>EN: Upgraded Closed-loop Recycling of PET for High-voltage Solid-state Electrolytes and Their Critical Li+ Transport</w:t>
      </w:r>
    </w:p>
    <w:p>
      <w:pPr>
        <w:spacing w:before="0" w:after="120"/>
      </w:pPr>
      <w:r>
        <w:rPr>
          <w:b/>
        </w:rPr>
        <w:t xml:space="preserve">Source: </w:t>
      </w:r>
      <w:r>
        <w:t>RSC - Energy Environ. Sci. latest articles</w:t>
      </w:r>
      <w:r>
        <w:t xml:space="preserve">    </w:t>
      </w:r>
      <w:r>
        <w:rPr>
          <w:b/>
        </w:rPr>
        <w:t xml:space="preserve">Pub date: </w:t>
      </w:r>
      <w:r>
        <w:t>2026-02-12 00:00:00+00:00</w:t>
      </w:r>
    </w:p>
    <w:p>
      <w:pPr>
        <w:spacing w:before="0" w:after="120"/>
      </w:pPr>
      <w:r>
        <w:rPr>
          <w:b/>
        </w:rPr>
        <w:t xml:space="preserve">Notes: </w:t>
      </w:r>
      <w:r>
        <w:t>abstract_source=rsc_html</w:t>
      </w:r>
    </w:p>
    <w:p>
      <w:pPr>
        <w:spacing w:before="0" w:after="80" w:lineRule="auto" w:line="276"/>
      </w:pPr>
      <w:r>
        <w:rPr>
          <w:b/>
        </w:rPr>
        <w:t xml:space="preserve">摘要（ZH）: </w:t>
      </w:r>
      <w:r>
        <w:t>推进清洁能源和废物回收对绿色生态至关重要。 在这里,我们提出一项战略,通过脱聚聚聚苯乙烯-甲二甲酸酯(PET)废物,并随后与氧化物共同聚合,从而将聚乙烯-甲甲酸酯(terrephlate-oxate)废物循环成聚合体电解液,从而产生聚(terrephlate-oxalate)(PTO) 。由于在甲酸酯装置之间相互作用,PTO显示增强的机械强度。我们研究了半固态电解液(QSSES)中的里加迁移机制,这是由聚合物-溶性贴合物和里加移民-中间介质的溶解度决定的。1:1时1分确定了液:硅-盐-摩尔比的临界值,超过1时,离子传导力明显提高,但低于此值,离导力无法明显提高。 基于 PTO Q 基的液:Li-alt-al molar比率值。</w:t>
      </w:r>
    </w:p>
    <w:p>
      <w:pPr>
        <w:spacing w:before="0" w:after="200" w:lineRule="auto" w:line="276"/>
      </w:pPr>
      <w:r>
        <w:rPr>
          <w:b/>
        </w:rPr>
        <w:t xml:space="preserve">Abstract (EN): </w:t>
      </w:r>
      <w:r>
        <w:t>Advancing clean energy and waste recycling is essential for green ecology. Here, we propose a strategy of upcycling polyethylene terephthalate (PET) wastes into polymer electrolytes through depolymerizing PET and then copolymerizing with oxalates, generating poly(terephthalate-oxalate) (PTO). Contributed from the π-π interaction between terephthalate units, PTOs show enhanced mechanical strength. We examine the Li+ migration mechanism in quasi-solid-state electrolytes (QSSEs), which is determined by the polymer-solvent affinity and the solvation degree of Li+-migration-intermediates. A threshold of liquid:Li-salt molar ratio is identified at 1:1, beyond which, the ionic conductivity significantly increases, but below which, the ionic conductivity cannot be raised obviously. The PTO-based QSSEs allow the long-term stable cycling of high-voltage Li//LiNi0.85Mn0.075Co0.075O2 cells. Furthermore, this PTO can be recovered from the spent QSSEs through high-efficiency alkaline hydrolysis. This study reveals the Li+-migration mechanism in QSSEs and demonstrates the chemical upcycling of PET wastes into high-value polymer electrolytes, establishing a closed-loop application of plastics.</w:t>
      </w:r>
    </w:p>
    <w:p>
      <w:pPr>
        <w:spacing w:before="120" w:after="120"/>
      </w:pPr>
      <w:r>
        <w:rPr>
          <w:sz w:val="18"/>
        </w:rPr>
        <w:t>——————————————————————————————————————————————————————————————————————</w:t>
      </w:r>
    </w:p>
    <w:p>
      <w:pPr>
        <w:spacing w:before="160" w:after="40" w:line="240" w:lineRule="auto"/>
      </w:pPr>
      <w:r>
        <w:rPr>
          <w:b/>
        </w:rPr>
        <w:t xml:space="preserve">[517] </w:t>
      </w:r>
      <w:hyperlink r:id="rId833">
        <w:r>
          <w:rPr>
            <w:color w:val="1155CC"/>
            <w:u w:val="single"/>
          </w:rPr>
          <w:t>说明质子陶瓷燃料电池中的质子合合氧气减少途径</w:t>
        </w:r>
      </w:hyperlink>
    </w:p>
    <w:p>
      <w:pPr>
        <w:spacing w:before="0" w:after="80"/>
      </w:pPr>
      <w:r>
        <w:rPr>
          <w:i/>
          <w:sz w:val="20"/>
        </w:rPr>
        <w:t>EN: Elucidating the Proton-Coupled Oxygen Reduction Pathway in Protonic Ceramic Fuel Cells</w:t>
      </w:r>
    </w:p>
    <w:p>
      <w:pPr>
        <w:spacing w:before="0" w:after="120"/>
      </w:pPr>
      <w:r>
        <w:rPr>
          <w:b/>
        </w:rPr>
        <w:t xml:space="preserve">Source: </w:t>
      </w:r>
      <w:r>
        <w:t>RSC - Energy Environ. Sci. latest articles</w:t>
      </w:r>
      <w:r>
        <w:t xml:space="preserve">    </w:t>
      </w:r>
      <w:r>
        <w:rPr>
          <w:b/>
        </w:rPr>
        <w:t xml:space="preserve">Pub date: </w:t>
      </w:r>
      <w:r>
        <w:t>2026-02-12 00:00:00+00:00</w:t>
      </w:r>
    </w:p>
    <w:p>
      <w:pPr>
        <w:spacing w:before="0" w:after="120"/>
      </w:pPr>
      <w:r>
        <w:rPr>
          <w:b/>
        </w:rPr>
        <w:t xml:space="preserve">Notes: </w:t>
      </w:r>
      <w:r>
        <w:t>abstract_source=rsc_html</w:t>
      </w:r>
    </w:p>
    <w:p>
      <w:pPr>
        <w:spacing w:before="0" w:after="80" w:lineRule="auto" w:line="276"/>
      </w:pPr>
      <w:r>
        <w:rPr>
          <w:b/>
        </w:rPr>
        <w:t xml:space="preserve">摘要（ZH）: </w:t>
      </w:r>
      <w:r>
        <w:t>蛋白陶瓷燃料电池(PCFC)阴极的质子氧化减少氧反应(PC-ORR)包含多种电荷,即质子、氧离子、电子/电子洞,其复杂性长期阻碍对反应路径和速定步骤的清晰确定,而主观假定一种先验的“最可能”路径来推断RDS(一种增加了决定性偏差和误差风险的程序)的通行做法,使这一困难更为严重。因此,为表面上相同的反应提出了相互不一致的路径。在这里,我们提出了一个普遍的微生物框架,在不事先构筑路径的情况下推断RDS。运用这一方法,我们解决了两种经过广泛研究的PCFC cithodes, PrBA0的RDS问题。</w:t>
      </w:r>
    </w:p>
    <w:p>
      <w:pPr>
        <w:spacing w:before="0" w:after="200" w:lineRule="auto" w:line="276"/>
      </w:pPr>
      <w:r>
        <w:rPr>
          <w:b/>
        </w:rPr>
        <w:t xml:space="preserve">Abstract (EN): </w:t>
      </w:r>
      <w:r>
        <w:t>The proton-coupled oxygen reduction reaction (PC-ORR) at protonic ceramic fuel cell (PCFC) cathodes involves multiple charges, which are proton, oxygen ion, and electron/electron hole, and its complexity has long impeded unambiguous identification of the reaction pathway and the rate-determining step (RDS). The difficulty is amplified by the prevailing practice of subjectively positing an a priori “most probable” pathway to infer the RDS—a procedure that heightens the risk of decisive bias and error. Consequently, mutually inconsistent pathways have been proposed for ostensibly the same reaction. Here, we present a generalized microkinetic framework that infers the RDS without prior pathway construction. Applying this approach, we resolve the RDS for two widely studied PCFC cathodes, PrBa0.5Sr0.5Co1.5Fe0.5O5+δ (PBSCF) and BaCo0.4Fe0.4Zr0.1Y0.1O3-δ (BCFZY). PBSCF is limited by vacancy-assisted O2 dissociation, whereas BCFZY is limited by a proton-coupled OH adsorbates formation step involving adsorbed atomic oxygen and bulk protons. While both exhibit sufficient proton transport and fast bulk diffusion such that surface reactions dominate porous cathode performance, the origin of the contrasting RDSs is traced to their different proton uptake/release mechanisms.</w:t>
      </w:r>
    </w:p>
    <w:p>
      <w:pPr>
        <w:spacing w:before="120" w:after="120"/>
      </w:pPr>
      <w:r>
        <w:rPr>
          <w:sz w:val="18"/>
        </w:rPr>
        <w:t>——————————————————————————————————————————————————————————————————————</w:t>
      </w:r>
    </w:p>
    <w:p>
      <w:pPr>
        <w:spacing w:before="160" w:after="40" w:line="240" w:lineRule="auto"/>
      </w:pPr>
      <w:r>
        <w:rPr>
          <w:b/>
        </w:rPr>
        <w:t xml:space="preserve">[518] </w:t>
      </w:r>
      <w:hyperlink r:id="rId834">
        <w:r>
          <w:rPr>
            <w:color w:val="1155CC"/>
            <w:u w:val="single"/>
          </w:rPr>
          <w:t>高性能有机光伏高非氟接受物中H-/J-聚合物平衡的战略工程</w:t>
        </w:r>
      </w:hyperlink>
    </w:p>
    <w:p>
      <w:pPr>
        <w:spacing w:before="0" w:after="80"/>
      </w:pPr>
      <w:r>
        <w:rPr>
          <w:i/>
          <w:sz w:val="20"/>
        </w:rPr>
        <w:t>EN: Strategic Engineering of H-/J-Aggregation Equilibrium in Non-Fullerene Acceptors Toward High-performance Organic Photovoltaics</w:t>
      </w:r>
    </w:p>
    <w:p>
      <w:pPr>
        <w:spacing w:before="0" w:after="120"/>
      </w:pPr>
      <w:r>
        <w:rPr>
          <w:b/>
        </w:rPr>
        <w:t xml:space="preserve">Source: </w:t>
      </w:r>
      <w:r>
        <w:t>RSC - Energy Environ. Sci. latest articles</w:t>
      </w:r>
      <w:r>
        <w:t xml:space="preserve">    </w:t>
      </w:r>
      <w:r>
        <w:rPr>
          <w:b/>
        </w:rPr>
        <w:t xml:space="preserve">Pub date: </w:t>
      </w:r>
      <w:r>
        <w:t>2026-02-12 00:00:00+00:00</w:t>
      </w:r>
    </w:p>
    <w:p>
      <w:pPr>
        <w:spacing w:before="0" w:after="120"/>
      </w:pPr>
      <w:r>
        <w:rPr>
          <w:b/>
        </w:rPr>
        <w:t xml:space="preserve">Notes: </w:t>
      </w:r>
      <w:r>
        <w:t>abstract_source=rsc_html</w:t>
      </w:r>
    </w:p>
    <w:p>
      <w:pPr>
        <w:spacing w:before="0" w:after="80" w:lineRule="auto" w:line="276"/>
      </w:pPr>
      <w:r>
        <w:rPr>
          <w:b/>
        </w:rPr>
        <w:t xml:space="preserve">摘要（ZH）: </w:t>
      </w:r>
      <w:r>
        <w:t>以烷氧联苯/2-辛基多丁基内侧链为主的不对称小型接收器(SM-EH、SM-EH、SM-BO、SM-HD)的战略分子工程能够精确地控制H聚合,加强有机太阳能电池的垂直电子传输。将这些SMAs纳入PM6:Y6永久系统将电力转换效率提高到18.06%(PM6:Y6:SM-BO),同时将这一设计扩大到PM6:L8-BO,实现了创记录的PCE20%。 机械学调查表明,平衡的H聚合:减少能源损失,加速异子分离和平衡电荷移动。</w:t>
      </w:r>
    </w:p>
    <w:p>
      <w:pPr>
        <w:spacing w:before="0" w:after="200" w:lineRule="auto" w:line="276"/>
      </w:pPr>
      <w:r>
        <w:rPr>
          <w:b/>
        </w:rPr>
        <w:t xml:space="preserve">Abstract (EN): </w:t>
      </w:r>
      <w:r>
        <w:t>Strategic molecular engineering of asymmetric small-molecule acceptors (SM-EH, SM-BO, SM-HD) featuring alkoxyphenyl/2-octyldodecyl inner side chains enables precise H-aggregation control, enhancing vertical electron transport in organic solar cells (OSCs). Incorporating these SMAs into PM6:Y6 ternary systems elevates power conversion efficiency (PCE) to 18.06% (PM6:Y6:SM-BO), while extending this design to PM6:L8-BO achieves a record 20.0% PCE. Mechanistic investigations demonstrate that balanced H-aggregation: reduces energy loss, accelerates exciton dissociation, and balances charge mobility. Crucially, we identify excessive H-aggregation impairs charge transfer, establishing H-/J-aggregation equilibrium as essential for optimal performance. This work establishes aggregation engineering—specifically targeting the H-aggregation of SMA—as a universal strategy for high-efficiency OSCs, with notable achievements in this field, and achieves a 20% PCE through ternary morphology optimization.</w:t>
      </w:r>
    </w:p>
    <w:p>
      <w:pPr>
        <w:spacing w:before="120" w:after="120"/>
      </w:pPr>
      <w:r>
        <w:rPr>
          <w:sz w:val="18"/>
        </w:rPr>
        <w:t>——————————————————————————————————————————————————————————————————————</w:t>
      </w:r>
    </w:p>
    <w:p>
      <w:pPr>
        <w:spacing w:before="160" w:after="40" w:line="240" w:lineRule="auto"/>
      </w:pPr>
      <w:r>
        <w:rPr>
          <w:b/>
        </w:rPr>
        <w:t xml:space="preserve">[519] </w:t>
      </w:r>
      <w:hyperlink r:id="rId835">
        <w:r>
          <w:rPr>
            <w:color w:val="1155CC"/>
            <w:u w:val="single"/>
          </w:rPr>
          <w:t>支持生态恢复的推理事项</w:t>
        </w:r>
      </w:hyperlink>
    </w:p>
    <w:p>
      <w:pPr>
        <w:spacing w:before="0" w:after="80"/>
      </w:pPr>
      <w:r>
        <w:rPr>
          <w:i/>
          <w:sz w:val="20"/>
        </w:rPr>
        <w:t>EN: Morphing matter to support ecological restoration</w:t>
      </w:r>
    </w:p>
    <w:p>
      <w:pPr>
        <w:spacing w:before="0" w:after="120"/>
      </w:pPr>
      <w:r>
        <w:rPr>
          <w:b/>
        </w:rPr>
        <w:t xml:space="preserve">Source: </w:t>
      </w:r>
      <w:r>
        <w:t>Nature Reviews Materials</w:t>
      </w:r>
      <w:r>
        <w:t xml:space="preserve">    </w:t>
      </w:r>
      <w:r>
        <w:rPr>
          <w:b/>
        </w:rPr>
        <w:t xml:space="preserve">Pub date: </w:t>
      </w:r>
      <w:r>
        <w:t>2026-02-12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[520] </w:t>
      </w:r>
      <w:hyperlink r:id="rId836">
        <w:r>
          <w:rPr>
            <w:color w:val="1155CC"/>
            <w:u w:val="single"/>
          </w:rPr>
          <w:t>欧盟碳边界调整机制:它是否影响中国出口贸易的竞争力?</w:t>
        </w:r>
      </w:hyperlink>
    </w:p>
    <w:p>
      <w:pPr>
        <w:spacing w:before="0" w:after="80"/>
      </w:pPr>
      <w:r>
        <w:rPr>
          <w:i/>
          <w:sz w:val="20"/>
        </w:rPr>
        <w:t>EN: The EU carbon border adjustment mechanism: Does it impact the competitiveness of China's export trade?</w:t>
      </w:r>
    </w:p>
    <w:p>
      <w:pPr>
        <w:spacing w:before="0" w:after="120"/>
      </w:pPr>
      <w:r>
        <w:rPr>
          <w:b/>
        </w:rPr>
        <w:t xml:space="preserve">Source: </w:t>
      </w:r>
      <w:r>
        <w:t>ScienceDirect Publication: Energy Policy</w:t>
      </w:r>
      <w:r>
        <w:t xml:space="preserve">    </w:t>
      </w:r>
      <w:r>
        <w:rPr>
          <w:b/>
        </w:rPr>
        <w:t xml:space="preserve">Pub date: </w:t>
      </w:r>
      <w:r>
        <w:t>2026-02-12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[521] </w:t>
      </w:r>
      <w:hyperlink r:id="rId837">
        <w:r>
          <w:rPr>
            <w:color w:val="1155CC"/>
            <w:u w:val="single"/>
          </w:rPr>
          <w:t>深入了解气化介质在气化过程中的作用:原则、优势、瓶颈和前景</w:t>
        </w:r>
      </w:hyperlink>
    </w:p>
    <w:p>
      <w:pPr>
        <w:spacing w:before="0" w:after="80"/>
      </w:pPr>
      <w:r>
        <w:rPr>
          <w:i/>
          <w:sz w:val="20"/>
        </w:rPr>
        <w:t>EN: Insights into the role of gasification media in gasification process: Principles, advantages, bottlenecks and prospects</w:t>
      </w:r>
    </w:p>
    <w:p>
      <w:pPr>
        <w:spacing w:before="0" w:after="120"/>
      </w:pPr>
      <w:r>
        <w:rPr>
          <w:b/>
        </w:rPr>
        <w:t xml:space="preserve">Source: </w:t>
      </w:r>
      <w:r>
        <w:t>ScienceDirect Publication: Applied Energy</w:t>
      </w:r>
      <w:r>
        <w:t xml:space="preserve">    </w:t>
      </w:r>
      <w:r>
        <w:rPr>
          <w:b/>
        </w:rPr>
        <w:t xml:space="preserve">Pub date: </w:t>
      </w:r>
      <w:r>
        <w:t>2026-02-12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[522] </w:t>
      </w:r>
      <w:hyperlink r:id="rId838">
        <w:r>
          <w:rPr>
            <w:color w:val="1155CC"/>
            <w:u w:val="single"/>
          </w:rPr>
          <w:t>北华平原小型燃煤锅炉升级政策和增值利益权衡的基于贸易的环境成本</w:t>
        </w:r>
      </w:hyperlink>
    </w:p>
    <w:p>
      <w:pPr>
        <w:spacing w:before="0" w:after="80"/>
      </w:pPr>
      <w:r>
        <w:rPr>
          <w:i/>
          <w:sz w:val="20"/>
        </w:rPr>
        <w:t>EN: Trade-based environmental costs of small coal-fired boiler upgrading policy and the value-added benefits trade-off in the North China Plain</w:t>
      </w:r>
    </w:p>
    <w:p>
      <w:pPr>
        <w:spacing w:before="0" w:after="120"/>
      </w:pPr>
      <w:r>
        <w:rPr>
          <w:b/>
        </w:rPr>
        <w:t xml:space="preserve">Source: </w:t>
      </w:r>
      <w:r>
        <w:t>ScienceDirect Publication: Energy Policy</w:t>
      </w:r>
      <w:r>
        <w:t xml:space="preserve">    </w:t>
      </w:r>
      <w:r>
        <w:rPr>
          <w:b/>
        </w:rPr>
        <w:t xml:space="preserve">Pub date: </w:t>
      </w:r>
      <w:r>
        <w:t>2026-02-12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[523] </w:t>
      </w:r>
      <w:hyperlink r:id="rId839">
        <w:r>
          <w:rPr>
            <w:color w:val="1155CC"/>
            <w:u w:val="single"/>
          </w:rPr>
          <w:t>大型AI系统</w:t>
        </w:r>
      </w:hyperlink>
    </w:p>
    <w:p>
      <w:pPr>
        <w:spacing w:before="0" w:after="80"/>
      </w:pPr>
      <w:r>
        <w:rPr>
          <w:i/>
          <w:sz w:val="20"/>
        </w:rPr>
        <w:t>EN: Large spiking AI systems</w:t>
      </w:r>
    </w:p>
    <w:p>
      <w:pPr>
        <w:spacing w:before="0" w:after="120"/>
      </w:pPr>
      <w:r>
        <w:rPr>
          <w:b/>
        </w:rPr>
        <w:t xml:space="preserve">Source: </w:t>
      </w:r>
      <w:r>
        <w:t>National Science Review Advance Access</w:t>
      </w:r>
      <w:r>
        <w:t xml:space="preserve">    </w:t>
      </w:r>
      <w:r>
        <w:rPr>
          <w:b/>
        </w:rPr>
        <w:t xml:space="preserve">Pub date: </w:t>
      </w:r>
      <w:r>
        <w:t>2026-02-12 00:00:00+00:00</w:t>
      </w:r>
      <w:r>
        <w:t xml:space="preserve">    </w:t>
      </w:r>
      <w:r>
        <w:rPr>
          <w:b/>
        </w:rPr>
        <w:t xml:space="preserve">DOI: </w:t>
      </w:r>
      <w:hyperlink r:id="rId840">
        <w:r>
          <w:rPr>
            <w:color w:val="1155CC"/>
            <w:u w:val="single"/>
          </w:rPr>
          <w:t>10.1093/nsr/nwag104/8475370</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[524] </w:t>
      </w:r>
      <w:hyperlink r:id="rId841">
        <w:r>
          <w:rPr>
            <w:color w:val="1155CC"/>
            <w:u w:val="single"/>
          </w:rPr>
          <w:t>Ultrathin和超强水凝胶生物电子膜</w:t>
        </w:r>
      </w:hyperlink>
    </w:p>
    <w:p>
      <w:pPr>
        <w:spacing w:before="0" w:after="80"/>
      </w:pPr>
      <w:r>
        <w:rPr>
          <w:i/>
          <w:sz w:val="20"/>
        </w:rPr>
        <w:t>EN: Ultrathin and ultrastrong hydrogel bioelectronic membranes</w:t>
      </w:r>
    </w:p>
    <w:p>
      <w:pPr>
        <w:spacing w:before="0" w:after="120"/>
      </w:pPr>
      <w:r>
        <w:rPr>
          <w:b/>
        </w:rPr>
        <w:t xml:space="preserve">Source: </w:t>
      </w:r>
      <w:r>
        <w:t>National Science Review Advance Access</w:t>
      </w:r>
      <w:r>
        <w:t xml:space="preserve">    </w:t>
      </w:r>
      <w:r>
        <w:rPr>
          <w:b/>
        </w:rPr>
        <w:t xml:space="preserve">Pub date: </w:t>
      </w:r>
      <w:r>
        <w:t>2026-02-12 00:00:00+00:00</w:t>
      </w:r>
      <w:r>
        <w:t xml:space="preserve">    </w:t>
      </w:r>
      <w:r>
        <w:rPr>
          <w:b/>
        </w:rPr>
        <w:t xml:space="preserve">DOI: </w:t>
      </w:r>
      <w:hyperlink r:id="rId842">
        <w:r>
          <w:rPr>
            <w:color w:val="1155CC"/>
            <w:u w:val="single"/>
          </w:rPr>
          <w:t>10.1093/nsr/nwag105/8475386</w:t>
        </w:r>
      </w:hyperlink>
    </w:p>
    <w:p>
      <w:pPr>
        <w:spacing w:before="0" w:after="120"/>
      </w:pPr>
      <w:r>
        <w:rPr>
          <w:b/>
        </w:rPr>
        <w:t xml:space="preserve">Notes: </w:t>
      </w:r>
      <w:r>
        <w:t>abstract_source=rss_oup</w:t>
      </w:r>
    </w:p>
    <w:p>
      <w:pPr>
        <w:spacing w:before="0" w:after="80" w:lineRule="auto" w:line="276"/>
      </w:pPr>
      <w:r>
        <w:rPr>
          <w:b/>
        </w:rPr>
        <w:t xml:space="preserve">摘要（ZH）: </w:t>
      </w:r>
      <w:r>
        <w:t>水文凝胶是建造下一代生物电子的有前途的材料,因为它们具有出色的生物兼容性和机械合规性。然而,建立与3D器官表面相符合的强大多功能的多功能水凝胶设备仍然具有挑战性。在这里,我们报告,为超丁和超强水凝胶膜进行工程工程的生物模拟战略,作为器官-正规生物电子的先进平台。在这些水凝胶中,自组纳米纤维网络具有压力性特征,具有高机械强度(~13.65兆帕)、骨折坚硬(~21573 J/m2)和低初始硬度(~600千帕)的惊人组合,可容纳超丁膜(厚度~10微米)的构造,使机械坚固和3D符合。</w:t>
      </w:r>
    </w:p>
    <w:p>
      <w:pPr>
        <w:spacing w:before="0" w:after="200" w:lineRule="auto" w:line="276"/>
      </w:pPr>
      <w:r>
        <w:rPr>
          <w:b/>
        </w:rPr>
        <w:t xml:space="preserve">Abstract (EN): </w:t>
      </w:r>
      <w:r>
        <w:t>Hydrogels are promising materials for constructing next-generation bioelectronics because of their excellent biocompatibility and mechanical compliance. Yet, creating robust and multifunctional hydrogel devices that conform to the surface of 3D organs remains challenging. Here, we report a biomimetic strategy for engineering ultrathin and ultrastrong hydrogel membranes as an advanced platform for organ-conformal bioelectronics. In these hydrogels, self-organized nanofiber networks confer strain-stiffening characteristics with a phenomenal combination of high mechanical strength (~13.65 MPa), fracture toughness (~21573 J/m²), and low initial stiffness (~600 kPa), which accommodates the construction of ultrathin membranes (~10 μm in thickness) reconciling mechanical robustness and 3D conformability. Theoretical simulations reveal unique strengthening mechanisms originating from the topological reconfiguration of fibrillar joints, indicating a widely applicable principle for designing soft composites involving 3D fibrillar networks. We show that various electronic components, including conducting polymers and wafer-fabricated microelectronic sensors, can be integrated on the ultrathin hydrogel membranes, providing means for multimodal physiological sensing and stimulation. These hydrogel membranes open paths to robust, functional and biocompatible interfaces with 3D soft organs and tissues, which are useful for epidermal electronics, implantable brain-machine interfaces, peripheral nerve stimulation, and many other bioelectronic applications.</w:t>
      </w:r>
    </w:p>
    <w:p>
      <w:pPr>
        <w:spacing w:before="120" w:after="120"/>
      </w:pPr>
      <w:r>
        <w:rPr>
          <w:sz w:val="18"/>
        </w:rPr>
        <w:t>——————————————————————————————————————————————————————————————————————</w:t>
      </w:r>
    </w:p>
    <w:p>
      <w:pPr>
        <w:spacing w:before="160" w:after="40" w:line="240" w:lineRule="auto"/>
      </w:pPr>
      <w:r>
        <w:rPr>
          <w:b/>
        </w:rPr>
        <w:t xml:space="preserve">[525] </w:t>
      </w:r>
      <w:hyperlink r:id="rId843">
        <w:r>
          <w:rPr>
            <w:color w:val="1155CC"/>
            <w:u w:val="single"/>
          </w:rPr>
          <w:t>Russian Blue Analogy 后锂电池目录:最近的进展和未来展望</w:t>
        </w:r>
      </w:hyperlink>
    </w:p>
    <w:p>
      <w:pPr>
        <w:spacing w:before="0" w:after="80"/>
      </w:pPr>
      <w:r>
        <w:rPr>
          <w:i/>
          <w:sz w:val="20"/>
        </w:rPr>
        <w:t>EN: Prussian Blue Analogue Cathodes for Post‐Lithium‐Ion Batteries: Recent Advances and Future Perspectives</w:t>
      </w:r>
    </w:p>
    <w:p>
      <w:pPr>
        <w:spacing w:before="0" w:after="120"/>
      </w:pPr>
      <w:r>
        <w:rPr>
          <w:b/>
        </w:rPr>
        <w:t xml:space="preserve">Source: </w:t>
      </w:r>
      <w:r>
        <w:t>Wiley: Advanced Energy Materials: Table of Contents</w:t>
      </w:r>
      <w:r>
        <w:t xml:space="preserve">    </w:t>
      </w:r>
      <w:r>
        <w:rPr>
          <w:b/>
        </w:rPr>
        <w:t xml:space="preserve">Pub date: </w:t>
      </w:r>
      <w:r>
        <w:t>2026-02-12 04:32:21+00:00</w:t>
      </w:r>
      <w:r>
        <w:t xml:space="preserve">    </w:t>
      </w:r>
      <w:r>
        <w:rPr>
          <w:b/>
        </w:rPr>
        <w:t xml:space="preserve">DOI: </w:t>
      </w:r>
      <w:hyperlink r:id="rId844">
        <w:r>
          <w:rPr>
            <w:color w:val="1155CC"/>
            <w:u w:val="single"/>
          </w:rPr>
          <w:t>10.1002/aenm.70735</w:t>
        </w:r>
      </w:hyperlink>
    </w:p>
    <w:p>
      <w:pPr>
        <w:spacing w:before="0" w:after="120"/>
      </w:pPr>
      <w:r>
        <w:rPr>
          <w:b/>
        </w:rPr>
        <w:t xml:space="preserve">Notes: </w:t>
      </w:r>
      <w:r>
        <w:t>abstract_source=crossref</w:t>
      </w:r>
    </w:p>
    <w:p>
      <w:pPr>
        <w:spacing w:before="0" w:after="80" w:lineRule="auto" w:line="276"/>
      </w:pPr>
      <w:r>
        <w:rPr>
          <w:b/>
        </w:rPr>
        <w:t xml:space="preserve">摘要（ZH）: </w:t>
      </w:r>
      <w:r>
        <w:t>ABSTACT 随着可持续、可扩缩的后“硫化”电池的开发的加强,普鲁士蓝色模拟器(PBAs)因其独特的开放框架结构而出名。然而,它们转化为实际装置受到本原子规模内在挑战的阻碍,包括阶段不稳定、雅赫奈特变形和无处不在的空缺。本审查破解了先进的工程战略的基本机制,从精确的元素剂量/替代到破坏性的高湿度设计、重组 PBAs的电子化学特性。我们专门讲述了这些策略如何有选择地加强内在活动、工程师协调环境以及指令离子传输动力学。通过对这些成分的精确合成,我们对这些策略进行了严格的合成。</w:t>
      </w:r>
    </w:p>
    <w:p>
      <w:pPr>
        <w:spacing w:before="0" w:after="200" w:lineRule="auto" w:line="276"/>
      </w:pPr>
      <w:r>
        <w:rPr>
          <w:b/>
        </w:rPr>
        <w:t xml:space="preserve">Abstract (EN): </w:t>
      </w:r>
      <w:r>
        <w:t>As the development of sustainable, scalable post‐lithium‐ion batteries intensifies, Prussian blue analogues (PBAs) stand out for their unique open‐framework architecture. However, their translation into practical devices is hindered by intrinsic atomic‐scale challenges, including phase instability, Jahn‐Teller distortions, and ubiquitous vacancies. This review deciphers the fundamental mechanisms through which advanced engineering strategies, from precise elemental doping/substitution to disruptive high‐entropy design, reprogram PBAs’ electrochemical properties. We present a dedicated discourse on how these tactics selectively enhance intrinsic activity, engineer coordination environments, and dictate ion transport kinetics. By critically synthesizing these insights into actionable design principles, we provide a strategic blueprint for navigating the current challenges and accelerating the development of next‐generation PBA cathodes. This work is poised to serve as a foundational guide for researchers aiming to push the boundaries of energy storage materials.</w:t>
      </w:r>
    </w:p>
    <w:p>
      <w:pPr>
        <w:spacing w:before="120" w:after="120"/>
      </w:pPr>
      <w:r>
        <w:rPr>
          <w:sz w:val="18"/>
        </w:rPr>
        <w:t>——————————————————————————————————————————————————————————————————————</w:t>
      </w:r>
    </w:p>
    <w:p>
      <w:pPr>
        <w:spacing w:before="160" w:after="40" w:line="240" w:lineRule="auto"/>
      </w:pPr>
      <w:r>
        <w:rPr>
          <w:b/>
        </w:rPr>
        <w:t xml:space="preserve">[526] </w:t>
      </w:r>
      <w:hyperlink r:id="rId845">
        <w:r>
          <w:rPr>
            <w:color w:val="1155CC"/>
            <w:u w:val="single"/>
          </w:rPr>
          <w:t>用于可持续能源储存应用的可水处理Lignin光柱产生的生基纳米碳纳米纤维生物笔板碳纳米纤维的机械学研究</w:t>
        </w:r>
      </w:hyperlink>
    </w:p>
    <w:p>
      <w:pPr>
        <w:spacing w:before="0" w:after="80"/>
      </w:pPr>
      <w:r>
        <w:rPr>
          <w:i/>
          <w:sz w:val="20"/>
        </w:rPr>
        <w:t>EN: A Mechanistic Study of Bio‐Based Nanotemplated Carbon Nanofibers Derived From Water Processable Lignin Blends for Sustainable Energy Storage Applications</w:t>
      </w:r>
    </w:p>
    <w:p>
      <w:pPr>
        <w:spacing w:before="0" w:after="120"/>
      </w:pPr>
      <w:r>
        <w:rPr>
          <w:b/>
        </w:rPr>
        <w:t xml:space="preserve">Source: </w:t>
      </w:r>
      <w:r>
        <w:t>Wiley: Advanced Materials: Table of Contents</w:t>
      </w:r>
      <w:r>
        <w:t xml:space="preserve">    </w:t>
      </w:r>
      <w:r>
        <w:rPr>
          <w:b/>
        </w:rPr>
        <w:t xml:space="preserve">Pub date: </w:t>
      </w:r>
      <w:r>
        <w:t>2026-02-12 04:34:02+00:00</w:t>
      </w:r>
      <w:r>
        <w:t xml:space="preserve">    </w:t>
      </w:r>
      <w:r>
        <w:rPr>
          <w:b/>
        </w:rPr>
        <w:t xml:space="preserve">DOI: </w:t>
      </w:r>
      <w:hyperlink r:id="rId846">
        <w:r>
          <w:rPr>
            <w:color w:val="1155CC"/>
            <w:u w:val="single"/>
          </w:rPr>
          <w:t>10.1002/adma.72508</w:t>
        </w:r>
      </w:hyperlink>
    </w:p>
    <w:p>
      <w:pPr>
        <w:spacing w:before="0" w:after="120"/>
      </w:pPr>
      <w:r>
        <w:rPr>
          <w:b/>
        </w:rPr>
        <w:t xml:space="preserve">Notes: </w:t>
      </w:r>
      <w:r>
        <w:t>abstract_source=crossref</w:t>
      </w:r>
    </w:p>
    <w:p>
      <w:pPr>
        <w:spacing w:before="0" w:after="80" w:lineRule="auto" w:line="276"/>
      </w:pPr>
      <w:r>
        <w:rPr>
          <w:b/>
        </w:rPr>
        <w:t xml:space="preserve">摘要（ZH）: </w:t>
      </w:r>
      <w:r>
        <w:t>本文研究通过电镀工艺获得可持续和无害环境的碳纳米纤维的过程,该工艺不需要有机溶剂或合成聚合物/孵化物,而不需要有机溶剂或合成聚合物/孵化物,因此不需要电镀工艺。Lignosulfonate、Gelatin和艾氏酸盐被选作水溶性、生产碳纳米结构模板的能力和可持续性。Gelatin和艾氏酸盐是热处理过程中的牺牲性模板,可以生产工程高表面积空空纳米结构。进行了机械性研究,以阐明碳混合化与电化学性能之间的关系。 " 硫化碳材料 " 被进一步定性为在钠电池中的潜在应用。</w:t>
      </w:r>
    </w:p>
    <w:p>
      <w:pPr>
        <w:spacing w:before="0" w:after="200" w:lineRule="auto" w:line="276"/>
      </w:pPr>
      <w:r>
        <w:rPr>
          <w:b/>
        </w:rPr>
        <w:t xml:space="preserve">Abstract (EN): </w:t>
      </w:r>
      <w:r>
        <w:t>This article studies the process for obtaining sustainable and environmentally friendly, carbon nanofibers via an electrospinning process using water without the need for organic solvents or synthetic polymers/binders. Lignosulfonate, gelatin, and alginate are selected for water solubility, ability to produce templated carbon nanostructures and for sustainability. Gelatin and alginate are sacrificial templates during thermal processing, allowing the production of engineered high surface area hollow nanostructures. A mechanistic study is performed to elucidate the relationship between carbon hybridization and electrochemical performance. The as‐spun carbon materials were further characterized for potential applications in sodium‐ion batteries.</w:t>
      </w:r>
    </w:p>
    <w:p>
      <w:pPr>
        <w:spacing w:before="120" w:after="120"/>
      </w:pPr>
      <w:r>
        <w:rPr>
          <w:sz w:val="18"/>
        </w:rPr>
        <w:t>——————————————————————————————————————————————————————————————————————</w:t>
      </w:r>
    </w:p>
    <w:p>
      <w:pPr>
        <w:spacing w:before="160" w:after="40" w:line="240" w:lineRule="auto"/>
      </w:pPr>
      <w:r>
        <w:rPr>
          <w:b/>
        </w:rPr>
        <w:t xml:space="preserve">[527] </w:t>
      </w:r>
      <w:hyperlink r:id="rId847">
        <w:r>
          <w:rPr>
            <w:color w:val="1155CC"/>
            <w:u w:val="single"/>
          </w:rPr>
          <w:t>Anode-无锂金属电池中的典型变化:高溶解聚变蒸发的压力-激活固态界面</w:t>
        </w:r>
      </w:hyperlink>
    </w:p>
    <w:p>
      <w:pPr>
        <w:spacing w:before="0" w:after="80"/>
      </w:pPr>
      <w:r>
        <w:rPr>
          <w:i/>
          <w:sz w:val="20"/>
        </w:rPr>
        <w:t>EN: A Paradigm Shift in Anode‐Free Lithium Metal Battery: Pressure‐Activated Solid‐State Interfaces for High‐Rate Desolvated Cation Diffusion</w:t>
      </w:r>
    </w:p>
    <w:p>
      <w:pPr>
        <w:spacing w:before="0" w:after="120"/>
      </w:pPr>
      <w:r>
        <w:rPr>
          <w:b/>
        </w:rPr>
        <w:t xml:space="preserve">Source: </w:t>
      </w:r>
      <w:r>
        <w:t>Wiley: Advanced Materials: Table of Contents</w:t>
      </w:r>
      <w:r>
        <w:t xml:space="preserve">    </w:t>
      </w:r>
      <w:r>
        <w:rPr>
          <w:b/>
        </w:rPr>
        <w:t xml:space="preserve">Pub date: </w:t>
      </w:r>
      <w:r>
        <w:t>2026-02-12 04:34:40+00:00</w:t>
      </w:r>
      <w:r>
        <w:t xml:space="preserve">    </w:t>
      </w:r>
      <w:r>
        <w:rPr>
          <w:b/>
        </w:rPr>
        <w:t xml:space="preserve">DOI: </w:t>
      </w:r>
      <w:hyperlink r:id="rId848">
        <w:r>
          <w:rPr>
            <w:color w:val="1155CC"/>
            <w:u w:val="single"/>
          </w:rPr>
          <w:t>10.1002/adma.202518037</w:t>
        </w:r>
      </w:hyperlink>
    </w:p>
    <w:p>
      <w:pPr>
        <w:spacing w:before="0" w:after="120"/>
      </w:pPr>
      <w:r>
        <w:rPr>
          <w:b/>
        </w:rPr>
        <w:t xml:space="preserve">Notes: </w:t>
      </w:r>
      <w:r>
        <w:t>abstract_source=crossref</w:t>
      </w:r>
    </w:p>
    <w:p>
      <w:pPr>
        <w:spacing w:before="0" w:after="80" w:lineRule="auto" w:line="276"/>
      </w:pPr>
      <w:r>
        <w:rPr>
          <w:b/>
        </w:rPr>
        <w:t xml:space="preserve">摘要（ZH）: </w:t>
      </w:r>
      <w:r>
        <w:t>ABSTACT ANOD-无氧锂金属电池(AFLMBs)承诺超高重力计/体积能量密度( &amp; gt; 400 whk-1/1000 WH L-1)和简化阳极制造,而传统的碱性电池则依赖间化化学,但实际实施中仍然受到基底和快速锂库存耗竭造成的登地性突扰的困扰,这进一步加剧了Ah规模的邮袋电池。</w:t>
      </w:r>
    </w:p>
    <w:p>
      <w:pPr>
        <w:spacing w:before="0" w:after="200" w:lineRule="auto" w:line="276"/>
      </w:pPr>
      <w:r>
        <w:rPr>
          <w:b/>
        </w:rPr>
        <w:t xml:space="preserve">Abstract (EN): </w:t>
      </w:r>
      <w:r>
        <w:t>Anode‐free lithium metal batteries (AF‐LMBs) promise ultrahigh gravimetric/volumetric energy densities (&amp;gt; 400 Wh kg</w:t>
      </w:r>
      <w:r>
        <w:t xml:space="preserve"> </w:t>
      </w:r>
      <w:r>
        <w:t>−</w:t>
      </w:r>
      <w:r>
        <w:rPr>
          <w:vertAlign w:val="subscript"/>
        </w:rPr>
        <w:t>1</w:t>
      </w:r>
      <w:r>
        <w:t>/1000 Wh L</w:t>
      </w:r>
      <w:r>
        <w:t xml:space="preserve"> </w:t>
      </w:r>
      <w:r>
        <w:t>−</w:t>
      </w:r>
      <w:r>
        <w:rPr>
          <w:vertAlign w:val="subscript"/>
        </w:rPr>
        <w:t>1</w:t>
      </w:r>
      <w:r>
        <w:t>) and simplified anode manufacturing as compared to conventional alkali‐ion batteries that rely on intercalation chemistry. However, their practical implementation remains plagued by dendritic protrusion from the substrate and rapid lithium inventory depletion, which further exacerbate in Ah‐scale pouch cells. Here, this study innovates a paradigm shift through a multiscale interfacial strategy addressing the core limitations of AF‐LMBs. Scalable cation‐exchange and mechanical exfoliation firstly produce few‐layer lithium montmorillonite nanosheets that integrated with polyacrylamide gel, which are functionalized onto the polyethylene separator (FMT‐Li/PAM‐PE). The composite separator thus reconciles high mechanical strength (204.4 MPa), thermal stability (&amp;lt; 2.5% shrinkage at 180°C), anion screening capability (t</w:t>
      </w:r>
      <w:r>
        <w:t xml:space="preserve"> </w:t>
      </w:r>
      <w:r>
        <w:t>+</w:t>
      </w:r>
      <w:r>
        <w:t xml:space="preserve"> </w:t>
      </w:r>
      <w:r>
        <w:t>= 0.78), and pressure‐activated adhesion to the substrate (peel strength &amp;gt; 3.4 N m</w:t>
      </w:r>
      <w:r>
        <w:t xml:space="preserve"> </w:t>
      </w:r>
      <w:r>
        <w:t>−</w:t>
      </w:r>
      <w:r>
        <w:rPr>
          <w:vertAlign w:val="subscript"/>
        </w:rPr>
        <w:t>1</w:t>
      </w:r>
      <w:r>
        <w:t>via hydrogen bonding). Upon the formation cycle at stack pressure of 0.5 MPa, more crucially, the composite separator intimately attaches onto the Cu substrate modified with the recycled spent graphite rich in lithiophilic defects (SGR‐Cu), establishing the solid‐state Li</w:t>
      </w:r>
      <w:r>
        <w:t xml:space="preserve"> </w:t>
      </w:r>
      <w:r>
        <w:t>+</w:t>
      </w:r>
      <w:r>
        <w:t xml:space="preserve"> </w:t>
      </w:r>
      <w:r>
        <w:t>diffusion pathway at the separator‐anode interface and mitigating solvated Li</w:t>
      </w:r>
      <w:r>
        <w:t xml:space="preserve"> </w:t>
      </w:r>
      <w:r>
        <w:t>+</w:t>
      </w:r>
      <w:r>
        <w:t xml:space="preserve"> </w:t>
      </w:r>
      <w:r>
        <w:t>interaction. As assembled with a densely‐packed LiNi</w:t>
      </w:r>
      <w:r>
        <w:t xml:space="preserve"> </w:t>
      </w:r>
      <w:r>
        <w:t>0.8</w:t>
      </w:r>
      <w:r>
        <w:t xml:space="preserve"> </w:t>
      </w:r>
      <w:r>
        <w:t>Co</w:t>
      </w:r>
      <w:r>
        <w:t xml:space="preserve"> </w:t>
      </w:r>
      <w:r>
        <w:t>0.1</w:t>
      </w:r>
      <w:r>
        <w:t xml:space="preserve"> </w:t>
      </w:r>
      <w:r>
        <w:t>Mn</w:t>
      </w:r>
      <w:r>
        <w:t xml:space="preserve"> </w:t>
      </w:r>
      <w:r>
        <w:t>0.1</w:t>
      </w:r>
      <w:r>
        <w:t xml:space="preserve"> </w:t>
      </w:r>
      <w:r>
        <w:t>O</w:t>
      </w:r>
      <w:r>
        <w:rPr>
          <w:vertAlign w:val="subscript"/>
        </w:rPr>
        <w:t>2</w:t>
      </w:r>
      <w:r>
        <w:t>(3.6 mAh cm</w:t>
      </w:r>
      <w:r>
        <w:t xml:space="preserve"> </w:t>
      </w:r>
      <w:r>
        <w:t>−2</w:t>
      </w:r>
      <w:r>
        <w:t xml:space="preserve"> </w:t>
      </w:r>
      <w:r>
        <w:t>) cathode, the 1.0 Ah pouch cell achieves 81.1% capacity retention over 200 cycles, gravimetric/volumetric energy densities of 453.3 Wh kg</w:t>
      </w:r>
      <w:r>
        <w:t xml:space="preserve"> </w:t>
      </w:r>
      <w:r>
        <w:t>−</w:t>
      </w:r>
      <w:r>
        <w:rPr>
          <w:vertAlign w:val="subscript"/>
        </w:rPr>
        <w:t>1</w:t>
      </w:r>
      <w:r>
        <w:t>/ 1183.2 Wh L</w:t>
      </w:r>
      <w:r>
        <w:t xml:space="preserve"> </w:t>
      </w:r>
      <w:r>
        <w:t>−1</w:t>
      </w:r>
      <w:r>
        <w:t xml:space="preserve"> </w:t>
      </w:r>
      <w:r>
        <w:t>and extreme power output of 1045.0 W kg</w:t>
      </w:r>
      <w:r>
        <w:t xml:space="preserve"> </w:t>
      </w:r>
      <w:r>
        <w:t>−</w:t>
      </w:r>
      <w:r>
        <w:rPr>
          <w:vertAlign w:val="subscript"/>
        </w:rPr>
        <w:t>1</w:t>
      </w:r>
      <w:r>
        <w:t>. Beyond insights into multiscale ion regulation, this interfacial strategy also unlocks viability across diverse cell configurations (e.g., LiFePO</w:t>
      </w:r>
      <w:r>
        <w:rPr>
          <w:vertAlign w:val="subscript"/>
        </w:rPr>
        <w:t>4</w:t>
      </w:r>
      <w:r>
        <w:t>/Ni92||Cu), enabling the high‐rate cation diffusion for the commercial AF‐LMB prototyping.</w:t>
      </w:r>
    </w:p>
    <w:p>
      <w:pPr>
        <w:spacing w:before="120" w:after="120"/>
      </w:pPr>
      <w:r>
        <w:rPr>
          <w:sz w:val="18"/>
        </w:rPr>
        <w:t>——————————————————————————————————————————————————————————————————————</w:t>
      </w:r>
    </w:p>
    <w:p>
      <w:pPr>
        <w:spacing w:before="160" w:after="40" w:line="240" w:lineRule="auto"/>
      </w:pPr>
      <w:r>
        <w:rPr>
          <w:b/>
        </w:rPr>
        <w:t xml:space="preserve">[528] </w:t>
      </w:r>
      <w:hyperlink r:id="rId849">
        <w:r>
          <w:rPr>
            <w:color w:val="1155CC"/>
            <w:u w:val="single"/>
          </w:rPr>
          <w:t>近距离上岗转运奇美拉斯</w:t>
        </w:r>
      </w:hyperlink>
    </w:p>
    <w:p>
      <w:pPr>
        <w:spacing w:before="0" w:after="80"/>
      </w:pPr>
      <w:r>
        <w:rPr>
          <w:i/>
          <w:sz w:val="20"/>
        </w:rPr>
        <w:t>EN: Lysine Targeting Group‐Transfer Chimeras for Proximity Induction</w:t>
      </w:r>
    </w:p>
    <w:p>
      <w:pPr>
        <w:spacing w:before="0" w:after="120"/>
      </w:pPr>
      <w:r>
        <w:rPr>
          <w:b/>
        </w:rPr>
        <w:t xml:space="preserve">Source: </w:t>
      </w:r>
      <w:r>
        <w:t>Wiley: Angewandte Chemie International Edition: Table of Contents</w:t>
      </w:r>
      <w:r>
        <w:t xml:space="preserve">    </w:t>
      </w:r>
      <w:r>
        <w:rPr>
          <w:b/>
        </w:rPr>
        <w:t xml:space="preserve">Pub date: </w:t>
      </w:r>
      <w:r>
        <w:t>2026-02-12 04:35:56+00:00</w:t>
      </w:r>
      <w:r>
        <w:t xml:space="preserve">    </w:t>
      </w:r>
      <w:r>
        <w:rPr>
          <w:b/>
        </w:rPr>
        <w:t xml:space="preserve">DOI: </w:t>
      </w:r>
      <w:hyperlink r:id="rId850">
        <w:r>
          <w:rPr>
            <w:color w:val="1155CC"/>
            <w:u w:val="single"/>
          </w:rPr>
          <w:t>10.1002/anie.202512131</w:t>
        </w:r>
      </w:hyperlink>
    </w:p>
    <w:p>
      <w:pPr>
        <w:spacing w:before="0" w:after="120"/>
      </w:pPr>
      <w:r>
        <w:rPr>
          <w:b/>
        </w:rPr>
        <w:t xml:space="preserve">Notes: </w:t>
      </w:r>
      <w:r>
        <w:t>abstract_source=crossref</w:t>
      </w:r>
    </w:p>
    <w:p>
      <w:pPr>
        <w:spacing w:before="0" w:after="80" w:lineRule="auto" w:line="276"/>
      </w:pPr>
      <w:r>
        <w:rPr>
          <w:b/>
        </w:rPr>
        <w:t xml:space="preserve">摘要（ZH）: </w:t>
      </w:r>
      <w:r>
        <w:t>本自然利用翻译后的修改(PTMs)来通过产生新的相互作用来促使蛋白质接近。 此外,我们发现蛋白质结壳总是接近于赖氨酸。在这两种观察的启发下,我们开发了“基因转移(GRCs)”组,该组对赖氨酸侧链具有浓厚的兴趣。GRCs使用蛋白质的绑定和处理“类型反动”来改变接近蛋白质。当代碱性转移组由于水解不稳定、体积大、反应性强和与多种碱性合成不相容,因此与GRCs不相容。因此,我们开发了一种N。</w:t>
      </w:r>
    </w:p>
    <w:p>
      <w:pPr>
        <w:spacing w:before="0" w:after="200" w:lineRule="auto" w:line="276"/>
      </w:pPr>
      <w:r>
        <w:rPr>
          <w:b/>
        </w:rPr>
        <w:t xml:space="preserve">Abstract (EN): </w:t>
      </w:r>
      <w:r>
        <w:t>Nature employs post‐translational modifications (PTMs) to induce proximity between proteins by engendering new interactions. Furthermore, we find that protein ligands are invariably proximal to a lysine. Inspired by these two observations, we developed group‐transfer chimeras (GRCs) that append a moiety‐of‐interest to the lysine side chain. GRCs employ a protein's ligand and a handle with a</w:t>
      </w:r>
      <w:r>
        <w:t xml:space="preserve"> </w:t>
      </w:r>
      <w:r>
        <w:t>transferase</w:t>
      </w:r>
      <w:r>
        <w:t xml:space="preserve"> </w:t>
      </w:r>
      <w:r>
        <w:t>‐type reactivity to modify the proximal lysine. Contemporary lysine‐targeting group‐transfer handles were incompatible with GRCs due to their hydrolytic instability, large size, high reactivity, and synthetic incompatibility with diverse ligands. Accordingly, we developed an</w:t>
      </w:r>
      <w:r>
        <w:t xml:space="preserve"> </w:t>
      </w:r>
      <w:r>
        <w:t>N</w:t>
      </w:r>
      <w:r>
        <w:t xml:space="preserve"> </w:t>
      </w:r>
      <w:r>
        <w:t>‐(</w:t>
      </w:r>
      <w:r>
        <w:t xml:space="preserve"> </w:t>
      </w:r>
      <w:r>
        <w:t>su</w:t>
      </w:r>
      <w:r>
        <w:t xml:space="preserve"> </w:t>
      </w:r>
      <w:r>
        <w:t>lfonyl)‐</w:t>
      </w:r>
      <w:r>
        <w:t xml:space="preserve"> </w:t>
      </w:r>
      <w:r>
        <w:t>N</w:t>
      </w:r>
      <w:r>
        <w:t xml:space="preserve"> </w:t>
      </w:r>
      <w:r>
        <w:t>‐(tri</w:t>
      </w:r>
      <w:r>
        <w:t xml:space="preserve"> </w:t>
      </w:r>
      <w:r>
        <w:t>f</w:t>
      </w:r>
      <w:r>
        <w:t xml:space="preserve"> </w:t>
      </w:r>
      <w:r>
        <w:t>luoroethyl)‐ethan</w:t>
      </w:r>
      <w:r>
        <w:t xml:space="preserve"> </w:t>
      </w:r>
      <w:r>
        <w:t>a</w:t>
      </w:r>
      <w:r>
        <w:t xml:space="preserve"> </w:t>
      </w:r>
      <w:r>
        <w:t>mide (SuFA) handle that is stable, small, and exhibits tunable reactivity and synthetic compatibility with diverse ligands and proteins. Using GRCs that group‐transfer binders of tags (e.g., HaloTag, FKBP) onto proteins overexpressed in cancer cells, we displayed these binders on the surface of the cancer cell. With a</w:t>
      </w:r>
      <w:r>
        <w:t xml:space="preserve"> </w:t>
      </w:r>
      <w:r>
        <w:t>un</w:t>
      </w:r>
      <w:r>
        <w:t xml:space="preserve"> </w:t>
      </w:r>
      <w:r>
        <w:t>iversal</w:t>
      </w:r>
      <w:r>
        <w:t xml:space="preserve"> </w:t>
      </w:r>
      <w:r>
        <w:t>T</w:t>
      </w:r>
      <w:r>
        <w:t xml:space="preserve"> </w:t>
      </w:r>
      <w:r>
        <w:t>cell</w:t>
      </w:r>
      <w:r>
        <w:t xml:space="preserve"> </w:t>
      </w:r>
      <w:r>
        <w:t>e</w:t>
      </w:r>
      <w:r>
        <w:t xml:space="preserve"> </w:t>
      </w:r>
      <w:r>
        <w:t>ngager (UniTE) that binds to the displayed ligands and T cells, these GRCs induced proximity between cancer cells and cytotoxic T cells, leading to the latter's activation. We envision the GRC platform to find utility in basic research and biomedicine.</w:t>
      </w:r>
    </w:p>
    <w:p>
      <w:pPr>
        <w:spacing w:before="120" w:after="120"/>
      </w:pPr>
      <w:r>
        <w:rPr>
          <w:sz w:val="18"/>
        </w:rPr>
        <w:t>——————————————————————————————————————————————————————————————————————</w:t>
      </w:r>
    </w:p>
    <w:p>
      <w:pPr>
        <w:spacing w:before="160" w:after="40" w:line="240" w:lineRule="auto"/>
      </w:pPr>
      <w:r>
        <w:rPr>
          <w:b/>
        </w:rPr>
        <w:t xml:space="preserve">[529] </w:t>
      </w:r>
      <w:hyperlink r:id="rId851">
        <w:r>
          <w:rPr>
            <w:color w:val="1155CC"/>
            <w:u w:val="single"/>
          </w:rPr>
          <w:t>以双重动态共价债券实现的可再循环性、高热稳定性和天然阻燃阻燃生物基多苯甲氨基多苯甲氨基维立体</w:t>
        </w:r>
      </w:hyperlink>
    </w:p>
    <w:p>
      <w:pPr>
        <w:spacing w:before="0" w:after="80"/>
      </w:pPr>
      <w:r>
        <w:rPr>
          <w:i/>
          <w:sz w:val="20"/>
        </w:rPr>
        <w:t>EN: Recyclable, Highly Thermally Stable and Intrinsically Flame Retardant Bio‐Based Polybenzoxazine Vitrimers Enabled by Dual Dynamic Covalent Bonds</w:t>
      </w:r>
    </w:p>
    <w:p>
      <w:pPr>
        <w:spacing w:before="0" w:after="120"/>
      </w:pPr>
      <w:r>
        <w:rPr>
          <w:b/>
        </w:rPr>
        <w:t xml:space="preserve">Source: </w:t>
      </w:r>
      <w:r>
        <w:t>Wiley: Angewandte Chemie International Edition: Table of Contents</w:t>
      </w:r>
      <w:r>
        <w:t xml:space="preserve">    </w:t>
      </w:r>
      <w:r>
        <w:rPr>
          <w:b/>
        </w:rPr>
        <w:t xml:space="preserve">Pub date: </w:t>
      </w:r>
      <w:r>
        <w:t>2026-02-12 04:37:21+00:00</w:t>
      </w:r>
      <w:r>
        <w:t xml:space="preserve">    </w:t>
      </w:r>
      <w:r>
        <w:rPr>
          <w:b/>
        </w:rPr>
        <w:t xml:space="preserve">DOI: </w:t>
      </w:r>
      <w:hyperlink r:id="rId852">
        <w:r>
          <w:rPr>
            <w:color w:val="1155CC"/>
            <w:u w:val="single"/>
          </w:rPr>
          <w:t>10.1002/anie.8806571</w:t>
        </w:r>
      </w:hyperlink>
    </w:p>
    <w:p>
      <w:pPr>
        <w:spacing w:before="0" w:after="120"/>
      </w:pPr>
      <w:r>
        <w:rPr>
          <w:b/>
        </w:rPr>
        <w:t xml:space="preserve">Notes: </w:t>
      </w:r>
      <w:r>
        <w:t>abstract_source=crossref</w:t>
      </w:r>
    </w:p>
    <w:p>
      <w:pPr>
        <w:spacing w:before="0" w:after="80" w:lineRule="auto" w:line="276"/>
      </w:pPr>
      <w:r>
        <w:rPr>
          <w:b/>
        </w:rPr>
        <w:t xml:space="preserve">摘要（ZH）: </w:t>
      </w:r>
      <w:r>
        <w:t>维立体是新兴的聚合材料类别,在保持可再处理性和可降解性的同时,将机械坚固性和维维维度稳定性结合起来,同时保持可再处理性和可降解性。尽管对维立体的研究取得了相当大的进展,但仍然迫切需要开发动态强的共价共振化学设备,使高热稳定性和内在阻燃性能高的维立体能够使维立体能够进行。在这项工作中,我们利用源自甲氨基和可持续二胺的生物基前体,在苯氧基中设计一个双动态共价共价网络,在其中,在战略上结合了基质结合和硅醚债券,以打破降解性能和高性能之间的交易。值得注意的是,新获得的聚苯甲苯基维立体展出场。</w:t>
      </w:r>
    </w:p>
    <w:p>
      <w:pPr>
        <w:spacing w:before="0" w:after="200" w:lineRule="auto" w:line="276"/>
      </w:pPr>
      <w:r>
        <w:rPr>
          <w:b/>
        </w:rPr>
        <w:t xml:space="preserve">Abstract (EN): </w:t>
      </w:r>
      <w:r>
        <w:t>Vitrimers represent an emerging class of polymeric materials that combine mechanical robustness and dimensional stability while still maintaining reprocessability and degradability. Despite considerable advances in studies of vitrimers, there remains a pressing demand for developing robust dynamic covalent chemistries that enable the vitrimers with high thermal stability and intrinsic flame retardancy. In this work, we design a dual dynamic covalent network in benzoxazines using bio‐based precursors derived from vanillin and sustainable diamines, in which imine bonds and silyl ether bonds are strategically incorporated to break through the trade‐off between degradability and high performance. Notably, the newly obtained polybenzoxazine vitrimers exhibit outstanding thermal stability (with a 10% weight loss temperature of 361.7°C and char yield of 61.4%), exceptional flame retardancy (V‐0 ranking), and undergo complete degradation within 6 h under alkaline conditions. This study broadens the range of sustainable vitrimers and establishes a new design paradigm for reconciling the traditionally competing properties of recyclability, thermal robustness, and fire safety in thermosetting materials.</w:t>
      </w:r>
    </w:p>
    <w:p>
      <w:pPr>
        <w:spacing w:before="120" w:after="120"/>
      </w:pPr>
      <w:r>
        <w:rPr>
          <w:sz w:val="18"/>
        </w:rPr>
        <w:t>——————————————————————————————————————————————————————————————————————</w:t>
      </w:r>
    </w:p>
    <w:p>
      <w:pPr>
        <w:spacing w:before="160" w:after="40" w:line="240" w:lineRule="auto"/>
      </w:pPr>
      <w:r>
        <w:rPr>
          <w:b/>
        </w:rPr>
        <w:t xml:space="preserve">[530] </w:t>
      </w:r>
      <w:hyperlink r:id="rId853">
        <w:r>
          <w:rPr>
            <w:color w:val="1155CC"/>
            <w:u w:val="single"/>
          </w:rPr>
          <w:t>利用增强的内建电场促进可持续氟化电-芬顿水净化</w:t>
        </w:r>
      </w:hyperlink>
    </w:p>
    <w:p>
      <w:pPr>
        <w:spacing w:before="0" w:after="80"/>
      </w:pPr>
      <w:r>
        <w:rPr>
          <w:i/>
          <w:sz w:val="20"/>
        </w:rPr>
        <w:t>EN: Heterojunction Membranes With Enhanced Built‐in Electric Field for Sustainable Fluidic Electro‐Fenton Water Purification</w:t>
      </w:r>
    </w:p>
    <w:p>
      <w:pPr>
        <w:spacing w:before="0" w:after="120"/>
      </w:pPr>
      <w:r>
        <w:rPr>
          <w:b/>
        </w:rPr>
        <w:t xml:space="preserve">Source: </w:t>
      </w:r>
      <w:r>
        <w:t>Wiley: Angewandte Chemie International Edition: Table of Contents</w:t>
      </w:r>
      <w:r>
        <w:t xml:space="preserve">    </w:t>
      </w:r>
      <w:r>
        <w:rPr>
          <w:b/>
        </w:rPr>
        <w:t xml:space="preserve">Pub date: </w:t>
      </w:r>
      <w:r>
        <w:t>2026-02-12 04:39:04+00:00</w:t>
      </w:r>
      <w:r>
        <w:t xml:space="preserve">    </w:t>
      </w:r>
      <w:r>
        <w:rPr>
          <w:b/>
        </w:rPr>
        <w:t xml:space="preserve">DOI: </w:t>
      </w:r>
      <w:hyperlink r:id="rId854">
        <w:r>
          <w:rPr>
            <w:color w:val="1155CC"/>
            <w:u w:val="single"/>
          </w:rPr>
          <w:t>10.1002/anie.2333724</w:t>
        </w:r>
      </w:hyperlink>
    </w:p>
    <w:p>
      <w:pPr>
        <w:spacing w:before="0" w:after="120"/>
      </w:pPr>
      <w:r>
        <w:rPr>
          <w:b/>
        </w:rPr>
        <w:t xml:space="preserve">Notes: </w:t>
      </w:r>
      <w:r>
        <w:t>abstract_source=crossref</w:t>
      </w:r>
    </w:p>
    <w:p>
      <w:pPr>
        <w:spacing w:before="0" w:after="80" w:lineRule="auto" w:line="276"/>
      </w:pPr>
      <w:r>
        <w:rPr>
          <w:b/>
        </w:rPr>
        <w:t xml:space="preserve">摘要（ZH）: </w:t>
      </w:r>
      <w:r>
        <w:t>阴极缓慢的干涉电子传输严重限制了电-芬顿(EF)在原位H 2 O 2 O 2 电子合成器和Fe(III)/Fe(II) 重新氧化循环的效率。在这里,利用一个强化的内建电场(BIEF)进行合理设计的外壳式FeOCl@rGo 电催化膜(EMs)与增强的内建电场(BIEF)的电磁场(BIEF)。BIEF优化了O 2/H 2 O 2 O 2 的吸附配置和Fe 地点的d&amp;bandrod Centrentral,为此鼓励了局部电源再分配并建立了定向能量。</w:t>
      </w:r>
    </w:p>
    <w:p>
      <w:pPr>
        <w:spacing w:before="0" w:after="200" w:lineRule="auto" w:line="276"/>
      </w:pPr>
      <w:r>
        <w:rPr>
          <w:b/>
        </w:rPr>
        <w:t xml:space="preserve">Abstract (EN): </w:t>
      </w:r>
      <w:r>
        <w:t>The sluggish interfacial electron transfer at the cathode significantly limits the efficiency of in situ H</w:t>
      </w:r>
      <w:r>
        <w:rPr>
          <w:vertAlign w:val="subscript"/>
        </w:rPr>
        <w:t>2</w:t>
      </w:r>
      <w:r>
        <w:t>O</w:t>
      </w:r>
      <w:r>
        <w:rPr>
          <w:vertAlign w:val="subscript"/>
        </w:rPr>
        <w:t>2</w:t>
      </w:r>
      <w:r>
        <w:t>electrosynthesis and the Fe(III)/Fe(II) redox cycle in electro‐Fenton (EF). Herein, heterojunction FeOCl@rGO electrocatalytic membranes (EMs) with an enhanced built‐in electric field (BIEF) were rationally designed employing an interface engineering approach. The BIEF optimizes the adsorption configuration of O</w:t>
      </w:r>
      <w:r>
        <w:rPr>
          <w:vertAlign w:val="subscript"/>
        </w:rPr>
        <w:t>2</w:t>
      </w:r>
      <w:r>
        <w:t>/H</w:t>
      </w:r>
      <w:r>
        <w:rPr>
          <w:vertAlign w:val="subscript"/>
        </w:rPr>
        <w:t>2</w:t>
      </w:r>
      <w:r>
        <w:t>O</w:t>
      </w:r>
      <w:r>
        <w:rPr>
          <w:vertAlign w:val="subscript"/>
        </w:rPr>
        <w:t>2</w:t>
      </w:r>
      <w:r>
        <w:t>and the d‐band center of Fe sites by instigating local charge redistribution and establishing a directional potential gradient at the heterointerface, which significantly promotes the on‐site synthesis of H</w:t>
      </w:r>
      <w:r>
        <w:rPr>
          <w:vertAlign w:val="subscript"/>
        </w:rPr>
        <w:t>2</w:t>
      </w:r>
      <w:r>
        <w:t>O</w:t>
      </w:r>
      <w:r>
        <w:rPr>
          <w:vertAlign w:val="subscript"/>
        </w:rPr>
        <w:t>2</w:t>
      </w:r>
      <w:r>
        <w:t>and the continuous regeneration of Fe(II). The BIEF‐enhanced EMs exhibit excellent EF performance across a wide pH range and in various natural water matrices, enabling rapid degradation of diverse organic pollutants with extremely low energy consumption (0.395 kWh m</w:t>
      </w:r>
      <w:r>
        <w:t xml:space="preserve"> </w:t>
      </w:r>
      <w:r>
        <w:t>−3</w:t>
      </w:r>
      <w:r>
        <w:t xml:space="preserve"> </w:t>
      </w:r>
      <w:r>
        <w:t>order</w:t>
      </w:r>
      <w:r>
        <w:t xml:space="preserve"> </w:t>
      </w:r>
      <w:r>
        <w:t>−1</w:t>
      </w:r>
      <w:r>
        <w:t xml:space="preserve"> </w:t>
      </w:r>
      <w:r>
        <w:t>). Under continuous filtration operation, the pollutant removal efficiency approaches 100% at a unit cost of 0.0035 USD/liter. This heterojunction‐regulated BIEF strategy provides an important tool for regulating interfacial charge dynamics and H</w:t>
      </w:r>
      <w:r>
        <w:rPr>
          <w:vertAlign w:val="subscript"/>
        </w:rPr>
        <w:t>2</w:t>
      </w:r>
      <w:r>
        <w:t>O</w:t>
      </w:r>
      <w:r>
        <w:rPr>
          <w:vertAlign w:val="subscript"/>
        </w:rPr>
        <w:t>2</w:t>
      </w:r>
      <w:r>
        <w:t>activation in EF, showcasing great potential in energy‐efficient water purification.</w:t>
      </w:r>
    </w:p>
    <w:p>
      <w:pPr>
        <w:spacing w:before="120" w:after="120"/>
      </w:pPr>
      <w:r>
        <w:rPr>
          <w:sz w:val="18"/>
        </w:rPr>
        <w:t>——————————————————————————————————————————————————————————————————————</w:t>
      </w:r>
    </w:p>
    <w:p>
      <w:pPr>
        <w:spacing w:before="160" w:after="40" w:line="240" w:lineRule="auto"/>
      </w:pPr>
      <w:r>
        <w:rPr>
          <w:b/>
        </w:rPr>
        <w:t xml:space="preserve">[531] </w:t>
      </w:r>
      <w:hyperlink r:id="rId855">
        <w:r>
          <w:rPr>
            <w:color w:val="1155CC"/>
            <w:u w:val="single"/>
          </w:rPr>
          <w:t>CO2和H2O 由高密度镍粉单点催化剂与前所未有的CO 变化率</w:t>
        </w:r>
      </w:hyperlink>
    </w:p>
    <w:p>
      <w:pPr>
        <w:spacing w:before="0" w:after="80"/>
      </w:pPr>
      <w:r>
        <w:rPr>
          <w:i/>
          <w:sz w:val="20"/>
        </w:rPr>
        <w:t>EN: Solar‐Driven CO2 and H2O Conversion Over a High‐Density Nickel Single‐Site Catalyst With Unprecedented CO Evolution Rate</w:t>
      </w:r>
    </w:p>
    <w:p>
      <w:pPr>
        <w:spacing w:before="0" w:after="120"/>
      </w:pPr>
      <w:r>
        <w:rPr>
          <w:b/>
        </w:rPr>
        <w:t xml:space="preserve">Source: </w:t>
      </w:r>
      <w:r>
        <w:t>Wiley: Angewandte Chemie International Edition: Table of Contents</w:t>
      </w:r>
      <w:r>
        <w:t xml:space="preserve">    </w:t>
      </w:r>
      <w:r>
        <w:rPr>
          <w:b/>
        </w:rPr>
        <w:t xml:space="preserve">Pub date: </w:t>
      </w:r>
      <w:r>
        <w:t>2026-02-12 04:40:20+00:00</w:t>
      </w:r>
      <w:r>
        <w:t xml:space="preserve">    </w:t>
      </w:r>
      <w:r>
        <w:rPr>
          <w:b/>
        </w:rPr>
        <w:t xml:space="preserve">DOI: </w:t>
      </w:r>
      <w:hyperlink r:id="rId856">
        <w:r>
          <w:rPr>
            <w:color w:val="1155CC"/>
            <w:u w:val="single"/>
          </w:rPr>
          <w:t>10.1002/anie.202525685</w:t>
        </w:r>
      </w:hyperlink>
    </w:p>
    <w:p>
      <w:pPr>
        <w:spacing w:before="0" w:after="120"/>
      </w:pPr>
      <w:r>
        <w:rPr>
          <w:b/>
        </w:rPr>
        <w:t xml:space="preserve">Notes: </w:t>
      </w:r>
      <w:r>
        <w:t>abstract_source=crossref</w:t>
      </w:r>
    </w:p>
    <w:p>
      <w:pPr>
        <w:spacing w:before="0" w:after="80" w:lineRule="auto" w:line="276"/>
      </w:pPr>
      <w:r>
        <w:rPr>
          <w:b/>
        </w:rPr>
        <w:t xml:space="preserve">摘要（ZH）: </w:t>
      </w:r>
      <w:r>
        <w:t>在光热催化剂方面,实现二氧化碳(CO2)与水(H2 O)的减少仍是一项重大挑战,我们在此报告,基于一个多孔芳香框架(PAF)的高密度硝基单硝基苯催化剂,这一框架使在无需添加剂的情况下,在完全光化下的纯H2 O下有效减少二氧化碳,无需添加剂。</w:t>
      </w:r>
    </w:p>
    <w:p>
      <w:pPr>
        <w:spacing w:before="0" w:after="200" w:lineRule="auto" w:line="276"/>
      </w:pPr>
      <w:r>
        <w:rPr>
          <w:b/>
        </w:rPr>
        <w:t xml:space="preserve">Abstract (EN): </w:t>
      </w:r>
      <w:r>
        <w:t>Achieving carbon dioxide (CO</w:t>
      </w:r>
      <w:r>
        <w:rPr>
          <w:vertAlign w:val="subscript"/>
        </w:rPr>
        <w:t>2</w:t>
      </w:r>
      <w:r>
        <w:t>) reduction with water (H</w:t>
      </w:r>
      <w:r>
        <w:rPr>
          <w:vertAlign w:val="subscript"/>
        </w:rPr>
        <w:t>2</w:t>
      </w:r>
      <w:r>
        <w:t>O) on photothermal catalysts remains a major challenge. Here, we report a high‐density Ni single‐site catalyst based on a porous aromatic framework (PAF), which enables efficient CO</w:t>
      </w:r>
      <w:r>
        <w:rPr>
          <w:vertAlign w:val="subscript"/>
        </w:rPr>
        <w:t>2</w:t>
      </w:r>
      <w:r>
        <w:t>reduction in pure H</w:t>
      </w:r>
      <w:r>
        <w:rPr>
          <w:vertAlign w:val="subscript"/>
        </w:rPr>
        <w:t>2</w:t>
      </w:r>
      <w:r>
        <w:t>O under full‐spectrum illumination without the need for additives. Ni‐PAF achieves CO production rates of 25.64 mmol·g</w:t>
      </w:r>
      <w:r>
        <w:t xml:space="preserve"> </w:t>
      </w:r>
      <w:r>
        <w:t>−1</w:t>
      </w:r>
      <w:r>
        <w:t xml:space="preserve"> </w:t>
      </w:r>
      <w:r>
        <w:t>·h</w:t>
      </w:r>
      <w:r>
        <w:t xml:space="preserve"> </w:t>
      </w:r>
      <w:r>
        <w:t>−1</w:t>
      </w:r>
      <w:r>
        <w:t xml:space="preserve"> </w:t>
      </w:r>
      <w:r>
        <w:t>under Xe light and 229.04 mmol·g</w:t>
      </w:r>
      <w:r>
        <w:t xml:space="preserve"> </w:t>
      </w:r>
      <w:r>
        <w:t>−1</w:t>
      </w:r>
      <w:r>
        <w:t xml:space="preserve"> </w:t>
      </w:r>
      <w:r>
        <w:t>·h</w:t>
      </w:r>
      <w:r>
        <w:t xml:space="preserve"> </w:t>
      </w:r>
      <w:r>
        <w:t>−1</w:t>
      </w:r>
      <w:r>
        <w:t xml:space="preserve"> </w:t>
      </w:r>
      <w:r>
        <w:t>under concentrated sunlight, exceeding all reported results. Nitrogen‐rich groups anchor Ni single sites uniformly, serving as the active centers for the activation of CO</w:t>
      </w:r>
      <w:r>
        <w:rPr>
          <w:vertAlign w:val="subscript"/>
        </w:rPr>
        <w:t>2</w:t>
      </w:r>
      <w:r>
        <w:t>and H</w:t>
      </w:r>
      <w:r>
        <w:rPr>
          <w:vertAlign w:val="subscript"/>
        </w:rPr>
        <w:t>2</w:t>
      </w:r>
      <w:r>
        <w:t>O. Calculations and experiments show that UV–Vis light drives charge transfer, while IR absorption induces a localized temperature rise. Besides, the low thermal conductivity of PAF confines this heat, creating a thermal microenvironment that enhances charge migration and proton transfer, thereby accelerating CO</w:t>
      </w:r>
      <w:r>
        <w:rPr>
          <w:vertAlign w:val="subscript"/>
        </w:rPr>
        <w:t>2</w:t>
      </w:r>
      <w:r>
        <w:t>conversion. These synergistic effects make Ni‐PAF a highly promising catalyst for solar‐driven CO</w:t>
      </w:r>
      <w:r>
        <w:rPr>
          <w:vertAlign w:val="subscript"/>
        </w:rPr>
        <w:t>2</w:t>
      </w:r>
      <w:r>
        <w:t>reduction in H</w:t>
      </w:r>
      <w:r>
        <w:rPr>
          <w:vertAlign w:val="subscript"/>
        </w:rPr>
        <w:t>2</w:t>
      </w:r>
      <w:r>
        <w:t>O and offer new opportunities for designing efficient photothermal catalysts toward solar fuel production.</w:t>
      </w:r>
    </w:p>
    <w:p>
      <w:pPr>
        <w:spacing w:before="120" w:after="120"/>
      </w:pPr>
      <w:r>
        <w:rPr>
          <w:sz w:val="18"/>
        </w:rPr>
        <w:t>——————————————————————————————————————————————————————————————————————</w:t>
      </w:r>
    </w:p>
    <w:p>
      <w:pPr>
        <w:spacing w:before="160" w:after="40" w:line="240" w:lineRule="auto"/>
      </w:pPr>
      <w:r>
        <w:rPr>
          <w:b/>
        </w:rPr>
        <w:t xml:space="preserve">[532] </w:t>
      </w:r>
      <w:hyperlink r:id="rId857">
        <w:r>
          <w:rPr>
            <w:color w:val="1155CC"/>
            <w:u w:val="single"/>
          </w:rPr>
          <w:t>通过Hole-运输材料分子工程减少Perovskite太阳能电池界面能源损失</w:t>
        </w:r>
      </w:hyperlink>
    </w:p>
    <w:p>
      <w:pPr>
        <w:spacing w:before="0" w:after="80"/>
      </w:pPr>
      <w:r>
        <w:rPr>
          <w:i/>
          <w:sz w:val="20"/>
        </w:rPr>
        <w:t>EN: Reducing Interface Energy Loss of Perovskite Solar Cells by Molecular Engineering of Hole‐Transporting Materials</w:t>
      </w:r>
    </w:p>
    <w:p>
      <w:pPr>
        <w:spacing w:before="0" w:after="120"/>
      </w:pPr>
      <w:r>
        <w:rPr>
          <w:b/>
        </w:rPr>
        <w:t xml:space="preserve">Source: </w:t>
      </w:r>
      <w:r>
        <w:t>Wiley: Angewandte Chemie International Edition: Table of Contents</w:t>
      </w:r>
      <w:r>
        <w:t xml:space="preserve">    </w:t>
      </w:r>
      <w:r>
        <w:rPr>
          <w:b/>
        </w:rPr>
        <w:t xml:space="preserve">Pub date: </w:t>
      </w:r>
      <w:r>
        <w:t>2026-02-12 04:41:25+00:00</w:t>
      </w:r>
      <w:r>
        <w:t xml:space="preserve">    </w:t>
      </w:r>
      <w:r>
        <w:rPr>
          <w:b/>
        </w:rPr>
        <w:t xml:space="preserve">DOI: </w:t>
      </w:r>
      <w:hyperlink r:id="rId858">
        <w:r>
          <w:rPr>
            <w:color w:val="1155CC"/>
            <w:u w:val="single"/>
          </w:rPr>
          <w:t>10.1002/anie.202523799</w:t>
        </w:r>
      </w:hyperlink>
    </w:p>
    <w:p>
      <w:pPr>
        <w:spacing w:before="0" w:after="120"/>
      </w:pPr>
      <w:r>
        <w:rPr>
          <w:b/>
        </w:rPr>
        <w:t xml:space="preserve">Notes: </w:t>
      </w:r>
      <w:r>
        <w:t>abstract_source=crossref</w:t>
      </w:r>
    </w:p>
    <w:p>
      <w:pPr>
        <w:spacing w:before="0" w:after="80" w:lineRule="auto" w:line="276"/>
      </w:pPr>
      <w:r>
        <w:rPr>
          <w:b/>
        </w:rPr>
        <w:t xml:space="preserve">摘要（ZH）: </w:t>
      </w:r>
      <w:r>
        <w:t>文献中报告了许多新的空洞运输材料(HTMs),这些材料在提高百草枯太阳能电池(PSCs)的效率和稳定性方面发挥着至关重要的作用;然而,使用这些HTMs的PSCs继续因能量水平失调和缺陷状态而导致的异子再组合。 据报道,HTMs的巧妙分子设计(HD03有三苯乙烯乙烯,WD04有三苯乙烯)有效地调节其能量水平和消能。 WD03和perovskite之间的最佳带幅调整对于加强开路电压至关重要(WD03和VERVS)。</w:t>
      </w:r>
    </w:p>
    <w:p>
      <w:pPr>
        <w:spacing w:before="0" w:after="200" w:lineRule="auto" w:line="276"/>
      </w:pPr>
      <w:r>
        <w:rPr>
          <w:b/>
        </w:rPr>
        <w:t xml:space="preserve">Abstract (EN): </w:t>
      </w:r>
      <w:r>
        <w:t>Numerous novel hole‐transporting materials (HTMs) have been reported in the literature, which play a vital role in enhancing the efficiency and stability of perovskite solar cells (PSCs). However, the PSCs using these HTMs continue to suffer from exciton recombination induced by energy level misalignment and defect states. Herein, an ingenious molecular design for HTMs (</w:t>
      </w:r>
      <w:r>
        <w:t xml:space="preserve"> </w:t>
      </w:r>
      <w:r>
        <w:t>WD03</w:t>
      </w:r>
      <w:r>
        <w:t xml:space="preserve"> </w:t>
      </w:r>
      <w:r>
        <w:t>with triphenylethylene and</w:t>
      </w:r>
      <w:r>
        <w:t xml:space="preserve"> </w:t>
      </w:r>
      <w:r>
        <w:t>WD04</w:t>
      </w:r>
      <w:r>
        <w:t xml:space="preserve"> </w:t>
      </w:r>
      <w:r>
        <w:t>with trithienylethylene) is reported to modulate their energy levels and passivation effectively. The optimal band alignment between</w:t>
      </w:r>
      <w:r>
        <w:t xml:space="preserve"> </w:t>
      </w:r>
      <w:r>
        <w:t>WD03</w:t>
      </w:r>
      <w:r>
        <w:t xml:space="preserve"> </w:t>
      </w:r>
      <w:r>
        <w:t>and perovskite is crucial for enhancing the open‐circuit voltage (</w:t>
      </w:r>
      <w:r>
        <w:t xml:space="preserve"> </w:t>
      </w:r>
      <w:r>
        <w:t>V</w:t>
      </w:r>
      <w:r>
        <w:t xml:space="preserve"> </w:t>
      </w:r>
      <w:r>
        <w:t>oc</w:t>
      </w:r>
      <w:r>
        <w:t xml:space="preserve"> </w:t>
      </w:r>
      <w:r>
        <w:t>), which minimizes the interface carrier recombination. The theoretical analysis reveals that replacing thiophene with benzene enhances the passivation ability of HTM, resulting in a more substantial passivation effect on the Pb‐cluster defect of perovskite. These factors contribute to a high</w:t>
      </w:r>
      <w:r>
        <w:t xml:space="preserve"> </w:t>
      </w:r>
      <w:r>
        <w:t>V</w:t>
      </w:r>
      <w:r>
        <w:t xml:space="preserve"> </w:t>
      </w:r>
      <w:r>
        <w:t>oc</w:t>
      </w:r>
      <w:r>
        <w:t xml:space="preserve"> </w:t>
      </w:r>
      <w:r>
        <w:t>(1.194 V) of</w:t>
      </w:r>
      <w:r>
        <w:t xml:space="preserve"> </w:t>
      </w:r>
      <w:r>
        <w:t>WD03</w:t>
      </w:r>
      <w:r>
        <w:t xml:space="preserve"> </w:t>
      </w:r>
      <w:r>
        <w:t>‐based cell, ranking among the highest values for</w:t>
      </w:r>
      <w:r>
        <w:t xml:space="preserve"> </w:t>
      </w:r>
      <w:r>
        <w:t>n–i–p</w:t>
      </w:r>
      <w:r>
        <w:t xml:space="preserve"> </w:t>
      </w:r>
      <w:r>
        <w:t>PSCs with a normal bandgap perovskite absorber. Moreover, the propeller‐shaped</w:t>
      </w:r>
      <w:r>
        <w:t xml:space="preserve"> </w:t>
      </w:r>
      <w:r>
        <w:t>WD03</w:t>
      </w:r>
      <w:r>
        <w:t xml:space="preserve"> </w:t>
      </w:r>
      <w:r>
        <w:t>strikes an excellent balance between charge transport and film quality. Owing to these advantages, the PSC based on dopant‐free</w:t>
      </w:r>
      <w:r>
        <w:t xml:space="preserve"> </w:t>
      </w:r>
      <w:r>
        <w:t>WD03</w:t>
      </w:r>
      <w:r>
        <w:t xml:space="preserve"> </w:t>
      </w:r>
      <w:r>
        <w:t>with surface modification attains a remarkable efficiency of 23.66% and the PSC based on doped</w:t>
      </w:r>
      <w:r>
        <w:t xml:space="preserve"> </w:t>
      </w:r>
      <w:r>
        <w:t>WD03</w:t>
      </w:r>
      <w:r>
        <w:t xml:space="preserve"> </w:t>
      </w:r>
      <w:r>
        <w:t>reaches an exceptional efficiency of 25.79%. Following the substitution of trithienylethylene with triphenylethylene, the</w:t>
      </w:r>
      <w:r>
        <w:t xml:space="preserve"> </w:t>
      </w:r>
      <w:r>
        <w:t>WD03</w:t>
      </w:r>
      <w:r>
        <w:t xml:space="preserve"> </w:t>
      </w:r>
      <w:r>
        <w:t>‐based cell exhibits enhanced stability compared to the cell based on</w:t>
      </w:r>
      <w:r>
        <w:t xml:space="preserve"> </w:t>
      </w:r>
      <w:r>
        <w:t>WD04</w:t>
      </w:r>
      <w:r>
        <w:t xml:space="preserve"> </w:t>
      </w:r>
      <w:r>
        <w:t>. This work emphasizes the significance of molecular engineering of HTMs in regulating energy level and passivation ability, which are crucial for achieving high</w:t>
      </w:r>
      <w:r>
        <w:t xml:space="preserve"> </w:t>
      </w:r>
      <w:r>
        <w:t>V</w:t>
      </w:r>
      <w:r>
        <w:t xml:space="preserve"> </w:t>
      </w:r>
      <w:r>
        <w:t>oc</w:t>
      </w:r>
      <w:r>
        <w:t xml:space="preserve"> </w:t>
      </w:r>
      <w:r>
        <w:t>and stability in PSCs.</w:t>
      </w:r>
    </w:p>
    <w:p>
      <w:pPr>
        <w:spacing w:before="120" w:after="120"/>
      </w:pPr>
      <w:r>
        <w:rPr>
          <w:sz w:val="18"/>
        </w:rPr>
        <w:t>——————————————————————————————————————————————————————————————————————</w:t>
      </w:r>
    </w:p>
    <w:p>
      <w:pPr>
        <w:spacing w:before="160" w:after="40" w:line="240" w:lineRule="auto"/>
      </w:pPr>
      <w:r>
        <w:rPr>
          <w:b/>
        </w:rPr>
        <w:t xml:space="preserve">[533] </w:t>
      </w:r>
      <w:hyperlink r:id="rId859">
        <w:r>
          <w:rPr>
            <w:color w:val="1155CC"/>
            <w:u w:val="single"/>
          </w:rPr>
          <w:t>从共价裂痕到荧光信龙:用于研究Ubiquitin和Ubiquitin like Proteins的化学研究的化学勘探的扩大的Arsenal</w:t>
        </w:r>
      </w:hyperlink>
    </w:p>
    <w:p>
      <w:pPr>
        <w:spacing w:before="0" w:after="80"/>
      </w:pPr>
      <w:r>
        <w:rPr>
          <w:i/>
          <w:sz w:val="20"/>
        </w:rPr>
        <w:t>EN: From Covalent Traps to Fluorescent Beacons: The Expanding Arsenal of Chemical Probes for Studying Ubiquitin and Ubiquitin‐Like Proteins</w:t>
      </w:r>
    </w:p>
    <w:p>
      <w:pPr>
        <w:spacing w:before="0" w:after="120"/>
      </w:pPr>
      <w:r>
        <w:rPr>
          <w:b/>
        </w:rPr>
        <w:t xml:space="preserve">Source: </w:t>
      </w:r>
      <w:r>
        <w:t>Wiley: Angewandte Chemie International Edition: Table of Contents</w:t>
      </w:r>
      <w:r>
        <w:t xml:space="preserve">    </w:t>
      </w:r>
      <w:r>
        <w:rPr>
          <w:b/>
        </w:rPr>
        <w:t xml:space="preserve">Pub date: </w:t>
      </w:r>
      <w:r>
        <w:t>2026-02-12 04:42:00+00:00</w:t>
      </w:r>
      <w:r>
        <w:t xml:space="preserve">    </w:t>
      </w:r>
      <w:r>
        <w:rPr>
          <w:b/>
        </w:rPr>
        <w:t xml:space="preserve">DOI: </w:t>
      </w:r>
      <w:hyperlink r:id="rId860">
        <w:r>
          <w:rPr>
            <w:color w:val="1155CC"/>
            <w:u w:val="single"/>
          </w:rPr>
          <w:t>10.1002/anie.202520118</w:t>
        </w:r>
      </w:hyperlink>
    </w:p>
    <w:p>
      <w:pPr>
        <w:spacing w:before="0" w:after="120"/>
      </w:pPr>
      <w:r>
        <w:rPr>
          <w:b/>
        </w:rPr>
        <w:t xml:space="preserve">Notes: </w:t>
      </w:r>
      <w:r>
        <w:t>abstract_source=crossref</w:t>
      </w:r>
    </w:p>
    <w:p>
      <w:pPr>
        <w:spacing w:before="0" w:after="80" w:lineRule="auto" w:line="276"/>
      </w:pPr>
      <w:r>
        <w:rPr>
          <w:b/>
        </w:rPr>
        <w:t xml:space="preserve">摘要（ZH）: </w:t>
      </w:r>
      <w:r>
        <w:t>ABSTACT Ubiquitin (Ub) 和无处不在的类似蛋白质(Ubs) 通过目标蛋白的可逆后翻译变异修改来协调不同的细胞过程,它们的同化由E1激活、E2同化和E3结扎酶的级联来调节,而分解则由非同化(DUBs)和UBL(Ubl)特定蛋白)来调节。分析这些酶的催化活动对于了解Ub/Ub信号的动态和特性至关重要。以活动为基础的探测器(ABPs)已成为强大的工具,通过针对催化残留物的电荷弹头对活性酶进行共贴标签。不同于传统的亲和法,ABPs捕捉到复杂生物系统中的酶功能状态。</w:t>
      </w:r>
    </w:p>
    <w:p>
      <w:pPr>
        <w:spacing w:before="0" w:after="200" w:lineRule="auto" w:line="276"/>
      </w:pPr>
      <w:r>
        <w:rPr>
          <w:b/>
        </w:rPr>
        <w:t xml:space="preserve">Abstract (EN): </w:t>
      </w:r>
      <w:r>
        <w:t>Ubiquitin (Ub) and ubiquitin‐like proteins (Ubls) orchestrate diverse cellular processes through reversible post‐translational modification of target proteins. Their conjugation is governed by a cascade of E1 activating, E2 conjugating, and E3 ligating enzymes, while deconjugation is mediated by deubiquitinases (DUBs) and Ubl‐specific proteases. Profiling the catalytic activity of these enzymes is essential for understanding the dynamics and specificity of Ub/Ubl signaling. Activity‐based probes (ABPs) have emerged as powerful tools to covalently label active enzymes through electrophilic warheads that target catalytic residues. Unlike conventional affinity‐based approaches, ABPs capture functional states of enzymes in complex biological systems. This review provides a comprehensive analysis of ABPs designed for the Ub/Ubl signal pathways, encompassing probes for Ub, SUMO, NEDD8, ISG15, FAT10, UFM1, URM1, Atg8‐family modifiers, and FUBI (MNSFβ). We discuss key elements of probe design, including recognition domains, electrophilic warheads (e.g., vinyl sulfones, vinyl methyl esters, propargylamine, azapeptide esters), and detection tags. Particular emphasis is placed on emerging azapeptide ester‐based probes, which structurally mimic native enzyme‐substrate intermediates and offer high selectivity and reactivity. ABPs targeting E1, E2, and HECT/RBR E3 ligases are also highlighted, expanding their utility beyond classical DUB profiling. We further compare warhead chemistries, enzyme selectivity, and labeling strategies, and examine structural insights derived from probe‐enzyme complexes. Collectively, these tools have transformed our ability to interrogate Ub/Ubl‐regulating enzymes in vitro and in cells. The review concludes with perspectives on next‐generation probe development, including cell‐permeable designs, spatiotemporal control, and applications in systems biology and drug discovery.</w:t>
      </w:r>
    </w:p>
    <w:p>
      <w:pPr>
        <w:spacing w:before="120" w:after="120"/>
      </w:pPr>
      <w:r>
        <w:rPr>
          <w:sz w:val="18"/>
        </w:rPr>
        <w:t>——————————————————————————————————————————————————————————————————————</w:t>
      </w:r>
    </w:p>
    <w:p>
      <w:pPr>
        <w:spacing w:before="160" w:after="40" w:line="240" w:lineRule="auto"/>
      </w:pPr>
      <w:r>
        <w:rPr>
          <w:b/>
        </w:rPr>
        <w:t xml:space="preserve">[534] </w:t>
      </w:r>
      <w:hyperlink r:id="rId861">
        <w:r>
          <w:rPr>
            <w:color w:val="1155CC"/>
            <w:u w:val="single"/>
          </w:rPr>
          <w:t>想象无脊椎动物的丰富生命</w:t>
        </w:r>
      </w:hyperlink>
    </w:p>
    <w:p>
      <w:pPr>
        <w:spacing w:before="0" w:after="80"/>
      </w:pPr>
      <w:r>
        <w:rPr>
          <w:i/>
          <w:sz w:val="20"/>
        </w:rPr>
        <w:t>EN: Imagining the rich lives of invertebrates</w:t>
      </w:r>
    </w:p>
    <w:p>
      <w:pPr>
        <w:spacing w:before="0" w:after="120"/>
      </w:pPr>
      <w:r>
        <w:rPr>
          <w:b/>
        </w:rPr>
        <w:t xml:space="preserve">Source: </w:t>
      </w:r>
      <w:r>
        <w:t>AAAS: Science: Table of Contents</w:t>
      </w:r>
      <w:r>
        <w:t xml:space="preserve">    </w:t>
      </w:r>
      <w:r>
        <w:rPr>
          <w:b/>
        </w:rPr>
        <w:t xml:space="preserve">Pub date: </w:t>
      </w:r>
      <w:r>
        <w:t>2026-02-12 07:00:04+00:00</w:t>
      </w:r>
      <w:r>
        <w:t xml:space="preserve">    </w:t>
      </w:r>
      <w:r>
        <w:rPr>
          <w:b/>
        </w:rPr>
        <w:t xml:space="preserve">DOI: </w:t>
      </w:r>
      <w:hyperlink r:id="rId862">
        <w:r>
          <w:rPr>
            <w:color w:val="1155CC"/>
            <w:u w:val="single"/>
          </w:rPr>
          <w:t>10.1126/science.aec2352</w:t>
        </w:r>
      </w:hyperlink>
    </w:p>
    <w:p>
      <w:pPr>
        <w:spacing w:before="0" w:after="120"/>
      </w:pPr>
      <w:r>
        <w:rPr>
          <w:b/>
        </w:rPr>
        <w:t xml:space="preserve">Notes: </w:t>
      </w:r>
      <w:r>
        <w:t>abstract_source=crossref</w:t>
      </w:r>
    </w:p>
    <w:p>
      <w:pPr>
        <w:spacing w:before="0" w:after="80" w:lineRule="auto" w:line="276"/>
      </w:pPr>
      <w:r>
        <w:rPr>
          <w:b/>
        </w:rPr>
        <w:t xml:space="preserve">摘要（ZH）: </w:t>
      </w:r>
      <w:r>
        <w:t>一位作家的激励性冥想邀请读者以自己的方式考虑那些经常被忽略的生物。</w:t>
      </w:r>
    </w:p>
    <w:p>
      <w:pPr>
        <w:spacing w:before="0" w:after="200" w:lineRule="auto" w:line="276"/>
      </w:pPr>
      <w:r>
        <w:rPr>
          <w:b/>
        </w:rPr>
        <w:t xml:space="preserve">Abstract (EN): </w:t>
      </w:r>
      <w:r>
        <w:t>A writer’s evocative meditations invite readers to consider the often-overlooked creatures on their own terms</w:t>
      </w:r>
    </w:p>
    <w:p>
      <w:pPr>
        <w:spacing w:before="120" w:after="120"/>
      </w:pPr>
      <w:r>
        <w:rPr>
          <w:sz w:val="18"/>
        </w:rPr>
        <w:t>——————————————————————————————————————————————————————————————————————</w:t>
      </w:r>
    </w:p>
    <w:p>
      <w:pPr>
        <w:spacing w:before="160" w:after="40" w:line="240" w:lineRule="auto"/>
      </w:pPr>
      <w:r>
        <w:rPr>
          <w:b/>
        </w:rPr>
        <w:t xml:space="preserve">[535] </w:t>
      </w:r>
      <w:hyperlink r:id="rId863">
        <w:r>
          <w:rPr>
            <w:color w:val="1155CC"/>
            <w:u w:val="single"/>
          </w:rPr>
          <w:t>看不见的科学家</w:t>
        </w:r>
      </w:hyperlink>
    </w:p>
    <w:p>
      <w:pPr>
        <w:spacing w:before="0" w:after="80"/>
      </w:pPr>
      <w:r>
        <w:rPr>
          <w:i/>
          <w:sz w:val="20"/>
        </w:rPr>
        <w:t>EN: The invisible scientist</w:t>
      </w:r>
    </w:p>
    <w:p>
      <w:pPr>
        <w:spacing w:before="0" w:after="120"/>
      </w:pPr>
      <w:r>
        <w:rPr>
          <w:b/>
        </w:rPr>
        <w:t xml:space="preserve">Source: </w:t>
      </w:r>
      <w:r>
        <w:t>AAAS: Science: Table of Contents</w:t>
      </w:r>
      <w:r>
        <w:t xml:space="preserve">    </w:t>
      </w:r>
      <w:r>
        <w:rPr>
          <w:b/>
        </w:rPr>
        <w:t xml:space="preserve">Pub date: </w:t>
      </w:r>
      <w:r>
        <w:t>2026-02-12 07:00:04+00:00</w:t>
      </w:r>
      <w:r>
        <w:t xml:space="preserve">    </w:t>
      </w:r>
      <w:r>
        <w:rPr>
          <w:b/>
        </w:rPr>
        <w:t xml:space="preserve">DOI: </w:t>
      </w:r>
      <w:hyperlink r:id="rId864">
        <w:r>
          <w:rPr>
            <w:color w:val="1155CC"/>
            <w:u w:val="single"/>
          </w:rPr>
          <w:t>10.1126/science.aeg2379</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[536] </w:t>
      </w:r>
      <w:hyperlink r:id="rId865">
        <w:r>
          <w:rPr>
            <w:color w:val="1155CC"/>
            <w:u w:val="single"/>
          </w:rPr>
          <w:t>急急转弯</w:t>
        </w:r>
      </w:hyperlink>
    </w:p>
    <w:p>
      <w:pPr>
        <w:spacing w:before="0" w:after="80"/>
      </w:pPr>
      <w:r>
        <w:rPr>
          <w:i/>
          <w:sz w:val="20"/>
        </w:rPr>
        <w:t>EN: Taking a sharp turn</w:t>
      </w:r>
    </w:p>
    <w:p>
      <w:pPr>
        <w:spacing w:before="0" w:after="120"/>
      </w:pPr>
      <w:r>
        <w:rPr>
          <w:b/>
        </w:rPr>
        <w:t xml:space="preserve">Source: </w:t>
      </w:r>
      <w:r>
        <w:t>AAAS: Science: Table of Contents</w:t>
      </w:r>
      <w:r>
        <w:t xml:space="preserve">    </w:t>
      </w:r>
      <w:r>
        <w:rPr>
          <w:b/>
        </w:rPr>
        <w:t xml:space="preserve">Pub date: </w:t>
      </w:r>
      <w:r>
        <w:t>2026-02-12 07:00:04+00:00</w:t>
      </w:r>
      <w:r>
        <w:t xml:space="preserve">    </w:t>
      </w:r>
      <w:r>
        <w:rPr>
          <w:b/>
        </w:rPr>
        <w:t xml:space="preserve">DOI: </w:t>
      </w:r>
      <w:hyperlink r:id="rId866">
        <w:r>
          <w:rPr>
            <w:color w:val="1155CC"/>
            <w:u w:val="single"/>
          </w:rPr>
          <w:t>10.1126/science.aeg1977</w:t>
        </w:r>
      </w:hyperlink>
    </w:p>
    <w:p>
      <w:pPr>
        <w:spacing w:before="0" w:after="120"/>
      </w:pPr>
      <w:r>
        <w:rPr>
          <w:b/>
        </w:rPr>
        <w:t xml:space="preserve">Notes: </w:t>
      </w:r>
      <w:r>
        <w:t>abstract_source=crossref</w:t>
      </w:r>
    </w:p>
    <w:p>
      <w:pPr>
        <w:spacing w:before="0" w:after="80" w:lineRule="auto" w:line="276"/>
      </w:pPr>
      <w:r>
        <w:rPr>
          <w:b/>
        </w:rPr>
        <w:t xml:space="preserve">摘要（ZH）: </w:t>
      </w:r>
      <w:r>
        <w:t>本周,美国科学进步协会(AAAS,科学出版商)在亚利桑那州凤凰城召开年会。 这次会议的主题是“规模科学 ”, 与现任美国联邦政府的科学萎缩形成鲜明对比。 在试图削弱科学的政治企图中,来自学术界、产业界、政府、企业、医学、法律、伦理和其他部门的人们聚集一堂,是展望未来的机会。</w:t>
      </w:r>
    </w:p>
    <w:p>
      <w:pPr>
        <w:spacing w:before="0" w:after="200" w:lineRule="auto" w:line="276"/>
      </w:pPr>
      <w:r>
        <w:rPr>
          <w:b/>
        </w:rPr>
        <w:t xml:space="preserve">Abstract (EN): </w:t>
      </w:r>
      <w:r>
        <w:t>This week, the American Association for the Advancement of Science (AAAS, the publisher of</w:t>
      </w:r>
      <w:r>
        <w:t xml:space="preserve"> </w:t>
      </w:r>
      <w:r>
        <w:t>Science</w:t>
      </w:r>
      <w:r>
        <w:t xml:space="preserve"> </w:t>
      </w:r>
      <w:r>
        <w:t>) convenes its annual meeting in Phoenix, Arizona. The meeting’s theme, “Science at Scale,” stands in stark contrast to the diminishing of science by the current US federal administration. Amid political attempts to weaken science, this gathering of people from academia, industry, government, business, medicine, law, ethics, and other sectors is an opportunity to look to the future.</w:t>
      </w:r>
    </w:p>
    <w:p>
      <w:pPr>
        <w:spacing w:before="120" w:after="120"/>
      </w:pPr>
      <w:r>
        <w:rPr>
          <w:sz w:val="18"/>
        </w:rPr>
        <w:t>——————————————————————————————————————————————————————————————————————</w:t>
      </w:r>
    </w:p>
    <w:p>
      <w:pPr>
        <w:spacing w:before="160" w:after="40" w:line="240" w:lineRule="auto"/>
      </w:pPr>
      <w:r>
        <w:rPr>
          <w:b/>
        </w:rPr>
        <w:t xml:space="preserve">[537] </w:t>
      </w:r>
      <w:hyperlink r:id="rId867">
        <w:r>
          <w:rPr>
            <w:color w:val="1155CC"/>
            <w:u w:val="single"/>
          </w:rPr>
          <w:t>功能梯度有助于大象胡须的触觉感测</w:t>
        </w:r>
      </w:hyperlink>
    </w:p>
    <w:p>
      <w:pPr>
        <w:spacing w:before="0" w:after="80"/>
      </w:pPr>
      <w:r>
        <w:rPr>
          <w:i/>
          <w:sz w:val="20"/>
        </w:rPr>
        <w:t>EN: Functional gradients facilitate tactile sensing in elephant whiskers</w:t>
      </w:r>
    </w:p>
    <w:p>
      <w:pPr>
        <w:spacing w:before="0" w:after="120"/>
      </w:pPr>
      <w:r>
        <w:rPr>
          <w:b/>
        </w:rPr>
        <w:t xml:space="preserve">Source: </w:t>
      </w:r>
      <w:r>
        <w:t>AAAS: Science: Table of Contents</w:t>
      </w:r>
      <w:r>
        <w:t xml:space="preserve">    </w:t>
      </w:r>
      <w:r>
        <w:rPr>
          <w:b/>
        </w:rPr>
        <w:t xml:space="preserve">Pub date: </w:t>
      </w:r>
      <w:r>
        <w:t>2026-02-12 07:00:04+00:00</w:t>
      </w:r>
      <w:r>
        <w:t xml:space="preserve">    </w:t>
      </w:r>
      <w:r>
        <w:rPr>
          <w:b/>
        </w:rPr>
        <w:t xml:space="preserve">DOI: </w:t>
      </w:r>
      <w:hyperlink r:id="rId868">
        <w:r>
          <w:rPr>
            <w:color w:val="1155CC"/>
            <w:u w:val="single"/>
          </w:rPr>
          <w:t>10.1126/science.adx8981</w:t>
        </w:r>
      </w:hyperlink>
    </w:p>
    <w:p>
      <w:pPr>
        <w:spacing w:before="0" w:after="120"/>
      </w:pPr>
      <w:r>
        <w:rPr>
          <w:b/>
        </w:rPr>
        <w:t xml:space="preserve">Notes: </w:t>
      </w:r>
      <w:r>
        <w:t>abstract_source=crossref</w:t>
      </w:r>
    </w:p>
    <w:p>
      <w:pPr>
        <w:spacing w:before="0" w:after="80" w:lineRule="auto" w:line="276"/>
      </w:pPr>
      <w:r>
        <w:rPr>
          <w:b/>
        </w:rPr>
        <w:t xml:space="preserve">摘要（ZH）: </w:t>
      </w:r>
      <w:r>
        <w:t>Keratin 合成物使动物能够用蹄子、羽毛和皮肤感知来爬行。 哺乳动物的胡须是长长的棒,附在扩大动物感官体积的触动性皮肤结构上。 我们调查了覆盖亚洲大象(Elephas prainus)干体的胡须,发现这些胡须是几何和机械定制的,目的是通过将电动感应点的接触点编码起来,从而方便触觉的触觉。 大象的胡须来自装甲后箱皮肤,从厚厚厚的、圆圆形的、多孔的、坚硬的底到薄的、卵盘的、稠密的、软的脚。 这些功能性梯度的几何、孔性、孔状和僵硬度的梯度,独立地调节着精灵的神经机械学。</w:t>
      </w:r>
    </w:p>
    <w:p>
      <w:pPr>
        <w:spacing w:before="0" w:after="200" w:lineRule="auto" w:line="276"/>
      </w:pPr>
      <w:r>
        <w:rPr>
          <w:b/>
        </w:rPr>
        <w:t xml:space="preserve">Abstract (EN): </w:t>
      </w:r>
      <w:r>
        <w:t>Keratin composites enable animals to hike with hooves, fly with feathers, and sense with skin. Mammalian whiskers are elongated keratin rods attached to tactile skin structures that extend the animal’s sensory volume. We investigated the whiskers that cover Asian elephant (</w:t>
      </w:r>
      <w:r>
        <w:t xml:space="preserve"> </w:t>
      </w:r>
      <w:r>
        <w:t>Elephas maximus</w:t>
      </w:r>
      <w:r>
        <w:t xml:space="preserve"> </w:t>
      </w:r>
      <w:r>
        <w:t>) trunks and found that they are geometrically and mechanically tailored to facilitate tactile perception by encoding contact location in the amplitude and frequency of the vibrotactile signal felt at the whisker base. Elephant whiskers emerge from armored trunk skin and shift from a thick, circular, porous, stiff base to a thin, ovular, dense, soft tip. These functional gradients of geometry, porosity, and stiffness independently tune the neuromechanics of elephant trunk touch to facilitate highly dexterous manipulation while ensuring whisker durability.</w:t>
      </w:r>
    </w:p>
    <w:p>
      <w:pPr>
        <w:spacing w:before="120" w:after="120"/>
      </w:pPr>
      <w:r>
        <w:rPr>
          <w:sz w:val="18"/>
        </w:rPr>
        <w:t>——————————————————————————————————————————————————————————————————————</w:t>
      </w:r>
    </w:p>
    <w:p>
      <w:pPr>
        <w:spacing w:before="160" w:after="40" w:line="240" w:lineRule="auto"/>
      </w:pPr>
      <w:r>
        <w:rPr>
          <w:b/>
        </w:rPr>
        <w:t xml:space="preserve">[538] </w:t>
      </w:r>
      <w:hyperlink r:id="rId869">
        <w:r>
          <w:rPr>
            <w:color w:val="1155CC"/>
            <w:u w:val="single"/>
          </w:rPr>
          <w:t>脂肪燃烧的瓶颈</w:t>
        </w:r>
      </w:hyperlink>
    </w:p>
    <w:p>
      <w:pPr>
        <w:spacing w:before="0" w:after="80"/>
      </w:pPr>
      <w:r>
        <w:rPr>
          <w:i/>
          <w:sz w:val="20"/>
        </w:rPr>
        <w:t>EN: The bottleneck of fat burning</w:t>
      </w:r>
    </w:p>
    <w:p>
      <w:pPr>
        <w:spacing w:before="0" w:after="120"/>
      </w:pPr>
      <w:r>
        <w:rPr>
          <w:b/>
        </w:rPr>
        <w:t xml:space="preserve">Source: </w:t>
      </w:r>
      <w:r>
        <w:t>AAAS: Science: Table of Contents</w:t>
      </w:r>
      <w:r>
        <w:t xml:space="preserve">    </w:t>
      </w:r>
      <w:r>
        <w:rPr>
          <w:b/>
        </w:rPr>
        <w:t xml:space="preserve">Pub date: </w:t>
      </w:r>
      <w:r>
        <w:t>2026-02-12 07:00:04+00:00</w:t>
      </w:r>
      <w:r>
        <w:t xml:space="preserve">    </w:t>
      </w:r>
      <w:r>
        <w:rPr>
          <w:b/>
        </w:rPr>
        <w:t xml:space="preserve">DOI: </w:t>
      </w:r>
      <w:hyperlink r:id="rId870">
        <w:r>
          <w:rPr>
            <w:color w:val="1155CC"/>
            <w:u w:val="single"/>
          </w:rPr>
          <w:t>10.1126/science.aef2173</w:t>
        </w:r>
      </w:hyperlink>
    </w:p>
    <w:p>
      <w:pPr>
        <w:spacing w:before="0" w:after="120"/>
      </w:pPr>
      <w:r>
        <w:rPr>
          <w:b/>
        </w:rPr>
        <w:t xml:space="preserve">Notes: </w:t>
      </w:r>
      <w:r>
        <w:t>abstract_source=crossref</w:t>
      </w:r>
    </w:p>
    <w:p>
      <w:pPr>
        <w:spacing w:before="0" w:after="80" w:lineRule="auto" w:line="276"/>
      </w:pPr>
      <w:r>
        <w:rPr>
          <w:b/>
        </w:rPr>
        <w:t xml:space="preserve">摘要（ZH）: </w:t>
      </w:r>
      <w:r>
        <w:t>在需要脂肪消费时,米托氏体迁移蛋白蛋白会促进小鼠的炭硝酸合成</w:t>
      </w:r>
    </w:p>
    <w:p>
      <w:pPr>
        <w:spacing w:before="0" w:after="200" w:lineRule="auto" w:line="276"/>
      </w:pPr>
      <w:r>
        <w:rPr>
          <w:b/>
        </w:rPr>
        <w:t xml:space="preserve">Abstract (EN): </w:t>
      </w:r>
      <w:r>
        <w:t>A mitochondrial transport protein promotes carnitine synthesis in mice when fat consumption is needed</w:t>
      </w:r>
    </w:p>
    <w:p>
      <w:pPr>
        <w:spacing w:before="120" w:after="120"/>
      </w:pPr>
      <w:r>
        <w:rPr>
          <w:sz w:val="18"/>
        </w:rPr>
        <w:t>——————————————————————————————————————————————————————————————————————</w:t>
      </w:r>
    </w:p>
    <w:p>
      <w:pPr>
        <w:spacing w:before="160" w:after="40" w:line="240" w:lineRule="auto"/>
      </w:pPr>
      <w:r>
        <w:rPr>
          <w:b/>
        </w:rPr>
        <w:t xml:space="preserve">[539] </w:t>
      </w:r>
      <w:hyperlink r:id="rId871">
        <w:r>
          <w:rPr>
            <w:color w:val="1155CC"/>
            <w:u w:val="single"/>
          </w:rPr>
          <w:t>电子废物贸易推动环境不公正</w:t>
        </w:r>
      </w:hyperlink>
    </w:p>
    <w:p>
      <w:pPr>
        <w:spacing w:before="0" w:after="80"/>
      </w:pPr>
      <w:r>
        <w:rPr>
          <w:i/>
          <w:sz w:val="20"/>
        </w:rPr>
        <w:t>EN: e-Waste trade drives environmental injustice</w:t>
      </w:r>
    </w:p>
    <w:p>
      <w:pPr>
        <w:spacing w:before="0" w:after="120"/>
      </w:pPr>
      <w:r>
        <w:rPr>
          <w:b/>
        </w:rPr>
        <w:t xml:space="preserve">Source: </w:t>
      </w:r>
      <w:r>
        <w:t>AAAS: Science: Table of Contents</w:t>
      </w:r>
      <w:r>
        <w:t xml:space="preserve">    </w:t>
      </w:r>
      <w:r>
        <w:rPr>
          <w:b/>
        </w:rPr>
        <w:t xml:space="preserve">Pub date: </w:t>
      </w:r>
      <w:r>
        <w:t>2026-02-12 07:00:04+00:00</w:t>
      </w:r>
      <w:r>
        <w:t xml:space="preserve">    </w:t>
      </w:r>
      <w:r>
        <w:rPr>
          <w:b/>
        </w:rPr>
        <w:t xml:space="preserve">DOI: </w:t>
      </w:r>
      <w:hyperlink r:id="rId872">
        <w:r>
          <w:rPr>
            <w:color w:val="1155CC"/>
            <w:u w:val="single"/>
          </w:rPr>
          <w:t>10.1126/science.aef0275</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[540] </w:t>
      </w:r>
      <w:hyperlink r:id="rId873">
        <w:r>
          <w:rPr>
            <w:color w:val="1155CC"/>
            <w:u w:val="single"/>
          </w:rPr>
          <w:t>推动一个美国图标的恢复</w:t>
        </w:r>
      </w:hyperlink>
    </w:p>
    <w:p>
      <w:pPr>
        <w:spacing w:before="0" w:after="80"/>
      </w:pPr>
      <w:r>
        <w:rPr>
          <w:i/>
          <w:sz w:val="20"/>
        </w:rPr>
        <w:t>EN: Driving forward the restoration of an American icon</w:t>
      </w:r>
    </w:p>
    <w:p>
      <w:pPr>
        <w:spacing w:before="0" w:after="120"/>
      </w:pPr>
      <w:r>
        <w:rPr>
          <w:b/>
        </w:rPr>
        <w:t xml:space="preserve">Source: </w:t>
      </w:r>
      <w:r>
        <w:t>AAAS: Science: Table of Contents</w:t>
      </w:r>
      <w:r>
        <w:t xml:space="preserve">    </w:t>
      </w:r>
      <w:r>
        <w:rPr>
          <w:b/>
        </w:rPr>
        <w:t xml:space="preserve">Pub date: </w:t>
      </w:r>
      <w:r>
        <w:t>2026-02-12 07:00:04+00:00</w:t>
      </w:r>
      <w:r>
        <w:t xml:space="preserve">    </w:t>
      </w:r>
      <w:r>
        <w:rPr>
          <w:b/>
        </w:rPr>
        <w:t xml:space="preserve">DOI: </w:t>
      </w:r>
      <w:hyperlink r:id="rId874">
        <w:r>
          <w:rPr>
            <w:color w:val="1155CC"/>
            <w:u w:val="single"/>
          </w:rPr>
          <w:t>10.1126/science.aee8977</w:t>
        </w:r>
      </w:hyperlink>
    </w:p>
    <w:p>
      <w:pPr>
        <w:spacing w:before="0" w:after="120"/>
      </w:pPr>
      <w:r>
        <w:rPr>
          <w:b/>
        </w:rPr>
        <w:t xml:space="preserve">Notes: </w:t>
      </w:r>
      <w:r>
        <w:t>abstract_source=crossref</w:t>
      </w:r>
    </w:p>
    <w:p>
      <w:pPr>
        <w:spacing w:before="0" w:after="80" w:lineRule="auto" w:line="276"/>
      </w:pPr>
      <w:r>
        <w:rPr>
          <w:b/>
        </w:rPr>
        <w:t xml:space="preserve">摘要（ZH）: </w:t>
      </w:r>
      <w:r>
        <w:t>基因组知情的育种和新的转化方法可提高美国栗子树的抗病性</w:t>
      </w:r>
    </w:p>
    <w:p>
      <w:pPr>
        <w:spacing w:before="0" w:after="200" w:lineRule="auto" w:line="276"/>
      </w:pPr>
      <w:r>
        <w:rPr>
          <w:b/>
        </w:rPr>
        <w:t xml:space="preserve">Abstract (EN): </w:t>
      </w:r>
      <w:r>
        <w:t>Genome-informed breeding and new transformation approaches could improve disease resistance of the American chestnut tree</w:t>
      </w:r>
    </w:p>
    <w:p>
      <w:pPr>
        <w:spacing w:before="120" w:after="120"/>
      </w:pPr>
      <w:r>
        <w:rPr>
          <w:sz w:val="18"/>
        </w:rPr>
        <w:t>——————————————————————————————————————————————————————————————————————</w:t>
      </w:r>
    </w:p>
    <w:p>
      <w:pPr>
        <w:spacing w:before="160" w:after="40" w:line="240" w:lineRule="auto"/>
      </w:pPr>
      <w:r>
        <w:rPr>
          <w:b/>
        </w:rPr>
        <w:t xml:space="preserve">[541] </w:t>
      </w:r>
      <w:hyperlink r:id="rId875">
        <w:r>
          <w:rPr>
            <w:color w:val="1155CC"/>
            <w:u w:val="single"/>
          </w:rPr>
          <w:t>意识的难以捉摸的性质</w:t>
        </w:r>
      </w:hyperlink>
    </w:p>
    <w:p>
      <w:pPr>
        <w:spacing w:before="0" w:after="80"/>
      </w:pPr>
      <w:r>
        <w:rPr>
          <w:i/>
          <w:sz w:val="20"/>
        </w:rPr>
        <w:t>EN: The elusive nature of consciousness</w:t>
      </w:r>
    </w:p>
    <w:p>
      <w:pPr>
        <w:spacing w:before="0" w:after="120"/>
      </w:pPr>
      <w:r>
        <w:rPr>
          <w:b/>
        </w:rPr>
        <w:t xml:space="preserve">Source: </w:t>
      </w:r>
      <w:r>
        <w:t>AAAS: Science: Table of Contents</w:t>
      </w:r>
      <w:r>
        <w:t xml:space="preserve">    </w:t>
      </w:r>
      <w:r>
        <w:rPr>
          <w:b/>
        </w:rPr>
        <w:t xml:space="preserve">Pub date: </w:t>
      </w:r>
      <w:r>
        <w:t>2026-02-12 07:00:04+00:00</w:t>
      </w:r>
      <w:r>
        <w:t xml:space="preserve">    </w:t>
      </w:r>
      <w:r>
        <w:rPr>
          <w:b/>
        </w:rPr>
        <w:t xml:space="preserve">DOI: </w:t>
      </w:r>
      <w:hyperlink r:id="rId876">
        <w:r>
          <w:rPr>
            <w:color w:val="1155CC"/>
            <w:u w:val="single"/>
          </w:rPr>
          <w:t>10.1126/science.aec8147</w:t>
        </w:r>
      </w:hyperlink>
    </w:p>
    <w:p>
      <w:pPr>
        <w:spacing w:before="0" w:after="120"/>
      </w:pPr>
      <w:r>
        <w:rPr>
          <w:b/>
        </w:rPr>
        <w:t xml:space="preserve">Notes: </w:t>
      </w:r>
      <w:r>
        <w:t>abstract_source=crossref</w:t>
      </w:r>
    </w:p>
    <w:p>
      <w:pPr>
        <w:spacing w:before="0" w:after="80" w:lineRule="auto" w:line="276"/>
      </w:pPr>
      <w:r>
        <w:rPr>
          <w:b/>
        </w:rPr>
        <w:t xml:space="preserve">摘要（ZH）: </w:t>
      </w:r>
      <w:r>
        <w:t>一位作家在研究神经科学最棘手的问题</w:t>
      </w:r>
    </w:p>
    <w:p>
      <w:pPr>
        <w:spacing w:before="0" w:after="200" w:lineRule="auto" w:line="276"/>
      </w:pPr>
      <w:r>
        <w:rPr>
          <w:b/>
        </w:rPr>
        <w:t xml:space="preserve">Abstract (EN): </w:t>
      </w:r>
      <w:r>
        <w:t>A writer grapples with neuroscience’s hardest problem</w:t>
      </w:r>
    </w:p>
    <w:p>
      <w:pPr>
        <w:spacing w:before="120" w:after="120"/>
      </w:pPr>
      <w:r>
        <w:rPr>
          <w:sz w:val="18"/>
        </w:rPr>
        <w:t>——————————————————————————————————————————————————————————————————————</w:t>
      </w:r>
    </w:p>
    <w:p>
      <w:pPr>
        <w:spacing w:before="160" w:after="40" w:line="240" w:lineRule="auto"/>
      </w:pPr>
      <w:r>
        <w:rPr>
          <w:b/>
        </w:rPr>
        <w:t xml:space="preserve">[542] </w:t>
      </w:r>
      <w:hyperlink r:id="rId877">
        <w:r>
          <w:rPr>
            <w:color w:val="1155CC"/>
            <w:u w:val="single"/>
          </w:rPr>
          <w:t>保持囚室的适合性</w:t>
        </w:r>
      </w:hyperlink>
    </w:p>
    <w:p>
      <w:pPr>
        <w:spacing w:before="0" w:after="80"/>
      </w:pPr>
      <w:r>
        <w:rPr>
          <w:i/>
          <w:sz w:val="20"/>
        </w:rPr>
        <w:t>EN: Keeping cells fit</w:t>
      </w:r>
    </w:p>
    <w:p>
      <w:pPr>
        <w:spacing w:before="0" w:after="120"/>
      </w:pPr>
      <w:r>
        <w:rPr>
          <w:b/>
        </w:rPr>
        <w:t xml:space="preserve">Source: </w:t>
      </w:r>
      <w:r>
        <w:t>AAAS: Science: Table of Contents</w:t>
      </w:r>
      <w:r>
        <w:t xml:space="preserve">    </w:t>
      </w:r>
      <w:r>
        <w:rPr>
          <w:b/>
        </w:rPr>
        <w:t xml:space="preserve">Pub date: </w:t>
      </w:r>
      <w:r>
        <w:t>2026-02-12 07:00:04+00:00</w:t>
      </w:r>
      <w:r>
        <w:t xml:space="preserve">    </w:t>
      </w:r>
      <w:r>
        <w:rPr>
          <w:b/>
        </w:rPr>
        <w:t xml:space="preserve">DOI: </w:t>
      </w:r>
      <w:hyperlink r:id="rId878">
        <w:r>
          <w:rPr>
            <w:color w:val="1155CC"/>
            <w:u w:val="single"/>
          </w:rPr>
          <w:t>10.1126/science.aee7910</w:t>
        </w:r>
      </w:hyperlink>
    </w:p>
    <w:p>
      <w:pPr>
        <w:spacing w:before="0" w:after="120"/>
      </w:pPr>
      <w:r>
        <w:rPr>
          <w:b/>
        </w:rPr>
        <w:t xml:space="preserve">Notes: </w:t>
      </w:r>
      <w:r>
        <w:t>abstract_source=crossref</w:t>
      </w:r>
    </w:p>
    <w:p>
      <w:pPr>
        <w:spacing w:before="0" w:after="80" w:lineRule="auto" w:line="276"/>
      </w:pPr>
      <w:r>
        <w:rPr>
          <w:b/>
        </w:rPr>
        <w:t xml:space="preserve">摘要（ZH）: </w:t>
      </w:r>
      <w:r>
        <w:t>与核核核核核子核子核子核子核子核子核子核子子分离的异常细胞式核微核MRNA相对的碎片,以增加转录</w:t>
      </w:r>
    </w:p>
    <w:p>
      <w:pPr>
        <w:spacing w:before="0" w:after="200" w:lineRule="auto" w:line="276"/>
      </w:pPr>
      <w:r>
        <w:rPr>
          <w:b/>
        </w:rPr>
        <w:t xml:space="preserve">Abstract (EN): </w:t>
      </w:r>
      <w:r>
        <w:t>Fragments of aberrant cytoplasmic mRNA pair with nuclear RNAs to augment transcription</w:t>
      </w:r>
    </w:p>
    <w:p>
      <w:pPr>
        <w:spacing w:before="120" w:after="120"/>
      </w:pPr>
      <w:r>
        <w:rPr>
          <w:sz w:val="18"/>
        </w:rPr>
        <w:t>——————————————————————————————————————————————————————————————————————</w:t>
      </w:r>
    </w:p>
    <w:p>
      <w:pPr>
        <w:spacing w:before="160" w:after="40" w:line="240" w:lineRule="auto"/>
      </w:pPr>
      <w:r>
        <w:rPr>
          <w:b/>
        </w:rPr>
        <w:t xml:space="preserve">[543] </w:t>
      </w:r>
      <w:hyperlink r:id="rId879">
        <w:r>
          <w:rPr>
            <w:color w:val="1155CC"/>
            <w:u w:val="single"/>
          </w:rPr>
          <w:t>恢复巴西对大豆的暂停</w:t>
        </w:r>
      </w:hyperlink>
    </w:p>
    <w:p>
      <w:pPr>
        <w:spacing w:before="0" w:after="80"/>
      </w:pPr>
      <w:r>
        <w:rPr>
          <w:i/>
          <w:sz w:val="20"/>
        </w:rPr>
        <w:t>EN: Revive Brazil’s soy moratorium</w:t>
      </w:r>
    </w:p>
    <w:p>
      <w:pPr>
        <w:spacing w:before="0" w:after="120"/>
      </w:pPr>
      <w:r>
        <w:rPr>
          <w:b/>
        </w:rPr>
        <w:t xml:space="preserve">Source: </w:t>
      </w:r>
      <w:r>
        <w:t>AAAS: Science: Table of Contents</w:t>
      </w:r>
      <w:r>
        <w:t xml:space="preserve">    </w:t>
      </w:r>
      <w:r>
        <w:rPr>
          <w:b/>
        </w:rPr>
        <w:t xml:space="preserve">Pub date: </w:t>
      </w:r>
      <w:r>
        <w:t>2026-02-12 07:00:04+00:00</w:t>
      </w:r>
      <w:r>
        <w:t xml:space="preserve">    </w:t>
      </w:r>
      <w:r>
        <w:rPr>
          <w:b/>
        </w:rPr>
        <w:t xml:space="preserve">DOI: </w:t>
      </w:r>
      <w:hyperlink r:id="rId880">
        <w:r>
          <w:rPr>
            <w:color w:val="1155CC"/>
            <w:u w:val="single"/>
          </w:rPr>
          <w:t>10.1126/science.aee7442</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[544] </w:t>
      </w:r>
      <w:hyperlink r:id="rId881">
        <w:r>
          <w:rPr>
            <w:color w:val="1155CC"/>
            <w:u w:val="single"/>
          </w:rPr>
          <w:t>《濒危物种法》的变化威胁到珊瑚礁</w:t>
        </w:r>
      </w:hyperlink>
    </w:p>
    <w:p>
      <w:pPr>
        <w:spacing w:before="0" w:after="80"/>
      </w:pPr>
      <w:r>
        <w:rPr>
          <w:i/>
          <w:sz w:val="20"/>
        </w:rPr>
        <w:t>EN: Endangered Species Act changes threaten reefs</w:t>
      </w:r>
    </w:p>
    <w:p>
      <w:pPr>
        <w:spacing w:before="0" w:after="120"/>
      </w:pPr>
      <w:r>
        <w:rPr>
          <w:b/>
        </w:rPr>
        <w:t xml:space="preserve">Source: </w:t>
      </w:r>
      <w:r>
        <w:t>AAAS: Science: Table of Contents</w:t>
      </w:r>
      <w:r>
        <w:t xml:space="preserve">    </w:t>
      </w:r>
      <w:r>
        <w:rPr>
          <w:b/>
        </w:rPr>
        <w:t xml:space="preserve">Pub date: </w:t>
      </w:r>
      <w:r>
        <w:t>2026-02-12 07:00:04+00:00</w:t>
      </w:r>
      <w:r>
        <w:t xml:space="preserve">    </w:t>
      </w:r>
      <w:r>
        <w:rPr>
          <w:b/>
        </w:rPr>
        <w:t xml:space="preserve">DOI: </w:t>
      </w:r>
      <w:hyperlink r:id="rId882">
        <w:r>
          <w:rPr>
            <w:color w:val="1155CC"/>
            <w:u w:val="single"/>
          </w:rPr>
          <w:t>10.1126/science.aee4748</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[545] </w:t>
      </w:r>
      <w:hyperlink r:id="rId883">
        <w:r>
          <w:rPr>
            <w:color w:val="1155CC"/>
            <w:u w:val="single"/>
          </w:rPr>
          <w:t>病原菌病原菌中的二氧羟己ex酸酸生物合成控制控制图尔格</w:t>
        </w:r>
      </w:hyperlink>
    </w:p>
    <w:p>
      <w:pPr>
        <w:spacing w:before="0" w:after="80"/>
      </w:pPr>
      <w:r>
        <w:rPr>
          <w:i/>
          <w:sz w:val="20"/>
        </w:rPr>
        <w:t>EN: Dihydroxyhexanoic acid biosynthesis controls turgor in pathogenic fungi</w:t>
      </w:r>
    </w:p>
    <w:p>
      <w:pPr>
        <w:spacing w:before="0" w:after="120"/>
      </w:pPr>
      <w:r>
        <w:rPr>
          <w:b/>
        </w:rPr>
        <w:t xml:space="preserve">Source: </w:t>
      </w:r>
      <w:r>
        <w:t>AAAS: Science: Table of Contents</w:t>
      </w:r>
      <w:r>
        <w:t xml:space="preserve">    </w:t>
      </w:r>
      <w:r>
        <w:rPr>
          <w:b/>
        </w:rPr>
        <w:t xml:space="preserve">Pub date: </w:t>
      </w:r>
      <w:r>
        <w:t>2026-02-12 07:00:04+00:00</w:t>
      </w:r>
      <w:r>
        <w:t xml:space="preserve">    </w:t>
      </w:r>
      <w:r>
        <w:rPr>
          <w:b/>
        </w:rPr>
        <w:t xml:space="preserve">DOI: </w:t>
      </w:r>
      <w:hyperlink r:id="rId884">
        <w:r>
          <w:rPr>
            <w:color w:val="1155CC"/>
            <w:u w:val="single"/>
          </w:rPr>
          <w:t>10.1126/science.aec9443</w:t>
        </w:r>
      </w:hyperlink>
    </w:p>
    <w:p>
      <w:pPr>
        <w:spacing w:before="0" w:after="120"/>
      </w:pPr>
      <w:r>
        <w:rPr>
          <w:b/>
        </w:rPr>
        <w:t xml:space="preserve">Notes: </w:t>
      </w:r>
      <w:r>
        <w:t>abstract_source=crossref</w:t>
      </w:r>
    </w:p>
    <w:p>
      <w:pPr>
        <w:spacing w:before="0" w:after="80" w:lineRule="auto" w:line="276"/>
      </w:pPr>
      <w:r>
        <w:rPr>
          <w:b/>
        </w:rPr>
        <w:t xml:space="preserve">摘要（ZH）: </w:t>
      </w:r>
      <w:r>
        <w:t>许多植物致病真菌通过机械方式渗入宿主表面,使用被称为Apressoria的专门感染细胞产生的压强力,这些电压开发半渗透细胞壁,在内部积累骨浆,以便通过渗透产生抗体。虽然已知梅拉宁对于图尔格的生成很重要,但墙底的机理半渗透性仍然不清楚。通过使用反向遗传学,我们发现在菌类中形成半渗透性屏障需要PKS2和PBG13, 以造成炭疽杆菌和水稻爆炸疾病。这些酶合成了3,5-二氢氧乙酸聚合物,这些聚合物是致病性所必不可少的。这些聚合物减少了细胞壁的渗透性,并产生图尔格,而与溶解无关。我们发现一个机制。</w:t>
      </w:r>
    </w:p>
    <w:p>
      <w:pPr>
        <w:spacing w:before="0" w:after="200" w:lineRule="auto" w:line="276"/>
      </w:pPr>
      <w:r>
        <w:rPr>
          <w:b/>
        </w:rPr>
        <w:t xml:space="preserve">Abstract (EN): </w:t>
      </w:r>
      <w:r>
        <w:t>Many plant pathogenic fungi penetrate host surfaces mechanically, using turgor pressure generated by specialized infection cells called appressoria. These appressoria develop semipermeable cell walls and accumulate osmolytes internally to create turgor by osmosis. Although melanin is known to be important for turgor generation, the mechanism underlying wall semipermeability remains unclear. By using reverse genetics, we identified that the enzymes PKS2 and PBG13 are required for forming the semipermeable barrier in fungi causing anthracnose and rice blast diseases. These enzymes synthesize 3,5-dihydroxyhexanoic acid polymers that are essential for pathogenicity. These polymers reduce cell wall permeability and generate turgor, independently of melanization. Our findings uncover a mechanism of fungal turgor generation, linking enzyme function to pathogen penetration and disease potential, presenting new targets for disease control.</w:t>
      </w:r>
    </w:p>
    <w:p>
      <w:pPr>
        <w:spacing w:before="120" w:after="120"/>
      </w:pPr>
      <w:r>
        <w:rPr>
          <w:sz w:val="18"/>
        </w:rPr>
        <w:t>——————————————————————————————————————————————————————————————————————</w:t>
      </w:r>
    </w:p>
    <w:p>
      <w:pPr>
        <w:spacing w:before="160" w:after="40" w:line="240" w:lineRule="auto"/>
      </w:pPr>
      <w:r>
        <w:rPr>
          <w:b/>
        </w:rPr>
        <w:t xml:space="preserve">[546] </w:t>
      </w:r>
      <w:hyperlink r:id="rId885">
        <w:r>
          <w:rPr>
            <w:color w:val="1155CC"/>
            <w:u w:val="single"/>
          </w:rPr>
          <w:t>利用市场适应气候变化</w:t>
        </w:r>
      </w:hyperlink>
    </w:p>
    <w:p>
      <w:pPr>
        <w:spacing w:before="0" w:after="80"/>
      </w:pPr>
      <w:r>
        <w:rPr>
          <w:i/>
          <w:sz w:val="20"/>
        </w:rPr>
        <w:t>EN: Using markets to adapt to climate change</w:t>
      </w:r>
    </w:p>
    <w:p>
      <w:pPr>
        <w:spacing w:before="0" w:after="120"/>
      </w:pPr>
      <w:r>
        <w:rPr>
          <w:b/>
        </w:rPr>
        <w:t xml:space="preserve">Source: </w:t>
      </w:r>
      <w:r>
        <w:t>AAAS: Science: Table of Contents</w:t>
      </w:r>
      <w:r>
        <w:t xml:space="preserve">    </w:t>
      </w:r>
      <w:r>
        <w:rPr>
          <w:b/>
        </w:rPr>
        <w:t xml:space="preserve">Pub date: </w:t>
      </w:r>
      <w:r>
        <w:t>2026-02-12 07:00:04+00:00</w:t>
      </w:r>
      <w:r>
        <w:t xml:space="preserve">    </w:t>
      </w:r>
      <w:r>
        <w:rPr>
          <w:b/>
        </w:rPr>
        <w:t xml:space="preserve">DOI: </w:t>
      </w:r>
      <w:hyperlink r:id="rId886">
        <w:r>
          <w:rPr>
            <w:color w:val="1155CC"/>
            <w:u w:val="single"/>
          </w:rPr>
          <w:t>10.1126/science.aea7431</w:t>
        </w:r>
      </w:hyperlink>
    </w:p>
    <w:p>
      <w:pPr>
        <w:spacing w:before="0" w:after="120"/>
      </w:pPr>
      <w:r>
        <w:rPr>
          <w:b/>
        </w:rPr>
        <w:t xml:space="preserve">Notes: </w:t>
      </w:r>
      <w:r>
        <w:t>abstract_source=crossref</w:t>
      </w:r>
    </w:p>
    <w:p>
      <w:pPr>
        <w:spacing w:before="0" w:after="80" w:lineRule="auto" w:line="276"/>
      </w:pPr>
      <w:r>
        <w:rPr>
          <w:b/>
        </w:rPr>
        <w:t xml:space="preserve">摘要（ZH）: </w:t>
      </w:r>
      <w:r>
        <w:t>研究显示市场是否和何时可以帮助限制气候变化的危害</w:t>
      </w:r>
    </w:p>
    <w:p>
      <w:pPr>
        <w:spacing w:before="0" w:after="200" w:lineRule="auto" w:line="276"/>
      </w:pPr>
      <w:r>
        <w:rPr>
          <w:b/>
        </w:rPr>
        <w:t xml:space="preserve">Abstract (EN): </w:t>
      </w:r>
      <w:r>
        <w:t>Research shows if and when markets can help limit the harms from climate change</w:t>
      </w:r>
    </w:p>
    <w:p>
      <w:pPr>
        <w:spacing w:before="120" w:after="120"/>
      </w:pPr>
      <w:r>
        <w:rPr>
          <w:sz w:val="18"/>
        </w:rPr>
        <w:t>——————————————————————————————————————————————————————————————————————</w:t>
      </w:r>
    </w:p>
    <w:p>
      <w:pPr>
        <w:spacing w:before="160" w:after="40" w:line="240" w:lineRule="auto"/>
      </w:pPr>
      <w:r>
        <w:rPr>
          <w:b/>
        </w:rPr>
        <w:t xml:space="preserve">[547] </w:t>
      </w:r>
      <w:hyperlink r:id="rId887">
        <w:r>
          <w:rPr>
            <w:color w:val="1155CC"/>
            <w:u w:val="single"/>
          </w:rPr>
          <w:t>休息以修补</w:t>
        </w:r>
      </w:hyperlink>
    </w:p>
    <w:p>
      <w:pPr>
        <w:spacing w:before="0" w:after="80"/>
      </w:pPr>
      <w:r>
        <w:rPr>
          <w:i/>
          <w:sz w:val="20"/>
        </w:rPr>
        <w:t>EN: Rest to repair</w:t>
      </w:r>
    </w:p>
    <w:p>
      <w:pPr>
        <w:spacing w:before="0" w:after="120"/>
      </w:pPr>
      <w:r>
        <w:rPr>
          <w:b/>
        </w:rPr>
        <w:t xml:space="preserve">Source: </w:t>
      </w:r>
      <w:r>
        <w:t>AAAS: Science: Table of Contents</w:t>
      </w:r>
      <w:r>
        <w:t xml:space="preserve">    </w:t>
      </w:r>
      <w:r>
        <w:rPr>
          <w:b/>
        </w:rPr>
        <w:t xml:space="preserve">Pub date: </w:t>
      </w:r>
      <w:r>
        <w:t>2026-02-12 07:00:04+00:00</w:t>
      </w:r>
      <w:r>
        <w:t xml:space="preserve">    </w:t>
      </w:r>
      <w:r>
        <w:rPr>
          <w:b/>
        </w:rPr>
        <w:t xml:space="preserve">DOI: </w:t>
      </w:r>
      <w:hyperlink r:id="rId888">
        <w:r>
          <w:rPr>
            <w:color w:val="1155CC"/>
            <w:u w:val="single"/>
          </w:rPr>
          <w:t>10.1126/science.aef0057</w:t>
        </w:r>
      </w:hyperlink>
    </w:p>
    <w:p>
      <w:pPr>
        <w:spacing w:before="0" w:after="120"/>
      </w:pPr>
      <w:r>
        <w:rPr>
          <w:b/>
        </w:rPr>
        <w:t xml:space="preserve">Notes: </w:t>
      </w:r>
      <w:r>
        <w:t>abstract_source=crossref</w:t>
      </w:r>
    </w:p>
    <w:p>
      <w:pPr>
        <w:spacing w:before="0" w:after="80" w:lineRule="auto" w:line="276"/>
      </w:pPr>
      <w:r>
        <w:rPr>
          <w:b/>
        </w:rPr>
        <w:t xml:space="preserve">摘要（ZH）: </w:t>
      </w:r>
      <w:r>
        <w:t>受伤后急性时期,神经神经神经活动加重了肾上腺损伤</w:t>
      </w:r>
    </w:p>
    <w:p>
      <w:pPr>
        <w:spacing w:before="0" w:after="200" w:lineRule="auto" w:line="276"/>
      </w:pPr>
      <w:r>
        <w:rPr>
          <w:b/>
        </w:rPr>
        <w:t xml:space="preserve">Abstract (EN): </w:t>
      </w:r>
      <w:r>
        <w:t>Neuronal activity exacerbates myelin damage in the acute period after injury</w:t>
      </w:r>
    </w:p>
    <w:p>
      <w:pPr>
        <w:spacing w:before="120" w:after="120"/>
      </w:pPr>
      <w:r>
        <w:rPr>
          <w:sz w:val="18"/>
        </w:rPr>
        <w:t>——————————————————————————————————————————————————————————————————————</w:t>
      </w:r>
    </w:p>
    <w:p>
      <w:pPr>
        <w:spacing w:before="160" w:after="40" w:line="240" w:lineRule="auto"/>
      </w:pPr>
      <w:r>
        <w:rPr>
          <w:b/>
        </w:rPr>
        <w:t xml:space="preserve">[548] </w:t>
      </w:r>
      <w:hyperlink r:id="rId889">
        <w:r>
          <w:rPr>
            <w:color w:val="1155CC"/>
            <w:u w:val="single"/>
          </w:rPr>
          <w:t>快速的多层界面传输离子</w:t>
        </w:r>
      </w:hyperlink>
    </w:p>
    <w:p>
      <w:pPr>
        <w:spacing w:before="0" w:after="80"/>
      </w:pPr>
      <w:r>
        <w:rPr>
          <w:i/>
          <w:sz w:val="20"/>
        </w:rPr>
        <w:t>EN: Layered interface transports ions swiftly</w:t>
      </w:r>
    </w:p>
    <w:p>
      <w:pPr>
        <w:spacing w:before="0" w:after="120"/>
      </w:pPr>
      <w:r>
        <w:rPr>
          <w:b/>
        </w:rPr>
        <w:t xml:space="preserve">Source: </w:t>
      </w:r>
      <w:r>
        <w:t>AAAS: Science: Table of Contents</w:t>
      </w:r>
      <w:r>
        <w:t xml:space="preserve">    </w:t>
      </w:r>
      <w:r>
        <w:rPr>
          <w:b/>
        </w:rPr>
        <w:t xml:space="preserve">Pub date: </w:t>
      </w:r>
      <w:r>
        <w:t>2026-02-12 07:00:04+00:00</w:t>
      </w:r>
      <w:r>
        <w:t xml:space="preserve">    </w:t>
      </w:r>
      <w:r>
        <w:rPr>
          <w:b/>
        </w:rPr>
        <w:t xml:space="preserve">DOI: </w:t>
      </w:r>
      <w:hyperlink r:id="rId890">
        <w:r>
          <w:rPr>
            <w:color w:val="1155CC"/>
            <w:u w:val="single"/>
          </w:rPr>
          <w:t>10.1126/science.aee6886</w:t>
        </w:r>
      </w:hyperlink>
    </w:p>
    <w:p>
      <w:pPr>
        <w:spacing w:before="0" w:after="120"/>
      </w:pPr>
      <w:r>
        <w:rPr>
          <w:b/>
        </w:rPr>
        <w:t xml:space="preserve">Notes: </w:t>
      </w:r>
      <w:r>
        <w:t>abstract_source=crossref</w:t>
      </w:r>
    </w:p>
    <w:p>
      <w:pPr>
        <w:spacing w:before="0" w:after="80" w:lineRule="auto" w:line="276"/>
      </w:pPr>
      <w:r>
        <w:rPr>
          <w:b/>
        </w:rPr>
        <w:t xml:space="preserve">摘要（ZH）: </w:t>
      </w:r>
      <w:r>
        <w:t>等级级固电路间段可在工业经营条件下生产氨。</w:t>
      </w:r>
    </w:p>
    <w:p>
      <w:pPr>
        <w:spacing w:before="0" w:after="200" w:lineRule="auto" w:line="276"/>
      </w:pPr>
      <w:r>
        <w:rPr>
          <w:b/>
        </w:rPr>
        <w:t xml:space="preserve">Abstract (EN): </w:t>
      </w:r>
      <w:r>
        <w:t>A hierarchical solid-electrolyte interphase can produce ammonia under industrial operating conditions</w:t>
      </w:r>
    </w:p>
    <w:p>
      <w:pPr>
        <w:spacing w:before="120" w:after="120"/>
      </w:pPr>
      <w:r>
        <w:rPr>
          <w:sz w:val="18"/>
        </w:rPr>
        <w:t>——————————————————————————————————————————————————————————————————————</w:t>
      </w:r>
    </w:p>
    <w:p>
      <w:pPr>
        <w:spacing w:before="160" w:after="40" w:line="240" w:lineRule="auto"/>
      </w:pPr>
      <w:r>
        <w:rPr>
          <w:b/>
        </w:rPr>
        <w:t xml:space="preserve">[549] </w:t>
      </w:r>
      <w:hyperlink r:id="rId891">
        <w:r>
          <w:rPr>
            <w:color w:val="1155CC"/>
            <w:u w:val="single"/>
          </w:rPr>
          <w:t>建设一个更好的工作狗</w:t>
        </w:r>
      </w:hyperlink>
    </w:p>
    <w:p>
      <w:pPr>
        <w:spacing w:before="0" w:after="80"/>
      </w:pPr>
      <w:r>
        <w:rPr>
          <w:i/>
          <w:sz w:val="20"/>
        </w:rPr>
        <w:t>EN: Building a better working dog</w:t>
      </w:r>
    </w:p>
    <w:p>
      <w:pPr>
        <w:spacing w:before="0" w:after="120"/>
      </w:pPr>
      <w:r>
        <w:rPr>
          <w:b/>
        </w:rPr>
        <w:t xml:space="preserve">Source: </w:t>
      </w:r>
      <w:r>
        <w:t>AAAS: Science: Table of Contents</w:t>
      </w:r>
      <w:r>
        <w:t xml:space="preserve">    </w:t>
      </w:r>
      <w:r>
        <w:rPr>
          <w:b/>
        </w:rPr>
        <w:t xml:space="preserve">Pub date: </w:t>
      </w:r>
      <w:r>
        <w:t>2026-02-12 07:00:04+00:00</w:t>
      </w:r>
      <w:r>
        <w:t xml:space="preserve">    </w:t>
      </w:r>
      <w:r>
        <w:rPr>
          <w:b/>
        </w:rPr>
        <w:t xml:space="preserve">DOI: </w:t>
      </w:r>
      <w:hyperlink r:id="rId892">
        <w:r>
          <w:rPr>
            <w:color w:val="1155CC"/>
            <w:u w:val="single"/>
          </w:rPr>
          <w:t>10.1126/science.aeg3195</w:t>
        </w:r>
      </w:hyperlink>
    </w:p>
    <w:p>
      <w:pPr>
        <w:spacing w:before="0" w:after="120"/>
      </w:pPr>
      <w:r>
        <w:rPr>
          <w:b/>
        </w:rPr>
        <w:t xml:space="preserve">Notes: </w:t>
      </w:r>
      <w:r>
        <w:t>abstract_source=crossref</w:t>
      </w:r>
    </w:p>
    <w:p>
      <w:pPr>
        <w:spacing w:before="0" w:after="80" w:lineRule="auto" w:line="276"/>
      </w:pPr>
      <w:r>
        <w:rPr>
          <w:b/>
        </w:rPr>
        <w:t xml:space="preserve">摘要（ZH）: </w:t>
      </w:r>
      <w:r>
        <w:t>半数以上受过帮助残疾人的训练的警犬没有毕业,科学能有所帮助吗?</w:t>
      </w:r>
    </w:p>
    <w:p>
      <w:pPr>
        <w:spacing w:before="0" w:after="200" w:lineRule="auto" w:line="276"/>
      </w:pPr>
      <w:r>
        <w:rPr>
          <w:b/>
        </w:rPr>
        <w:t xml:space="preserve">Abstract (EN): </w:t>
      </w:r>
      <w:r>
        <w:t>More than half of canines trained to help people with disabilities fail to graduate. Can science help?</w:t>
      </w:r>
    </w:p>
    <w:p>
      <w:pPr>
        <w:spacing w:before="120" w:after="120"/>
      </w:pPr>
      <w:r>
        <w:rPr>
          <w:sz w:val="18"/>
        </w:rPr>
        <w:t>——————————————————————————————————————————————————————————————————————</w:t>
      </w:r>
    </w:p>
    <w:p>
      <w:pPr>
        <w:spacing w:before="160" w:after="40" w:line="240" w:lineRule="auto"/>
      </w:pPr>
      <w:r>
        <w:rPr>
          <w:b/>
        </w:rPr>
        <w:t xml:space="preserve">[550] </w:t>
      </w:r>
      <w:hyperlink r:id="rId893">
        <w:r>
          <w:rPr>
            <w:color w:val="1155CC"/>
            <w:u w:val="single"/>
          </w:rPr>
          <w:t>科学杂志</w:t>
        </w:r>
      </w:hyperlink>
    </w:p>
    <w:p>
      <w:pPr>
        <w:spacing w:before="0" w:after="80"/>
      </w:pPr>
      <w:r>
        <w:rPr>
          <w:i/>
          <w:sz w:val="20"/>
        </w:rPr>
        <w:t>EN: In Science Journals</w:t>
      </w:r>
    </w:p>
    <w:p>
      <w:pPr>
        <w:spacing w:before="0" w:after="120"/>
      </w:pPr>
      <w:r>
        <w:rPr>
          <w:b/>
        </w:rPr>
        <w:t xml:space="preserve">Source: </w:t>
      </w:r>
      <w:r>
        <w:t>AAAS: Science: Table of Contents</w:t>
      </w:r>
      <w:r>
        <w:t xml:space="preserve">    </w:t>
      </w:r>
      <w:r>
        <w:rPr>
          <w:b/>
        </w:rPr>
        <w:t xml:space="preserve">Pub date: </w:t>
      </w:r>
      <w:r>
        <w:t>2026-02-12 07:00:04+00:00</w:t>
      </w:r>
      <w:r>
        <w:t xml:space="preserve">    </w:t>
      </w:r>
      <w:r>
        <w:rPr>
          <w:b/>
        </w:rPr>
        <w:t xml:space="preserve">DOI: </w:t>
      </w:r>
      <w:hyperlink r:id="rId894">
        <w:r>
          <w:rPr>
            <w:color w:val="1155CC"/>
            <w:u w:val="single"/>
          </w:rPr>
          <w:t>10.1126/science.aeg3196</w:t>
        </w:r>
      </w:hyperlink>
    </w:p>
    <w:p>
      <w:pPr>
        <w:spacing w:before="0" w:after="120"/>
      </w:pPr>
      <w:r>
        <w:rPr>
          <w:b/>
        </w:rPr>
        <w:t xml:space="preserve">Notes: </w:t>
      </w:r>
      <w:r>
        <w:t>abstract_source=crossref</w:t>
      </w:r>
    </w:p>
    <w:p>
      <w:pPr>
        <w:spacing w:before="0" w:after="80" w:lineRule="auto" w:line="276"/>
      </w:pPr>
      <w:r>
        <w:rPr>
          <w:b/>
        </w:rPr>
        <w:t xml:space="preserve">摘要（ZH）: </w:t>
      </w:r>
      <w:r>
        <w:t>《科学》杂志系列的要点</w:t>
      </w:r>
    </w:p>
    <w:p>
      <w:pPr>
        <w:spacing w:before="0" w:after="200" w:lineRule="auto" w:line="276"/>
      </w:pPr>
      <w:r>
        <w:rPr>
          <w:b/>
        </w:rPr>
        <w:t xml:space="preserve">Abstract (EN): </w:t>
      </w:r>
      <w:r>
        <w:t>Highlights from the</w:t>
      </w:r>
      <w:r>
        <w:t xml:space="preserve"> </w:t>
      </w:r>
      <w:r>
        <w:t>Science</w:t>
      </w:r>
      <w:r>
        <w:t xml:space="preserve"> </w:t>
      </w:r>
      <w:r>
        <w:t>family of journals</w:t>
      </w:r>
    </w:p>
    <w:p>
      <w:pPr>
        <w:spacing w:before="120" w:after="120"/>
      </w:pPr>
      <w:r>
        <w:rPr>
          <w:sz w:val="18"/>
        </w:rPr>
        <w:t>——————————————————————————————————————————————————————————————————————</w:t>
      </w:r>
    </w:p>
    <w:p>
      <w:pPr>
        <w:spacing w:before="160" w:after="40" w:line="240" w:lineRule="auto"/>
      </w:pPr>
      <w:r>
        <w:rPr>
          <w:b/>
        </w:rPr>
        <w:t xml:space="preserve">[551] </w:t>
      </w:r>
      <w:hyperlink r:id="rId895">
        <w:r>
          <w:rPr>
            <w:color w:val="1155CC"/>
            <w:u w:val="single"/>
          </w:rPr>
          <w:t>B. 森林在适应气候变化方面的作用</w:t>
        </w:r>
      </w:hyperlink>
    </w:p>
    <w:p>
      <w:pPr>
        <w:spacing w:before="0" w:after="80"/>
      </w:pPr>
      <w:r>
        <w:rPr>
          <w:i/>
          <w:sz w:val="20"/>
        </w:rPr>
        <w:t>EN: More than mitigation: The role of forests in climate adaptation</w:t>
      </w:r>
    </w:p>
    <w:p>
      <w:pPr>
        <w:spacing w:before="0" w:after="120"/>
      </w:pPr>
      <w:r>
        <w:rPr>
          <w:b/>
        </w:rPr>
        <w:t xml:space="preserve">Source: </w:t>
      </w:r>
      <w:r>
        <w:t>AAAS: Science: Table of Contents</w:t>
      </w:r>
      <w:r>
        <w:t xml:space="preserve">    </w:t>
      </w:r>
      <w:r>
        <w:rPr>
          <w:b/>
        </w:rPr>
        <w:t xml:space="preserve">Pub date: </w:t>
      </w:r>
      <w:r>
        <w:t>2026-02-12 07:00:04+00:00</w:t>
      </w:r>
      <w:r>
        <w:t xml:space="preserve">    </w:t>
      </w:r>
      <w:r>
        <w:rPr>
          <w:b/>
        </w:rPr>
        <w:t xml:space="preserve">DOI: </w:t>
      </w:r>
      <w:hyperlink r:id="rId896">
        <w:r>
          <w:rPr>
            <w:color w:val="1155CC"/>
            <w:u w:val="single"/>
          </w:rPr>
          <w:t>10.1126/science.ads4361</w:t>
        </w:r>
      </w:hyperlink>
    </w:p>
    <w:p>
      <w:pPr>
        <w:spacing w:before="0" w:after="120"/>
      </w:pPr>
      <w:r>
        <w:rPr>
          <w:b/>
        </w:rPr>
        <w:t xml:space="preserve">Notes: </w:t>
      </w:r>
      <w:r>
        <w:t>abstract_source=crossref</w:t>
      </w:r>
    </w:p>
    <w:p>
      <w:pPr>
        <w:spacing w:before="0" w:after="80" w:lineRule="auto" w:line="276"/>
      </w:pPr>
      <w:r>
        <w:rPr>
          <w:b/>
        </w:rPr>
        <w:t xml:space="preserve">摘要（ZH）: </w:t>
      </w:r>
      <w:r>
        <w:t>森林以影响人类福祉的方式调节全球和地方气候。在本审查中,我们讨论了森林调节气候所依赖的规模机制,强调森林对全球减缓和地方适应的贡献。当地森林倾向于缓温、暖暖气候冷和寒冷气候变暖。在自然支持密集森林覆盖的地区,树木主要通过碳吸收促进全球冷却,并在一定程度上抵消了与反贝化有关的变暖。森林通过增加降雨阻截、蒸发和云形成,还影响水文循环,降低潮湿地区的洪水风险,但往往减少下游水的可用性,特别是在干燥的气候中。</w:t>
      </w:r>
    </w:p>
    <w:p>
      <w:pPr>
        <w:spacing w:before="0" w:after="200" w:lineRule="auto" w:line="276"/>
      </w:pPr>
      <w:r>
        <w:rPr>
          <w:b/>
        </w:rPr>
        <w:t xml:space="preserve">Abstract (EN): </w:t>
      </w:r>
      <w:r>
        <w:t>Forests regulate global and local climates in ways that impact human well-being. In this Review, we discuss the scale-dependent mechanisms through which forests regulate climate, highlighting their contributions to global mitigation and local adaptation. Locally, forests tend to buffer temperatures, cooling in warm conditions and warming in cold ones. In regions that naturally support dense forest cover, trees contribute to global cooling primarily through carbon uptake, with some offsetting from albedo-related warming. By enhancing rainfall interception, evapotranspiration, and cloud formation, forests also influence the hydrological cycle, lowering flood risks in humid regions but often reducing downstream water availability, especially in drier climates. Collectively, these interacting processes show that the greatest climate benefits occur where forests are native, highlighting their importance for both climate adaptation and mitigation.</w:t>
      </w:r>
    </w:p>
    <w:p>
      <w:pPr>
        <w:spacing w:before="120" w:after="120"/>
      </w:pPr>
      <w:r>
        <w:rPr>
          <w:sz w:val="18"/>
        </w:rPr>
        <w:t>——————————————————————————————————————————————————————————————————————</w:t>
      </w:r>
    </w:p>
    <w:p>
      <w:pPr>
        <w:spacing w:before="160" w:after="40" w:line="240" w:lineRule="auto"/>
      </w:pPr>
      <w:r>
        <w:rPr>
          <w:b/>
        </w:rPr>
        <w:t xml:space="preserve">[552] </w:t>
      </w:r>
      <w:hyperlink r:id="rId897">
        <w:r>
          <w:rPr>
            <w:color w:val="1155CC"/>
            <w:u w:val="single"/>
          </w:rPr>
          <w:t>征聘双功能调节器的双功能调节器,甲基血清中的热质会引致Xylem命运</w:t>
        </w:r>
      </w:hyperlink>
    </w:p>
    <w:p>
      <w:pPr>
        <w:spacing w:before="0" w:after="80"/>
      </w:pPr>
      <w:r>
        <w:rPr>
          <w:i/>
          <w:sz w:val="20"/>
        </w:rPr>
        <w:t>EN: Recruitment of bifunctional regulator thermospermine to methylated ribosomes directs xylem fate</w:t>
      </w:r>
    </w:p>
    <w:p>
      <w:pPr>
        <w:spacing w:before="0" w:after="120"/>
      </w:pPr>
      <w:r>
        <w:rPr>
          <w:b/>
        </w:rPr>
        <w:t xml:space="preserve">Source: </w:t>
      </w:r>
      <w:r>
        <w:t>AAAS: Science: Table of Contents</w:t>
      </w:r>
      <w:r>
        <w:t xml:space="preserve">    </w:t>
      </w:r>
      <w:r>
        <w:rPr>
          <w:b/>
        </w:rPr>
        <w:t xml:space="preserve">Pub date: </w:t>
      </w:r>
      <w:r>
        <w:t>2026-02-12 07:00:04+00:00</w:t>
      </w:r>
      <w:r>
        <w:t xml:space="preserve">    </w:t>
      </w:r>
      <w:r>
        <w:rPr>
          <w:b/>
        </w:rPr>
        <w:t xml:space="preserve">DOI: </w:t>
      </w:r>
      <w:hyperlink r:id="rId898">
        <w:r>
          <w:rPr>
            <w:color w:val="1155CC"/>
            <w:u w:val="single"/>
          </w:rPr>
          <w:t>10.1126/science.adx2867</w:t>
        </w:r>
      </w:hyperlink>
    </w:p>
    <w:p>
      <w:pPr>
        <w:spacing w:before="0" w:after="120"/>
      </w:pPr>
      <w:r>
        <w:rPr>
          <w:b/>
        </w:rPr>
        <w:t xml:space="preserve">Notes: </w:t>
      </w:r>
      <w:r>
        <w:t>abstract_source=crossref</w:t>
      </w:r>
    </w:p>
    <w:p>
      <w:pPr>
        <w:spacing w:before="0" w:after="80" w:lineRule="auto" w:line="276"/>
      </w:pPr>
      <w:r>
        <w:rPr>
          <w:b/>
        </w:rPr>
        <w:t xml:space="preserve">摘要（ZH）: </w:t>
      </w:r>
      <w:r>
        <w:t>在Arabidopsis, 多聚胺(tSpm)会影响甲状腺细胞命运。tSpm会诱导SUPPPRESOR-OF-ACAULIS51(SAC51)和SAC51-LIKEs(SACLs)的翻译,这些翻译会抑制Xylm开发蛋白体LONTEME-HIGHWAY(LHW)和TARGET-OF-MONOPTEROS5(TARGET-OF-MO-MONOPTEROS5)的异体化。在这里,我们报告一种甲基转移酶OPOSTIEW(OFACHIWEW)将25 SRoposomomal RNA(rNA) 25 SRNA(rNA) 的peptididyl转移酶中心(RNA)的PSpm 3 U2952会将功能性tSpm结合到连接P-RNA(tRNA)和RNA(tNA)在piddiddiddy</w:t>
      </w:r>
    </w:p>
    <w:p>
      <w:pPr>
        <w:spacing w:before="0" w:after="200" w:lineRule="auto" w:line="276"/>
      </w:pPr>
      <w:r>
        <w:rPr>
          <w:b/>
        </w:rPr>
        <w:t xml:space="preserve">Abstract (EN): </w:t>
      </w:r>
      <w:r>
        <w:t>Polyamines are often associated with ribosomes and are thought to stabilize their integrity. In</w:t>
      </w:r>
      <w:r>
        <w:t xml:space="preserve"> </w:t>
      </w:r>
      <w:r>
        <w:t>Arabidopsis</w:t>
      </w:r>
      <w:r>
        <w:t xml:space="preserve"> </w:t>
      </w:r>
      <w:r>
        <w:t>, the polyamine thermospermine (tSpm) affects xylem cell fate. tSpm induces translation of SUPPRESSOR-OF-ACAULIS51 (SAC51) and SAC51-LIKEs (SACLs), which inhibit heterodimerization of the xylem development proteins LONESOME-HIGHWAY (LHW) and TARGET-OF-MONOPTEROS5. Here, we report a methyltransferase, OVERACHIEVER, that methylates the peptidyl transferase center of the 25</w:t>
      </w:r>
      <w:r>
        <w:t xml:space="preserve"> </w:t>
      </w:r>
      <w:r>
        <w:t>S</w:t>
      </w:r>
      <w:r>
        <w:t xml:space="preserve"> </w:t>
      </w:r>
      <w:r>
        <w:t>ribosomal RNA (rRNA). Residue m</w:t>
      </w:r>
      <w:r>
        <w:rPr>
          <w:vertAlign w:val="subscript"/>
        </w:rPr>
        <w:t>3</w:t>
      </w:r>
      <w:r>
        <w:t>U2952 promotes functional tSpm binding to a specific site connecting the P-site transfer RNA (tRNA) with rRNA residues in the peptidyl transferase center. This interaction enhances the translation of SACLs but inhibits that of LHW. Our study uncovers the dependency between a conserved rRNA base methylation and a polyamine in orchestrating cell fate decisions, highlighting a role for the ribosome chemical landscape in translational regulation.</w:t>
      </w:r>
    </w:p>
    <w:p>
      <w:pPr>
        <w:spacing w:before="120" w:after="120"/>
      </w:pPr>
      <w:r>
        <w:rPr>
          <w:sz w:val="18"/>
        </w:rPr>
        <w:t>——————————————————————————————————————————————————————————————————————</w:t>
      </w:r>
    </w:p>
    <w:p>
      <w:pPr>
        <w:spacing w:before="160" w:after="40" w:line="240" w:lineRule="auto"/>
      </w:pPr>
      <w:r>
        <w:rPr>
          <w:b/>
        </w:rPr>
        <w:t xml:space="preserve">[553] </w:t>
      </w:r>
      <w:hyperlink r:id="rId899">
        <w:r>
          <w:rPr>
            <w:color w:val="1155CC"/>
            <w:u w:val="single"/>
          </w:rPr>
          <w:t>禁止捕鱼使长江的生物多样性减少70年已停止</w:t>
        </w:r>
      </w:hyperlink>
    </w:p>
    <w:p>
      <w:pPr>
        <w:spacing w:before="0" w:after="80"/>
      </w:pPr>
      <w:r>
        <w:rPr>
          <w:i/>
          <w:sz w:val="20"/>
        </w:rPr>
        <w:t>EN: Fishing ban halts seven decades of biodiversity decline in the Yangtze River</w:t>
      </w:r>
    </w:p>
    <w:p>
      <w:pPr>
        <w:spacing w:before="0" w:after="120"/>
      </w:pPr>
      <w:r>
        <w:rPr>
          <w:b/>
        </w:rPr>
        <w:t xml:space="preserve">Source: </w:t>
      </w:r>
      <w:r>
        <w:t>AAAS: Science: Table of Contents</w:t>
      </w:r>
      <w:r>
        <w:t xml:space="preserve">    </w:t>
      </w:r>
      <w:r>
        <w:rPr>
          <w:b/>
        </w:rPr>
        <w:t xml:space="preserve">Pub date: </w:t>
      </w:r>
      <w:r>
        <w:t>2026-02-12 07:00:04+00:00</w:t>
      </w:r>
      <w:r>
        <w:t xml:space="preserve">    </w:t>
      </w:r>
      <w:r>
        <w:rPr>
          <w:b/>
        </w:rPr>
        <w:t xml:space="preserve">DOI: </w:t>
      </w:r>
      <w:hyperlink r:id="rId900">
        <w:r>
          <w:rPr>
            <w:color w:val="1155CC"/>
            <w:u w:val="single"/>
          </w:rPr>
          <w:t>10.1126/science.adu5160</w:t>
        </w:r>
      </w:hyperlink>
    </w:p>
    <w:p>
      <w:pPr>
        <w:spacing w:before="0" w:after="120"/>
      </w:pPr>
      <w:r>
        <w:rPr>
          <w:b/>
        </w:rPr>
        <w:t xml:space="preserve">Notes: </w:t>
      </w:r>
      <w:r>
        <w:t>abstract_source=crossref</w:t>
      </w:r>
    </w:p>
    <w:p>
      <w:pPr>
        <w:spacing w:before="0" w:after="80" w:lineRule="auto" w:line="276"/>
      </w:pPr>
      <w:r>
        <w:rPr>
          <w:b/>
        </w:rPr>
        <w:t xml:space="preserve">摘要（ZH）: </w:t>
      </w:r>
      <w:r>
        <w:t>中国经济的快速发展引发了1950年代以来前所未有的淡水生物多样性危机。 为了恢复渔业资源,2021年实施了长江禁渔令,以停止所有全流域商业捕鱼活动。 我们通过在禁令(2018年至2023年)之前和之后评估主要生境的鱼类群落来评估这一大规模养护行动的有效性。 随着鱼类生物量、身体状况、物种多样性以及受威胁物种的初期恢复的改善,七十年生物多样性的丧失停止了。 消除渔业压力可能是恢复的关键,除了针对水质改善、水文和滨河生境恢复以及减少船只交通的行动之外。</w:t>
      </w:r>
    </w:p>
    <w:p>
      <w:pPr>
        <w:spacing w:before="0" w:after="200" w:lineRule="auto" w:line="276"/>
      </w:pPr>
      <w:r>
        <w:rPr>
          <w:b/>
        </w:rPr>
        <w:t xml:space="preserve">Abstract (EN): </w:t>
      </w:r>
      <w:r>
        <w:t>China’s rapid economic development has triggered an unparalleled freshwater biodiversity crisis since the 1950s. To restore fisheries resources, the Yangtze River Fishing Ban was implemented in 2021 to cease all basin-wide commercial fishing. We evaluate the effectiveness of this large-scale conservation action by assessing fish communities across mainstem habitats before and after the ban (2018 to 2023). The seven-decadal biodiversity loss was halted with improvements in fish biomass, body condition, species diversity, and initial recovery of threatened species. Eliminating fishing pressure was likely key to this recovery, in addition to actions targeting water quality improvement, hydrological and riparian habitat restoration, and vessel traffic reduction. Ambitious conservation actions can halt biodiversity loss in the Yangtze River, bringing hope for biodiversity recovery in other large rivers.</w:t>
      </w:r>
    </w:p>
    <w:p>
      <w:pPr>
        <w:spacing w:before="120" w:after="120"/>
      </w:pPr>
      <w:r>
        <w:rPr>
          <w:sz w:val="18"/>
        </w:rPr>
        <w:t>——————————————————————————————————————————————————————————————————————</w:t>
      </w:r>
    </w:p>
    <w:p>
      <w:pPr>
        <w:spacing w:before="160" w:after="40" w:line="240" w:lineRule="auto"/>
      </w:pPr>
      <w:r>
        <w:rPr>
          <w:b/>
        </w:rPr>
        <w:t xml:space="preserve">[554] </w:t>
      </w:r>
      <w:hyperlink r:id="rId901">
        <w:r>
          <w:rPr>
            <w:color w:val="1155CC"/>
            <w:u w:val="single"/>
          </w:rPr>
          <w:t>加速美国栗子恢复的基因组学方法</w:t>
        </w:r>
      </w:hyperlink>
    </w:p>
    <w:p>
      <w:pPr>
        <w:spacing w:before="0" w:after="80"/>
      </w:pPr>
      <w:r>
        <w:rPr>
          <w:i/>
          <w:sz w:val="20"/>
        </w:rPr>
        <w:t>EN: Genomic approaches to accelerate American chestnut restoration</w:t>
      </w:r>
    </w:p>
    <w:p>
      <w:pPr>
        <w:spacing w:before="0" w:after="120"/>
      </w:pPr>
      <w:r>
        <w:rPr>
          <w:b/>
        </w:rPr>
        <w:t xml:space="preserve">Source: </w:t>
      </w:r>
      <w:r>
        <w:t>AAAS: Science: Table of Contents</w:t>
      </w:r>
      <w:r>
        <w:t xml:space="preserve">    </w:t>
      </w:r>
      <w:r>
        <w:rPr>
          <w:b/>
        </w:rPr>
        <w:t xml:space="preserve">Pub date: </w:t>
      </w:r>
      <w:r>
        <w:t>2026-02-12 07:00:04+00:00</w:t>
      </w:r>
      <w:r>
        <w:t xml:space="preserve">    </w:t>
      </w:r>
      <w:r>
        <w:rPr>
          <w:b/>
        </w:rPr>
        <w:t xml:space="preserve">DOI: </w:t>
      </w:r>
      <w:hyperlink r:id="rId902">
        <w:r>
          <w:rPr>
            <w:color w:val="1155CC"/>
            <w:u w:val="single"/>
          </w:rPr>
          <w:t>10.1126/science.adw3225</w:t>
        </w:r>
      </w:hyperlink>
    </w:p>
    <w:p>
      <w:pPr>
        <w:spacing w:before="0" w:after="120"/>
      </w:pPr>
      <w:r>
        <w:rPr>
          <w:b/>
        </w:rPr>
        <w:t xml:space="preserve">Notes: </w:t>
      </w:r>
      <w:r>
        <w:t>abstract_source=crossref</w:t>
      </w:r>
    </w:p>
    <w:p>
      <w:pPr>
        <w:spacing w:before="0" w:after="80" w:lineRule="auto" w:line="276"/>
      </w:pPr>
      <w:r>
        <w:rPr>
          <w:b/>
        </w:rPr>
        <w:t xml:space="preserve">摘要（ZH）: </w:t>
      </w:r>
      <w:r>
        <w:t>在两个引进的病原体杀死了数十亿美洲栗子树后,两个多世纪以来,两处病原体杀死了数十亿美洲栗子,中国栗子抗药性 alleles的侵蚀帮助恢复了自给自足的人口。然而,由于抵抗的复杂基因结构,进展缓慢。为了更好地了解浅色抗药性,我们比较了参考基因组、基因表达反应和抗药性中国和易受感染的美国栗子物种的干代谢素谱。为了加速抗药性繁殖,我们在这些物种的混合体中进行了大规模乳房和基因组化。模拟和接种实验表明,通过有选择地培育平均为70-85%的美国栗子树,可以取得显著的抗药性增益。</w:t>
      </w:r>
    </w:p>
    <w:p>
      <w:pPr>
        <w:spacing w:before="0" w:after="200" w:lineRule="auto" w:line="276"/>
      </w:pPr>
      <w:r>
        <w:rPr>
          <w:b/>
        </w:rPr>
        <w:t xml:space="preserve">Abstract (EN): </w:t>
      </w:r>
      <w:r>
        <w:t>More than a century after two introduced pathogens killed billions of American chestnut trees, introgression of resistance alleles from Chinese chestnuts has contributed to the recovery of self-sustaining populations. However, progress has been slow because of the complex genetic architecture of resistance. To better understand blight resistance, we compared reference genomes, gene expression responses, and stem metabolite profiles of the resistant Chinese and susceptible American chestnut species. To accelerate resistance breeding, we conducted large-scale phenotyping and genotyping in hybrids of these species. Simulation and inoculation experiments suggest that significant resistance gains are possible through selectively breeding trees with an average of 70 to 85% American chestnut ancestry. The resources developed in this work are foundational for breeding to create diverse restoration populations with sufficient disease resistance and competitive growth.</w:t>
      </w:r>
    </w:p>
    <w:p>
      <w:pPr>
        <w:spacing w:before="120" w:after="120"/>
      </w:pPr>
      <w:r>
        <w:rPr>
          <w:sz w:val="18"/>
        </w:rPr>
        <w:t>——————————————————————————————————————————————————————————————————————</w:t>
      </w:r>
    </w:p>
    <w:p>
      <w:pPr>
        <w:spacing w:before="160" w:after="40" w:line="240" w:lineRule="auto"/>
      </w:pPr>
      <w:r>
        <w:rPr>
          <w:b/>
        </w:rPr>
        <w:t xml:space="preserve">[555] </w:t>
      </w:r>
      <w:hyperlink r:id="rId903">
        <w:r>
          <w:rPr>
            <w:color w:val="1155CC"/>
            <w:u w:val="single"/>
          </w:rPr>
          <w:t>安朵美达银河银河系因形成黑洞而消失的一颗巨星</w:t>
        </w:r>
      </w:hyperlink>
    </w:p>
    <w:p>
      <w:pPr>
        <w:spacing w:before="0" w:after="80"/>
      </w:pPr>
      <w:r>
        <w:rPr>
          <w:i/>
          <w:sz w:val="20"/>
        </w:rPr>
        <w:t>EN: Disappearance of a massive star in the Andromeda Galaxy due to formation of a black hole</w:t>
      </w:r>
    </w:p>
    <w:p>
      <w:pPr>
        <w:spacing w:before="0" w:after="120"/>
      </w:pPr>
      <w:r>
        <w:rPr>
          <w:b/>
        </w:rPr>
        <w:t xml:space="preserve">Source: </w:t>
      </w:r>
      <w:r>
        <w:t>AAAS: Science: Table of Contents</w:t>
      </w:r>
      <w:r>
        <w:t xml:space="preserve">    </w:t>
      </w:r>
      <w:r>
        <w:rPr>
          <w:b/>
        </w:rPr>
        <w:t xml:space="preserve">Pub date: </w:t>
      </w:r>
      <w:r>
        <w:t>2026-02-12 07:00:04+00:00</w:t>
      </w:r>
      <w:r>
        <w:t xml:space="preserve">    </w:t>
      </w:r>
      <w:r>
        <w:rPr>
          <w:b/>
        </w:rPr>
        <w:t xml:space="preserve">DOI: </w:t>
      </w:r>
      <w:hyperlink r:id="rId904">
        <w:r>
          <w:rPr>
            <w:color w:val="1155CC"/>
            <w:u w:val="single"/>
          </w:rPr>
          <w:t>10.1126/science.adt4853</w:t>
        </w:r>
      </w:hyperlink>
    </w:p>
    <w:p>
      <w:pPr>
        <w:spacing w:before="0" w:after="120"/>
      </w:pPr>
      <w:r>
        <w:rPr>
          <w:b/>
        </w:rPr>
        <w:t xml:space="preserve">Notes: </w:t>
      </w:r>
      <w:r>
        <w:t>abstract_source=crossref</w:t>
      </w:r>
    </w:p>
    <w:p>
      <w:pPr>
        <w:spacing w:before="0" w:after="80" w:lineRule="auto" w:line="276"/>
      </w:pPr>
      <w:r>
        <w:rPr>
          <w:b/>
        </w:rPr>
        <w:t xml:space="preserve">摘要（ZH）: </w:t>
      </w:r>
      <w:r>
        <w:t>当一个巨型恒星到达其寿命期结束时,其核心崩溃并释放出中微子,将冲击推向外层(星际信封)。足够强烈的冲击将信封抛出,产生超新星。如果冲击未能抛出,则信封预计会回落到崩溃的核心,产生恒星质量黑洞(BH)并导致恒星消失。我们报告对M31-2014-DS1的观测结果,这是安卓美达银河银河系中耗氧超级巨星。2014年,它从2017年到2022年,在红外线中被亮亮,随后又被10的系数消失。</w:t>
      </w:r>
    </w:p>
    <w:p>
      <w:pPr>
        <w:spacing w:before="0" w:after="200" w:lineRule="auto" w:line="276"/>
      </w:pPr>
      <w:r>
        <w:rPr>
          <w:b/>
        </w:rPr>
        <w:t xml:space="preserve">Abstract (EN): </w:t>
      </w:r>
      <w:r>
        <w:t>When a massive star reaches the end of its lifetime, its core collapses and releases neutrinos that drive a shock into the outer layers (the stellar envelope). A sufficiently strong shock ejects the envelope, producing a supernova. If the shock fails to eject it, the envelope is predicted to fall back onto the collapsing core, producing a stellar-mass black hole (BH) and causing the star to disappear. We report observations of M31-2014-DS1, a hydrogen-depleted supergiant in the Andromeda Galaxy. In 2014, it brightened in the mid-infrared, then from 2017 to 2022, it faded by factors of</w:t>
      </w:r>
      <w:r>
        <w:t xml:space="preserve"> </w:t>
      </w:r>
      <w:r>
        <w:t>≳</w:t>
      </w:r>
      <w:r>
        <w:t xml:space="preserve"> </w:t>
      </w:r>
      <w:r>
        <w:rPr>
          <w:vertAlign w:val="subscript"/>
        </w:rPr>
        <w:t>10</w:t>
      </w:r>
      <w:r>
        <w:t xml:space="preserve"> </w:t>
      </w:r>
      <w:r>
        <w:rPr>
          <w:vertAlign w:val="subscript"/>
        </w:rPr>
        <w:t>4</w:t>
      </w:r>
      <w:r>
        <w:t xml:space="preserve"> </w:t>
      </w:r>
      <w:r>
        <w:t>in optical light (becoming undetectable) and</w:t>
      </w:r>
      <w:r>
        <w:t xml:space="preserve"> </w:t>
      </w:r>
      <w:r>
        <w:t>≳</w:t>
      </w:r>
      <w:r>
        <w:rPr>
          <w:vertAlign w:val="subscript"/>
        </w:rPr>
        <w:t>10</w:t>
      </w:r>
      <w:r>
        <w:t xml:space="preserve"> </w:t>
      </w:r>
      <w:r>
        <w:t>in total light. We interpret these observations, and those of a previous event in NGC 6946, as evidence for failed supernovae forming stellar-mass BHs.</w:t>
      </w:r>
    </w:p>
    <w:p>
      <w:pPr>
        <w:spacing w:before="120" w:after="120"/>
      </w:pPr>
      <w:r>
        <w:rPr>
          <w:sz w:val="18"/>
        </w:rPr>
        <w:t>——————————————————————————————————————————————————————————————————————</w:t>
      </w:r>
    </w:p>
    <w:p>
      <w:pPr>
        <w:spacing w:before="160" w:after="40" w:line="240" w:lineRule="auto"/>
      </w:pPr>
      <w:r>
        <w:rPr>
          <w:b/>
        </w:rPr>
        <w:t xml:space="preserve">[556] </w:t>
      </w:r>
      <w:hyperlink r:id="rId905">
        <w:r>
          <w:rPr>
            <w:color w:val="1155CC"/>
            <w:u w:val="single"/>
          </w:rPr>
          <w:t>极年计划加热</w:t>
        </w:r>
      </w:hyperlink>
    </w:p>
    <w:p>
      <w:pPr>
        <w:spacing w:before="0" w:after="80"/>
      </w:pPr>
      <w:r>
        <w:rPr>
          <w:i/>
          <w:sz w:val="20"/>
        </w:rPr>
        <w:t>EN: Polar Year plans heat up</w:t>
      </w:r>
    </w:p>
    <w:p>
      <w:pPr>
        <w:spacing w:before="0" w:after="120"/>
      </w:pPr>
      <w:r>
        <w:rPr>
          <w:b/>
        </w:rPr>
        <w:t xml:space="preserve">Source: </w:t>
      </w:r>
      <w:r>
        <w:t>AAAS: Science: Table of Contents</w:t>
      </w:r>
      <w:r>
        <w:t xml:space="preserve">    </w:t>
      </w:r>
      <w:r>
        <w:rPr>
          <w:b/>
        </w:rPr>
        <w:t xml:space="preserve">Pub date: </w:t>
      </w:r>
      <w:r>
        <w:t>2026-02-12 07:00:04+00:00</w:t>
      </w:r>
      <w:r>
        <w:t xml:space="preserve">    </w:t>
      </w:r>
      <w:r>
        <w:rPr>
          <w:b/>
        </w:rPr>
        <w:t xml:space="preserve">DOI: </w:t>
      </w:r>
      <w:hyperlink r:id="rId906">
        <w:r>
          <w:rPr>
            <w:color w:val="1155CC"/>
            <w:u w:val="single"/>
          </w:rPr>
          <w:t>10.1126/science.aeg3561</w:t>
        </w:r>
      </w:hyperlink>
    </w:p>
    <w:p>
      <w:pPr>
        <w:spacing w:before="0" w:after="120"/>
      </w:pPr>
      <w:r>
        <w:rPr>
          <w:b/>
        </w:rPr>
        <w:t xml:space="preserve">Notes: </w:t>
      </w:r>
      <w:r>
        <w:t>abstract_source=crossref</w:t>
      </w:r>
    </w:p>
    <w:p>
      <w:pPr>
        <w:spacing w:before="0" w:after="80" w:lineRule="auto" w:line="276"/>
      </w:pPr>
      <w:r>
        <w:rPr>
          <w:b/>
        </w:rPr>
        <w:t xml:space="preserve">摘要（ZH）: </w:t>
      </w:r>
      <w:r>
        <w:t>地缘政治给2032年研究极的准备工作蒙上阴影</w:t>
      </w:r>
    </w:p>
    <w:p>
      <w:pPr>
        <w:spacing w:before="0" w:after="200" w:lineRule="auto" w:line="276"/>
      </w:pPr>
      <w:r>
        <w:rPr>
          <w:b/>
        </w:rPr>
        <w:t xml:space="preserve">Abstract (EN): </w:t>
      </w:r>
      <w:r>
        <w:t>Geopolitics cast shadow over preparations for 2032 effort to study poles</w:t>
      </w:r>
    </w:p>
    <w:p>
      <w:pPr>
        <w:spacing w:before="120" w:after="120"/>
      </w:pPr>
      <w:r>
        <w:rPr>
          <w:sz w:val="18"/>
        </w:rPr>
        <w:t>——————————————————————————————————————————————————————————————————————</w:t>
      </w:r>
    </w:p>
    <w:p>
      <w:pPr>
        <w:spacing w:before="160" w:after="40" w:line="240" w:lineRule="auto"/>
      </w:pPr>
      <w:r>
        <w:rPr>
          <w:b/>
        </w:rPr>
        <w:t xml:space="preserve">[557] </w:t>
      </w:r>
      <w:hyperlink r:id="rId907">
        <w:r>
          <w:rPr>
            <w:color w:val="1155CC"/>
            <w:u w:val="single"/>
          </w:rPr>
          <w:t>解释COVID-19疫苗的罕见、危险的副作用</w:t>
        </w:r>
      </w:hyperlink>
    </w:p>
    <w:p>
      <w:pPr>
        <w:spacing w:before="0" w:after="80"/>
      </w:pPr>
      <w:r>
        <w:rPr>
          <w:i/>
          <w:sz w:val="20"/>
        </w:rPr>
        <w:t>EN: Rare, dangerous side effects from COVID-19 vaccines explained</w:t>
      </w:r>
    </w:p>
    <w:p>
      <w:pPr>
        <w:spacing w:before="0" w:after="120"/>
      </w:pPr>
      <w:r>
        <w:rPr>
          <w:b/>
        </w:rPr>
        <w:t xml:space="preserve">Source: </w:t>
      </w:r>
      <w:r>
        <w:t>AAAS: Science: Table of Contents</w:t>
      </w:r>
      <w:r>
        <w:t xml:space="preserve">    </w:t>
      </w:r>
      <w:r>
        <w:rPr>
          <w:b/>
        </w:rPr>
        <w:t xml:space="preserve">Pub date: </w:t>
      </w:r>
      <w:r>
        <w:t>2026-02-12 07:00:04+00:00</w:t>
      </w:r>
      <w:r>
        <w:t xml:space="preserve">    </w:t>
      </w:r>
      <w:r>
        <w:rPr>
          <w:b/>
        </w:rPr>
        <w:t xml:space="preserve">DOI: </w:t>
      </w:r>
      <w:hyperlink r:id="rId908">
        <w:r>
          <w:rPr>
            <w:color w:val="1155CC"/>
            <w:u w:val="single"/>
          </w:rPr>
          <w:t>10.1126/science.aeg3560</w:t>
        </w:r>
      </w:hyperlink>
    </w:p>
    <w:p>
      <w:pPr>
        <w:spacing w:before="0" w:after="120"/>
      </w:pPr>
      <w:r>
        <w:rPr>
          <w:b/>
        </w:rPr>
        <w:t xml:space="preserve">Notes: </w:t>
      </w:r>
      <w:r>
        <w:t>abstract_source=crossref</w:t>
      </w:r>
    </w:p>
    <w:p>
      <w:pPr>
        <w:spacing w:before="0" w:after="80" w:lineRule="auto" w:line="276"/>
      </w:pPr>
      <w:r>
        <w:rPr>
          <w:b/>
        </w:rPr>
        <w:t xml:space="preserve">摘要（ZH）: </w:t>
      </w:r>
      <w:r>
        <w:t>科学家们发现,基于基于亚蛋病毒的射击为什么在一些病人中造成危及生命的血凝块和出血。</w:t>
      </w:r>
    </w:p>
    <w:p>
      <w:pPr>
        <w:spacing w:before="0" w:after="200" w:lineRule="auto" w:line="276"/>
      </w:pPr>
      <w:r>
        <w:rPr>
          <w:b/>
        </w:rPr>
        <w:t xml:space="preserve">Abstract (EN): </w:t>
      </w:r>
      <w:r>
        <w:t>Scientists discover why adenovirus-based shots caused life-threatening blood clots and bleeding in some patients</w:t>
      </w:r>
    </w:p>
    <w:p>
      <w:pPr>
        <w:spacing w:before="120" w:after="120"/>
      </w:pPr>
      <w:r>
        <w:rPr>
          <w:sz w:val="18"/>
        </w:rPr>
        <w:t>——————————————————————————————————————————————————————————————————————</w:t>
      </w:r>
    </w:p>
    <w:p>
      <w:pPr>
        <w:spacing w:before="160" w:after="40" w:line="240" w:lineRule="auto"/>
      </w:pPr>
      <w:r>
        <w:rPr>
          <w:b/>
        </w:rPr>
        <w:t xml:space="preserve">[558] </w:t>
      </w:r>
      <w:hyperlink r:id="rId909">
        <w:r>
          <w:rPr>
            <w:color w:val="1155CC"/>
            <w:u w:val="single"/>
          </w:rPr>
          <w:t>RNA 马上就要复制了</w:t>
        </w:r>
      </w:hyperlink>
    </w:p>
    <w:p>
      <w:pPr>
        <w:spacing w:before="0" w:after="80"/>
      </w:pPr>
      <w:r>
        <w:rPr>
          <w:i/>
          <w:sz w:val="20"/>
        </w:rPr>
        <w:t>EN: RNA comes close to copying itself</w:t>
      </w:r>
    </w:p>
    <w:p>
      <w:pPr>
        <w:spacing w:before="0" w:after="120"/>
      </w:pPr>
      <w:r>
        <w:rPr>
          <w:b/>
        </w:rPr>
        <w:t xml:space="preserve">Source: </w:t>
      </w:r>
      <w:r>
        <w:t>AAAS: Science: Table of Contents</w:t>
      </w:r>
      <w:r>
        <w:t xml:space="preserve">    </w:t>
      </w:r>
      <w:r>
        <w:rPr>
          <w:b/>
        </w:rPr>
        <w:t xml:space="preserve">Pub date: </w:t>
      </w:r>
      <w:r>
        <w:t>2026-02-12 07:00:04+00:00</w:t>
      </w:r>
      <w:r>
        <w:t xml:space="preserve">    </w:t>
      </w:r>
      <w:r>
        <w:rPr>
          <w:b/>
        </w:rPr>
        <w:t xml:space="preserve">DOI: </w:t>
      </w:r>
      <w:hyperlink r:id="rId910">
        <w:r>
          <w:rPr>
            <w:color w:val="1155CC"/>
            <w:u w:val="single"/>
          </w:rPr>
          <w:t>10.1126/science.aeg3559</w:t>
        </w:r>
      </w:hyperlink>
    </w:p>
    <w:p>
      <w:pPr>
        <w:spacing w:before="0" w:after="120"/>
      </w:pPr>
      <w:r>
        <w:rPr>
          <w:b/>
        </w:rPr>
        <w:t xml:space="preserve">Notes: </w:t>
      </w:r>
      <w:r>
        <w:t>abstract_source=crossref</w:t>
      </w:r>
    </w:p>
    <w:p>
      <w:pPr>
        <w:spacing w:before="0" w:after="80" w:lineRule="auto" w:line="276"/>
      </w:pPr>
      <w:r>
        <w:rPr>
          <w:b/>
        </w:rPr>
        <w:t xml:space="preserve">摘要（ZH）: </w:t>
      </w:r>
      <w:r>
        <w:t>一些 RNA 分子可以创建自己的镜像图像, 表明类似的分子可能会引发生命。</w:t>
      </w:r>
    </w:p>
    <w:p>
      <w:pPr>
        <w:spacing w:before="0" w:after="200" w:lineRule="auto" w:line="276"/>
      </w:pPr>
      <w:r>
        <w:rPr>
          <w:b/>
        </w:rPr>
        <w:t xml:space="preserve">Abstract (EN): </w:t>
      </w:r>
      <w:r>
        <w:t>Some RNA molecules can create their own mirror images, suggesting similar molecules could have sparked life</w:t>
      </w:r>
    </w:p>
    <w:p>
      <w:pPr>
        <w:spacing w:before="120" w:after="120"/>
      </w:pPr>
      <w:r>
        <w:rPr>
          <w:sz w:val="18"/>
        </w:rPr>
        <w:t>——————————————————————————————————————————————————————————————————————</w:t>
      </w:r>
    </w:p>
    <w:p>
      <w:pPr>
        <w:spacing w:before="160" w:after="40" w:line="240" w:lineRule="auto"/>
      </w:pPr>
      <w:r>
        <w:rPr>
          <w:b/>
        </w:rPr>
        <w:t xml:space="preserve">[559] </w:t>
      </w:r>
      <w:hyperlink r:id="rId911">
        <w:r>
          <w:rPr>
            <w:color w:val="1155CC"/>
            <w:u w:val="single"/>
          </w:rPr>
          <w:t>增强的利离扩散提高N2-至NH3以100 mA cm-2的当前效率</w:t>
        </w:r>
      </w:hyperlink>
    </w:p>
    <w:p>
      <w:pPr>
        <w:spacing w:before="0" w:after="80"/>
      </w:pPr>
      <w:r>
        <w:rPr>
          <w:i/>
          <w:sz w:val="20"/>
        </w:rPr>
        <w:t>EN: Enhanced Li-ion diffusion improves N2-to-NH3 current efficiency at 100 mA cm−2</w:t>
      </w:r>
    </w:p>
    <w:p>
      <w:pPr>
        <w:spacing w:before="0" w:after="120"/>
      </w:pPr>
      <w:r>
        <w:rPr>
          <w:b/>
        </w:rPr>
        <w:t xml:space="preserve">Source: </w:t>
      </w:r>
      <w:r>
        <w:t>AAAS: Science: Table of Contents</w:t>
      </w:r>
      <w:r>
        <w:t xml:space="preserve">    </w:t>
      </w:r>
      <w:r>
        <w:rPr>
          <w:b/>
        </w:rPr>
        <w:t xml:space="preserve">Pub date: </w:t>
      </w:r>
      <w:r>
        <w:t>2026-02-12 07:00:04+00:00</w:t>
      </w:r>
      <w:r>
        <w:t xml:space="preserve">    </w:t>
      </w:r>
      <w:r>
        <w:rPr>
          <w:b/>
        </w:rPr>
        <w:t xml:space="preserve">DOI: </w:t>
      </w:r>
      <w:hyperlink r:id="rId912">
        <w:r>
          <w:rPr>
            <w:color w:val="1155CC"/>
            <w:u w:val="single"/>
          </w:rPr>
          <w:t>10.1126/science.adw5462</w:t>
        </w:r>
      </w:hyperlink>
    </w:p>
    <w:p>
      <w:pPr>
        <w:spacing w:before="0" w:after="120"/>
      </w:pPr>
      <w:r>
        <w:rPr>
          <w:b/>
        </w:rPr>
        <w:t xml:space="preserve">Notes: </w:t>
      </w:r>
      <w:r>
        <w:t>abstract_source=crossref</w:t>
      </w:r>
    </w:p>
    <w:p>
      <w:pPr>
        <w:spacing w:before="0" w:after="80" w:lineRule="auto" w:line="276"/>
      </w:pPr>
      <w:r>
        <w:rPr>
          <w:b/>
        </w:rPr>
        <w:t xml:space="preserve">摘要（ZH）: </w:t>
      </w:r>
      <w:r>
        <w:t>电化学锂(Li) — — 电化学锂(Li) — — 电化氮(N2)的减少可以在环境温度和压力下生产氨(NH 3),这为减少化学部门碳排放提供了一条途径。 然而,NH 3的生产率往往因固电解介层(SEI)的缓慢的里离脱尘和扩散而受到限制。 我们在这里展示了一种协同溶解:注入层SEI结构,它为以高当前密度将N2有效转化为NH3生产提供了丰富的利离通量。</w:t>
      </w:r>
    </w:p>
    <w:p>
      <w:pPr>
        <w:spacing w:before="0" w:after="200" w:lineRule="auto" w:line="276"/>
      </w:pPr>
      <w:r>
        <w:rPr>
          <w:b/>
        </w:rPr>
        <w:t xml:space="preserve">Abstract (EN): </w:t>
      </w:r>
      <w:r>
        <w:t>Electrochemical lithium (Li)–mediated nitrogen (N</w:t>
      </w:r>
      <w:r>
        <w:rPr>
          <w:vertAlign w:val="subscript"/>
        </w:rPr>
        <w:t>2</w:t>
      </w:r>
      <w:r>
        <w:t>) reduction could enable production of ammonia (NH</w:t>
      </w:r>
      <w:r>
        <w:rPr>
          <w:vertAlign w:val="subscript"/>
        </w:rPr>
        <w:t>3</w:t>
      </w:r>
      <w:r>
        <w:t>) at ambient temperatures and pressures, offering a route to reduce carbon emissions in the chemical sector. However, NH</w:t>
      </w:r>
      <w:r>
        <w:rPr>
          <w:vertAlign w:val="subscript"/>
        </w:rPr>
        <w:t>3</w:t>
      </w:r>
      <w:r>
        <w:t>productivity is often limited by sluggish Li-ion desolvation and diffusion at the solid electrolyte interphase (SEI). Here, we present a concerted desolvation:diffusion layered SEI architecture that provides abundant Li-ion flux for efficient N</w:t>
      </w:r>
      <w:r>
        <w:rPr>
          <w:vertAlign w:val="subscript"/>
        </w:rPr>
        <w:t>2</w:t>
      </w:r>
      <w:r>
        <w:t>conversion toward NH</w:t>
      </w:r>
      <w:r>
        <w:rPr>
          <w:vertAlign w:val="subscript"/>
        </w:rPr>
        <w:t>3</w:t>
      </w:r>
      <w:r>
        <w:t>production at high current densities. The SEI comprises stacked inorganic layers with low ion-binding affinity and high ion-conductivity functionalities that increase Li-ion flux by two orders of magnitude. This design strategy achieved N</w:t>
      </w:r>
      <w:r>
        <w:rPr>
          <w:vertAlign w:val="subscript"/>
        </w:rPr>
        <w:t>2</w:t>
      </w:r>
      <w:r>
        <w:t>electroreduction in a 2 M lithium difluoro(oxalato)borate electrolyte with a Faradaic efficiency of 98% and an energy efficiency of 21% for NH</w:t>
      </w:r>
      <w:r>
        <w:rPr>
          <w:vertAlign w:val="subscript"/>
        </w:rPr>
        <w:t>3</w:t>
      </w:r>
      <w:r>
        <w:t>production at 100 milliamperes per square centimeter (mA cm</w:t>
      </w:r>
      <w:r>
        <w:t xml:space="preserve"> </w:t>
      </w:r>
      <w:r>
        <w:t>−2</w:t>
      </w:r>
      <w:r>
        <w:t xml:space="preserve"> </w:t>
      </w:r>
      <w:r>
        <w:t>). The system sustained an 80% Faradaic efficiency over 40 hours, after which performance declined.</w:t>
      </w:r>
    </w:p>
    <w:p>
      <w:pPr>
        <w:spacing w:before="120" w:after="120"/>
      </w:pPr>
      <w:r>
        <w:rPr>
          <w:sz w:val="18"/>
        </w:rPr>
        <w:t>——————————————————————————————————————————————————————————————————————</w:t>
      </w:r>
    </w:p>
    <w:p>
      <w:pPr>
        <w:spacing w:before="160" w:after="40" w:line="240" w:lineRule="auto"/>
      </w:pPr>
      <w:r>
        <w:rPr>
          <w:b/>
        </w:rPr>
        <w:t xml:space="preserve">[560] </w:t>
      </w:r>
      <w:hyperlink r:id="rId913">
        <w:r>
          <w:rPr>
            <w:color w:val="1155CC"/>
            <w:u w:val="single"/>
          </w:rPr>
          <w:t>清静喜马拉雅山河流项目引起警报</w:t>
        </w:r>
      </w:hyperlink>
    </w:p>
    <w:p>
      <w:pPr>
        <w:spacing w:before="0" w:after="80"/>
      </w:pPr>
      <w:r>
        <w:rPr>
          <w:i/>
          <w:sz w:val="20"/>
        </w:rPr>
        <w:t>EN: Projects on silty Himalayan rivers raise alarms</w:t>
      </w:r>
    </w:p>
    <w:p>
      <w:pPr>
        <w:spacing w:before="0" w:after="120"/>
      </w:pPr>
      <w:r>
        <w:rPr>
          <w:b/>
        </w:rPr>
        <w:t xml:space="preserve">Source: </w:t>
      </w:r>
      <w:r>
        <w:t>AAAS: Science: Table of Contents</w:t>
      </w:r>
      <w:r>
        <w:t xml:space="preserve">    </w:t>
      </w:r>
      <w:r>
        <w:rPr>
          <w:b/>
        </w:rPr>
        <w:t xml:space="preserve">Pub date: </w:t>
      </w:r>
      <w:r>
        <w:t>2026-02-12 07:00:04+00:00</w:t>
      </w:r>
      <w:r>
        <w:t xml:space="preserve">    </w:t>
      </w:r>
      <w:r>
        <w:rPr>
          <w:b/>
        </w:rPr>
        <w:t xml:space="preserve">DOI: </w:t>
      </w:r>
      <w:hyperlink r:id="rId914">
        <w:r>
          <w:rPr>
            <w:color w:val="1155CC"/>
            <w:u w:val="single"/>
          </w:rPr>
          <w:t>10.1126/science.aeg3558</w:t>
        </w:r>
      </w:hyperlink>
    </w:p>
    <w:p>
      <w:pPr>
        <w:spacing w:before="0" w:after="120"/>
      </w:pPr>
      <w:r>
        <w:rPr>
          <w:b/>
        </w:rPr>
        <w:t xml:space="preserve">Notes: </w:t>
      </w:r>
      <w:r>
        <w:t>abstract_source=crossref</w:t>
      </w:r>
    </w:p>
    <w:p>
      <w:pPr>
        <w:spacing w:before="0" w:after="80" w:lineRule="auto" w:line="276"/>
      </w:pPr>
      <w:r>
        <w:rPr>
          <w:b/>
        </w:rPr>
        <w:t xml:space="preserve">摘要（ZH）: </w:t>
      </w:r>
      <w:r>
        <w:t>科学家说,疏浚和开采河流沉积物可能增加洪水风险,威胁基础设施。</w:t>
      </w:r>
    </w:p>
    <w:p>
      <w:pPr>
        <w:spacing w:before="0" w:after="200" w:lineRule="auto" w:line="276"/>
      </w:pPr>
      <w:r>
        <w:rPr>
          <w:b/>
        </w:rPr>
        <w:t xml:space="preserve">Abstract (EN): </w:t>
      </w:r>
      <w:r>
        <w:t>Dredging and mining river sediments can raise flood risks and threaten infrastructure, scientists say</w:t>
      </w:r>
    </w:p>
    <w:p>
      <w:pPr>
        <w:spacing w:before="120" w:after="120"/>
      </w:pPr>
      <w:r>
        <w:rPr>
          <w:sz w:val="18"/>
        </w:rPr>
        <w:t>——————————————————————————————————————————————————————————————————————</w:t>
      </w:r>
    </w:p>
    <w:p>
      <w:pPr>
        <w:spacing w:before="160" w:after="40" w:line="240" w:lineRule="auto"/>
      </w:pPr>
      <w:r>
        <w:rPr>
          <w:b/>
        </w:rPr>
        <w:t xml:space="preserve">[561] </w:t>
      </w:r>
      <w:hyperlink r:id="rId915">
        <w:r>
          <w:rPr>
            <w:color w:val="1155CC"/>
            <w:u w:val="single"/>
          </w:rPr>
          <w:t>其他《日刊》</w:t>
        </w:r>
      </w:hyperlink>
    </w:p>
    <w:p>
      <w:pPr>
        <w:spacing w:before="0" w:after="80"/>
      </w:pPr>
      <w:r>
        <w:rPr>
          <w:i/>
          <w:sz w:val="20"/>
        </w:rPr>
        <w:t>EN: In Other Journals</w:t>
      </w:r>
    </w:p>
    <w:p>
      <w:pPr>
        <w:spacing w:before="0" w:after="120"/>
      </w:pPr>
      <w:r>
        <w:rPr>
          <w:b/>
        </w:rPr>
        <w:t xml:space="preserve">Source: </w:t>
      </w:r>
      <w:r>
        <w:t>AAAS: Science: Table of Contents</w:t>
      </w:r>
      <w:r>
        <w:t xml:space="preserve">    </w:t>
      </w:r>
      <w:r>
        <w:rPr>
          <w:b/>
        </w:rPr>
        <w:t xml:space="preserve">Pub date: </w:t>
      </w:r>
      <w:r>
        <w:t>2026-02-12 07:00:04+00:00</w:t>
      </w:r>
      <w:r>
        <w:t xml:space="preserve">    </w:t>
      </w:r>
      <w:r>
        <w:rPr>
          <w:b/>
        </w:rPr>
        <w:t xml:space="preserve">DOI: </w:t>
      </w:r>
      <w:hyperlink r:id="rId916">
        <w:r>
          <w:rPr>
            <w:color w:val="1155CC"/>
            <w:u w:val="single"/>
          </w:rPr>
          <w:t>10.1126/science.aeg3197</w:t>
        </w:r>
      </w:hyperlink>
    </w:p>
    <w:p>
      <w:pPr>
        <w:spacing w:before="0" w:after="120"/>
      </w:pPr>
      <w:r>
        <w:rPr>
          <w:b/>
        </w:rPr>
        <w:t xml:space="preserve">Notes: </w:t>
      </w:r>
      <w:r>
        <w:t>abstract_source=crossref</w:t>
      </w:r>
    </w:p>
    <w:p>
      <w:pPr>
        <w:spacing w:before="0" w:after="80" w:lineRule="auto" w:line="276"/>
      </w:pPr>
      <w:r>
        <w:rPr>
          <w:b/>
        </w:rPr>
        <w:t xml:space="preserve">摘要（ZH）: </w:t>
      </w:r>
      <w:r>
        <w:t>从当前科学文献中挑选的编辑</w:t>
      </w:r>
    </w:p>
    <w:p>
      <w:pPr>
        <w:spacing w:before="0" w:after="200" w:lineRule="auto" w:line="276"/>
      </w:pPr>
      <w:r>
        <w:rPr>
          <w:b/>
        </w:rPr>
        <w:t xml:space="preserve">Abstract (EN): </w:t>
      </w:r>
      <w:r>
        <w:t>Editors’ selections from the current scientific literature</w:t>
      </w:r>
    </w:p>
    <w:p>
      <w:pPr>
        <w:spacing w:before="120" w:after="120"/>
      </w:pPr>
      <w:r>
        <w:rPr>
          <w:sz w:val="18"/>
        </w:rPr>
        <w:t>——————————————————————————————————————————————————————————————————————</w:t>
      </w:r>
    </w:p>
    <w:p>
      <w:pPr>
        <w:spacing w:before="160" w:after="40" w:line="240" w:lineRule="auto"/>
      </w:pPr>
      <w:r>
        <w:rPr>
          <w:b/>
        </w:rPr>
        <w:t xml:space="preserve">[562] </w:t>
      </w:r>
      <w:hyperlink r:id="rId917">
        <w:r>
          <w:rPr>
            <w:color w:val="1155CC"/>
            <w:u w:val="single"/>
          </w:rPr>
          <w:t>巨型灵长类研究中心 可能成为避难所</w:t>
        </w:r>
      </w:hyperlink>
    </w:p>
    <w:p>
      <w:pPr>
        <w:spacing w:before="0" w:after="80"/>
      </w:pPr>
      <w:r>
        <w:rPr>
          <w:i/>
          <w:sz w:val="20"/>
        </w:rPr>
        <w:t>EN: Giant primate research center may become sanctuary</w:t>
      </w:r>
    </w:p>
    <w:p>
      <w:pPr>
        <w:spacing w:before="0" w:after="120"/>
      </w:pPr>
      <w:r>
        <w:rPr>
          <w:b/>
        </w:rPr>
        <w:t xml:space="preserve">Source: </w:t>
      </w:r>
      <w:r>
        <w:t>AAAS: Science: Table of Contents</w:t>
      </w:r>
      <w:r>
        <w:t xml:space="preserve">    </w:t>
      </w:r>
      <w:r>
        <w:rPr>
          <w:b/>
        </w:rPr>
        <w:t xml:space="preserve">Pub date: </w:t>
      </w:r>
      <w:r>
        <w:t>2026-02-12 07:00:04+00:00</w:t>
      </w:r>
      <w:r>
        <w:t xml:space="preserve">    </w:t>
      </w:r>
      <w:r>
        <w:rPr>
          <w:b/>
        </w:rPr>
        <w:t xml:space="preserve">DOI: </w:t>
      </w:r>
      <w:hyperlink r:id="rId918">
        <w:r>
          <w:rPr>
            <w:color w:val="1155CC"/>
            <w:u w:val="single"/>
          </w:rPr>
          <w:t>10.1126/science.aeg3557</w:t>
        </w:r>
      </w:hyperlink>
    </w:p>
    <w:p>
      <w:pPr>
        <w:spacing w:before="0" w:after="120"/>
      </w:pPr>
      <w:r>
        <w:rPr>
          <w:b/>
        </w:rPr>
        <w:t xml:space="preserve">Notes: </w:t>
      </w:r>
      <w:r>
        <w:t>abstract_source=crossref</w:t>
      </w:r>
    </w:p>
    <w:p>
      <w:pPr>
        <w:spacing w:before="0" w:after="80" w:lineRule="auto" w:line="276"/>
      </w:pPr>
      <w:r>
        <w:rPr>
          <w:b/>
        </w:rPr>
        <w:t xml:space="preserve">摘要（ZH）: </w:t>
      </w:r>
      <w:r>
        <w:t>俄勒冈州大学为探索NIH提出的改造国家设施的建议而投票</w:t>
      </w:r>
    </w:p>
    <w:p>
      <w:pPr>
        <w:spacing w:before="0" w:after="200" w:lineRule="auto" w:line="276"/>
      </w:pPr>
      <w:r>
        <w:rPr>
          <w:b/>
        </w:rPr>
        <w:t xml:space="preserve">Abstract (EN): </w:t>
      </w:r>
      <w:r>
        <w:t>Oregon university votes to explore NIH offer to transform national facility</w:t>
      </w:r>
    </w:p>
    <w:p>
      <w:pPr>
        <w:spacing w:before="120" w:after="120"/>
      </w:pPr>
      <w:r>
        <w:rPr>
          <w:sz w:val="18"/>
        </w:rPr>
        <w:t>——————————————————————————————————————————————————————————————————————</w:t>
      </w:r>
    </w:p>
    <w:p>
      <w:pPr>
        <w:spacing w:before="160" w:after="40" w:line="240" w:lineRule="auto"/>
      </w:pPr>
      <w:r>
        <w:rPr>
          <w:b/>
        </w:rPr>
        <w:t xml:space="preserve">[563] </w:t>
      </w:r>
      <w:hyperlink r:id="rId919">
        <w:r>
          <w:rPr>
            <w:color w:val="1155CC"/>
            <w:u w:val="single"/>
          </w:rPr>
          <w:t>新产品</w:t>
        </w:r>
      </w:hyperlink>
    </w:p>
    <w:p>
      <w:pPr>
        <w:spacing w:before="0" w:after="80"/>
      </w:pPr>
      <w:r>
        <w:rPr>
          <w:i/>
          <w:sz w:val="20"/>
        </w:rPr>
        <w:t>EN: New Products</w:t>
      </w:r>
    </w:p>
    <w:p>
      <w:pPr>
        <w:spacing w:before="0" w:after="120"/>
      </w:pPr>
      <w:r>
        <w:rPr>
          <w:b/>
        </w:rPr>
        <w:t xml:space="preserve">Source: </w:t>
      </w:r>
      <w:r>
        <w:t>AAAS: Science: Table of Contents</w:t>
      </w:r>
      <w:r>
        <w:t xml:space="preserve">    </w:t>
      </w:r>
      <w:r>
        <w:rPr>
          <w:b/>
        </w:rPr>
        <w:t xml:space="preserve">Pub date: </w:t>
      </w:r>
      <w:r>
        <w:t>2026-02-12 07:00:04+00:00</w:t>
      </w:r>
      <w:r>
        <w:t xml:space="preserve">    </w:t>
      </w:r>
      <w:r>
        <w:rPr>
          <w:b/>
        </w:rPr>
        <w:t xml:space="preserve">DOI: </w:t>
      </w:r>
      <w:hyperlink r:id="rId920">
        <w:r>
          <w:rPr>
            <w:color w:val="1155CC"/>
            <w:u w:val="single"/>
          </w:rPr>
          <w:t>10.1126/science.aeg3198</w:t>
        </w:r>
      </w:hyperlink>
    </w:p>
    <w:p>
      <w:pPr>
        <w:spacing w:before="0" w:after="120"/>
      </w:pPr>
      <w:r>
        <w:rPr>
          <w:b/>
        </w:rPr>
        <w:t xml:space="preserve">Notes: </w:t>
      </w:r>
      <w:r>
        <w:t>abstract_source=crossref</w:t>
      </w:r>
    </w:p>
    <w:p>
      <w:pPr>
        <w:spacing w:before="0" w:after="80" w:lineRule="auto" w:line="276"/>
      </w:pPr>
      <w:r>
        <w:rPr>
          <w:b/>
        </w:rPr>
        <w:t xml:space="preserve">摘要（ZH）: </w:t>
      </w:r>
      <w:r>
        <w:t>每周汇总关于研究人员可能感兴趣的新提供的仪器、仪器和实验室材料的资料。</w:t>
      </w:r>
    </w:p>
    <w:p>
      <w:pPr>
        <w:spacing w:before="0" w:after="200" w:lineRule="auto" w:line="276"/>
      </w:pPr>
      <w:r>
        <w:rPr>
          <w:b/>
        </w:rPr>
        <w:t xml:space="preserve">Abstract (EN): </w:t>
      </w:r>
      <w:r>
        <w:t>A weekly roundup of information on newly offered instrumentation, apparatus, and laboratory materials of potential interest to researchers.</w:t>
      </w:r>
    </w:p>
    <w:p>
      <w:pPr>
        <w:spacing w:before="120" w:after="120"/>
      </w:pPr>
      <w:r>
        <w:rPr>
          <w:sz w:val="18"/>
        </w:rPr>
        <w:t>——————————————————————————————————————————————————————————————————————</w:t>
      </w:r>
    </w:p>
    <w:p>
      <w:pPr>
        <w:spacing w:before="160" w:after="40" w:line="240" w:lineRule="auto"/>
      </w:pPr>
      <w:r>
        <w:rPr>
          <w:b/>
        </w:rPr>
        <w:t xml:space="preserve">[564] </w:t>
      </w:r>
      <w:hyperlink r:id="rId921">
        <w:r>
          <w:rPr>
            <w:color w:val="1155CC"/>
            <w:u w:val="single"/>
          </w:rPr>
          <w:t>在热浪期间检测超分子有机纳米粒子</w:t>
        </w:r>
      </w:hyperlink>
    </w:p>
    <w:p>
      <w:pPr>
        <w:spacing w:before="0" w:after="80"/>
      </w:pPr>
      <w:r>
        <w:rPr>
          <w:i/>
          <w:sz w:val="20"/>
        </w:rPr>
        <w:t>EN: Detecting supramolecular organic nanoparticles during heat wave</w:t>
      </w:r>
    </w:p>
    <w:p>
      <w:pPr>
        <w:spacing w:before="0" w:after="120"/>
      </w:pPr>
      <w:r>
        <w:rPr>
          <w:b/>
        </w:rPr>
        <w:t xml:space="preserve">Source: </w:t>
      </w:r>
      <w:r>
        <w:t>AAAS: Science: Table of Contents</w:t>
      </w:r>
      <w:r>
        <w:t xml:space="preserve">    </w:t>
      </w:r>
      <w:r>
        <w:rPr>
          <w:b/>
        </w:rPr>
        <w:t xml:space="preserve">Pub date: </w:t>
      </w:r>
      <w:r>
        <w:t>2026-02-12 08:00:00+00:00</w:t>
      </w:r>
      <w:r>
        <w:t xml:space="preserve">    </w:t>
      </w:r>
      <w:r>
        <w:rPr>
          <w:b/>
        </w:rPr>
        <w:t xml:space="preserve">DOI: </w:t>
      </w:r>
      <w:hyperlink r:id="rId922">
        <w:r>
          <w:rPr>
            <w:color w:val="1155CC"/>
            <w:u w:val="single"/>
          </w:rPr>
          <w:t>10.1126/science.ady5192</w:t>
        </w:r>
      </w:hyperlink>
    </w:p>
    <w:p>
      <w:pPr>
        <w:spacing w:before="0" w:after="120"/>
      </w:pPr>
      <w:r>
        <w:rPr>
          <w:b/>
        </w:rPr>
        <w:t xml:space="preserve">Notes: </w:t>
      </w:r>
      <w:r>
        <w:t>abstract_source=crossref</w:t>
      </w:r>
    </w:p>
    <w:p>
      <w:pPr>
        <w:spacing w:before="0" w:after="80" w:lineRule="auto" w:line="276"/>
      </w:pPr>
      <w:r>
        <w:rPr>
          <w:b/>
        </w:rPr>
        <w:t xml:space="preserve">摘要（ZH）: </w:t>
      </w:r>
      <w:r>
        <w:t>新粒子形成(NPF)是对流层细微气溶胶的一个主要来源。 一个共同的观点是,NPF以冷凝物种的挥发性为热动力,在高温下不适宜。从密集的实地运动中,我们观察到在热浪中经常发生NPF事件。首先测量了纳米粒子的大小溶解化学成分至3纳米,揭示了箱式酸的主要存在。我们的工作发现了一种自发机制,通过有机酸的自我组装生产超分子纳米粒子。这一发现不仅解释了高温下出乎意料的NPFF,而且还解释了其在各种大气条件下的普遍存在。由于全球变暖导致更频繁和强烈的热浪,我们发现的结果是:全球升温导致更频繁和强烈的热浪。</w:t>
      </w:r>
    </w:p>
    <w:p>
      <w:pPr>
        <w:spacing w:before="0" w:after="200" w:lineRule="auto" w:line="276"/>
      </w:pPr>
      <w:r>
        <w:rPr>
          <w:b/>
        </w:rPr>
        <w:t xml:space="preserve">Abstract (EN): </w:t>
      </w:r>
      <w:r>
        <w:t>New particle formation (NPF) represents a major source of tropospheric fine aerosols. A common viewpoint is that NPF hinges thermodynamically on the volatility of condensing species and is unfavorable at high temperatures. From an intensive field campaign, we observed frequent NPF events during a heat wave. Size-resolved chemical composition of nanoparticles down to 3 nanometers was first measured, unraveling a dominant presence of carboxylic acids. Our work uncovers a spontaneous mechanism to produce supramolecular nanoparticles through self-assembly of organic acids. This discovery explains not only the unexpected NPF at high temperatures but also its ubiquitous occurrence under diverse atmospheric conditions. As global warming leads to more frequent and intense heat waves, our findings open avenues for assessing the impacts of aerosols on cloud formation, public health, and climate.</w:t>
      </w:r>
    </w:p>
    <w:p>
      <w:pPr>
        <w:spacing w:before="120" w:after="120"/>
      </w:pPr>
      <w:r>
        <w:rPr>
          <w:sz w:val="18"/>
        </w:rPr>
        <w:t>——————————————————————————————————————————————————————————————————————</w:t>
      </w:r>
    </w:p>
    <w:p>
      <w:pPr>
        <w:spacing w:before="160" w:after="40" w:line="240" w:lineRule="auto"/>
      </w:pPr>
      <w:r>
        <w:rPr>
          <w:b/>
        </w:rPr>
        <w:t xml:space="preserve">[565] </w:t>
      </w:r>
      <w:hyperlink r:id="rId923">
        <w:r>
          <w:rPr>
            <w:color w:val="1155CC"/>
            <w:u w:val="single"/>
          </w:rPr>
          <w:t>通过碳硝酸生物合成物对燃料转换的米托昆德里控制</w:t>
        </w:r>
      </w:hyperlink>
    </w:p>
    <w:p>
      <w:pPr>
        <w:spacing w:before="0" w:after="80"/>
      </w:pPr>
      <w:r>
        <w:rPr>
          <w:i/>
          <w:sz w:val="20"/>
        </w:rPr>
        <w:t>EN: Mitochondrial control of fuel switching via carnitine biosynthesis</w:t>
      </w:r>
    </w:p>
    <w:p>
      <w:pPr>
        <w:spacing w:before="0" w:after="120"/>
      </w:pPr>
      <w:r>
        <w:rPr>
          <w:b/>
        </w:rPr>
        <w:t xml:space="preserve">Source: </w:t>
      </w:r>
      <w:r>
        <w:t>AAAS: Science: Table of Contents</w:t>
      </w:r>
      <w:r>
        <w:t xml:space="preserve">    </w:t>
      </w:r>
      <w:r>
        <w:rPr>
          <w:b/>
        </w:rPr>
        <w:t xml:space="preserve">Pub date: </w:t>
      </w:r>
      <w:r>
        <w:t>2026-02-12 08:00:00+00:00</w:t>
      </w:r>
      <w:r>
        <w:t xml:space="preserve">    </w:t>
      </w:r>
      <w:r>
        <w:rPr>
          <w:b/>
        </w:rPr>
        <w:t xml:space="preserve">DOI: </w:t>
      </w:r>
      <w:hyperlink r:id="rId924">
        <w:r>
          <w:rPr>
            <w:color w:val="1155CC"/>
            <w:u w:val="single"/>
          </w:rPr>
          <w:t>10.1126/science.ady5532</w:t>
        </w:r>
      </w:hyperlink>
    </w:p>
    <w:p>
      <w:pPr>
        <w:spacing w:before="0" w:after="120"/>
      </w:pPr>
      <w:r>
        <w:rPr>
          <w:b/>
        </w:rPr>
        <w:t xml:space="preserve">Notes: </w:t>
      </w:r>
      <w:r>
        <w:t>abstract_source=crossref</w:t>
      </w:r>
    </w:p>
    <w:p>
      <w:pPr>
        <w:spacing w:before="0" w:after="80" w:lineRule="auto" w:line="276"/>
      </w:pPr>
      <w:r>
        <w:rPr>
          <w:b/>
        </w:rPr>
        <w:t xml:space="preserve">摘要（ZH）: </w:t>
      </w:r>
      <w:r>
        <w:t>除了动物来源的饮食来源外,食用三甲基氨基甲酸(TML)的碳硝酸生物合成至关重要,对于食用植物基饮食的人来说尤其如此;然而,其分子调节和生理作用仍然难以捉摸。在这里,我们确定SLC25A45是控制carnitine 生物合成和燃料转换的线粒体TML载体。 SLC25A45的缺陷减少了氨基动物池,并破坏了线粒体脂肪酸氧化,改变了对碳水化合物代谢的依赖。 Slc25a45 - 脱贫小鼠对通过类似peptide-1受体的抗冷却和抗脂剂的抗耐力。</w:t>
      </w:r>
    </w:p>
    <w:p>
      <w:pPr>
        <w:spacing w:before="0" w:after="200" w:lineRule="auto" w:line="276"/>
      </w:pPr>
      <w:r>
        <w:rPr>
          <w:b/>
        </w:rPr>
        <w:t xml:space="preserve">Abstract (EN): </w:t>
      </w:r>
      <w:r>
        <w:t>Environmental adaptation often involves a shift in energy utilization toward mitochondrial fatty acid oxidation, which requires carnitine. Besides dietary sources of animal origin, carnitine biosynthesis from trimethyllysine (TML) is essential, particularly for those who consume plant-based diets; however, its molecular regulation and physiological role remain elusive. Here, we identify SLC25A45 as a mitochondrial TML carrier that controls carnitine biosynthesis and fuel switching. SLC25A45 deficiency decreased the carnitine pool and impaired mitochondrial fatty acid oxidation, shifting reliance to carbohydrate metabolism.</w:t>
      </w:r>
      <w:r>
        <w:t xml:space="preserve"> </w:t>
      </w:r>
      <w:r>
        <w:t>Slc25a45</w:t>
      </w:r>
      <w:r>
        <w:t xml:space="preserve"> </w:t>
      </w:r>
      <w:r>
        <w:t>-deficient mice were cold-intolerant and resistant to lipid mobilization by glucagon-like peptide-1 receptor agonist (GLP-1RA), rendering them resistant to adipose tissue loss. Our study suggests that mitochondria serve as a regulatory checkpoint in fuel switching, with implications for metabolic adaptation and the efficacy of GLP-1RA–based anti-obesity therapy.</w:t>
      </w:r>
    </w:p>
    <w:p>
      <w:pPr>
        <w:spacing w:before="120" w:after="120"/>
      </w:pPr>
      <w:r>
        <w:rPr>
          <w:sz w:val="18"/>
        </w:rPr>
        <w:t>——————————————————————————————————————————————————————————————————————</w:t>
      </w:r>
    </w:p>
    <w:p>
      <w:pPr>
        <w:spacing w:before="160" w:after="40" w:line="240" w:lineRule="auto"/>
      </w:pPr>
      <w:r>
        <w:rPr>
          <w:b/>
        </w:rPr>
        <w:t xml:space="preserve">[566] </w:t>
      </w:r>
      <w:hyperlink r:id="rId925">
        <w:r>
          <w:rPr>
            <w:color w:val="1155CC"/>
            <w:u w:val="single"/>
          </w:rPr>
          <w:t>将翻译不合格 mRNA 的细胞图层衰变与转录适应联系起来的机制</w:t>
        </w:r>
      </w:hyperlink>
    </w:p>
    <w:p>
      <w:pPr>
        <w:spacing w:before="0" w:after="80"/>
      </w:pPr>
      <w:r>
        <w:rPr>
          <w:i/>
          <w:sz w:val="20"/>
        </w:rPr>
        <w:t>EN: Mechanisms linking cytoplasmic decay of translation-defective mRNA to transcriptional adaptation</w:t>
      </w:r>
    </w:p>
    <w:p>
      <w:pPr>
        <w:spacing w:before="0" w:after="120"/>
      </w:pPr>
      <w:r>
        <w:rPr>
          <w:b/>
        </w:rPr>
        <w:t xml:space="preserve">Source: </w:t>
      </w:r>
      <w:r>
        <w:t>AAAS: Science: Table of Contents</w:t>
      </w:r>
      <w:r>
        <w:t xml:space="preserve">    </w:t>
      </w:r>
      <w:r>
        <w:rPr>
          <w:b/>
        </w:rPr>
        <w:t xml:space="preserve">Pub date: </w:t>
      </w:r>
      <w:r>
        <w:t>2026-02-12 08:00:00+00:00</w:t>
      </w:r>
      <w:r>
        <w:t xml:space="preserve">    </w:t>
      </w:r>
      <w:r>
        <w:rPr>
          <w:b/>
        </w:rPr>
        <w:t xml:space="preserve">DOI: </w:t>
      </w:r>
      <w:hyperlink r:id="rId926">
        <w:r>
          <w:rPr>
            <w:color w:val="1155CC"/>
            <w:u w:val="single"/>
          </w:rPr>
          <w:t>10.1126/science.aea1272</w:t>
        </w:r>
      </w:hyperlink>
    </w:p>
    <w:p>
      <w:pPr>
        <w:spacing w:before="0" w:after="120"/>
      </w:pPr>
      <w:r>
        <w:rPr>
          <w:b/>
        </w:rPr>
        <w:t xml:space="preserve">Notes: </w:t>
      </w:r>
      <w:r>
        <w:t>abstract_source=crossref</w:t>
      </w:r>
    </w:p>
    <w:p>
      <w:pPr>
        <w:spacing w:before="0" w:after="80" w:lineRule="auto" w:line="276"/>
      </w:pPr>
      <w:r>
        <w:rPr>
          <w:b/>
        </w:rPr>
        <w:t xml:space="preserve">摘要（ZH）: </w:t>
      </w:r>
      <w:r>
        <w:t>转基因信使RNA(mRNA)衰变是一种遗传稳健性机制,通过它,变异信使RNA(mRNA)衰变可以诱使所谓的变异基因根据顺序进行调控,而这种基因的调控又取决于顺序。细胞性生成的MRNA碎片是如何影响核转录的,人们仍然不甚了解。使用整个基因组的CRISPR屏幕,我们发现ILF3是一种RNA结合的蛋白质,在TA期间连接细胞性MRNA衰变和转录,并显示它对于一系列的TA子质系是必要的。ILF3通过基因的调控而得到丰富,而通过 dCas13 的人工调用它促进了基因表达。我们使用显微核闪光屏幕,我们发现触发RNA的碎片,在引入细胞时会激活基因的。进一步的功能分解揭示出同系之间的关键作用。</w:t>
      </w:r>
    </w:p>
    <w:p>
      <w:pPr>
        <w:spacing w:before="0" w:after="200" w:lineRule="auto" w:line="276"/>
      </w:pPr>
      <w:r>
        <w:rPr>
          <w:b/>
        </w:rPr>
        <w:t xml:space="preserve">Abstract (EN): </w:t>
      </w:r>
      <w:r>
        <w:t>Transcriptional adaptation (TA) is a genetic robustness mechanism through which mutant messenger RNA (mRNA) decay induces sequence-dependent up-regulation of so-called adapting genes. How cytoplasmically generated mRNA fragments affect nuclear transcription remains poorly understood. Using genome-wide CRISPR screens, we uncover ILF3 as an RNA binding protein connecting cytoplasmic mRNA decay and transcription during TA and show that it is required for a range of TA substrates. ILF3 is enriched at adapting genes’ RNAs, and its artificial recruitment through dCas13 promotes gene expression. Using tiling oligonucleotide screens, we identify trigger RNA fragments that activate adapting genes when introduced into cells. Further functional dissection reveals a critical role for homology between trigger and target sequences. These findings enhance our molecular understanding of TA and inform the design of programmable oligonucleotides for gene expression augmentation.</w:t>
      </w:r>
    </w:p>
    <w:p>
      <w:pPr>
        <w:spacing w:before="120" w:after="120"/>
      </w:pPr>
      <w:r>
        <w:rPr>
          <w:sz w:val="18"/>
        </w:rPr>
        <w:t>——————————————————————————————————————————————————————————————————————</w:t>
      </w:r>
    </w:p>
    <w:p>
      <w:pPr>
        <w:spacing w:before="160" w:after="40" w:line="240" w:lineRule="auto"/>
      </w:pPr>
      <w:r>
        <w:rPr>
          <w:b/>
        </w:rPr>
        <w:t xml:space="preserve">[567] </w:t>
      </w:r>
      <w:hyperlink r:id="rId927">
        <w:r>
          <w:rPr>
            <w:color w:val="1155CC"/>
            <w:u w:val="single"/>
          </w:rPr>
          <w:t>Etv3 控制着登地性细胞的感应功能</w:t>
        </w:r>
      </w:hyperlink>
    </w:p>
    <w:p>
      <w:pPr>
        <w:spacing w:before="0" w:after="80"/>
      </w:pPr>
      <w:r>
        <w:rPr>
          <w:i/>
          <w:sz w:val="20"/>
        </w:rPr>
        <w:t>EN: Transcription factor Etv3 controls the tolerogenic function of dendritic cells</w:t>
      </w:r>
    </w:p>
    <w:p>
      <w:pPr>
        <w:spacing w:before="0" w:after="120"/>
      </w:pPr>
      <w:r>
        <w:rPr>
          <w:b/>
        </w:rPr>
        <w:t xml:space="preserve">Source: </w:t>
      </w:r>
      <w:r>
        <w:t>AAAS: Science: Table of Contents</w:t>
      </w:r>
      <w:r>
        <w:t xml:space="preserve">    </w:t>
      </w:r>
      <w:r>
        <w:rPr>
          <w:b/>
        </w:rPr>
        <w:t xml:space="preserve">Pub date: </w:t>
      </w:r>
      <w:r>
        <w:t>2026-02-12 08:00:00+00:00</w:t>
      </w:r>
      <w:r>
        <w:t xml:space="preserve">    </w:t>
      </w:r>
      <w:r>
        <w:rPr>
          <w:b/>
        </w:rPr>
        <w:t xml:space="preserve">DOI: </w:t>
      </w:r>
      <w:hyperlink r:id="rId928">
        <w:r>
          <w:rPr>
            <w:color w:val="1155CC"/>
            <w:u w:val="single"/>
          </w:rPr>
          <w:t>10.1126/science.ads1246</w:t>
        </w:r>
      </w:hyperlink>
    </w:p>
    <w:p>
      <w:pPr>
        <w:spacing w:before="0" w:after="120"/>
      </w:pPr>
      <w:r>
        <w:rPr>
          <w:b/>
        </w:rPr>
        <w:t xml:space="preserve">Notes: </w:t>
      </w:r>
      <w:r>
        <w:t>abstract_source=crossref</w:t>
      </w:r>
    </w:p>
    <w:p>
      <w:pPr>
        <w:spacing w:before="0" w:after="80" w:lineRule="auto" w:line="276"/>
      </w:pPr>
      <w:r>
        <w:rPr>
          <w:b/>
        </w:rPr>
        <w:t xml:space="preserve">摘要（ZH）: </w:t>
      </w:r>
      <w:r>
        <w:t>Dentritic 细胞(DCs)有助于保持稳定状态的免疫容忍度。我们报告说,在成熟的发展中发展中国家,包括组织衍生的移徙发展中国家(migDCs)中,转录系数Etv3表现为优先表现的Etv3转录系数,并便利了他们的回居性成熟和CCCR7型依赖性移徙。 以全球或DC特定方式删除Etv3 的Mice表现了CD25低监管T(Treg)细胞的扩展、常规T细胞的自发激活和多机体T细胞渗透。 Etv3 缺陷加剧了TLR7驱动的系统性红喉-类似疾病,支持了所报告的人类TV3与SLE的遗传联系。 Etv3-defificent MigD。</w:t>
      </w:r>
    </w:p>
    <w:p>
      <w:pPr>
        <w:spacing w:before="0" w:after="200" w:lineRule="auto" w:line="276"/>
      </w:pPr>
      <w:r>
        <w:rPr>
          <w:b/>
        </w:rPr>
        <w:t xml:space="preserve">Abstract (EN): </w:t>
      </w:r>
      <w:r>
        <w:t>Dendritic cells (DCs) facilitate the maintenance of immunological tolerance in the steady state. We report that transcription factor Etv3 is preferentially expressed in mature DCs, including tissue-derived migratory DCs (migDCs), and facilitates their homeostatic maturation and CCR7-dependent migration. Mice with global or DC-specific deletion of Etv3 manifested the expansion of CD25</w:t>
      </w:r>
      <w:r>
        <w:t xml:space="preserve"> </w:t>
      </w:r>
      <w:r>
        <w:t>low</w:t>
      </w:r>
      <w:r>
        <w:t xml:space="preserve"> </w:t>
      </w:r>
      <w:r>
        <w:t>regulatory T (T</w:t>
      </w:r>
      <w:r>
        <w:t xml:space="preserve"> </w:t>
      </w:r>
      <w:r>
        <w:t>reg</w:t>
      </w:r>
      <w:r>
        <w:t xml:space="preserve"> </w:t>
      </w:r>
      <w:r>
        <w:t>) cells, spontaneous activation of conventional T cells, and multiorgan T cell infiltration. Etv3 deficiency exacerbated TLR7-driven systemic lupus erythematosus (SLE)–like disease, supporting the reported genetic association of human</w:t>
      </w:r>
      <w:r>
        <w:t xml:space="preserve"> </w:t>
      </w:r>
      <w:r>
        <w:t>ETV3</w:t>
      </w:r>
      <w:r>
        <w:t xml:space="preserve"> </w:t>
      </w:r>
      <w:r>
        <w:t>with SLE. Etv3-deficient migDCs up-regulated multiple costimulatory molecules, including OX40 ligand (OX40L/TNFSF4), whose blockade partially rescued the T</w:t>
      </w:r>
      <w:r>
        <w:t xml:space="preserve"> </w:t>
      </w:r>
      <w:r>
        <w:t>reg</w:t>
      </w:r>
      <w:r>
        <w:t xml:space="preserve"> </w:t>
      </w:r>
      <w:r>
        <w:t>cell abnormalities. These results identify Etv3 as an essential regulator of the tolerogenic function of DCs and implicate it in the regulation of human autoimmunity.</w:t>
      </w:r>
    </w:p>
    <w:p>
      <w:pPr>
        <w:spacing w:before="120" w:after="120"/>
      </w:pPr>
      <w:r>
        <w:rPr>
          <w:sz w:val="18"/>
        </w:rPr>
        <w:t>——————————————————————————————————————————————————————————————————————</w:t>
      </w:r>
    </w:p>
    <w:p>
      <w:pPr>
        <w:spacing w:before="160" w:after="40" w:line="240" w:lineRule="auto"/>
      </w:pPr>
      <w:r>
        <w:rPr>
          <w:b/>
        </w:rPr>
        <w:t xml:space="preserve">[568] </w:t>
      </w:r>
      <w:hyperlink r:id="rId929">
        <w:r>
          <w:rPr>
            <w:color w:val="1155CC"/>
            <w:u w:val="single"/>
          </w:rPr>
          <w:t>中中枢神经系统中的 Myelin 羊群能够承受破坏和动态改造</w:t>
        </w:r>
      </w:hyperlink>
    </w:p>
    <w:p>
      <w:pPr>
        <w:spacing w:before="0" w:after="80"/>
      </w:pPr>
      <w:r>
        <w:rPr>
          <w:i/>
          <w:sz w:val="20"/>
        </w:rPr>
        <w:t>EN: Myelin sheaths in the central nervous system can withstand damage and dynamically remodel</w:t>
      </w:r>
    </w:p>
    <w:p>
      <w:pPr>
        <w:spacing w:before="0" w:after="120"/>
      </w:pPr>
      <w:r>
        <w:rPr>
          <w:b/>
        </w:rPr>
        <w:t xml:space="preserve">Source: </w:t>
      </w:r>
      <w:r>
        <w:t>AAAS: Science: Table of Contents</w:t>
      </w:r>
      <w:r>
        <w:t xml:space="preserve">    </w:t>
      </w:r>
      <w:r>
        <w:rPr>
          <w:b/>
        </w:rPr>
        <w:t xml:space="preserve">Pub date: </w:t>
      </w:r>
      <w:r>
        <w:t>2026-02-12 08:00:00+00:00</w:t>
      </w:r>
      <w:r>
        <w:t xml:space="preserve">    </w:t>
      </w:r>
      <w:r>
        <w:rPr>
          <w:b/>
        </w:rPr>
        <w:t xml:space="preserve">DOI: </w:t>
      </w:r>
      <w:hyperlink r:id="rId930">
        <w:r>
          <w:rPr>
            <w:color w:val="1155CC"/>
            <w:u w:val="single"/>
          </w:rPr>
          <w:t>10.1126/science.adr4661</w:t>
        </w:r>
      </w:hyperlink>
    </w:p>
    <w:p>
      <w:pPr>
        <w:spacing w:before="0" w:after="120"/>
      </w:pPr>
      <w:r>
        <w:rPr>
          <w:b/>
        </w:rPr>
        <w:t xml:space="preserve">Notes: </w:t>
      </w:r>
      <w:r>
        <w:t>abstract_source=crossref</w:t>
      </w:r>
    </w:p>
    <w:p>
      <w:pPr>
        <w:spacing w:before="0" w:after="80" w:lineRule="auto" w:line="276"/>
      </w:pPr>
      <w:r>
        <w:rPr>
          <w:b/>
        </w:rPr>
        <w:t xml:space="preserve">摘要（ZH）: </w:t>
      </w:r>
      <w:r>
        <w:t>脑膜损伤是若干神经神经紊乱的标志,但如何发生这种损伤仍有待充分理解。在本研究中,我们发现斑马鱼和鼠食性肾上腺退缩模型早期损伤的特征是甲状腺肿胀。我们通过活成成像显示,甲状腺肿胀并不总是导致甲状腺损耗,而肿胀有时可以解决,允许红心病重新造型。早期脱脑期间增加的神经活动会加剧甲状腺损伤,而神经活动减少则会减轻斑马鱼和小鼠体内的甲状腺肿胀。在人类多发性硬化组织中,甲状腺肿胀也是动态的,并且是活性损伤的焦点。我们的数据显示,甲状腺肿是被保护的脱脑功能,对甲状腺的损伤可以解决,</w:t>
      </w:r>
    </w:p>
    <w:p>
      <w:pPr>
        <w:spacing w:before="0" w:after="200" w:lineRule="auto" w:line="276"/>
      </w:pPr>
      <w:r>
        <w:rPr>
          <w:b/>
        </w:rPr>
        <w:t xml:space="preserve">Abstract (EN): </w:t>
      </w:r>
      <w:r>
        <w:t>Myelin damage is a hallmark of several neurological disorders, but how it occurs remains to be fully understood. In this study, we found that early damage in zebrafish and rodent demyelination models is characterized by myelin swelling. We show, through live imaging, that myelin swelling does not always lead to myelin loss and that swellings can sometimes resolve, allowing sheaths to remodel. Increased neuronal activity during early demyelination exacerbates myelin damage, whereas reducing neuronal activity mitigates myelin swelling in both zebrafish and mice. In human multiple sclerosis tissue, myelin swelling is also dynamic and is prominent around active lesions. Our data indicate that myelin swelling is a conserved feature of demyelination and that damage to myelin sheaths can resolve, opening opportunities for targeting human disease.</w:t>
      </w:r>
    </w:p>
    <w:p>
      <w:pPr>
        <w:spacing w:before="120" w:after="120"/>
      </w:pPr>
      <w:r>
        <w:rPr>
          <w:sz w:val="18"/>
        </w:rPr>
        <w:t>——————————————————————————————————————————————————————————————————————</w:t>
      </w:r>
    </w:p>
    <w:p>
      <w:pPr>
        <w:spacing w:before="160" w:after="40" w:line="240" w:lineRule="auto"/>
      </w:pPr>
      <w:r>
        <w:rPr>
          <w:b/>
        </w:rPr>
        <w:t xml:space="preserve">[569] </w:t>
      </w:r>
      <w:hyperlink r:id="rId931">
        <w:r>
          <w:rPr>
            <w:color w:val="1155CC"/>
            <w:u w:val="single"/>
          </w:rPr>
          <w:t>蛋白质-蛋白质相互作用的结构内皮结构</w:t>
        </w:r>
      </w:hyperlink>
    </w:p>
    <w:p>
      <w:pPr>
        <w:spacing w:before="0" w:after="80"/>
      </w:pPr>
      <w:r>
        <w:rPr>
          <w:i/>
          <w:sz w:val="20"/>
        </w:rPr>
        <w:t>EN: Structural ontogeny of protein-protein interactions</w:t>
      </w:r>
    </w:p>
    <w:p>
      <w:pPr>
        <w:spacing w:before="0" w:after="120"/>
      </w:pPr>
      <w:r>
        <w:rPr>
          <w:b/>
        </w:rPr>
        <w:t xml:space="preserve">Source: </w:t>
      </w:r>
      <w:r>
        <w:t>AAAS: Science: Table of Contents</w:t>
      </w:r>
      <w:r>
        <w:t xml:space="preserve">    </w:t>
      </w:r>
      <w:r>
        <w:rPr>
          <w:b/>
        </w:rPr>
        <w:t xml:space="preserve">Pub date: </w:t>
      </w:r>
      <w:r>
        <w:t>2026-02-12 08:00:00+00:00</w:t>
      </w:r>
      <w:r>
        <w:t xml:space="preserve">    </w:t>
      </w:r>
      <w:r>
        <w:rPr>
          <w:b/>
        </w:rPr>
        <w:t xml:space="preserve">DOI: </w:t>
      </w:r>
      <w:hyperlink r:id="rId932">
        <w:r>
          <w:rPr>
            <w:color w:val="1155CC"/>
            <w:u w:val="single"/>
          </w:rPr>
          <w:t>10.1126/science.adx6931</w:t>
        </w:r>
      </w:hyperlink>
    </w:p>
    <w:p>
      <w:pPr>
        <w:spacing w:before="0" w:after="120"/>
      </w:pPr>
      <w:r>
        <w:rPr>
          <w:b/>
        </w:rPr>
        <w:t xml:space="preserve">Notes: </w:t>
      </w:r>
      <w:r>
        <w:t>abstract_source=crossref</w:t>
      </w:r>
    </w:p>
    <w:p>
      <w:pPr>
        <w:spacing w:before="0" w:after="80" w:lineRule="auto" w:line="276"/>
      </w:pPr>
      <w:r>
        <w:rPr>
          <w:b/>
        </w:rPr>
        <w:t xml:space="preserve">摘要（ZH）: </w:t>
      </w:r>
      <w:r>
        <w:t>了解蛋白质结合场与其他蛋白质的相互作用如何演变,可以找到针对“不可药”表面的线索。 我们利用合成突变来设计幼质表面之间的新相互作用,模拟蛋白综合体的新形成。 我们孤立了蛋白Z-Domain综合体的7个不同的结构组群,发现合成综合体通过大砍式对接模式探索多种浅能量井,而自然结合场形成的复杂体则聚集在一个深厚的能量井中,与相对固定的几何法相融合。 对机器学习的理论分析 — — 估计的健身景观揭示了连接伙伴之间的“种子”接触,这些伙伴在复杂的形成最初阶段就建立了联系。 我们的结果表明,“隐性”表层是“隐性”的。</w:t>
      </w:r>
    </w:p>
    <w:p>
      <w:pPr>
        <w:spacing w:before="0" w:after="200" w:lineRule="auto" w:line="276"/>
      </w:pPr>
      <w:r>
        <w:rPr>
          <w:b/>
        </w:rPr>
        <w:t xml:space="preserve">Abstract (EN): </w:t>
      </w:r>
      <w:r>
        <w:t>Understanding how protein binding sites evolve interactions with other proteins could hold clues to targeting “undruggable” surfaces. We used synthetic coevolution to engineer new interactions between naïve surfaces, simulating the de novo formation of protein complexes. We isolated seven distinct structural families of protein Z-domain complexes and found that synthetic complexes explore multiple shallow energy wells through ratchet-like docking modes, whereas complexes formed by natural binding sites converged in a deep energy well with a relatively fixed geometry. Epistasis analysis of a machine learning–estimated fitness landscape revealed “seed” contacts between binding partners that anchored the earliest stages of encounter complex formation. Our results suggest that “silent” surfaces have a shallower energy landscape than natural binding sites, disfavoring tight binding, likely owing to evolutionary counterselection.</w:t>
      </w:r>
    </w:p>
    <w:p>
      <w:pPr>
        <w:spacing w:before="120" w:after="120"/>
      </w:pPr>
      <w:r>
        <w:rPr>
          <w:sz w:val="18"/>
        </w:rPr>
        <w:t>——————————————————————————————————————————————————————————————————————</w:t>
      </w:r>
    </w:p>
    <w:p>
      <w:pPr>
        <w:spacing w:before="160" w:after="40" w:line="240" w:lineRule="auto"/>
      </w:pPr>
      <w:r>
        <w:rPr>
          <w:b/>
        </w:rPr>
        <w:t xml:space="preserve">[570] </w:t>
      </w:r>
      <w:hyperlink r:id="rId933">
        <w:r>
          <w:rPr>
            <w:color w:val="1155CC"/>
            <w:u w:val="single"/>
          </w:rPr>
          <w:t>研究条款“WAPL功能作为控制神经电线的Protocadherin异形多样性的恒星”的“WAPL功能”的Erratum</w:t>
        </w:r>
      </w:hyperlink>
    </w:p>
    <w:p>
      <w:pPr>
        <w:spacing w:before="0" w:after="80"/>
      </w:pPr>
      <w:r>
        <w:rPr>
          <w:i/>
          <w:sz w:val="20"/>
        </w:rPr>
        <w:t>EN: Erratum for the Research Article “WAPL functions as a rheostat of Protocadherin isoform diversity that controls neural wiring”</w:t>
      </w:r>
    </w:p>
    <w:p>
      <w:pPr>
        <w:spacing w:before="0" w:after="120"/>
      </w:pPr>
      <w:r>
        <w:rPr>
          <w:b/>
        </w:rPr>
        <w:t xml:space="preserve">Source: </w:t>
      </w:r>
      <w:r>
        <w:t>AAAS: Science: Table of Contents</w:t>
      </w:r>
      <w:r>
        <w:t xml:space="preserve">    </w:t>
      </w:r>
      <w:r>
        <w:rPr>
          <w:b/>
        </w:rPr>
        <w:t xml:space="preserve">Pub date: </w:t>
      </w:r>
      <w:r>
        <w:t>2026-02-12 08:00:00+00:00</w:t>
      </w:r>
      <w:r>
        <w:t xml:space="preserve">    </w:t>
      </w:r>
      <w:r>
        <w:rPr>
          <w:b/>
        </w:rPr>
        <w:t xml:space="preserve">DOI: </w:t>
      </w:r>
      <w:hyperlink r:id="rId934">
        <w:r>
          <w:rPr>
            <w:color w:val="1155CC"/>
            <w:u w:val="single"/>
          </w:rPr>
          <w:t>10.1126/science.aeg0713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[571] </w:t>
      </w:r>
      <w:hyperlink r:id="rId935">
        <w:r>
          <w:rPr>
            <w:color w:val="1155CC"/>
            <w:u w:val="single"/>
          </w:rPr>
          <w:t>抗病毒防御路径的Pox病毒攻击引发了效应器触发的NF-XXB反应</w:t>
        </w:r>
      </w:hyperlink>
    </w:p>
    <w:p>
      <w:pPr>
        <w:spacing w:before="0" w:after="80"/>
      </w:pPr>
      <w:r>
        <w:rPr>
          <w:i/>
          <w:sz w:val="20"/>
        </w:rPr>
        <w:t>EN: Poxvirus attack of antiviral defense pathways unleashes an effector-triggered NF-κB response</w:t>
      </w:r>
    </w:p>
    <w:p>
      <w:pPr>
        <w:spacing w:before="0" w:after="120"/>
      </w:pPr>
      <w:r>
        <w:rPr>
          <w:b/>
        </w:rPr>
        <w:t xml:space="preserve">Source: </w:t>
      </w:r>
      <w:r>
        <w:t>AAAS: Science: Table of Contents</w:t>
      </w:r>
      <w:r>
        <w:t xml:space="preserve">    </w:t>
      </w:r>
      <w:r>
        <w:rPr>
          <w:b/>
        </w:rPr>
        <w:t xml:space="preserve">Pub date: </w:t>
      </w:r>
      <w:r>
        <w:t>2026-02-12 08:00:00+00:00</w:t>
      </w:r>
      <w:r>
        <w:t xml:space="preserve">    </w:t>
      </w:r>
      <w:r>
        <w:rPr>
          <w:b/>
        </w:rPr>
        <w:t xml:space="preserve">DOI: </w:t>
      </w:r>
      <w:hyperlink r:id="rId936">
        <w:r>
          <w:rPr>
            <w:color w:val="1155CC"/>
            <w:u w:val="single"/>
          </w:rPr>
          <w:t>10.1126/science.adw4937</w:t>
        </w:r>
      </w:hyperlink>
    </w:p>
    <w:p>
      <w:pPr>
        <w:spacing w:before="0" w:after="120"/>
      </w:pPr>
      <w:r>
        <w:rPr>
          <w:b/>
        </w:rPr>
        <w:t xml:space="preserve">Notes: </w:t>
      </w:r>
      <w:r>
        <w:t>abstract_source=crossref</w:t>
      </w:r>
    </w:p>
    <w:p>
      <w:pPr>
        <w:spacing w:before="0" w:after="80" w:lineRule="auto" w:line="276"/>
      </w:pPr>
      <w:r>
        <w:rPr>
          <w:b/>
        </w:rPr>
        <w:t xml:space="preserve">摘要（ZH）: </w:t>
      </w:r>
      <w:r>
        <w:t>为发现哺乳动物的ETI途径,我们开发了一种筛选方法,在人类单细胞线中表达个别毒理因素,并评估RNA测序的转录反应。 我们发现了一种天花病毒效应,即甲状腺病毒M3.1,它引发了抗病毒核因子B(NF-B)的反应。 NF-B是通过一种ETI途径发射的,它感知到两种抗病毒复合物:锌手指抗病毒蛋白和TBK1.NF-NFK1的M3.1攻击。 NF-NB1的激活是由于M3.1-N4B1、ZC3H12A和TBK1所禁止的蛋白质是NF-NB的负调节器。我们的研究确立了一种系统方法,以发现ETI路径。</w:t>
      </w:r>
    </w:p>
    <w:p>
      <w:pPr>
        <w:spacing w:before="0" w:after="200" w:lineRule="auto" w:line="276"/>
      </w:pPr>
      <w:r>
        <w:rPr>
          <w:b/>
        </w:rPr>
        <w:t xml:space="preserve">Abstract (EN): </w:t>
      </w:r>
      <w:r>
        <w:t>Effector-triggered immunity (ETI) is a form of pathogen sensing that involves detection of pathogen-encoded virulence factors or “effectors.” To discover ETI pathways in mammals, we developed a screening approach in which we expressed individual virulence factors in a human monocyte cell line and assessed transcriptional responses by RNA sequencing. We identified a poxvirus effector, myxoma virus M3.1, which elicited an antiviral nuclear factor κB (NF-κB) response. NF-κB was unleashed by an ETI pathway that sensed M3.1 attack of two antiviral complexes: zinc finger antiviral protein and TBK1. NF-κΒ activation occurred because the proteins inhibited by M3.1—N4BP1, ZC3H12A, and TBK1—are negative regulators of NF-κB. Our study established a systematic approach for the discovery of ETI pathways, and the results illustrated how negative regulators of immune responses may function in pathogen sensing.</w:t>
      </w:r>
    </w:p>
    <w:p>
      <w:pPr>
        <w:spacing w:before="120" w:after="120"/>
      </w:pPr>
      <w:r>
        <w:rPr>
          <w:sz w:val="18"/>
        </w:rPr>
        <w:t>——————————————————————————————————————————————————————————————————————</w:t>
      </w:r>
    </w:p>
    <w:p>
      <w:pPr>
        <w:spacing w:before="160" w:after="40" w:line="240" w:lineRule="auto"/>
      </w:pPr>
      <w:r>
        <w:rPr>
          <w:b/>
        </w:rPr>
        <w:t xml:space="preserve">[572] </w:t>
      </w:r>
      <w:hyperlink r:id="rId937">
        <w:r>
          <w:rPr>
            <w:color w:val="1155CC"/>
            <w:u w:val="single"/>
          </w:rPr>
          <w:t>研究条款“在头五个禁止食品废物的美国州中,仅马萨诸塞州就减少了垃圾填埋场废物”。</w:t>
        </w:r>
      </w:hyperlink>
    </w:p>
    <w:p>
      <w:pPr>
        <w:spacing w:before="0" w:after="80"/>
      </w:pPr>
      <w:r>
        <w:rPr>
          <w:i/>
          <w:sz w:val="20"/>
        </w:rPr>
        <w:t>EN: Erratum for the Research Article “Of the first five US states with food waste bans, Massachusetts alone has reduced landfill waste”</w:t>
      </w:r>
    </w:p>
    <w:p>
      <w:pPr>
        <w:spacing w:before="0" w:after="120"/>
      </w:pPr>
      <w:r>
        <w:rPr>
          <w:b/>
        </w:rPr>
        <w:t xml:space="preserve">Source: </w:t>
      </w:r>
      <w:r>
        <w:t>AAAS: Science: Table of Contents</w:t>
      </w:r>
      <w:r>
        <w:t xml:space="preserve">    </w:t>
      </w:r>
      <w:r>
        <w:rPr>
          <w:b/>
        </w:rPr>
        <w:t xml:space="preserve">Pub date: </w:t>
      </w:r>
      <w:r>
        <w:t>2026-02-12 08:00:00+00:00</w:t>
      </w:r>
      <w:r>
        <w:t xml:space="preserve">    </w:t>
      </w:r>
      <w:r>
        <w:rPr>
          <w:b/>
        </w:rPr>
        <w:t xml:space="preserve">DOI: </w:t>
      </w:r>
      <w:hyperlink r:id="rId938">
        <w:r>
          <w:rPr>
            <w:color w:val="1155CC"/>
            <w:u w:val="single"/>
          </w:rPr>
          <w:t>10.1126/science.aef7764</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[573] </w:t>
      </w:r>
      <w:hyperlink r:id="rId939">
        <w:r>
          <w:rPr>
            <w:color w:val="1155CC"/>
            <w:u w:val="single"/>
          </w:rPr>
          <w:t>农业研究中管理AI</w:t>
        </w:r>
      </w:hyperlink>
    </w:p>
    <w:p>
      <w:pPr>
        <w:spacing w:before="0" w:after="80"/>
      </w:pPr>
      <w:r>
        <w:rPr>
          <w:i/>
          <w:sz w:val="20"/>
        </w:rPr>
        <w:t>EN: Stewarding AI in agriculture research</w:t>
      </w:r>
    </w:p>
    <w:p>
      <w:pPr>
        <w:spacing w:before="0" w:after="120"/>
      </w:pPr>
      <w:r>
        <w:rPr>
          <w:b/>
        </w:rPr>
        <w:t xml:space="preserve">Source: </w:t>
      </w:r>
      <w:r>
        <w:t>AAAS: Science: Table of Contents</w:t>
      </w:r>
      <w:r>
        <w:t xml:space="preserve">    </w:t>
      </w:r>
      <w:r>
        <w:rPr>
          <w:b/>
        </w:rPr>
        <w:t xml:space="preserve">Pub date: </w:t>
      </w:r>
      <w:r>
        <w:t>2026-02-12 08:00:00+00:00</w:t>
      </w:r>
      <w:r>
        <w:t xml:space="preserve">    </w:t>
      </w:r>
      <w:r>
        <w:rPr>
          <w:b/>
        </w:rPr>
        <w:t xml:space="preserve">DOI: </w:t>
      </w:r>
      <w:hyperlink r:id="rId940">
        <w:r>
          <w:rPr>
            <w:color w:val="1155CC"/>
            <w:u w:val="single"/>
          </w:rPr>
          <w:t>10.1126/science.aef0964</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[574] </w:t>
      </w:r>
      <w:hyperlink r:id="rId941">
        <w:r>
          <w:rPr>
            <w:color w:val="1155CC"/>
            <w:u w:val="single"/>
          </w:rPr>
          <w:t>[ASAP]用于合成含有三个相毗连立立体立体器的六氢-β氯代苯的六氢-β碳代苯的氢解/氢化合成</w:t>
        </w:r>
      </w:hyperlink>
    </w:p>
    <w:p>
      <w:pPr>
        <w:spacing w:before="0" w:after="80"/>
      </w:pPr>
      <w:r>
        <w:rPr>
          <w:i/>
          <w:sz w:val="20"/>
        </w:rPr>
        <w:t>EN: [ASAP] Palladium-Catalyzed Autotandem Hydrogenolysis/Hydrogenation for the Synthesis of Hexahydro-β-carbolines Containing Three Contiguous Stereocenters</w:t>
      </w:r>
    </w:p>
    <w:p>
      <w:pPr>
        <w:spacing w:before="0" w:after="120"/>
      </w:pPr>
      <w:r>
        <w:rPr>
          <w:b/>
        </w:rPr>
        <w:t xml:space="preserve">Source: </w:t>
      </w:r>
      <w:r>
        <w:t>Journal of the American Chemical Society: Latest Articles (ACS Publications)</w:t>
      </w:r>
      <w:r>
        <w:t xml:space="preserve">    </w:t>
      </w:r>
      <w:r>
        <w:rPr>
          <w:b/>
        </w:rPr>
        <w:t xml:space="preserve">Pub date: </w:t>
      </w:r>
      <w:r>
        <w:t>2026-02-12 10:15:50+00:00</w:t>
      </w:r>
      <w:r>
        <w:t xml:space="preserve">    </w:t>
      </w:r>
      <w:r>
        <w:rPr>
          <w:b/>
        </w:rPr>
        <w:t xml:space="preserve">DOI: </w:t>
      </w:r>
      <w:hyperlink r:id="rId942">
        <w:r>
          <w:rPr>
            <w:color w:val="1155CC"/>
            <w:u w:val="single"/>
          </w:rPr>
          <w:t>10.1021/jacs.5c20093</w:t>
        </w:r>
      </w:hyperlink>
    </w:p>
    <w:p>
      <w:pPr>
        <w:spacing w:before="0" w:after="120"/>
      </w:pPr>
      <w:r>
        <w:rPr>
          <w:b/>
        </w:rPr>
        <w:t xml:space="preserve">Notes: </w:t>
      </w:r>
      <w:r>
        <w:t>abstract_source=pubmed</w:t>
      </w:r>
    </w:p>
    <w:p>
      <w:pPr>
        <w:spacing w:before="0" w:after="80" w:lineRule="auto" w:line="276"/>
      </w:pPr>
      <w:r>
        <w:rPr>
          <w:b/>
        </w:rPr>
        <w:t xml:space="preserve">摘要（ZH）: </w:t>
      </w:r>
      <w:r>
        <w:t>自动催化器是一种高效的、渐进式的经济反应,涉及两个或两个以上机械化的不同反应过程,其作用只有一个催化剂。这里,一种史无前例的非对称自动透析反应,通过一种动态动能解析过程,将氢氧基actam喷雾体的氢解和氢化结合到氢化氢化物中,与同一活性物种一起开发,提供含有三个毗连立体立体中枢的六氢-β-碳代苯,具有出色的抗生素和diastereo选择性。在不丧失对应性纯度,甚至不为含有多达五个毗连立体立体立体的八氢代苯衍生物提供含八氟化物。包括脱氧在内的机械学研究。</w:t>
      </w:r>
    </w:p>
    <w:p>
      <w:pPr>
        <w:spacing w:before="0" w:after="200" w:lineRule="auto" w:line="276"/>
      </w:pPr>
      <w:r>
        <w:rPr>
          <w:b/>
        </w:rPr>
        <w:t xml:space="preserve">Abstract (EN): </w:t>
      </w:r>
      <w:r>
        <w:t>Autotandem catalysis is an efficient and step-economical reaction involving two or more mechanistically distinct reaction processes under the action of only a single catalyst. Herein, an unprecedented asymmetric autotandem catalysis reaction merging hydrogenolysis and hydrogenation of hydroxylactam-fused indoles through a dynamic kinetic resolution process with palladium hydride as the same active species was developed, affording hexahydro-β-carbolines containing three contiguous stereocenters with excellent enantio- and diastereoselectivity. Versatile synthetic transformations of the chiral heterocyclic products were carried out without loss of enantiomeric purity, even affording octahydroindole derivatives containing up to five contiguous stereocenters. Mechanistic studies including deuterium-labeling experiments and control experiments supported that the dynamic kinetic resolution process is crucial for excellent diastereoselectivity performance.</w:t>
      </w:r>
    </w:p>
    <w:p>
      <w:pPr>
        <w:spacing w:before="120" w:after="120"/>
      </w:pPr>
      <w:r>
        <w:rPr>
          <w:sz w:val="18"/>
        </w:rPr>
        <w:t>——————————————————————————————————————————————————————————————————————</w:t>
      </w:r>
    </w:p>
    <w:p>
      <w:pPr>
        <w:spacing w:before="160" w:after="40" w:line="240" w:lineRule="auto"/>
      </w:pPr>
      <w:r>
        <w:rPr>
          <w:b/>
        </w:rPr>
        <w:t xml:space="preserve">[575] </w:t>
      </w:r>
      <w:hyperlink r:id="rId943">
        <w:r>
          <w:rPr>
            <w:color w:val="1155CC"/>
            <w:u w:val="single"/>
          </w:rPr>
          <w:t>[ASAP] C-C在减少原生碳(100)的电化学CO2 减少原生碳(100)期间形成C-C债券</w:t>
        </w:r>
      </w:hyperlink>
    </w:p>
    <w:p>
      <w:pPr>
        <w:spacing w:before="0" w:after="80"/>
      </w:pPr>
      <w:r>
        <w:rPr>
          <w:i/>
          <w:sz w:val="20"/>
        </w:rPr>
        <w:t>EN: [ASAP] C–C Bond Formation during Electrochemical CO2 Reduction on Pristine Cu(100) Unlikely to Involve Adsorbed CO at Any Potential</w:t>
      </w:r>
    </w:p>
    <w:p>
      <w:pPr>
        <w:spacing w:before="0" w:after="120"/>
      </w:pPr>
      <w:r>
        <w:rPr>
          <w:b/>
        </w:rPr>
        <w:t xml:space="preserve">Source: </w:t>
      </w:r>
      <w:r>
        <w:t>Journal of the American Chemical Society: Latest Articles (ACS Publications)</w:t>
      </w:r>
      <w:r>
        <w:t xml:space="preserve">    </w:t>
      </w:r>
      <w:r>
        <w:rPr>
          <w:b/>
        </w:rPr>
        <w:t xml:space="preserve">Pub date: </w:t>
      </w:r>
      <w:r>
        <w:t>2026-02-12 12:38:43+00:00</w:t>
      </w:r>
      <w:r>
        <w:t xml:space="preserve">    </w:t>
      </w:r>
      <w:r>
        <w:rPr>
          <w:b/>
        </w:rPr>
        <w:t xml:space="preserve">DOI: </w:t>
      </w:r>
      <w:hyperlink r:id="rId944">
        <w:r>
          <w:rPr>
            <w:color w:val="1155CC"/>
            <w:u w:val="single"/>
          </w:rPr>
          <w:t>10.1021/jacs.5c20300</w:t>
        </w:r>
      </w:hyperlink>
    </w:p>
    <w:p>
      <w:pPr>
        <w:spacing w:before="0" w:after="120"/>
      </w:pPr>
      <w:r>
        <w:rPr>
          <w:b/>
        </w:rPr>
        <w:t xml:space="preserve">Notes: </w:t>
      </w:r>
      <w:r>
        <w:t>abstract_source=pubmed</w:t>
      </w:r>
    </w:p>
    <w:p>
      <w:pPr>
        <w:spacing w:before="0" w:after="80" w:lineRule="auto" w:line="276"/>
      </w:pPr>
      <w:r>
        <w:rPr>
          <w:b/>
        </w:rPr>
        <w:t xml:space="preserve">摘要（ZH）: </w:t>
      </w:r>
      <w:r>
        <w:t>含有两个或两个以上碳原子的碳氢化合物(C2+)的形成(C2+)仅在多式电化学CO和CO2减排(ECOR和ECO2R)过程中,在纯金属中,才在铜电极中出现(ECOR和ECO2R),此外,活动和选择性取决于表面,Cu(100)一般倾向于形成乙烯而不是甲烷。以前,我们通过量子机械模型发现,与标准密度功能理论不同,更精确的相关波功能方法预测,非电子联动途径涉及两个吸附CO(*CO)或一个CO(100)或一个COH以形成C-C在Cu(100)上的介质,而前Cu(100)也是热动力不活跃的。在这里,我们扩展了这种嵌入的完全活性空间的二次扰动理论(ECASPT2),进一步展示了该理论。</w:t>
      </w:r>
    </w:p>
    <w:p>
      <w:pPr>
        <w:spacing w:before="0" w:after="200" w:lineRule="auto" w:line="276"/>
      </w:pPr>
      <w:r>
        <w:rPr>
          <w:b/>
        </w:rPr>
        <w:t xml:space="preserve">Abstract (EN): </w:t>
      </w:r>
      <w:r>
        <w:t>Formation of hydrocarbons containing two or more carbon atoms (C2+) during heterogeneous electrochemical CO and CO2 reduction (ECOR and ECO2R) only occurs, among pure metals, on Cu electrodes. Moreover, the activity and selectivity is facet dependent, with Cu(100) generally preferentially forming ethylene over methane. Previously, we found via quantum-mechanics-based modeling that, unlike standard density functional theory, more accurate correlated wavefunction methods predict that non-electroactive coupling pathways involving two adsorbed COs (*CO) or a *CO and a *COH to form C-C bonds on Cu(100) are kinetically inhibited, with the former also thermodynamically unfavorable. Here, we extend that embedded complete active space second order perturbation theory (ECASPT2) study, further showing that electrochemical coupling of two *COs to form an anionic dimer [OC*-*CO](1+δ)-, followed by protonation to form [OC*-*COH]δ-, is not kinetically competitive with the reduction of *CO to *COH at relevant ECO/CO2R potentials. Our simulations therefore suggest that the ability of Cu(100) to electrochemically synthesize C2+ molecules from CO and CO2 is unlikely to be via *CO, at least on pristine Cu(100). Instead, hydrogenated CO species (*COH, *CHxOH, or *CHx) are most likely to be the key intermediates in C-C bond formation.</w:t>
      </w:r>
    </w:p>
    <w:p>
      <w:pPr>
        <w:spacing w:before="120" w:after="120"/>
      </w:pPr>
      <w:r>
        <w:rPr>
          <w:sz w:val="18"/>
        </w:rPr>
        <w:t>——————————————————————————————————————————————————————————————————————</w:t>
      </w:r>
    </w:p>
    <w:p>
      <w:pPr>
        <w:spacing w:before="160" w:after="40" w:line="240" w:lineRule="auto"/>
      </w:pPr>
      <w:r>
        <w:rPr>
          <w:b/>
        </w:rPr>
        <w:t xml:space="preserve">[576] </w:t>
      </w:r>
      <w:hyperlink r:id="rId945">
        <w:r>
          <w:rPr>
            <w:color w:val="1155CC"/>
            <w:u w:val="single"/>
          </w:rPr>
          <w:t>[ASAP]地表电荷预测电解中存在电解作用</w:t>
        </w:r>
      </w:hyperlink>
    </w:p>
    <w:p>
      <w:pPr>
        <w:spacing w:before="0" w:after="80"/>
      </w:pPr>
      <w:r>
        <w:rPr>
          <w:i/>
          <w:sz w:val="20"/>
        </w:rPr>
        <w:t>EN: [ASAP] Surface Charge Predicts the Presence of Cation Effects in Electrocatalysis</w:t>
      </w:r>
    </w:p>
    <w:p>
      <w:pPr>
        <w:spacing w:before="0" w:after="120"/>
      </w:pPr>
      <w:r>
        <w:rPr>
          <w:b/>
        </w:rPr>
        <w:t xml:space="preserve">Source: </w:t>
      </w:r>
      <w:r>
        <w:t>ACS Energy Letters: Latest Articles (ACS Publications)</w:t>
      </w:r>
      <w:r>
        <w:t xml:space="preserve">    </w:t>
      </w:r>
      <w:r>
        <w:rPr>
          <w:b/>
        </w:rPr>
        <w:t xml:space="preserve">Pub date: </w:t>
      </w:r>
      <w:r>
        <w:t>2026-02-12 12:39:18+00:00</w:t>
      </w:r>
      <w:r>
        <w:t xml:space="preserve">    </w:t>
      </w:r>
      <w:r>
        <w:rPr>
          <w:b/>
        </w:rPr>
        <w:t xml:space="preserve">DOI: </w:t>
      </w:r>
      <w:hyperlink r:id="rId946">
        <w:r>
          <w:rPr>
            <w:color w:val="1155CC"/>
            <w:u w:val="single"/>
          </w:rPr>
          <w:t>10.1021/acsenergylett.6c00040</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nature.com/articles/s41467-026-69371-7" TargetMode="External"/><Relationship Id="rId10" Type="http://schemas.openxmlformats.org/officeDocument/2006/relationships/hyperlink" Target="https://www.sciencedirect.com/science/article/pii/S0306261926001212?dgcid=rss_sd_all" TargetMode="External"/><Relationship Id="rId11" Type="http://schemas.openxmlformats.org/officeDocument/2006/relationships/hyperlink" Target="https://www.nature.com/articles/s41467-026-69084-x" TargetMode="External"/><Relationship Id="rId12" Type="http://schemas.openxmlformats.org/officeDocument/2006/relationships/hyperlink" Target="https://www.sciencedirect.com/science/article/pii/S0306261926001182?dgcid=rss_sd_all" TargetMode="External"/><Relationship Id="rId13" Type="http://schemas.openxmlformats.org/officeDocument/2006/relationships/hyperlink" Target="http://pubs.rsc.org/en/Content/ArticleLanding/2026/EE/D5EE07479G" TargetMode="External"/><Relationship Id="rId14" Type="http://schemas.openxmlformats.org/officeDocument/2006/relationships/hyperlink" Target="https://www.nature.com/articles/s41467-026-69287-2" TargetMode="External"/><Relationship Id="rId15" Type="http://schemas.openxmlformats.org/officeDocument/2006/relationships/hyperlink" Target="https://www.sciencedirect.com/science/article/pii/S0306261926001133?dgcid=rss_sd_all" TargetMode="External"/><Relationship Id="rId16" Type="http://schemas.openxmlformats.org/officeDocument/2006/relationships/hyperlink" Target="https://www.nature.com/articles/s41467-026-69303-5" TargetMode="External"/><Relationship Id="rId17" Type="http://schemas.openxmlformats.org/officeDocument/2006/relationships/hyperlink" Target="https://www.nature.com/articles/s41467-026-69077-w" TargetMode="External"/><Relationship Id="rId18" Type="http://schemas.openxmlformats.org/officeDocument/2006/relationships/hyperlink" Target="https://www.sciencedirect.com/science/article/pii/S030626192600111X?dgcid=rss_sd_all" TargetMode="External"/><Relationship Id="rId19" Type="http://schemas.openxmlformats.org/officeDocument/2006/relationships/hyperlink" Target="https://www.sciencedirect.com/science/article/pii/S0306261926001108?dgcid=rss_sd_all" TargetMode="External"/><Relationship Id="rId20" Type="http://schemas.openxmlformats.org/officeDocument/2006/relationships/hyperlink" Target="https://www.sciencedirect.com/science/article/pii/S0301421526000297?dgcid=rss_sd_all" TargetMode="External"/><Relationship Id="rId21" Type="http://schemas.openxmlformats.org/officeDocument/2006/relationships/hyperlink" Target="https://www.sciencedirect.com/science/article/pii/S0306261926001078?dgcid=rss_sd_all" TargetMode="External"/><Relationship Id="rId22" Type="http://schemas.openxmlformats.org/officeDocument/2006/relationships/hyperlink" Target="https://www.sciencedirect.com/science/article/pii/S0301421526000455?dgcid=rss_sd_all" TargetMode="External"/><Relationship Id="rId23" Type="http://schemas.openxmlformats.org/officeDocument/2006/relationships/hyperlink" Target="https://www.sciencedirect.com/science/article/pii/S0306261926000826?dgcid=rss_sd_all" TargetMode="External"/><Relationship Id="rId24" Type="http://schemas.openxmlformats.org/officeDocument/2006/relationships/hyperlink" Target="https://www.sciencedirect.com/science/article/pii/S0301421526000819?dgcid=rss_sd_all" TargetMode="External"/><Relationship Id="rId25" Type="http://schemas.openxmlformats.org/officeDocument/2006/relationships/hyperlink" Target="https://www.sciencedirect.com/science/article/pii/S0306261926000656?dgcid=rss_sd_all" TargetMode="External"/><Relationship Id="rId26" Type="http://schemas.openxmlformats.org/officeDocument/2006/relationships/hyperlink" Target="https://www.nature.com/articles/s41467-026-69386-0" TargetMode="External"/><Relationship Id="rId27" Type="http://schemas.openxmlformats.org/officeDocument/2006/relationships/hyperlink" Target="https://www.nature.com/articles/s41467-026-68982-4" TargetMode="External"/><Relationship Id="rId28" Type="http://schemas.openxmlformats.org/officeDocument/2006/relationships/hyperlink" Target="https://www.sciencedirect.com/science/article/pii/S030626192600125X?dgcid=rss_sd_all" TargetMode="External"/><Relationship Id="rId29" Type="http://schemas.openxmlformats.org/officeDocument/2006/relationships/hyperlink" Target="https://www.sciencedirect.com/science/article/pii/S0306261926001376?dgcid=rss_sd_all" TargetMode="External"/><Relationship Id="rId30" Type="http://schemas.openxmlformats.org/officeDocument/2006/relationships/hyperlink" Target="https://www.sciencedirect.com/science/article/pii/S0306261926001480?dgcid=rss_sd_all" TargetMode="External"/><Relationship Id="rId31" Type="http://schemas.openxmlformats.org/officeDocument/2006/relationships/hyperlink" Target="https://www.sciencedirect.com/science/article/pii/S0306261926001455?dgcid=rss_sd_all" TargetMode="External"/><Relationship Id="rId32" Type="http://schemas.openxmlformats.org/officeDocument/2006/relationships/hyperlink" Target="https://www.sciencedirect.com/science/article/pii/S0306261926001431?dgcid=rss_sd_all" TargetMode="External"/><Relationship Id="rId33" Type="http://schemas.openxmlformats.org/officeDocument/2006/relationships/hyperlink" Target="https://www.sciencedirect.com/science/article/pii/S0306261926001418?dgcid=rss_sd_all" TargetMode="External"/><Relationship Id="rId34" Type="http://schemas.openxmlformats.org/officeDocument/2006/relationships/hyperlink" Target="https://www.sciencedirect.com/science/article/pii/S030626192600139X?dgcid=rss_sd_all" TargetMode="External"/><Relationship Id="rId35" Type="http://schemas.openxmlformats.org/officeDocument/2006/relationships/hyperlink" Target="https://www.sciencedirect.com/science/article/pii/S0306261926000565?dgcid=rss_sd_all" TargetMode="External"/><Relationship Id="rId36" Type="http://schemas.openxmlformats.org/officeDocument/2006/relationships/hyperlink" Target="https://www.sciencedirect.com/science/article/pii/S0306261926001364?dgcid=rss_sd_all" TargetMode="External"/><Relationship Id="rId37" Type="http://schemas.openxmlformats.org/officeDocument/2006/relationships/hyperlink" Target="https://www.sciencedirect.com/science/article/pii/S030142152600087X?dgcid=rss_sd_all" TargetMode="External"/><Relationship Id="rId38" Type="http://schemas.openxmlformats.org/officeDocument/2006/relationships/hyperlink" Target="https://www.sciencedirect.com/science/article/pii/S0306261926001315?dgcid=rss_sd_all" TargetMode="External"/><Relationship Id="rId39" Type="http://schemas.openxmlformats.org/officeDocument/2006/relationships/hyperlink" Target="https://www.sciencedirect.com/science/article/pii/S0306261926001303?dgcid=rss_sd_all" TargetMode="External"/><Relationship Id="rId40" Type="http://schemas.openxmlformats.org/officeDocument/2006/relationships/hyperlink" Target="https://www.sciencedirect.com/science/article/pii/S0306261926001297?dgcid=rss_sd_all" TargetMode="External"/><Relationship Id="rId41" Type="http://schemas.openxmlformats.org/officeDocument/2006/relationships/hyperlink" Target="https://www.sciencedirect.com/science/article/pii/S0306261926001285?dgcid=rss_sd_all" TargetMode="External"/><Relationship Id="rId42" Type="http://schemas.openxmlformats.org/officeDocument/2006/relationships/hyperlink" Target="https://www.sciencedirect.com/science/article/pii/S0306261926001273?dgcid=rss_sd_all" TargetMode="External"/><Relationship Id="rId43" Type="http://schemas.openxmlformats.org/officeDocument/2006/relationships/hyperlink" Target="https://advanced.onlinelibrary.wiley.com/doi/10.1002/adma.202521718?af=R" TargetMode="External"/><Relationship Id="rId44" Type="http://schemas.openxmlformats.org/officeDocument/2006/relationships/hyperlink" Target="https://doi.org/10.1002/adma.202521718" TargetMode="External"/><Relationship Id="rId45" Type="http://schemas.openxmlformats.org/officeDocument/2006/relationships/hyperlink" Target="https://advanced.onlinelibrary.wiley.com/doi/10.1002/adma.202520682?af=R" TargetMode="External"/><Relationship Id="rId46" Type="http://schemas.openxmlformats.org/officeDocument/2006/relationships/hyperlink" Target="https://doi.org/10.1002/adma.202520682" TargetMode="External"/><Relationship Id="rId47" Type="http://schemas.openxmlformats.org/officeDocument/2006/relationships/hyperlink" Target="https://advanced.onlinelibrary.wiley.com/doi/10.1002/adma.202522085?af=R" TargetMode="External"/><Relationship Id="rId48" Type="http://schemas.openxmlformats.org/officeDocument/2006/relationships/hyperlink" Target="https://doi.org/10.1002/adma.202522085" TargetMode="External"/><Relationship Id="rId49" Type="http://schemas.openxmlformats.org/officeDocument/2006/relationships/hyperlink" Target="https://advanced.onlinelibrary.wiley.com/doi/10.1002/adma.72447?af=R" TargetMode="External"/><Relationship Id="rId50" Type="http://schemas.openxmlformats.org/officeDocument/2006/relationships/hyperlink" Target="https://doi.org/10.1002/adma.72447" TargetMode="External"/><Relationship Id="rId51" Type="http://schemas.openxmlformats.org/officeDocument/2006/relationships/hyperlink" Target="https://advanced.onlinelibrary.wiley.com/doi/10.1002/adma.202518168?af=R" TargetMode="External"/><Relationship Id="rId52" Type="http://schemas.openxmlformats.org/officeDocument/2006/relationships/hyperlink" Target="https://doi.org/10.1002/adma.202518168" TargetMode="External"/><Relationship Id="rId53" Type="http://schemas.openxmlformats.org/officeDocument/2006/relationships/hyperlink" Target="https://advanced.onlinelibrary.wiley.com/doi/10.1002/adma.202522711?af=R" TargetMode="External"/><Relationship Id="rId54" Type="http://schemas.openxmlformats.org/officeDocument/2006/relationships/hyperlink" Target="https://doi.org/10.1002/adma.202522711" TargetMode="External"/><Relationship Id="rId55" Type="http://schemas.openxmlformats.org/officeDocument/2006/relationships/hyperlink" Target="https://advanced.onlinelibrary.wiley.com/doi/10.1002/adma.202523117?af=R" TargetMode="External"/><Relationship Id="rId56" Type="http://schemas.openxmlformats.org/officeDocument/2006/relationships/hyperlink" Target="https://doi.org/10.1002/adma.202523117" TargetMode="External"/><Relationship Id="rId57" Type="http://schemas.openxmlformats.org/officeDocument/2006/relationships/hyperlink" Target="https://advanced.onlinelibrary.wiley.com/doi/10.1002/adma.202521712?af=R" TargetMode="External"/><Relationship Id="rId58" Type="http://schemas.openxmlformats.org/officeDocument/2006/relationships/hyperlink" Target="https://doi.org/10.1002/adma.202521712" TargetMode="External"/><Relationship Id="rId59" Type="http://schemas.openxmlformats.org/officeDocument/2006/relationships/hyperlink" Target="https://onlinelibrary.wiley.com/doi/10.1002/anie.4732764?af=R" TargetMode="External"/><Relationship Id="rId60" Type="http://schemas.openxmlformats.org/officeDocument/2006/relationships/hyperlink" Target="https://doi.org/10.1002/anie.4732764" TargetMode="External"/><Relationship Id="rId61" Type="http://schemas.openxmlformats.org/officeDocument/2006/relationships/hyperlink" Target="https://advanced.onlinelibrary.wiley.com/doi/10.1002/adma.202521181?af=R" TargetMode="External"/><Relationship Id="rId62" Type="http://schemas.openxmlformats.org/officeDocument/2006/relationships/hyperlink" Target="https://doi.org/10.1002/adma.202521181" TargetMode="External"/><Relationship Id="rId63" Type="http://schemas.openxmlformats.org/officeDocument/2006/relationships/hyperlink" Target="https://advanced.onlinelibrary.wiley.com/doi/10.1002/adma.202522007?af=R" TargetMode="External"/><Relationship Id="rId64" Type="http://schemas.openxmlformats.org/officeDocument/2006/relationships/hyperlink" Target="https://doi.org/10.1002/adma.202522007" TargetMode="External"/><Relationship Id="rId65" Type="http://schemas.openxmlformats.org/officeDocument/2006/relationships/hyperlink" Target="https://advanced.onlinelibrary.wiley.com/doi/10.1002/adma.202513204?af=R" TargetMode="External"/><Relationship Id="rId66" Type="http://schemas.openxmlformats.org/officeDocument/2006/relationships/hyperlink" Target="https://doi.org/10.1002/adma.202513204" TargetMode="External"/><Relationship Id="rId67" Type="http://schemas.openxmlformats.org/officeDocument/2006/relationships/hyperlink" Target="https://advanced.onlinelibrary.wiley.com/doi/10.1002/adma.202521409?af=R" TargetMode="External"/><Relationship Id="rId68" Type="http://schemas.openxmlformats.org/officeDocument/2006/relationships/hyperlink" Target="https://doi.org/10.1002/adma.202521409" TargetMode="External"/><Relationship Id="rId69" Type="http://schemas.openxmlformats.org/officeDocument/2006/relationships/hyperlink" Target="https://advanced.onlinelibrary.wiley.com/doi/10.1002/adma.202517839?af=R" TargetMode="External"/><Relationship Id="rId70" Type="http://schemas.openxmlformats.org/officeDocument/2006/relationships/hyperlink" Target="https://doi.org/10.1002/adma.202517839" TargetMode="External"/><Relationship Id="rId71" Type="http://schemas.openxmlformats.org/officeDocument/2006/relationships/hyperlink" Target="https://advanced.onlinelibrary.wiley.com/doi/10.1002/adma.202520509?af=R" TargetMode="External"/><Relationship Id="rId72" Type="http://schemas.openxmlformats.org/officeDocument/2006/relationships/hyperlink" Target="https://doi.org/10.1002/adma.202520509" TargetMode="External"/><Relationship Id="rId73" Type="http://schemas.openxmlformats.org/officeDocument/2006/relationships/hyperlink" Target="https://advanced.onlinelibrary.wiley.com/doi/10.1002/adma.202521645?af=R" TargetMode="External"/><Relationship Id="rId74" Type="http://schemas.openxmlformats.org/officeDocument/2006/relationships/hyperlink" Target="https://doi.org/10.1002/adma.202521645" TargetMode="External"/><Relationship Id="rId75" Type="http://schemas.openxmlformats.org/officeDocument/2006/relationships/hyperlink" Target="https://advanced.onlinelibrary.wiley.com/doi/10.1002/adma.202518126?af=R" TargetMode="External"/><Relationship Id="rId76" Type="http://schemas.openxmlformats.org/officeDocument/2006/relationships/hyperlink" Target="https://doi.org/10.1002/adma.202518126" TargetMode="External"/><Relationship Id="rId77" Type="http://schemas.openxmlformats.org/officeDocument/2006/relationships/hyperlink" Target="http://dx.doi.org/10.1021/jacs.5c20527" TargetMode="External"/><Relationship Id="rId78" Type="http://schemas.openxmlformats.org/officeDocument/2006/relationships/hyperlink" Target="https://doi.org/10.1021/jacs.5c20527" TargetMode="External"/><Relationship Id="rId79" Type="http://schemas.openxmlformats.org/officeDocument/2006/relationships/hyperlink" Target="http://dx.doi.org/10.1021/jacs.5c21149" TargetMode="External"/><Relationship Id="rId80" Type="http://schemas.openxmlformats.org/officeDocument/2006/relationships/hyperlink" Target="https://doi.org/10.1021/jacs.5c21149" TargetMode="External"/><Relationship Id="rId81" Type="http://schemas.openxmlformats.org/officeDocument/2006/relationships/hyperlink" Target="http://dx.doi.org/10.1021/jacs.5c20156" TargetMode="External"/><Relationship Id="rId82" Type="http://schemas.openxmlformats.org/officeDocument/2006/relationships/hyperlink" Target="https://doi.org/10.1021/jacs.5c20156" TargetMode="External"/><Relationship Id="rId83" Type="http://schemas.openxmlformats.org/officeDocument/2006/relationships/hyperlink" Target="http://dx.doi.org/10.1021/jacs.5c18067" TargetMode="External"/><Relationship Id="rId84" Type="http://schemas.openxmlformats.org/officeDocument/2006/relationships/hyperlink" Target="https://doi.org/10.1021/jacs.5c18067" TargetMode="External"/><Relationship Id="rId85" Type="http://schemas.openxmlformats.org/officeDocument/2006/relationships/hyperlink" Target="http://dx.doi.org/10.1021/jacs.6c00530" TargetMode="External"/><Relationship Id="rId86" Type="http://schemas.openxmlformats.org/officeDocument/2006/relationships/hyperlink" Target="https://doi.org/10.1021/jacs.6c00530" TargetMode="External"/><Relationship Id="rId87" Type="http://schemas.openxmlformats.org/officeDocument/2006/relationships/hyperlink" Target="https://www.nature.com/articles/s41467-026-69297-0" TargetMode="External"/><Relationship Id="rId88" Type="http://schemas.openxmlformats.org/officeDocument/2006/relationships/hyperlink" Target="https://www.sciencedirect.com/science/article/pii/S0306261926001169?dgcid=rss_sd_all" TargetMode="External"/><Relationship Id="rId89" Type="http://schemas.openxmlformats.org/officeDocument/2006/relationships/hyperlink" Target="https://www.sciencedirect.com/science/article/pii/S0306261926001121?dgcid=rss_sd_all" TargetMode="External"/><Relationship Id="rId90" Type="http://schemas.openxmlformats.org/officeDocument/2006/relationships/hyperlink" Target="https://www.nature.com/articles/s41467-026-69270-x" TargetMode="External"/><Relationship Id="rId91" Type="http://schemas.openxmlformats.org/officeDocument/2006/relationships/hyperlink" Target="https://www.sciencedirect.com/science/article/pii/S0306261926001248?dgcid=rss_sd_all" TargetMode="External"/><Relationship Id="rId92" Type="http://schemas.openxmlformats.org/officeDocument/2006/relationships/hyperlink" Target="https://www.sciencedirect.com/science/article/pii/S0306261926001157?dgcid=rss_sd_all" TargetMode="External"/><Relationship Id="rId93" Type="http://schemas.openxmlformats.org/officeDocument/2006/relationships/hyperlink" Target="https://www.sciencedirect.com/science/article/pii/S0301421526000662?dgcid=rss_sd_all" TargetMode="External"/><Relationship Id="rId94" Type="http://schemas.openxmlformats.org/officeDocument/2006/relationships/hyperlink" Target="https://www.nature.com/articles/s41467-026-69284-5" TargetMode="External"/><Relationship Id="rId95" Type="http://schemas.openxmlformats.org/officeDocument/2006/relationships/hyperlink" Target="https://www.sciencedirect.com/science/article/pii/S0306261926001327?dgcid=rss_sd_all" TargetMode="External"/><Relationship Id="rId96" Type="http://schemas.openxmlformats.org/officeDocument/2006/relationships/hyperlink" Target="https://www.sciencedirect.com/science/article/pii/S0301421526000613?dgcid=rss_sd_all" TargetMode="External"/><Relationship Id="rId97" Type="http://schemas.openxmlformats.org/officeDocument/2006/relationships/hyperlink" Target="https://www.sciencedirect.com/science/article/pii/S0301421526000595?dgcid=rss_sd_all" TargetMode="External"/><Relationship Id="rId98" Type="http://schemas.openxmlformats.org/officeDocument/2006/relationships/hyperlink" Target="https://www.sciencedirect.com/science/article/pii/S0306261926001005?dgcid=rss_sd_all" TargetMode="External"/><Relationship Id="rId99" Type="http://schemas.openxmlformats.org/officeDocument/2006/relationships/hyperlink" Target="https://www.sciencedirect.com/science/article/pii/S030626192600108X?dgcid=rss_sd_all" TargetMode="External"/><Relationship Id="rId100" Type="http://schemas.openxmlformats.org/officeDocument/2006/relationships/hyperlink" Target="https://www.sciencedirect.com/science/article/pii/S030626192600142X?dgcid=rss_sd_all" TargetMode="External"/><Relationship Id="rId101" Type="http://schemas.openxmlformats.org/officeDocument/2006/relationships/hyperlink" Target="http://dx.doi.org/10.1021/acsenergylett.5c04281" TargetMode="External"/><Relationship Id="rId102" Type="http://schemas.openxmlformats.org/officeDocument/2006/relationships/hyperlink" Target="https://doi.org/10.1021/acsenergylett.5c04281" TargetMode="External"/><Relationship Id="rId103" Type="http://schemas.openxmlformats.org/officeDocument/2006/relationships/hyperlink" Target="http://dx.doi.org/10.1021/jacs.5c16672" TargetMode="External"/><Relationship Id="rId104" Type="http://schemas.openxmlformats.org/officeDocument/2006/relationships/hyperlink" Target="https://doi.org/10.1021/jacs.5c16672" TargetMode="External"/><Relationship Id="rId105" Type="http://schemas.openxmlformats.org/officeDocument/2006/relationships/hyperlink" Target="http://dx.doi.org/10.1021/jacs.5c22771" TargetMode="External"/><Relationship Id="rId106" Type="http://schemas.openxmlformats.org/officeDocument/2006/relationships/hyperlink" Target="https://doi.org/10.1021/jacs.5c22771" TargetMode="External"/><Relationship Id="rId107" Type="http://schemas.openxmlformats.org/officeDocument/2006/relationships/hyperlink" Target="http://dx.doi.org/10.1021/jacs.5c19326" TargetMode="External"/><Relationship Id="rId108" Type="http://schemas.openxmlformats.org/officeDocument/2006/relationships/hyperlink" Target="https://doi.org/10.1021/jacs.5c19326" TargetMode="External"/><Relationship Id="rId109" Type="http://schemas.openxmlformats.org/officeDocument/2006/relationships/hyperlink" Target="http://dx.doi.org/10.1021/jacs.5c20755" TargetMode="External"/><Relationship Id="rId110" Type="http://schemas.openxmlformats.org/officeDocument/2006/relationships/hyperlink" Target="https://doi.org/10.1021/jacs.5c20755" TargetMode="External"/><Relationship Id="rId111" Type="http://schemas.openxmlformats.org/officeDocument/2006/relationships/hyperlink" Target="https://www.cell.com/chem/fulltext/S2451-9294(25)00476-0?rss=yes" TargetMode="External"/><Relationship Id="rId112" Type="http://schemas.openxmlformats.org/officeDocument/2006/relationships/hyperlink" Target="https://academic.oup.com/nsr/advance-article/doi/10.1093/nsr/nwag070/8469398?rss=1" TargetMode="External"/><Relationship Id="rId113" Type="http://schemas.openxmlformats.org/officeDocument/2006/relationships/hyperlink" Target="https://doi.org/10.1093/nsr/nwag070/8469398" TargetMode="External"/><Relationship Id="rId114" Type="http://schemas.openxmlformats.org/officeDocument/2006/relationships/hyperlink" Target="https://academic.oup.com/nsr/advance-article/doi/10.1093/nsr/nwag073/8469397?rss=1" TargetMode="External"/><Relationship Id="rId115" Type="http://schemas.openxmlformats.org/officeDocument/2006/relationships/hyperlink" Target="https://doi.org/10.1093/nsr/nwag073/8469397" TargetMode="External"/><Relationship Id="rId116" Type="http://schemas.openxmlformats.org/officeDocument/2006/relationships/hyperlink" Target="https://academic.oup.com/nsr/advance-article/doi/10.1093/nsr/nwag085/8469403?rss=1" TargetMode="External"/><Relationship Id="rId117" Type="http://schemas.openxmlformats.org/officeDocument/2006/relationships/hyperlink" Target="https://doi.org/10.1093/nsr/nwag085/8469403" TargetMode="External"/><Relationship Id="rId118" Type="http://schemas.openxmlformats.org/officeDocument/2006/relationships/hyperlink" Target="https://academic.oup.com/nsr/advance-article/doi/10.1093/nsr/nwag087/8469391?rss=1" TargetMode="External"/><Relationship Id="rId119" Type="http://schemas.openxmlformats.org/officeDocument/2006/relationships/hyperlink" Target="https://doi.org/10.1093/nsr/nwag087/8469391" TargetMode="External"/><Relationship Id="rId120" Type="http://schemas.openxmlformats.org/officeDocument/2006/relationships/hyperlink" Target="https://academic.oup.com/nsr/advance-article/doi/10.1093/nsr/nwag088/8469392?rss=1" TargetMode="External"/><Relationship Id="rId121" Type="http://schemas.openxmlformats.org/officeDocument/2006/relationships/hyperlink" Target="https://doi.org/10.1093/nsr/nwag088/8469392" TargetMode="External"/><Relationship Id="rId122" Type="http://schemas.openxmlformats.org/officeDocument/2006/relationships/hyperlink" Target="https://academic.oup.com/nsr/advance-article/doi/10.1093/nsr/nwag090/8469394?rss=1" TargetMode="External"/><Relationship Id="rId123" Type="http://schemas.openxmlformats.org/officeDocument/2006/relationships/hyperlink" Target="https://doi.org/10.1093/nsr/nwag090/8469394" TargetMode="External"/><Relationship Id="rId124" Type="http://schemas.openxmlformats.org/officeDocument/2006/relationships/hyperlink" Target="https://www.nature.com/articles/d41586-026-00436-9" TargetMode="External"/><Relationship Id="rId125" Type="http://schemas.openxmlformats.org/officeDocument/2006/relationships/hyperlink" Target="https://academic.oup.com/nsr/advance-article/doi/10.1093/nsr/nwag092/8469401?rss=1" TargetMode="External"/><Relationship Id="rId126" Type="http://schemas.openxmlformats.org/officeDocument/2006/relationships/hyperlink" Target="https://doi.org/10.1093/nsr/nwag092/8469401" TargetMode="External"/><Relationship Id="rId127" Type="http://schemas.openxmlformats.org/officeDocument/2006/relationships/hyperlink" Target="https://www.nature.com/articles/d41586-026-00409-y" TargetMode="External"/><Relationship Id="rId128" Type="http://schemas.openxmlformats.org/officeDocument/2006/relationships/hyperlink" Target="https://www.nature.com/articles/d41586-026-00385-3" TargetMode="External"/><Relationship Id="rId129" Type="http://schemas.openxmlformats.org/officeDocument/2006/relationships/hyperlink" Target="https://www.nature.com/articles/d41586-026-00367-5" TargetMode="External"/><Relationship Id="rId130" Type="http://schemas.openxmlformats.org/officeDocument/2006/relationships/hyperlink" Target="https://www.nature.com/articles/d41586-026-00336-y" TargetMode="External"/><Relationship Id="rId131" Type="http://schemas.openxmlformats.org/officeDocument/2006/relationships/hyperlink" Target="https://www.nature.com/articles/s41467-026-68994-0" TargetMode="External"/><Relationship Id="rId132" Type="http://schemas.openxmlformats.org/officeDocument/2006/relationships/hyperlink" Target="https://www.cell.com/matter/fulltext/S2590-2385(25)00649-6?rss=yes" TargetMode="External"/><Relationship Id="rId133" Type="http://schemas.openxmlformats.org/officeDocument/2006/relationships/hyperlink" Target="https://www.nature.com/articles/d41586-026-00389-z" TargetMode="External"/><Relationship Id="rId134" Type="http://schemas.openxmlformats.org/officeDocument/2006/relationships/hyperlink" Target="https://www.nature.com/articles/d41586-026-00386-2" TargetMode="External"/><Relationship Id="rId135" Type="http://schemas.openxmlformats.org/officeDocument/2006/relationships/hyperlink" Target="https://www.nature.com/articles/s41467-026-69272-9" TargetMode="External"/><Relationship Id="rId136" Type="http://schemas.openxmlformats.org/officeDocument/2006/relationships/hyperlink" Target="https://www.nature.com/articles/s44286-026-00355-6" TargetMode="External"/><Relationship Id="rId137" Type="http://schemas.openxmlformats.org/officeDocument/2006/relationships/hyperlink" Target="https://www.nature.com/articles/s41893-026-01769-z" TargetMode="External"/><Relationship Id="rId138" Type="http://schemas.openxmlformats.org/officeDocument/2006/relationships/hyperlink" Target="https://www.nature.com/articles/s41563-026-02503-y" TargetMode="External"/><Relationship Id="rId139" Type="http://schemas.openxmlformats.org/officeDocument/2006/relationships/hyperlink" Target="https://www.nature.com/articles/s41563-026-02495-9" TargetMode="External"/><Relationship Id="rId140" Type="http://schemas.openxmlformats.org/officeDocument/2006/relationships/hyperlink" Target="https://www.nature.com/articles/s41557-025-02034-0" TargetMode="External"/><Relationship Id="rId141" Type="http://schemas.openxmlformats.org/officeDocument/2006/relationships/hyperlink" Target="https://www.nature.com/articles/s41893-026-01766-2" TargetMode="External"/><Relationship Id="rId142" Type="http://schemas.openxmlformats.org/officeDocument/2006/relationships/hyperlink" Target="https://www.nature.com/articles/s41467-026-69415-y" TargetMode="External"/><Relationship Id="rId143" Type="http://schemas.openxmlformats.org/officeDocument/2006/relationships/hyperlink" Target="https://www.nature.com/articles/s41467-026-69407-y" TargetMode="External"/><Relationship Id="rId144" Type="http://schemas.openxmlformats.org/officeDocument/2006/relationships/hyperlink" Target="https://www.nature.com/articles/s41467-026-69406-z" TargetMode="External"/><Relationship Id="rId145" Type="http://schemas.openxmlformats.org/officeDocument/2006/relationships/hyperlink" Target="http://pubs.rsc.org/en/Content/ArticleLanding/2026/EE/D5EE02574E" TargetMode="External"/><Relationship Id="rId146" Type="http://schemas.openxmlformats.org/officeDocument/2006/relationships/hyperlink" Target="https://www.nature.com/articles/s41467-026-69428-7" TargetMode="External"/><Relationship Id="rId147" Type="http://schemas.openxmlformats.org/officeDocument/2006/relationships/hyperlink" Target="https://onlinelibrary.wiley.com/doi/10.1002/anie.202525864?af=R" TargetMode="External"/><Relationship Id="rId148" Type="http://schemas.openxmlformats.org/officeDocument/2006/relationships/hyperlink" Target="https://doi.org/10.1002/anie.202525864" TargetMode="External"/><Relationship Id="rId149" Type="http://schemas.openxmlformats.org/officeDocument/2006/relationships/hyperlink" Target="https://onlinelibrary.wiley.com/doi/10.1002/anie.202523473?af=R" TargetMode="External"/><Relationship Id="rId150" Type="http://schemas.openxmlformats.org/officeDocument/2006/relationships/hyperlink" Target="https://doi.org/10.1002/anie.202523473" TargetMode="External"/><Relationship Id="rId151" Type="http://schemas.openxmlformats.org/officeDocument/2006/relationships/hyperlink" Target="https://onlinelibrary.wiley.com/doi/10.1002/anie.202524602?af=R" TargetMode="External"/><Relationship Id="rId152" Type="http://schemas.openxmlformats.org/officeDocument/2006/relationships/hyperlink" Target="https://doi.org/10.1002/anie.202524602" TargetMode="External"/><Relationship Id="rId153" Type="http://schemas.openxmlformats.org/officeDocument/2006/relationships/hyperlink" Target="https://onlinelibrary.wiley.com/doi/10.1002/anie.202525729?af=R" TargetMode="External"/><Relationship Id="rId154" Type="http://schemas.openxmlformats.org/officeDocument/2006/relationships/hyperlink" Target="https://doi.org/10.1002/anie.202525729" TargetMode="External"/><Relationship Id="rId155" Type="http://schemas.openxmlformats.org/officeDocument/2006/relationships/hyperlink" Target="https://onlinelibrary.wiley.com/doi/10.1002/anie.202521015?af=R" TargetMode="External"/><Relationship Id="rId156" Type="http://schemas.openxmlformats.org/officeDocument/2006/relationships/hyperlink" Target="https://doi.org/10.1002/anie.202521015" TargetMode="External"/><Relationship Id="rId157" Type="http://schemas.openxmlformats.org/officeDocument/2006/relationships/hyperlink" Target="https://advanced.onlinelibrary.wiley.com/doi/10.1002/aenm.202506618?af=R" TargetMode="External"/><Relationship Id="rId158" Type="http://schemas.openxmlformats.org/officeDocument/2006/relationships/hyperlink" Target="https://doi.org/10.1002/aenm.202506618" TargetMode="External"/><Relationship Id="rId159" Type="http://schemas.openxmlformats.org/officeDocument/2006/relationships/hyperlink" Target="https://onlinelibrary.wiley.com/doi/10.1002/anie.202521687?af=R" TargetMode="External"/><Relationship Id="rId160" Type="http://schemas.openxmlformats.org/officeDocument/2006/relationships/hyperlink" Target="https://doi.org/10.1002/anie.202521687" TargetMode="External"/><Relationship Id="rId161" Type="http://schemas.openxmlformats.org/officeDocument/2006/relationships/hyperlink" Target="https://onlinelibrary.wiley.com/doi/10.1002/anie.202523605?af=R" TargetMode="External"/><Relationship Id="rId162" Type="http://schemas.openxmlformats.org/officeDocument/2006/relationships/hyperlink" Target="https://doi.org/10.1002/anie.202523605" TargetMode="External"/><Relationship Id="rId163" Type="http://schemas.openxmlformats.org/officeDocument/2006/relationships/hyperlink" Target="https://advanced.onlinelibrary.wiley.com/doi/10.1002/adma.202520745?af=R" TargetMode="External"/><Relationship Id="rId164" Type="http://schemas.openxmlformats.org/officeDocument/2006/relationships/hyperlink" Target="https://doi.org/10.1002/adma.202520745" TargetMode="External"/><Relationship Id="rId165" Type="http://schemas.openxmlformats.org/officeDocument/2006/relationships/hyperlink" Target="https://advanced.onlinelibrary.wiley.com/doi/10.1002/adma.202518643?af=R" TargetMode="External"/><Relationship Id="rId166" Type="http://schemas.openxmlformats.org/officeDocument/2006/relationships/hyperlink" Target="https://doi.org/10.1002/adma.202518643" TargetMode="External"/><Relationship Id="rId167" Type="http://schemas.openxmlformats.org/officeDocument/2006/relationships/hyperlink" Target="https://onlinelibrary.wiley.com/doi/10.1002/anie.202523777?af=R" TargetMode="External"/><Relationship Id="rId168" Type="http://schemas.openxmlformats.org/officeDocument/2006/relationships/hyperlink" Target="https://doi.org/10.1002/anie.202523777" TargetMode="External"/><Relationship Id="rId169" Type="http://schemas.openxmlformats.org/officeDocument/2006/relationships/hyperlink" Target="https://advanced.onlinelibrary.wiley.com/doi/10.1002/adma.202523024?af=R" TargetMode="External"/><Relationship Id="rId170" Type="http://schemas.openxmlformats.org/officeDocument/2006/relationships/hyperlink" Target="https://doi.org/10.1002/adma.202523024" TargetMode="External"/><Relationship Id="rId171" Type="http://schemas.openxmlformats.org/officeDocument/2006/relationships/hyperlink" Target="https://advanced.onlinelibrary.wiley.com/doi/10.1002/adma.202518249?af=R" TargetMode="External"/><Relationship Id="rId172" Type="http://schemas.openxmlformats.org/officeDocument/2006/relationships/hyperlink" Target="https://doi.org/10.1002/adma.202518249" TargetMode="External"/><Relationship Id="rId173" Type="http://schemas.openxmlformats.org/officeDocument/2006/relationships/hyperlink" Target="https://onlinelibrary.wiley.com/doi/10.1002/anie.202518631?af=R" TargetMode="External"/><Relationship Id="rId174" Type="http://schemas.openxmlformats.org/officeDocument/2006/relationships/hyperlink" Target="https://doi.org/10.1002/anie.202518631" TargetMode="External"/><Relationship Id="rId175" Type="http://schemas.openxmlformats.org/officeDocument/2006/relationships/hyperlink" Target="https://advanced.onlinelibrary.wiley.com/doi/10.1002/adma.202519106?af=R" TargetMode="External"/><Relationship Id="rId176" Type="http://schemas.openxmlformats.org/officeDocument/2006/relationships/hyperlink" Target="https://doi.org/10.1002/adma.202519106" TargetMode="External"/><Relationship Id="rId177" Type="http://schemas.openxmlformats.org/officeDocument/2006/relationships/hyperlink" Target="https://advanced.onlinelibrary.wiley.com/doi/10.1002/aenm.202505110?af=R" TargetMode="External"/><Relationship Id="rId178" Type="http://schemas.openxmlformats.org/officeDocument/2006/relationships/hyperlink" Target="https://doi.org/10.1002/aenm.202505110" TargetMode="External"/><Relationship Id="rId179" Type="http://schemas.openxmlformats.org/officeDocument/2006/relationships/hyperlink" Target="https://onlinelibrary.wiley.com/doi/10.1002/anie.202524960?af=R" TargetMode="External"/><Relationship Id="rId180" Type="http://schemas.openxmlformats.org/officeDocument/2006/relationships/hyperlink" Target="https://doi.org/10.1002/anie.202524960" TargetMode="External"/><Relationship Id="rId181" Type="http://schemas.openxmlformats.org/officeDocument/2006/relationships/hyperlink" Target="https://advanced.onlinelibrary.wiley.com/doi/10.1002/adma.202522601?af=R" TargetMode="External"/><Relationship Id="rId182" Type="http://schemas.openxmlformats.org/officeDocument/2006/relationships/hyperlink" Target="https://doi.org/10.1002/adma.202522601" TargetMode="External"/><Relationship Id="rId183" Type="http://schemas.openxmlformats.org/officeDocument/2006/relationships/hyperlink" Target="https://advanced.onlinelibrary.wiley.com/doi/10.1002/adma.202520717?af=R" TargetMode="External"/><Relationship Id="rId184" Type="http://schemas.openxmlformats.org/officeDocument/2006/relationships/hyperlink" Target="https://doi.org/10.1002/adma.202520717" TargetMode="External"/><Relationship Id="rId185" Type="http://schemas.openxmlformats.org/officeDocument/2006/relationships/hyperlink" Target="https://onlinelibrary.wiley.com/doi/10.1002/anie.2242110?af=R" TargetMode="External"/><Relationship Id="rId186" Type="http://schemas.openxmlformats.org/officeDocument/2006/relationships/hyperlink" Target="https://doi.org/10.1002/anie.2242110" TargetMode="External"/><Relationship Id="rId187" Type="http://schemas.openxmlformats.org/officeDocument/2006/relationships/hyperlink" Target="https://advanced.onlinelibrary.wiley.com/doi/10.1002/aenm.70704?af=R" TargetMode="External"/><Relationship Id="rId188" Type="http://schemas.openxmlformats.org/officeDocument/2006/relationships/hyperlink" Target="https://doi.org/10.1002/aenm.70704" TargetMode="External"/><Relationship Id="rId189" Type="http://schemas.openxmlformats.org/officeDocument/2006/relationships/hyperlink" Target="https://advanced.onlinelibrary.wiley.com/doi/10.1002/adma.202521964?af=R" TargetMode="External"/><Relationship Id="rId190" Type="http://schemas.openxmlformats.org/officeDocument/2006/relationships/hyperlink" Target="https://doi.org/10.1002/adma.202521964" TargetMode="External"/><Relationship Id="rId191" Type="http://schemas.openxmlformats.org/officeDocument/2006/relationships/hyperlink" Target="https://advanced.onlinelibrary.wiley.com/doi/10.1002/adma.202517358?af=R" TargetMode="External"/><Relationship Id="rId192" Type="http://schemas.openxmlformats.org/officeDocument/2006/relationships/hyperlink" Target="https://doi.org/10.1002/adma.202517358" TargetMode="External"/><Relationship Id="rId193" Type="http://schemas.openxmlformats.org/officeDocument/2006/relationships/hyperlink" Target="https://advanced.onlinelibrary.wiley.com/doi/10.1002/aenm.202505486?af=R" TargetMode="External"/><Relationship Id="rId194" Type="http://schemas.openxmlformats.org/officeDocument/2006/relationships/hyperlink" Target="https://doi.org/10.1002/aenm.202505486" TargetMode="External"/><Relationship Id="rId195" Type="http://schemas.openxmlformats.org/officeDocument/2006/relationships/hyperlink" Target="https://onlinelibrary.wiley.com/doi/10.1002/anie.1824435?af=R" TargetMode="External"/><Relationship Id="rId196" Type="http://schemas.openxmlformats.org/officeDocument/2006/relationships/hyperlink" Target="https://doi.org/10.1002/anie.1824435" TargetMode="External"/><Relationship Id="rId197" Type="http://schemas.openxmlformats.org/officeDocument/2006/relationships/hyperlink" Target="https://advanced.onlinelibrary.wiley.com/doi/10.1002/adma.202522552?af=R" TargetMode="External"/><Relationship Id="rId198" Type="http://schemas.openxmlformats.org/officeDocument/2006/relationships/hyperlink" Target="https://doi.org/10.1002/adma.202522552" TargetMode="External"/><Relationship Id="rId199" Type="http://schemas.openxmlformats.org/officeDocument/2006/relationships/hyperlink" Target="https://onlinelibrary.wiley.com/doi/10.1002/anie.202522416?af=R" TargetMode="External"/><Relationship Id="rId200" Type="http://schemas.openxmlformats.org/officeDocument/2006/relationships/hyperlink" Target="https://doi.org/10.1002/anie.202522416" TargetMode="External"/><Relationship Id="rId201" Type="http://schemas.openxmlformats.org/officeDocument/2006/relationships/hyperlink" Target="https://onlinelibrary.wiley.com/doi/10.1002/anie.8014647?af=R" TargetMode="External"/><Relationship Id="rId202" Type="http://schemas.openxmlformats.org/officeDocument/2006/relationships/hyperlink" Target="https://doi.org/10.1002/anie.8014647" TargetMode="External"/><Relationship Id="rId203" Type="http://schemas.openxmlformats.org/officeDocument/2006/relationships/hyperlink" Target="https://onlinelibrary.wiley.com/doi/10.1002/anie.202520411?af=R" TargetMode="External"/><Relationship Id="rId204" Type="http://schemas.openxmlformats.org/officeDocument/2006/relationships/hyperlink" Target="https://doi.org/10.1002/anie.202520411" TargetMode="External"/><Relationship Id="rId205" Type="http://schemas.openxmlformats.org/officeDocument/2006/relationships/hyperlink" Target="https://advanced.onlinelibrary.wiley.com/doi/10.1002/adma.72513?af=R" TargetMode="External"/><Relationship Id="rId206" Type="http://schemas.openxmlformats.org/officeDocument/2006/relationships/hyperlink" Target="https://doi.org/10.1002/adma.72513" TargetMode="External"/><Relationship Id="rId207" Type="http://schemas.openxmlformats.org/officeDocument/2006/relationships/hyperlink" Target="https://onlinelibrary.wiley.com/doi/10.1002/anie.202525878?af=R" TargetMode="External"/><Relationship Id="rId208" Type="http://schemas.openxmlformats.org/officeDocument/2006/relationships/hyperlink" Target="https://doi.org/10.1002/anie.202525878" TargetMode="External"/><Relationship Id="rId209" Type="http://schemas.openxmlformats.org/officeDocument/2006/relationships/hyperlink" Target="https://advanced.onlinelibrary.wiley.com/doi/10.1002/adma.202523642?af=R" TargetMode="External"/><Relationship Id="rId210" Type="http://schemas.openxmlformats.org/officeDocument/2006/relationships/hyperlink" Target="https://doi.org/10.1002/adma.202523642" TargetMode="External"/><Relationship Id="rId211" Type="http://schemas.openxmlformats.org/officeDocument/2006/relationships/hyperlink" Target="https://advanced.onlinelibrary.wiley.com/doi/10.1002/adma.202518547?af=R" TargetMode="External"/><Relationship Id="rId212" Type="http://schemas.openxmlformats.org/officeDocument/2006/relationships/hyperlink" Target="https://doi.org/10.1002/adma.202518547" TargetMode="External"/><Relationship Id="rId213" Type="http://schemas.openxmlformats.org/officeDocument/2006/relationships/hyperlink" Target="https://advanced.onlinelibrary.wiley.com/doi/10.1002/adma.202517966?af=R" TargetMode="External"/><Relationship Id="rId214" Type="http://schemas.openxmlformats.org/officeDocument/2006/relationships/hyperlink" Target="https://doi.org/10.1002/adma.202517966" TargetMode="External"/><Relationship Id="rId215" Type="http://schemas.openxmlformats.org/officeDocument/2006/relationships/hyperlink" Target="https://advanced.onlinelibrary.wiley.com/doi/10.1002/adma.202523436?af=R" TargetMode="External"/><Relationship Id="rId216" Type="http://schemas.openxmlformats.org/officeDocument/2006/relationships/hyperlink" Target="https://doi.org/10.1002/adma.202523436" TargetMode="External"/><Relationship Id="rId217" Type="http://schemas.openxmlformats.org/officeDocument/2006/relationships/hyperlink" Target="https://advanced.onlinelibrary.wiley.com/doi/10.1002/adma.202522781?af=R" TargetMode="External"/><Relationship Id="rId218" Type="http://schemas.openxmlformats.org/officeDocument/2006/relationships/hyperlink" Target="https://doi.org/10.1002/adma.202522781" TargetMode="External"/><Relationship Id="rId219" Type="http://schemas.openxmlformats.org/officeDocument/2006/relationships/hyperlink" Target="https://advanced.onlinelibrary.wiley.com/doi/10.1002/adma.202521178?af=R" TargetMode="External"/><Relationship Id="rId220" Type="http://schemas.openxmlformats.org/officeDocument/2006/relationships/hyperlink" Target="https://doi.org/10.1002/adma.202521178" TargetMode="External"/><Relationship Id="rId221" Type="http://schemas.openxmlformats.org/officeDocument/2006/relationships/hyperlink" Target="https://www.pnas.org/doi/abs/10.1073/pnas.2533901123?mi=eymic2&amp;af=R&amp;access=on&amp;content=articlesChapters&amp;publication=pnas&amp;sortBy=Earliest&amp;target=default" TargetMode="External"/><Relationship Id="rId222" Type="http://schemas.openxmlformats.org/officeDocument/2006/relationships/hyperlink" Target="https://doi.org/10.1073/pnas.2533901123" TargetMode="External"/><Relationship Id="rId223" Type="http://schemas.openxmlformats.org/officeDocument/2006/relationships/hyperlink" Target="https://www.pnas.org/doi/abs/10.1073/pnas.2530977123?mi=eymic2&amp;af=R&amp;access=on&amp;content=articlesChapters&amp;publication=pnas&amp;sortBy=Earliest&amp;target=default" TargetMode="External"/><Relationship Id="rId224" Type="http://schemas.openxmlformats.org/officeDocument/2006/relationships/hyperlink" Target="https://doi.org/10.1073/pnas.2530977123" TargetMode="External"/><Relationship Id="rId225" Type="http://schemas.openxmlformats.org/officeDocument/2006/relationships/hyperlink" Target="https://www.pnas.org/doi/abs/10.1073/pnas.2529774123?mi=eymic2&amp;af=R&amp;access=on&amp;content=articlesChapters&amp;publication=pnas&amp;sortBy=Earliest&amp;target=default" TargetMode="External"/><Relationship Id="rId226" Type="http://schemas.openxmlformats.org/officeDocument/2006/relationships/hyperlink" Target="https://doi.org/10.1073/pnas.2529774123" TargetMode="External"/><Relationship Id="rId227" Type="http://schemas.openxmlformats.org/officeDocument/2006/relationships/hyperlink" Target="https://www.pnas.org/doi/abs/10.1073/pnas.2534015123?mi=eymic2&amp;af=R&amp;access=on&amp;content=articlesChapters&amp;publication=pnas&amp;sortBy=Earliest&amp;target=default" TargetMode="External"/><Relationship Id="rId228" Type="http://schemas.openxmlformats.org/officeDocument/2006/relationships/hyperlink" Target="https://doi.org/10.1073/pnas.2534015123" TargetMode="External"/><Relationship Id="rId229" Type="http://schemas.openxmlformats.org/officeDocument/2006/relationships/hyperlink" Target="https://www.pnas.org/doi/abs/10.1073/pnas.2529141123?mi=eymic2&amp;af=R&amp;access=on&amp;content=articlesChapters&amp;publication=pnas&amp;sortBy=Earliest&amp;target=default" TargetMode="External"/><Relationship Id="rId230" Type="http://schemas.openxmlformats.org/officeDocument/2006/relationships/hyperlink" Target="https://doi.org/10.1073/pnas.2529141123" TargetMode="External"/><Relationship Id="rId231" Type="http://schemas.openxmlformats.org/officeDocument/2006/relationships/hyperlink" Target="https://www.pnas.org/doi/abs/10.1073/pnas.2533904123?mi=eymic2&amp;af=R&amp;access=on&amp;content=articlesChapters&amp;publication=pnas&amp;sortBy=Earliest&amp;target=default" TargetMode="External"/><Relationship Id="rId232" Type="http://schemas.openxmlformats.org/officeDocument/2006/relationships/hyperlink" Target="https://doi.org/10.1073/pnas.2533904123" TargetMode="External"/><Relationship Id="rId233" Type="http://schemas.openxmlformats.org/officeDocument/2006/relationships/hyperlink" Target="https://www.pnas.org/doi/abs/10.1073/pnas.2517939123?mi=eymic2&amp;af=R&amp;access=on&amp;content=articlesChapters&amp;publication=pnas&amp;sortBy=Earliest&amp;target=default" TargetMode="External"/><Relationship Id="rId234" Type="http://schemas.openxmlformats.org/officeDocument/2006/relationships/hyperlink" Target="https://doi.org/10.1073/pnas.2517939123" TargetMode="External"/><Relationship Id="rId235" Type="http://schemas.openxmlformats.org/officeDocument/2006/relationships/hyperlink" Target="https://www.pnas.org/doi/abs/10.1073/pnas.2517723123?mi=eymic2&amp;af=R&amp;access=on&amp;content=articlesChapters&amp;publication=pnas&amp;sortBy=Earliest&amp;target=default" TargetMode="External"/><Relationship Id="rId236" Type="http://schemas.openxmlformats.org/officeDocument/2006/relationships/hyperlink" Target="https://doi.org/10.1073/pnas.2517723123" TargetMode="External"/><Relationship Id="rId237" Type="http://schemas.openxmlformats.org/officeDocument/2006/relationships/hyperlink" Target="https://www.pnas.org/doi/abs/10.1073/pnas.2518513123?mi=eymic2&amp;af=R&amp;access=on&amp;content=articlesChapters&amp;publication=pnas&amp;sortBy=Earliest&amp;target=default" TargetMode="External"/><Relationship Id="rId238" Type="http://schemas.openxmlformats.org/officeDocument/2006/relationships/hyperlink" Target="https://doi.org/10.1073/pnas.2518513123" TargetMode="External"/><Relationship Id="rId239" Type="http://schemas.openxmlformats.org/officeDocument/2006/relationships/hyperlink" Target="https://www.pnas.org/doi/abs/10.1073/pnas.2505331123?mi=eymic2&amp;af=R&amp;access=on&amp;content=articlesChapters&amp;publication=pnas&amp;sortBy=Earliest&amp;target=default" TargetMode="External"/><Relationship Id="rId240" Type="http://schemas.openxmlformats.org/officeDocument/2006/relationships/hyperlink" Target="https://doi.org/10.1073/pnas.2505331123" TargetMode="External"/><Relationship Id="rId241" Type="http://schemas.openxmlformats.org/officeDocument/2006/relationships/hyperlink" Target="https://www.pnas.org/doi/abs/10.1073/pnas.2524949123?mi=eymic2&amp;af=R&amp;access=on&amp;content=articlesChapters&amp;publication=pnas&amp;sortBy=Earliest&amp;target=default" TargetMode="External"/><Relationship Id="rId242" Type="http://schemas.openxmlformats.org/officeDocument/2006/relationships/hyperlink" Target="https://doi.org/10.1073/pnas.2524949123" TargetMode="External"/><Relationship Id="rId243" Type="http://schemas.openxmlformats.org/officeDocument/2006/relationships/hyperlink" Target="https://www.pnas.org/doi/abs/10.1073/pnas.2522818123?mi=eymic2&amp;af=R&amp;access=on&amp;content=articlesChapters&amp;publication=pnas&amp;sortBy=Earliest&amp;target=default" TargetMode="External"/><Relationship Id="rId244" Type="http://schemas.openxmlformats.org/officeDocument/2006/relationships/hyperlink" Target="https://doi.org/10.1073/pnas.2522818123" TargetMode="External"/><Relationship Id="rId245" Type="http://schemas.openxmlformats.org/officeDocument/2006/relationships/hyperlink" Target="https://www.pnas.org/doi/abs/10.1073/pnas.2518857123?mi=eymic2&amp;af=R&amp;access=on&amp;content=articlesChapters&amp;publication=pnas&amp;sortBy=Earliest&amp;target=default" TargetMode="External"/><Relationship Id="rId246" Type="http://schemas.openxmlformats.org/officeDocument/2006/relationships/hyperlink" Target="https://doi.org/10.1073/pnas.2518857123" TargetMode="External"/><Relationship Id="rId247" Type="http://schemas.openxmlformats.org/officeDocument/2006/relationships/hyperlink" Target="https://www.pnas.org/doi/abs/10.1073/pnas.2506699123?mi=eymic2&amp;af=R&amp;access=on&amp;content=articlesChapters&amp;publication=pnas&amp;sortBy=Earliest&amp;target=default" TargetMode="External"/><Relationship Id="rId248" Type="http://schemas.openxmlformats.org/officeDocument/2006/relationships/hyperlink" Target="https://doi.org/10.1073/pnas.2506699123" TargetMode="External"/><Relationship Id="rId249" Type="http://schemas.openxmlformats.org/officeDocument/2006/relationships/hyperlink" Target="https://www.pnas.org/doi/abs/10.1073/pnas.2512602123?mi=eymic2&amp;af=R&amp;access=on&amp;content=articlesChapters&amp;publication=pnas&amp;sortBy=Earliest&amp;target=default" TargetMode="External"/><Relationship Id="rId250" Type="http://schemas.openxmlformats.org/officeDocument/2006/relationships/hyperlink" Target="https://doi.org/10.1073/pnas.2512602123" TargetMode="External"/><Relationship Id="rId251" Type="http://schemas.openxmlformats.org/officeDocument/2006/relationships/hyperlink" Target="https://www.pnas.org/doi/abs/10.1073/pnas.2513573123?mi=eymic2&amp;af=R&amp;access=on&amp;content=articlesChapters&amp;publication=pnas&amp;sortBy=Earliest&amp;target=default" TargetMode="External"/><Relationship Id="rId252" Type="http://schemas.openxmlformats.org/officeDocument/2006/relationships/hyperlink" Target="https://doi.org/10.1073/pnas.2513573123" TargetMode="External"/><Relationship Id="rId253" Type="http://schemas.openxmlformats.org/officeDocument/2006/relationships/hyperlink" Target="https://www.pnas.org/doi/abs/10.1073/pnas.2529018123?mi=eymic2&amp;af=R&amp;access=on&amp;content=articlesChapters&amp;publication=pnas&amp;sortBy=Earliest&amp;target=default" TargetMode="External"/><Relationship Id="rId254" Type="http://schemas.openxmlformats.org/officeDocument/2006/relationships/hyperlink" Target="https://doi.org/10.1073/pnas.2529018123" TargetMode="External"/><Relationship Id="rId255" Type="http://schemas.openxmlformats.org/officeDocument/2006/relationships/hyperlink" Target="https://www.pnas.org/doi/abs/10.1073/pnas.2513716123?mi=eymic2&amp;af=R&amp;access=on&amp;content=articlesChapters&amp;publication=pnas&amp;sortBy=Earliest&amp;target=default" TargetMode="External"/><Relationship Id="rId256" Type="http://schemas.openxmlformats.org/officeDocument/2006/relationships/hyperlink" Target="https://doi.org/10.1073/pnas.2513716123" TargetMode="External"/><Relationship Id="rId257" Type="http://schemas.openxmlformats.org/officeDocument/2006/relationships/hyperlink" Target="https://www.pnas.org/doi/abs/10.1073/pnas.2521417123?mi=eymic2&amp;af=R&amp;access=on&amp;content=articlesChapters&amp;publication=pnas&amp;sortBy=Earliest&amp;target=default" TargetMode="External"/><Relationship Id="rId258" Type="http://schemas.openxmlformats.org/officeDocument/2006/relationships/hyperlink" Target="https://doi.org/10.1073/pnas.2521417123" TargetMode="External"/><Relationship Id="rId259" Type="http://schemas.openxmlformats.org/officeDocument/2006/relationships/hyperlink" Target="https://www.pnas.org/doi/abs/10.1073/pnas.2513856123?mi=eymic2&amp;af=R&amp;access=on&amp;content=articlesChapters&amp;publication=pnas&amp;sortBy=Earliest&amp;target=default" TargetMode="External"/><Relationship Id="rId260" Type="http://schemas.openxmlformats.org/officeDocument/2006/relationships/hyperlink" Target="https://doi.org/10.1073/pnas.2513856123" TargetMode="External"/><Relationship Id="rId261" Type="http://schemas.openxmlformats.org/officeDocument/2006/relationships/hyperlink" Target="https://www.pnas.org/doi/abs/10.1073/pnas.2516405123?mi=eymic2&amp;af=R&amp;access=on&amp;content=articlesChapters&amp;publication=pnas&amp;sortBy=Earliest&amp;target=default" TargetMode="External"/><Relationship Id="rId262" Type="http://schemas.openxmlformats.org/officeDocument/2006/relationships/hyperlink" Target="https://doi.org/10.1073/pnas.2516405123" TargetMode="External"/><Relationship Id="rId263" Type="http://schemas.openxmlformats.org/officeDocument/2006/relationships/hyperlink" Target="https://advanced.onlinelibrary.wiley.com/doi/10.1002/adma.202519087?af=R" TargetMode="External"/><Relationship Id="rId264" Type="http://schemas.openxmlformats.org/officeDocument/2006/relationships/hyperlink" Target="https://doi.org/10.1002/adma.202519087" TargetMode="External"/><Relationship Id="rId265" Type="http://schemas.openxmlformats.org/officeDocument/2006/relationships/hyperlink" Target="http://dx.doi.org/10.1021/jacs.5c18575" TargetMode="External"/><Relationship Id="rId266" Type="http://schemas.openxmlformats.org/officeDocument/2006/relationships/hyperlink" Target="https://doi.org/10.1021/jacs.5c18575" TargetMode="External"/><Relationship Id="rId267" Type="http://schemas.openxmlformats.org/officeDocument/2006/relationships/hyperlink" Target="http://dx.doi.org/10.1021/acsenergylett.5c04144" TargetMode="External"/><Relationship Id="rId268" Type="http://schemas.openxmlformats.org/officeDocument/2006/relationships/hyperlink" Target="https://doi.org/10.1021/acsenergylett.5c04144" TargetMode="External"/><Relationship Id="rId269" Type="http://schemas.openxmlformats.org/officeDocument/2006/relationships/hyperlink" Target="http://dx.doi.org/10.1021/acsenergylett.5c04024" TargetMode="External"/><Relationship Id="rId270" Type="http://schemas.openxmlformats.org/officeDocument/2006/relationships/hyperlink" Target="https://doi.org/10.1021/acsenergylett.5c04024" TargetMode="External"/><Relationship Id="rId271" Type="http://schemas.openxmlformats.org/officeDocument/2006/relationships/hyperlink" Target="http://dx.doi.org/10.1021/jacs.5c17084" TargetMode="External"/><Relationship Id="rId272" Type="http://schemas.openxmlformats.org/officeDocument/2006/relationships/hyperlink" Target="https://doi.org/10.1021/jacs.5c17084" TargetMode="External"/><Relationship Id="rId273" Type="http://schemas.openxmlformats.org/officeDocument/2006/relationships/hyperlink" Target="https://advanced.onlinelibrary.wiley.com/doi/10.1002/adma.202520371?af=R" TargetMode="External"/><Relationship Id="rId274" Type="http://schemas.openxmlformats.org/officeDocument/2006/relationships/hyperlink" Target="https://doi.org/10.1002/adma.202520371" TargetMode="External"/><Relationship Id="rId275" Type="http://schemas.openxmlformats.org/officeDocument/2006/relationships/hyperlink" Target="https://onlinelibrary.wiley.com/doi/10.1002/anie.202519827?af=R" TargetMode="External"/><Relationship Id="rId276" Type="http://schemas.openxmlformats.org/officeDocument/2006/relationships/hyperlink" Target="https://doi.org/10.1002/anie.202519827" TargetMode="External"/><Relationship Id="rId277" Type="http://schemas.openxmlformats.org/officeDocument/2006/relationships/hyperlink" Target="https://onlinelibrary.wiley.com/doi/10.1002/anie.202518379?af=R" TargetMode="External"/><Relationship Id="rId278" Type="http://schemas.openxmlformats.org/officeDocument/2006/relationships/hyperlink" Target="https://doi.org/10.1002/anie.202518379" TargetMode="External"/><Relationship Id="rId279" Type="http://schemas.openxmlformats.org/officeDocument/2006/relationships/hyperlink" Target="https://advanced.onlinelibrary.wiley.com/doi/10.1002/aenm.202504928?af=R" TargetMode="External"/><Relationship Id="rId280" Type="http://schemas.openxmlformats.org/officeDocument/2006/relationships/hyperlink" Target="https://doi.org/10.1002/aenm.202504928" TargetMode="External"/><Relationship Id="rId281" Type="http://schemas.openxmlformats.org/officeDocument/2006/relationships/hyperlink" Target="https://onlinelibrary.wiley.com/doi/10.1002/anie.202524438?af=R" TargetMode="External"/><Relationship Id="rId282" Type="http://schemas.openxmlformats.org/officeDocument/2006/relationships/hyperlink" Target="https://doi.org/10.1002/anie.202524438" TargetMode="External"/><Relationship Id="rId283" Type="http://schemas.openxmlformats.org/officeDocument/2006/relationships/hyperlink" Target="http://dx.doi.org/10.1021/acsenergylett.5c03367" TargetMode="External"/><Relationship Id="rId284" Type="http://schemas.openxmlformats.org/officeDocument/2006/relationships/hyperlink" Target="https://doi.org/10.1021/acsenergylett.5c03367" TargetMode="External"/><Relationship Id="rId285" Type="http://schemas.openxmlformats.org/officeDocument/2006/relationships/hyperlink" Target="https://onlinelibrary.wiley.com/doi/10.1002/anie.202522584?af=R" TargetMode="External"/><Relationship Id="rId286" Type="http://schemas.openxmlformats.org/officeDocument/2006/relationships/hyperlink" Target="https://doi.org/10.1002/anie.202522584" TargetMode="External"/><Relationship Id="rId287" Type="http://schemas.openxmlformats.org/officeDocument/2006/relationships/hyperlink" Target="https://onlinelibrary.wiley.com/doi/10.1002/anie.202523055?af=R" TargetMode="External"/><Relationship Id="rId288" Type="http://schemas.openxmlformats.org/officeDocument/2006/relationships/hyperlink" Target="https://doi.org/10.1002/anie.202523055" TargetMode="External"/><Relationship Id="rId289" Type="http://schemas.openxmlformats.org/officeDocument/2006/relationships/hyperlink" Target="https://advanced.onlinelibrary.wiley.com/doi/10.1002/adma.202512548?af=R" TargetMode="External"/><Relationship Id="rId290" Type="http://schemas.openxmlformats.org/officeDocument/2006/relationships/hyperlink" Target="https://doi.org/10.1002/adma.202512548" TargetMode="External"/><Relationship Id="rId291" Type="http://schemas.openxmlformats.org/officeDocument/2006/relationships/hyperlink" Target="https://advanced.onlinelibrary.wiley.com/doi/10.1002/adma.202517298?af=R" TargetMode="External"/><Relationship Id="rId292" Type="http://schemas.openxmlformats.org/officeDocument/2006/relationships/hyperlink" Target="https://doi.org/10.1002/adma.202517298" TargetMode="External"/><Relationship Id="rId293" Type="http://schemas.openxmlformats.org/officeDocument/2006/relationships/hyperlink" Target="http://dx.doi.org/10.1021/jacs.5c22734" TargetMode="External"/><Relationship Id="rId294" Type="http://schemas.openxmlformats.org/officeDocument/2006/relationships/hyperlink" Target="https://doi.org/10.1021/jacs.5c22734" TargetMode="External"/><Relationship Id="rId295" Type="http://schemas.openxmlformats.org/officeDocument/2006/relationships/hyperlink" Target="http://dx.doi.org/10.1021/jacs.5c17778" TargetMode="External"/><Relationship Id="rId296" Type="http://schemas.openxmlformats.org/officeDocument/2006/relationships/hyperlink" Target="https://doi.org/10.1021/jacs.5c17778" TargetMode="External"/><Relationship Id="rId297" Type="http://schemas.openxmlformats.org/officeDocument/2006/relationships/hyperlink" Target="http://dx.doi.org/10.1021/jacs.5c18403" TargetMode="External"/><Relationship Id="rId298" Type="http://schemas.openxmlformats.org/officeDocument/2006/relationships/hyperlink" Target="https://doi.org/10.1021/jacs.5c18403" TargetMode="External"/><Relationship Id="rId299" Type="http://schemas.openxmlformats.org/officeDocument/2006/relationships/hyperlink" Target="http://dx.doi.org/10.1021/jacs.5c20643" TargetMode="External"/><Relationship Id="rId300" Type="http://schemas.openxmlformats.org/officeDocument/2006/relationships/hyperlink" Target="https://doi.org/10.1021/jacs.5c20643" TargetMode="External"/><Relationship Id="rId301" Type="http://schemas.openxmlformats.org/officeDocument/2006/relationships/hyperlink" Target="http://dx.doi.org/10.1021/jacs.5c20667" TargetMode="External"/><Relationship Id="rId302" Type="http://schemas.openxmlformats.org/officeDocument/2006/relationships/hyperlink" Target="https://doi.org/10.1021/jacs.5c20667" TargetMode="External"/><Relationship Id="rId303" Type="http://schemas.openxmlformats.org/officeDocument/2006/relationships/hyperlink" Target="http://dx.doi.org/10.1021/jacs.5c21708" TargetMode="External"/><Relationship Id="rId304" Type="http://schemas.openxmlformats.org/officeDocument/2006/relationships/hyperlink" Target="https://doi.org/10.1021/jacs.5c21708" TargetMode="External"/><Relationship Id="rId305" Type="http://schemas.openxmlformats.org/officeDocument/2006/relationships/hyperlink" Target="http://dx.doi.org/10.1021/acsenergylett.5c03710" TargetMode="External"/><Relationship Id="rId306" Type="http://schemas.openxmlformats.org/officeDocument/2006/relationships/hyperlink" Target="https://doi.org/10.1021/acsenergylett.5c03710" TargetMode="External"/><Relationship Id="rId307" Type="http://schemas.openxmlformats.org/officeDocument/2006/relationships/hyperlink" Target="http://dx.doi.org/10.1021/jacs.5c21777" TargetMode="External"/><Relationship Id="rId308" Type="http://schemas.openxmlformats.org/officeDocument/2006/relationships/hyperlink" Target="https://doi.org/10.1021/jacs.5c21777" TargetMode="External"/><Relationship Id="rId309" Type="http://schemas.openxmlformats.org/officeDocument/2006/relationships/hyperlink" Target="http://dx.doi.org/10.1021/jacs.5c22517" TargetMode="External"/><Relationship Id="rId310" Type="http://schemas.openxmlformats.org/officeDocument/2006/relationships/hyperlink" Target="https://doi.org/10.1021/jacs.5c22517" TargetMode="External"/><Relationship Id="rId311" Type="http://schemas.openxmlformats.org/officeDocument/2006/relationships/hyperlink" Target="http://dx.doi.org/10.1021/jacs.5c16884" TargetMode="External"/><Relationship Id="rId312" Type="http://schemas.openxmlformats.org/officeDocument/2006/relationships/hyperlink" Target="https://doi.org/10.1021/jacs.5c16884" TargetMode="External"/><Relationship Id="rId313" Type="http://schemas.openxmlformats.org/officeDocument/2006/relationships/hyperlink" Target="http://dx.doi.org/10.1021/acsenergylett.5c03837" TargetMode="External"/><Relationship Id="rId314" Type="http://schemas.openxmlformats.org/officeDocument/2006/relationships/hyperlink" Target="https://doi.org/10.1021/acsenergylett.5c03837" TargetMode="External"/><Relationship Id="rId315" Type="http://schemas.openxmlformats.org/officeDocument/2006/relationships/hyperlink" Target="http://dx.doi.org/10.1021/acsenergylett.5c04084" TargetMode="External"/><Relationship Id="rId316" Type="http://schemas.openxmlformats.org/officeDocument/2006/relationships/hyperlink" Target="https://doi.org/10.1021/acsenergylett.5c04084" TargetMode="External"/><Relationship Id="rId317" Type="http://schemas.openxmlformats.org/officeDocument/2006/relationships/hyperlink" Target="http://dx.doi.org/10.1021/jacs.5c19915" TargetMode="External"/><Relationship Id="rId318" Type="http://schemas.openxmlformats.org/officeDocument/2006/relationships/hyperlink" Target="https://doi.org/10.1021/jacs.5c19915" TargetMode="External"/><Relationship Id="rId319" Type="http://schemas.openxmlformats.org/officeDocument/2006/relationships/hyperlink" Target="http://dx.doi.org/10.1021/acsenergylett.5c03592" TargetMode="External"/><Relationship Id="rId320" Type="http://schemas.openxmlformats.org/officeDocument/2006/relationships/hyperlink" Target="https://doi.org/10.1021/acsenergylett.5c03592" TargetMode="External"/><Relationship Id="rId321" Type="http://schemas.openxmlformats.org/officeDocument/2006/relationships/hyperlink" Target="http://dx.doi.org/10.1021/jacs.6c00896" TargetMode="External"/><Relationship Id="rId322" Type="http://schemas.openxmlformats.org/officeDocument/2006/relationships/hyperlink" Target="https://doi.org/10.1021/jacs.6c00896" TargetMode="External"/><Relationship Id="rId323" Type="http://schemas.openxmlformats.org/officeDocument/2006/relationships/hyperlink" Target="http://dx.doi.org/10.1021/jacs.5c18975" TargetMode="External"/><Relationship Id="rId324" Type="http://schemas.openxmlformats.org/officeDocument/2006/relationships/hyperlink" Target="https://doi.org/10.1021/jacs.5c18975" TargetMode="External"/><Relationship Id="rId325" Type="http://schemas.openxmlformats.org/officeDocument/2006/relationships/hyperlink" Target="http://dx.doi.org/10.1021/jacs.5c19857" TargetMode="External"/><Relationship Id="rId326" Type="http://schemas.openxmlformats.org/officeDocument/2006/relationships/hyperlink" Target="https://doi.org/10.1021/jacs.5c19857" TargetMode="External"/><Relationship Id="rId327" Type="http://schemas.openxmlformats.org/officeDocument/2006/relationships/hyperlink" Target="https://www.nature.com/articles/d41586-026-00450-x" TargetMode="External"/><Relationship Id="rId328" Type="http://schemas.openxmlformats.org/officeDocument/2006/relationships/hyperlink" Target="https://www.sciencedirect.com/science/article/pii/S0306261926001200?dgcid=rss_sd_all" TargetMode="External"/><Relationship Id="rId329" Type="http://schemas.openxmlformats.org/officeDocument/2006/relationships/hyperlink" Target="https://www.nature.com/articles/d41586-026-00384-4" TargetMode="External"/><Relationship Id="rId330" Type="http://schemas.openxmlformats.org/officeDocument/2006/relationships/hyperlink" Target="https://www.nature.com/articles/s41467-026-68546-6" TargetMode="External"/><Relationship Id="rId331" Type="http://schemas.openxmlformats.org/officeDocument/2006/relationships/hyperlink" Target="https://www.nature.com/articles/d41586-026-00390-6" TargetMode="External"/><Relationship Id="rId332" Type="http://schemas.openxmlformats.org/officeDocument/2006/relationships/hyperlink" Target="https://www.nature.com/articles/d41586-026-00405-2" TargetMode="External"/><Relationship Id="rId333" Type="http://schemas.openxmlformats.org/officeDocument/2006/relationships/hyperlink" Target="https://www.sciencedirect.com/science/article/pii/S0306261926001236?dgcid=rss_sd_all" TargetMode="External"/><Relationship Id="rId334" Type="http://schemas.openxmlformats.org/officeDocument/2006/relationships/hyperlink" Target="https://www.sciencedirect.com/science/article/pii/S0306261926000759?dgcid=rss_sd_all" TargetMode="External"/><Relationship Id="rId335" Type="http://schemas.openxmlformats.org/officeDocument/2006/relationships/hyperlink" Target="https://www.sciencedirect.com/science/article/pii/S0306261926000231?dgcid=rss_sd_all" TargetMode="External"/><Relationship Id="rId336" Type="http://schemas.openxmlformats.org/officeDocument/2006/relationships/hyperlink" Target="https://www.sciencedirect.com/science/article/pii/S0306261926001194?dgcid=rss_sd_all" TargetMode="External"/><Relationship Id="rId337" Type="http://schemas.openxmlformats.org/officeDocument/2006/relationships/hyperlink" Target="https://www.nature.com/articles/d41586-026-00421-2" TargetMode="External"/><Relationship Id="rId338" Type="http://schemas.openxmlformats.org/officeDocument/2006/relationships/hyperlink" Target="https://www.sciencedirect.com/science/article/pii/S0301421526000893?dgcid=rss_sd_all" TargetMode="External"/><Relationship Id="rId339" Type="http://schemas.openxmlformats.org/officeDocument/2006/relationships/hyperlink" Target="https://www.sciencedirect.com/science/article/pii/S0301421526000881?dgcid=rss_sd_all" TargetMode="External"/><Relationship Id="rId340" Type="http://schemas.openxmlformats.org/officeDocument/2006/relationships/hyperlink" Target="https://www.cell.com/chem/fulltext/S2451-9294(25)00475-9?rss=yes" TargetMode="External"/><Relationship Id="rId341" Type="http://schemas.openxmlformats.org/officeDocument/2006/relationships/hyperlink" Target="https://www.cell.com/joule/fulltext/S2542-4351(26)00023-1?rss=yes" TargetMode="External"/><Relationship Id="rId342" Type="http://schemas.openxmlformats.org/officeDocument/2006/relationships/hyperlink" Target="https://www.sciencedirect.com/science/article/pii/S0301421526000789?dgcid=rss_sd_all" TargetMode="External"/><Relationship Id="rId343" Type="http://schemas.openxmlformats.org/officeDocument/2006/relationships/hyperlink" Target="https://www.sciencedirect.com/science/article/pii/S0301421526000728?dgcid=rss_sd_all" TargetMode="External"/><Relationship Id="rId344" Type="http://schemas.openxmlformats.org/officeDocument/2006/relationships/hyperlink" Target="https://www.nature.com/articles/d41586-026-00420-3" TargetMode="External"/><Relationship Id="rId345" Type="http://schemas.openxmlformats.org/officeDocument/2006/relationships/hyperlink" Target="https://www.nature.com/articles/d41586-025-04165-3" TargetMode="External"/><Relationship Id="rId346" Type="http://schemas.openxmlformats.org/officeDocument/2006/relationships/hyperlink" Target="https://www.nature.com/articles/d41586-025-04166-2" TargetMode="External"/><Relationship Id="rId347" Type="http://schemas.openxmlformats.org/officeDocument/2006/relationships/hyperlink" Target="https://www.nature.com/articles/d41586-026-00419-w" TargetMode="External"/><Relationship Id="rId348" Type="http://schemas.openxmlformats.org/officeDocument/2006/relationships/hyperlink" Target="https://www.nature.com/articles/d41586-026-00418-x" TargetMode="External"/><Relationship Id="rId349" Type="http://schemas.openxmlformats.org/officeDocument/2006/relationships/hyperlink" Target="https://www.nature.com/articles/d41586-026-00193-9" TargetMode="External"/><Relationship Id="rId350" Type="http://schemas.openxmlformats.org/officeDocument/2006/relationships/hyperlink" Target="https://academic.oup.com/nsr/advance-article/doi/10.1093/nsr/nwag094/8471554?rss=1" TargetMode="External"/><Relationship Id="rId351" Type="http://schemas.openxmlformats.org/officeDocument/2006/relationships/hyperlink" Target="https://doi.org/10.1093/nsr/nwag094/8471554" TargetMode="External"/><Relationship Id="rId352" Type="http://schemas.openxmlformats.org/officeDocument/2006/relationships/hyperlink" Target="https://academic.oup.com/nsr/advance-article/doi/10.1093/nsr/nwag091/8471543?rss=1" TargetMode="External"/><Relationship Id="rId353" Type="http://schemas.openxmlformats.org/officeDocument/2006/relationships/hyperlink" Target="https://doi.org/10.1093/nsr/nwag091/8471543" TargetMode="External"/><Relationship Id="rId354" Type="http://schemas.openxmlformats.org/officeDocument/2006/relationships/hyperlink" Target="https://www.cell.com/chem/fulltext/S2451-9294(25)00477-2?rss=yes" TargetMode="External"/><Relationship Id="rId355" Type="http://schemas.openxmlformats.org/officeDocument/2006/relationships/hyperlink" Target="https://www.nature.com/articles/d41586-026-00387-1" TargetMode="External"/><Relationship Id="rId356" Type="http://schemas.openxmlformats.org/officeDocument/2006/relationships/hyperlink" Target="http://pubs.rsc.org/en/Content/ArticleLanding/2026/CS/D5CS00900F" TargetMode="External"/><Relationship Id="rId357" Type="http://schemas.openxmlformats.org/officeDocument/2006/relationships/hyperlink" Target="http://pubs.rsc.org/en/Content/ArticleLanding/2026/EE/D5EE06950E" TargetMode="External"/><Relationship Id="rId358" Type="http://schemas.openxmlformats.org/officeDocument/2006/relationships/hyperlink" Target="https://www.sciencedirect.com/science/article/pii/S0306261926001339?dgcid=rss_sd_all" TargetMode="External"/><Relationship Id="rId359" Type="http://schemas.openxmlformats.org/officeDocument/2006/relationships/hyperlink" Target="https://www.nature.com/articles/s41467-026-69263-w" TargetMode="External"/><Relationship Id="rId360" Type="http://schemas.openxmlformats.org/officeDocument/2006/relationships/hyperlink" Target="https://www.sciencedirect.com/science/article/pii/S0306261926001340?dgcid=rss_sd_all" TargetMode="External"/><Relationship Id="rId361" Type="http://schemas.openxmlformats.org/officeDocument/2006/relationships/hyperlink" Target="https://www.sciencedirect.com/science/article/pii/S0306261926001352?dgcid=rss_sd_all" TargetMode="External"/><Relationship Id="rId362" Type="http://schemas.openxmlformats.org/officeDocument/2006/relationships/hyperlink" Target="https://www.nature.com/articles/s41467-026-69473-2" TargetMode="External"/><Relationship Id="rId363" Type="http://schemas.openxmlformats.org/officeDocument/2006/relationships/hyperlink" Target="https://www.nature.com/articles/s41467-026-69315-1" TargetMode="External"/><Relationship Id="rId364" Type="http://schemas.openxmlformats.org/officeDocument/2006/relationships/hyperlink" Target="https://www.nature.com/articles/s41467-026-69474-1" TargetMode="External"/><Relationship Id="rId365" Type="http://schemas.openxmlformats.org/officeDocument/2006/relationships/hyperlink" Target="https://www.sciencedirect.com/science/article/pii/S0306261926001261?dgcid=rss_sd_all" TargetMode="External"/><Relationship Id="rId366" Type="http://schemas.openxmlformats.org/officeDocument/2006/relationships/hyperlink" Target="https://www.nature.com/articles/s41467-026-69124-6" TargetMode="External"/><Relationship Id="rId367" Type="http://schemas.openxmlformats.org/officeDocument/2006/relationships/hyperlink" Target="https://www.sciencedirect.com/science/article/pii/S0306261926001443?dgcid=rss_sd_all" TargetMode="External"/><Relationship Id="rId368" Type="http://schemas.openxmlformats.org/officeDocument/2006/relationships/hyperlink" Target="https://academic.oup.com/nsr/advance-article/doi/10.1093/nsr/nwag084/8471547?rss=1" TargetMode="External"/><Relationship Id="rId369" Type="http://schemas.openxmlformats.org/officeDocument/2006/relationships/hyperlink" Target="https://doi.org/10.1093/nsr/nwag084/8471547" TargetMode="External"/><Relationship Id="rId370" Type="http://schemas.openxmlformats.org/officeDocument/2006/relationships/hyperlink" Target="https://www.sciencedirect.com/science/article/pii/S0306261926001467?dgcid=rss_sd_all" TargetMode="External"/><Relationship Id="rId371" Type="http://schemas.openxmlformats.org/officeDocument/2006/relationships/hyperlink" Target="https://www.sciencedirect.com/science/article/pii/S0306261926001509?dgcid=rss_sd_all" TargetMode="External"/><Relationship Id="rId372" Type="http://schemas.openxmlformats.org/officeDocument/2006/relationships/hyperlink" Target="https://www.nature.com/articles/s41557-025-02040-2" TargetMode="External"/><Relationship Id="rId373" Type="http://schemas.openxmlformats.org/officeDocument/2006/relationships/hyperlink" Target="https://www.nature.com/articles/s41893-025-01764-w" TargetMode="External"/><Relationship Id="rId374" Type="http://schemas.openxmlformats.org/officeDocument/2006/relationships/hyperlink" Target="http://pubs.rsc.org/en/Content/ArticleLanding/2026/CS/D5CS00962F" TargetMode="External"/><Relationship Id="rId375" Type="http://schemas.openxmlformats.org/officeDocument/2006/relationships/hyperlink" Target="https://advanced.onlinelibrary.wiley.com/doi/10.1002/aenm.202505031?af=R" TargetMode="External"/><Relationship Id="rId376" Type="http://schemas.openxmlformats.org/officeDocument/2006/relationships/hyperlink" Target="https://doi.org/10.1002/aenm.202505031" TargetMode="External"/><Relationship Id="rId377" Type="http://schemas.openxmlformats.org/officeDocument/2006/relationships/hyperlink" Target="https://onlinelibrary.wiley.com/doi/10.1002/anie.202518269?af=R" TargetMode="External"/><Relationship Id="rId378" Type="http://schemas.openxmlformats.org/officeDocument/2006/relationships/hyperlink" Target="https://doi.org/10.1002/anie.202518269" TargetMode="External"/><Relationship Id="rId379" Type="http://schemas.openxmlformats.org/officeDocument/2006/relationships/hyperlink" Target="https://onlinelibrary.wiley.com/doi/10.1002/anie.202526027?af=R" TargetMode="External"/><Relationship Id="rId380" Type="http://schemas.openxmlformats.org/officeDocument/2006/relationships/hyperlink" Target="https://doi.org/10.1002/anie.202526027" TargetMode="External"/><Relationship Id="rId381" Type="http://schemas.openxmlformats.org/officeDocument/2006/relationships/hyperlink" Target="https://advanced.onlinelibrary.wiley.com/doi/10.1002/aenm.202506405?af=R" TargetMode="External"/><Relationship Id="rId382" Type="http://schemas.openxmlformats.org/officeDocument/2006/relationships/hyperlink" Target="https://doi.org/10.1002/aenm.202506405" TargetMode="External"/><Relationship Id="rId383" Type="http://schemas.openxmlformats.org/officeDocument/2006/relationships/hyperlink" Target="https://advanced.onlinelibrary.wiley.com/doi/10.1002/aenm.70737?af=R" TargetMode="External"/><Relationship Id="rId384" Type="http://schemas.openxmlformats.org/officeDocument/2006/relationships/hyperlink" Target="https://doi.org/10.1002/aenm.70737" TargetMode="External"/><Relationship Id="rId385" Type="http://schemas.openxmlformats.org/officeDocument/2006/relationships/hyperlink" Target="https://advanced.onlinelibrary.wiley.com/doi/10.1002/aenm.202506757?af=R" TargetMode="External"/><Relationship Id="rId386" Type="http://schemas.openxmlformats.org/officeDocument/2006/relationships/hyperlink" Target="https://doi.org/10.1002/aenm.202506757" TargetMode="External"/><Relationship Id="rId387" Type="http://schemas.openxmlformats.org/officeDocument/2006/relationships/hyperlink" Target="https://onlinelibrary.wiley.com/doi/10.1002/anie.202524500?af=R" TargetMode="External"/><Relationship Id="rId388" Type="http://schemas.openxmlformats.org/officeDocument/2006/relationships/hyperlink" Target="https://doi.org/10.1002/anie.202524500" TargetMode="External"/><Relationship Id="rId389" Type="http://schemas.openxmlformats.org/officeDocument/2006/relationships/hyperlink" Target="https://onlinelibrary.wiley.com/doi/10.1002/anie.8425918?af=R" TargetMode="External"/><Relationship Id="rId390" Type="http://schemas.openxmlformats.org/officeDocument/2006/relationships/hyperlink" Target="https://doi.org/10.1002/anie.8425918" TargetMode="External"/><Relationship Id="rId391" Type="http://schemas.openxmlformats.org/officeDocument/2006/relationships/hyperlink" Target="https://onlinelibrary.wiley.com/doi/10.1002/anie.202522720?af=R" TargetMode="External"/><Relationship Id="rId392" Type="http://schemas.openxmlformats.org/officeDocument/2006/relationships/hyperlink" Target="https://doi.org/10.1002/anie.202522720" TargetMode="External"/><Relationship Id="rId393" Type="http://schemas.openxmlformats.org/officeDocument/2006/relationships/hyperlink" Target="https://onlinelibrary.wiley.com/doi/10.1002/anie.202522498?af=R" TargetMode="External"/><Relationship Id="rId394" Type="http://schemas.openxmlformats.org/officeDocument/2006/relationships/hyperlink" Target="https://doi.org/10.1002/anie.202522498" TargetMode="External"/><Relationship Id="rId395" Type="http://schemas.openxmlformats.org/officeDocument/2006/relationships/hyperlink" Target="https://onlinelibrary.wiley.com/doi/10.1002/anie.202524836?af=R" TargetMode="External"/><Relationship Id="rId396" Type="http://schemas.openxmlformats.org/officeDocument/2006/relationships/hyperlink" Target="https://doi.org/10.1002/anie.202524836" TargetMode="External"/><Relationship Id="rId397" Type="http://schemas.openxmlformats.org/officeDocument/2006/relationships/hyperlink" Target="https://onlinelibrary.wiley.com/doi/10.1002/anie.4524344?af=R" TargetMode="External"/><Relationship Id="rId398" Type="http://schemas.openxmlformats.org/officeDocument/2006/relationships/hyperlink" Target="https://doi.org/10.1002/anie.4524344" TargetMode="External"/><Relationship Id="rId399" Type="http://schemas.openxmlformats.org/officeDocument/2006/relationships/hyperlink" Target="https://advanced.onlinelibrary.wiley.com/doi/10.1002/aenm.202506177?af=R" TargetMode="External"/><Relationship Id="rId400" Type="http://schemas.openxmlformats.org/officeDocument/2006/relationships/hyperlink" Target="https://doi.org/10.1002/aenm.202506177" TargetMode="External"/><Relationship Id="rId401" Type="http://schemas.openxmlformats.org/officeDocument/2006/relationships/hyperlink" Target="https://onlinelibrary.wiley.com/doi/10.1002/anie.202525502?af=R" TargetMode="External"/><Relationship Id="rId402" Type="http://schemas.openxmlformats.org/officeDocument/2006/relationships/hyperlink" Target="https://doi.org/10.1002/anie.202525502" TargetMode="External"/><Relationship Id="rId403" Type="http://schemas.openxmlformats.org/officeDocument/2006/relationships/hyperlink" Target="https://onlinelibrary.wiley.com/doi/10.1002/anie.5497802?af=R" TargetMode="External"/><Relationship Id="rId404" Type="http://schemas.openxmlformats.org/officeDocument/2006/relationships/hyperlink" Target="https://doi.org/10.1002/anie.5497802" TargetMode="External"/><Relationship Id="rId405" Type="http://schemas.openxmlformats.org/officeDocument/2006/relationships/hyperlink" Target="https://advanced.onlinelibrary.wiley.com/doi/10.1002/adma.202521431?af=R" TargetMode="External"/><Relationship Id="rId406" Type="http://schemas.openxmlformats.org/officeDocument/2006/relationships/hyperlink" Target="https://doi.org/10.1002/adma.202521431" TargetMode="External"/><Relationship Id="rId407" Type="http://schemas.openxmlformats.org/officeDocument/2006/relationships/hyperlink" Target="https://advanced.onlinelibrary.wiley.com/doi/10.1002/adma.202522256?af=R" TargetMode="External"/><Relationship Id="rId408" Type="http://schemas.openxmlformats.org/officeDocument/2006/relationships/hyperlink" Target="https://doi.org/10.1002/adma.202522256" TargetMode="External"/><Relationship Id="rId409" Type="http://schemas.openxmlformats.org/officeDocument/2006/relationships/hyperlink" Target="https://onlinelibrary.wiley.com/doi/10.1002/anie.202521510?af=R" TargetMode="External"/><Relationship Id="rId410" Type="http://schemas.openxmlformats.org/officeDocument/2006/relationships/hyperlink" Target="https://doi.org/10.1002/anie.202521510" TargetMode="External"/><Relationship Id="rId411" Type="http://schemas.openxmlformats.org/officeDocument/2006/relationships/hyperlink" Target="https://advanced.onlinelibrary.wiley.com/doi/10.1002/adma.202504755?af=R" TargetMode="External"/><Relationship Id="rId412" Type="http://schemas.openxmlformats.org/officeDocument/2006/relationships/hyperlink" Target="https://doi.org/10.1002/adma.202504755" TargetMode="External"/><Relationship Id="rId413" Type="http://schemas.openxmlformats.org/officeDocument/2006/relationships/hyperlink" Target="https://advanced.onlinelibrary.wiley.com/doi/10.1002/adma.202522299?af=R" TargetMode="External"/><Relationship Id="rId414" Type="http://schemas.openxmlformats.org/officeDocument/2006/relationships/hyperlink" Target="https://doi.org/10.1002/adma.202522299" TargetMode="External"/><Relationship Id="rId415" Type="http://schemas.openxmlformats.org/officeDocument/2006/relationships/hyperlink" Target="https://onlinelibrary.wiley.com/doi/10.1002/anie.1753273?af=R" TargetMode="External"/><Relationship Id="rId416" Type="http://schemas.openxmlformats.org/officeDocument/2006/relationships/hyperlink" Target="https://doi.org/10.1002/anie.1753273" TargetMode="External"/><Relationship Id="rId417" Type="http://schemas.openxmlformats.org/officeDocument/2006/relationships/hyperlink" Target="https://advanced.onlinelibrary.wiley.com/doi/10.1002/aenm.202506792?af=R" TargetMode="External"/><Relationship Id="rId418" Type="http://schemas.openxmlformats.org/officeDocument/2006/relationships/hyperlink" Target="https://doi.org/10.1002/aenm.202506792" TargetMode="External"/><Relationship Id="rId419" Type="http://schemas.openxmlformats.org/officeDocument/2006/relationships/hyperlink" Target="https://advanced.onlinelibrary.wiley.com/doi/10.1002/adma.202523654?af=R" TargetMode="External"/><Relationship Id="rId420" Type="http://schemas.openxmlformats.org/officeDocument/2006/relationships/hyperlink" Target="https://doi.org/10.1002/adma.202523654" TargetMode="External"/><Relationship Id="rId421" Type="http://schemas.openxmlformats.org/officeDocument/2006/relationships/hyperlink" Target="https://advanced.onlinelibrary.wiley.com/doi/10.1002/adma.202520776?af=R" TargetMode="External"/><Relationship Id="rId422" Type="http://schemas.openxmlformats.org/officeDocument/2006/relationships/hyperlink" Target="https://doi.org/10.1002/adma.202520776" TargetMode="External"/><Relationship Id="rId423" Type="http://schemas.openxmlformats.org/officeDocument/2006/relationships/hyperlink" Target="https://onlinelibrary.wiley.com/doi/10.1002/anie.202525813?af=R" TargetMode="External"/><Relationship Id="rId424" Type="http://schemas.openxmlformats.org/officeDocument/2006/relationships/hyperlink" Target="https://doi.org/10.1002/anie.202525813" TargetMode="External"/><Relationship Id="rId425" Type="http://schemas.openxmlformats.org/officeDocument/2006/relationships/hyperlink" Target="https://www.pnas.org/doi/abs/10.1073/pnas.2524884123?mi=eymic2&amp;af=R&amp;access=on&amp;content=articlesChapters&amp;publication=pnas&amp;sortBy=Earliest&amp;target=default" TargetMode="External"/><Relationship Id="rId426" Type="http://schemas.openxmlformats.org/officeDocument/2006/relationships/hyperlink" Target="https://doi.org/10.1073/pnas.2524884123" TargetMode="External"/><Relationship Id="rId427" Type="http://schemas.openxmlformats.org/officeDocument/2006/relationships/hyperlink" Target="https://www.pnas.org/doi/abs/10.1073/pnas.2519038123?mi=eymic2&amp;af=R&amp;access=on&amp;content=articlesChapters&amp;publication=pnas&amp;sortBy=Earliest&amp;target=default" TargetMode="External"/><Relationship Id="rId428" Type="http://schemas.openxmlformats.org/officeDocument/2006/relationships/hyperlink" Target="https://doi.org/10.1073/pnas.2519038123" TargetMode="External"/><Relationship Id="rId429" Type="http://schemas.openxmlformats.org/officeDocument/2006/relationships/hyperlink" Target="https://www.pnas.org/doi/abs/10.1073/pnas.2520490123?mi=eymic2&amp;af=R&amp;access=on&amp;content=articlesChapters&amp;publication=pnas&amp;sortBy=Earliest&amp;target=default" TargetMode="External"/><Relationship Id="rId430" Type="http://schemas.openxmlformats.org/officeDocument/2006/relationships/hyperlink" Target="https://doi.org/10.1073/pnas.2520490123" TargetMode="External"/><Relationship Id="rId431" Type="http://schemas.openxmlformats.org/officeDocument/2006/relationships/hyperlink" Target="https://www.pnas.org/doi/abs/10.1073/pnas.2519094123?mi=eymic2&amp;af=R&amp;access=on&amp;content=articlesChapters&amp;publication=pnas&amp;sortBy=Earliest&amp;target=default" TargetMode="External"/><Relationship Id="rId432" Type="http://schemas.openxmlformats.org/officeDocument/2006/relationships/hyperlink" Target="https://doi.org/10.1073/pnas.2519094123" TargetMode="External"/><Relationship Id="rId433" Type="http://schemas.openxmlformats.org/officeDocument/2006/relationships/hyperlink" Target="https://www.pnas.org/doi/abs/10.1073/pnas.2525673123?mi=eymic2&amp;af=R&amp;access=on&amp;content=articlesChapters&amp;publication=pnas&amp;sortBy=Earliest&amp;target=default" TargetMode="External"/><Relationship Id="rId434" Type="http://schemas.openxmlformats.org/officeDocument/2006/relationships/hyperlink" Target="https://doi.org/10.1073/pnas.2525673123" TargetMode="External"/><Relationship Id="rId435" Type="http://schemas.openxmlformats.org/officeDocument/2006/relationships/hyperlink" Target="https://www.pnas.org/doi/abs/10.1073/pnas.2514518123?mi=eymic2&amp;af=R&amp;access=on&amp;content=articlesChapters&amp;publication=pnas&amp;sortBy=Earliest&amp;target=default" TargetMode="External"/><Relationship Id="rId436" Type="http://schemas.openxmlformats.org/officeDocument/2006/relationships/hyperlink" Target="https://doi.org/10.1073/pnas.2514518123" TargetMode="External"/><Relationship Id="rId437" Type="http://schemas.openxmlformats.org/officeDocument/2006/relationships/hyperlink" Target="https://www.pnas.org/doi/abs/10.1073/pnas.2522696123?mi=eymic2&amp;af=R&amp;access=on&amp;content=articlesChapters&amp;publication=pnas&amp;sortBy=Earliest&amp;target=default" TargetMode="External"/><Relationship Id="rId438" Type="http://schemas.openxmlformats.org/officeDocument/2006/relationships/hyperlink" Target="https://doi.org/10.1073/pnas.2522696123" TargetMode="External"/><Relationship Id="rId439" Type="http://schemas.openxmlformats.org/officeDocument/2006/relationships/hyperlink" Target="https://www.pnas.org/doi/abs/10.1073/pnas.2526369123?mi=eymic2&amp;af=R&amp;access=on&amp;content=articlesChapters&amp;publication=pnas&amp;sortBy=Earliest&amp;target=default" TargetMode="External"/><Relationship Id="rId440" Type="http://schemas.openxmlformats.org/officeDocument/2006/relationships/hyperlink" Target="https://doi.org/10.1073/pnas.2526369123" TargetMode="External"/><Relationship Id="rId441" Type="http://schemas.openxmlformats.org/officeDocument/2006/relationships/hyperlink" Target="https://www.pnas.org/doi/abs/10.1073/pnas.2533120123?mi=eymic2&amp;af=R&amp;access=on&amp;content=articlesChapters&amp;publication=pnas&amp;sortBy=Earliest&amp;target=default" TargetMode="External"/><Relationship Id="rId442" Type="http://schemas.openxmlformats.org/officeDocument/2006/relationships/hyperlink" Target="https://doi.org/10.1073/pnas.2533120123" TargetMode="External"/><Relationship Id="rId443" Type="http://schemas.openxmlformats.org/officeDocument/2006/relationships/hyperlink" Target="https://www.pnas.org/doi/abs/10.1073/pnas.2530530123?mi=eymic2&amp;af=R&amp;access=on&amp;content=articlesChapters&amp;publication=pnas&amp;sortBy=Earliest&amp;target=default" TargetMode="External"/><Relationship Id="rId444" Type="http://schemas.openxmlformats.org/officeDocument/2006/relationships/hyperlink" Target="https://doi.org/10.1073/pnas.2530530123" TargetMode="External"/><Relationship Id="rId445" Type="http://schemas.openxmlformats.org/officeDocument/2006/relationships/hyperlink" Target="https://www.pnas.org/doi/abs/10.1073/pnas.2535183123?mi=eymic2&amp;af=R&amp;access=on&amp;content=articlesChapters&amp;publication=pnas&amp;sortBy=Earliest&amp;target=default" TargetMode="External"/><Relationship Id="rId446" Type="http://schemas.openxmlformats.org/officeDocument/2006/relationships/hyperlink" Target="https://doi.org/10.1073/pnas.2535183123" TargetMode="External"/><Relationship Id="rId447" Type="http://schemas.openxmlformats.org/officeDocument/2006/relationships/hyperlink" Target="https://www.pnas.org/doi/abs/10.1073/pnas.2415344123?mi=eymic2&amp;af=R&amp;access=on&amp;content=articlesChapters&amp;publication=pnas&amp;sortBy=Earliest&amp;target=default" TargetMode="External"/><Relationship Id="rId448" Type="http://schemas.openxmlformats.org/officeDocument/2006/relationships/hyperlink" Target="https://doi.org/10.1073/pnas.2415344123" TargetMode="External"/><Relationship Id="rId449" Type="http://schemas.openxmlformats.org/officeDocument/2006/relationships/hyperlink" Target="https://www.pnas.org/doi/abs/10.1073/pnas.2426851123?mi=eymic2&amp;af=R&amp;access=on&amp;content=articlesChapters&amp;publication=pnas&amp;sortBy=Earliest&amp;target=default" TargetMode="External"/><Relationship Id="rId450" Type="http://schemas.openxmlformats.org/officeDocument/2006/relationships/hyperlink" Target="https://doi.org/10.1073/pnas.2426851123" TargetMode="External"/><Relationship Id="rId451" Type="http://schemas.openxmlformats.org/officeDocument/2006/relationships/hyperlink" Target="https://www.pnas.org/doi/abs/10.1073/pnas.2515782123?mi=eymic2&amp;af=R&amp;access=on&amp;content=articlesChapters&amp;publication=pnas&amp;sortBy=Earliest&amp;target=default" TargetMode="External"/><Relationship Id="rId452" Type="http://schemas.openxmlformats.org/officeDocument/2006/relationships/hyperlink" Target="https://doi.org/10.1073/pnas.2515782123" TargetMode="External"/><Relationship Id="rId453" Type="http://schemas.openxmlformats.org/officeDocument/2006/relationships/hyperlink" Target="https://www.pnas.org/doi/abs/10.1073/pnas.2506040123?mi=eymic2&amp;af=R&amp;access=on&amp;content=articlesChapters&amp;publication=pnas&amp;sortBy=Earliest&amp;target=default" TargetMode="External"/><Relationship Id="rId454" Type="http://schemas.openxmlformats.org/officeDocument/2006/relationships/hyperlink" Target="https://doi.org/10.1073/pnas.2506040123" TargetMode="External"/><Relationship Id="rId455" Type="http://schemas.openxmlformats.org/officeDocument/2006/relationships/hyperlink" Target="https://www.pnas.org/doi/abs/10.1073/pnas.2512131123?mi=eymic2&amp;af=R&amp;access=on&amp;content=articlesChapters&amp;publication=pnas&amp;sortBy=Earliest&amp;target=default" TargetMode="External"/><Relationship Id="rId456" Type="http://schemas.openxmlformats.org/officeDocument/2006/relationships/hyperlink" Target="https://doi.org/10.1073/pnas.2512131123" TargetMode="External"/><Relationship Id="rId457" Type="http://schemas.openxmlformats.org/officeDocument/2006/relationships/hyperlink" Target="https://www.pnas.org/doi/abs/10.1073/pnas.2526811123?mi=eymic2&amp;af=R&amp;access=on&amp;content=articlesChapters&amp;publication=pnas&amp;sortBy=Earliest&amp;target=default" TargetMode="External"/><Relationship Id="rId458" Type="http://schemas.openxmlformats.org/officeDocument/2006/relationships/hyperlink" Target="https://doi.org/10.1073/pnas.2526811123" TargetMode="External"/><Relationship Id="rId459" Type="http://schemas.openxmlformats.org/officeDocument/2006/relationships/hyperlink" Target="https://www.pnas.org/doi/abs/10.1073/pnas.2535455123?mi=eymic2&amp;af=R&amp;access=on&amp;content=articlesChapters&amp;publication=pnas&amp;sortBy=Earliest&amp;target=default" TargetMode="External"/><Relationship Id="rId460" Type="http://schemas.openxmlformats.org/officeDocument/2006/relationships/hyperlink" Target="https://doi.org/10.1073/pnas.2535455123" TargetMode="External"/><Relationship Id="rId461" Type="http://schemas.openxmlformats.org/officeDocument/2006/relationships/hyperlink" Target="https://advanced.onlinelibrary.wiley.com/doi/10.1002/adma.72457?af=R" TargetMode="External"/><Relationship Id="rId462" Type="http://schemas.openxmlformats.org/officeDocument/2006/relationships/hyperlink" Target="https://doi.org/10.1002/adma.72457" TargetMode="External"/><Relationship Id="rId463" Type="http://schemas.openxmlformats.org/officeDocument/2006/relationships/hyperlink" Target="https://onlinelibrary.wiley.com/doi/10.1002/anie.202520213?af=R" TargetMode="External"/><Relationship Id="rId464" Type="http://schemas.openxmlformats.org/officeDocument/2006/relationships/hyperlink" Target="https://doi.org/10.1002/anie.202520213" TargetMode="External"/><Relationship Id="rId465" Type="http://schemas.openxmlformats.org/officeDocument/2006/relationships/hyperlink" Target="https://advanced.onlinelibrary.wiley.com/doi/10.1002/adma.202520019?af=R" TargetMode="External"/><Relationship Id="rId466" Type="http://schemas.openxmlformats.org/officeDocument/2006/relationships/hyperlink" Target="https://doi.org/10.1002/adma.202520019" TargetMode="External"/><Relationship Id="rId467" Type="http://schemas.openxmlformats.org/officeDocument/2006/relationships/hyperlink" Target="https://advanced.onlinelibrary.wiley.com/doi/10.1002/adma.202522294?af=R" TargetMode="External"/><Relationship Id="rId468" Type="http://schemas.openxmlformats.org/officeDocument/2006/relationships/hyperlink" Target="https://doi.org/10.1002/adma.202522294" TargetMode="External"/><Relationship Id="rId469" Type="http://schemas.openxmlformats.org/officeDocument/2006/relationships/hyperlink" Target="https://advanced.onlinelibrary.wiley.com/doi/10.1002/aenm.202505403?af=R" TargetMode="External"/><Relationship Id="rId470" Type="http://schemas.openxmlformats.org/officeDocument/2006/relationships/hyperlink" Target="https://doi.org/10.1002/aenm.202505403" TargetMode="External"/><Relationship Id="rId471" Type="http://schemas.openxmlformats.org/officeDocument/2006/relationships/hyperlink" Target="https://advanced.onlinelibrary.wiley.com/doi/10.1002/adma.202517410?af=R" TargetMode="External"/><Relationship Id="rId472" Type="http://schemas.openxmlformats.org/officeDocument/2006/relationships/hyperlink" Target="https://doi.org/10.1002/adma.202517410" TargetMode="External"/><Relationship Id="rId473" Type="http://schemas.openxmlformats.org/officeDocument/2006/relationships/hyperlink" Target="https://advanced.onlinelibrary.wiley.com/doi/10.1002/adma.202521359?af=R" TargetMode="External"/><Relationship Id="rId474" Type="http://schemas.openxmlformats.org/officeDocument/2006/relationships/hyperlink" Target="https://doi.org/10.1002/adma.202521359" TargetMode="External"/><Relationship Id="rId475" Type="http://schemas.openxmlformats.org/officeDocument/2006/relationships/hyperlink" Target="https://advanced.onlinelibrary.wiley.com/doi/10.1002/adma.202522927?af=R" TargetMode="External"/><Relationship Id="rId476" Type="http://schemas.openxmlformats.org/officeDocument/2006/relationships/hyperlink" Target="https://doi.org/10.1002/adma.202522927" TargetMode="External"/><Relationship Id="rId477" Type="http://schemas.openxmlformats.org/officeDocument/2006/relationships/hyperlink" Target="http://dx.doi.org/10.1021/acsenergylett.5c03848" TargetMode="External"/><Relationship Id="rId478" Type="http://schemas.openxmlformats.org/officeDocument/2006/relationships/hyperlink" Target="https://doi.org/10.1021/acsenergylett.5c03848" TargetMode="External"/><Relationship Id="rId479" Type="http://schemas.openxmlformats.org/officeDocument/2006/relationships/hyperlink" Target="http://dx.doi.org/10.1021/jacs.5c22793" TargetMode="External"/><Relationship Id="rId480" Type="http://schemas.openxmlformats.org/officeDocument/2006/relationships/hyperlink" Target="https://doi.org/10.1021/jacs.5c22793" TargetMode="External"/><Relationship Id="rId481" Type="http://schemas.openxmlformats.org/officeDocument/2006/relationships/hyperlink" Target="http://dx.doi.org/10.1021/jacs.5c16525" TargetMode="External"/><Relationship Id="rId482" Type="http://schemas.openxmlformats.org/officeDocument/2006/relationships/hyperlink" Target="https://doi.org/10.1021/jacs.5c16525" TargetMode="External"/><Relationship Id="rId483" Type="http://schemas.openxmlformats.org/officeDocument/2006/relationships/hyperlink" Target="http://dx.doi.org/10.1021/jacs.5c22220" TargetMode="External"/><Relationship Id="rId484" Type="http://schemas.openxmlformats.org/officeDocument/2006/relationships/hyperlink" Target="https://doi.org/10.1021/jacs.5c22220" TargetMode="External"/><Relationship Id="rId485" Type="http://schemas.openxmlformats.org/officeDocument/2006/relationships/hyperlink" Target="http://dx.doi.org/10.1021/jacs.5c21251" TargetMode="External"/><Relationship Id="rId486" Type="http://schemas.openxmlformats.org/officeDocument/2006/relationships/hyperlink" Target="https://doi.org/10.1021/jacs.5c21251" TargetMode="External"/><Relationship Id="rId487" Type="http://schemas.openxmlformats.org/officeDocument/2006/relationships/hyperlink" Target="http://dx.doi.org/10.1021/jacs.5c21974" TargetMode="External"/><Relationship Id="rId488" Type="http://schemas.openxmlformats.org/officeDocument/2006/relationships/hyperlink" Target="https://doi.org/10.1021/jacs.5c21974" TargetMode="External"/><Relationship Id="rId489" Type="http://schemas.openxmlformats.org/officeDocument/2006/relationships/hyperlink" Target="http://dx.doi.org/10.1021/jacs.5c22803" TargetMode="External"/><Relationship Id="rId490" Type="http://schemas.openxmlformats.org/officeDocument/2006/relationships/hyperlink" Target="https://doi.org/10.1021/jacs.5c22803" TargetMode="External"/><Relationship Id="rId491" Type="http://schemas.openxmlformats.org/officeDocument/2006/relationships/hyperlink" Target="http://dx.doi.org/10.1021/jacs.5c21800" TargetMode="External"/><Relationship Id="rId492" Type="http://schemas.openxmlformats.org/officeDocument/2006/relationships/hyperlink" Target="https://doi.org/10.1021/jacs.5c21800" TargetMode="External"/><Relationship Id="rId493" Type="http://schemas.openxmlformats.org/officeDocument/2006/relationships/hyperlink" Target="http://dx.doi.org/10.1021/jacs.5c22740" TargetMode="External"/><Relationship Id="rId494" Type="http://schemas.openxmlformats.org/officeDocument/2006/relationships/hyperlink" Target="https://doi.org/10.1021/jacs.5c22740" TargetMode="External"/><Relationship Id="rId495" Type="http://schemas.openxmlformats.org/officeDocument/2006/relationships/hyperlink" Target="http://dx.doi.org/10.1021/jacs.5c18279" TargetMode="External"/><Relationship Id="rId496" Type="http://schemas.openxmlformats.org/officeDocument/2006/relationships/hyperlink" Target="https://doi.org/10.1021/jacs.5c18279" TargetMode="External"/><Relationship Id="rId497" Type="http://schemas.openxmlformats.org/officeDocument/2006/relationships/hyperlink" Target="https://onlinelibrary.wiley.com/doi/10.1002/anie.202524681?af=R" TargetMode="External"/><Relationship Id="rId498" Type="http://schemas.openxmlformats.org/officeDocument/2006/relationships/hyperlink" Target="https://doi.org/10.1002/anie.202524681" TargetMode="External"/><Relationship Id="rId499" Type="http://schemas.openxmlformats.org/officeDocument/2006/relationships/hyperlink" Target="https://onlinelibrary.wiley.com/doi/10.1002/anie.202523067?af=R" TargetMode="External"/><Relationship Id="rId500" Type="http://schemas.openxmlformats.org/officeDocument/2006/relationships/hyperlink" Target="https://doi.org/10.1002/anie.202523067" TargetMode="External"/><Relationship Id="rId501" Type="http://schemas.openxmlformats.org/officeDocument/2006/relationships/hyperlink" Target="http://dx.doi.org/10.1021/jacs.5c22565" TargetMode="External"/><Relationship Id="rId502" Type="http://schemas.openxmlformats.org/officeDocument/2006/relationships/hyperlink" Target="https://doi.org/10.1021/jacs.5c22565" TargetMode="External"/><Relationship Id="rId503" Type="http://schemas.openxmlformats.org/officeDocument/2006/relationships/hyperlink" Target="https://onlinelibrary.wiley.com/doi/10.1002/anie.202525799?af=R" TargetMode="External"/><Relationship Id="rId504" Type="http://schemas.openxmlformats.org/officeDocument/2006/relationships/hyperlink" Target="https://doi.org/10.1002/anie.202525799" TargetMode="External"/><Relationship Id="rId505" Type="http://schemas.openxmlformats.org/officeDocument/2006/relationships/hyperlink" Target="https://advanced.onlinelibrary.wiley.com/doi/10.1002/aenm.70749?af=R" TargetMode="External"/><Relationship Id="rId506" Type="http://schemas.openxmlformats.org/officeDocument/2006/relationships/hyperlink" Target="https://doi.org/10.1002/aenm.70749" TargetMode="External"/><Relationship Id="rId507" Type="http://schemas.openxmlformats.org/officeDocument/2006/relationships/hyperlink" Target="https://advanced.onlinelibrary.wiley.com/doi/10.1002/adma.202520850?af=R" TargetMode="External"/><Relationship Id="rId508" Type="http://schemas.openxmlformats.org/officeDocument/2006/relationships/hyperlink" Target="https://doi.org/10.1002/adma.202520850" TargetMode="External"/><Relationship Id="rId509" Type="http://schemas.openxmlformats.org/officeDocument/2006/relationships/hyperlink" Target="https://advanced.onlinelibrary.wiley.com/doi/10.1002/adma.202522479?af=R" TargetMode="External"/><Relationship Id="rId510" Type="http://schemas.openxmlformats.org/officeDocument/2006/relationships/hyperlink" Target="https://doi.org/10.1002/adma.202522479" TargetMode="External"/><Relationship Id="rId511" Type="http://schemas.openxmlformats.org/officeDocument/2006/relationships/hyperlink" Target="https://onlinelibrary.wiley.com/doi/10.1002/anie.202519187?af=R" TargetMode="External"/><Relationship Id="rId512" Type="http://schemas.openxmlformats.org/officeDocument/2006/relationships/hyperlink" Target="https://doi.org/10.1002/anie.202519187" TargetMode="External"/><Relationship Id="rId513" Type="http://schemas.openxmlformats.org/officeDocument/2006/relationships/hyperlink" Target="https://advanced.onlinelibrary.wiley.com/doi/10.1002/adma.202520056?af=R" TargetMode="External"/><Relationship Id="rId514" Type="http://schemas.openxmlformats.org/officeDocument/2006/relationships/hyperlink" Target="https://doi.org/10.1002/adma.202520056" TargetMode="External"/><Relationship Id="rId515" Type="http://schemas.openxmlformats.org/officeDocument/2006/relationships/hyperlink" Target="https://advanced.onlinelibrary.wiley.com/doi/10.1002/adma.202520985?af=R" TargetMode="External"/><Relationship Id="rId516" Type="http://schemas.openxmlformats.org/officeDocument/2006/relationships/hyperlink" Target="https://doi.org/10.1002/adma.202520985" TargetMode="External"/><Relationship Id="rId517" Type="http://schemas.openxmlformats.org/officeDocument/2006/relationships/hyperlink" Target="https://advanced.onlinelibrary.wiley.com/doi/10.1002/adma.202519525?af=R" TargetMode="External"/><Relationship Id="rId518" Type="http://schemas.openxmlformats.org/officeDocument/2006/relationships/hyperlink" Target="https://doi.org/10.1002/adma.202519525" TargetMode="External"/><Relationship Id="rId519" Type="http://schemas.openxmlformats.org/officeDocument/2006/relationships/hyperlink" Target="http://dx.doi.org/10.1021/jacs.5c22495" TargetMode="External"/><Relationship Id="rId520" Type="http://schemas.openxmlformats.org/officeDocument/2006/relationships/hyperlink" Target="https://doi.org/10.1021/jacs.5c22495" TargetMode="External"/><Relationship Id="rId521" Type="http://schemas.openxmlformats.org/officeDocument/2006/relationships/hyperlink" Target="http://dx.doi.org/10.1021/acsenergylett.5c04332" TargetMode="External"/><Relationship Id="rId522" Type="http://schemas.openxmlformats.org/officeDocument/2006/relationships/hyperlink" Target="https://doi.org/10.1021/acsenergylett.5c04332" TargetMode="External"/><Relationship Id="rId523" Type="http://schemas.openxmlformats.org/officeDocument/2006/relationships/hyperlink" Target="http://dx.doi.org/10.1021/jacs.5c18971" TargetMode="External"/><Relationship Id="rId524" Type="http://schemas.openxmlformats.org/officeDocument/2006/relationships/hyperlink" Target="https://doi.org/10.1021/jacs.5c18971" TargetMode="External"/><Relationship Id="rId525" Type="http://schemas.openxmlformats.org/officeDocument/2006/relationships/hyperlink" Target="http://dx.doi.org/10.1021/jacs.5c20694" TargetMode="External"/><Relationship Id="rId526" Type="http://schemas.openxmlformats.org/officeDocument/2006/relationships/hyperlink" Target="https://doi.org/10.1021/jacs.5c20694" TargetMode="External"/><Relationship Id="rId527" Type="http://schemas.openxmlformats.org/officeDocument/2006/relationships/hyperlink" Target="http://dx.doi.org/10.1021/jacs.5c21668" TargetMode="External"/><Relationship Id="rId528" Type="http://schemas.openxmlformats.org/officeDocument/2006/relationships/hyperlink" Target="https://doi.org/10.1021/jacs.5c21668" TargetMode="External"/><Relationship Id="rId529" Type="http://schemas.openxmlformats.org/officeDocument/2006/relationships/hyperlink" Target="http://dx.doi.org/10.1021/jacs.5c18564" TargetMode="External"/><Relationship Id="rId530" Type="http://schemas.openxmlformats.org/officeDocument/2006/relationships/hyperlink" Target="https://doi.org/10.1021/jacs.5c18564" TargetMode="External"/><Relationship Id="rId531" Type="http://schemas.openxmlformats.org/officeDocument/2006/relationships/hyperlink" Target="http://dx.doi.org/10.1021/acsenergylett.5c04147" TargetMode="External"/><Relationship Id="rId532" Type="http://schemas.openxmlformats.org/officeDocument/2006/relationships/hyperlink" Target="https://doi.org/10.1021/acsenergylett.5c04147" TargetMode="External"/><Relationship Id="rId533" Type="http://schemas.openxmlformats.org/officeDocument/2006/relationships/hyperlink" Target="http://dx.doi.org/10.1021/jacs.5c22412" TargetMode="External"/><Relationship Id="rId534" Type="http://schemas.openxmlformats.org/officeDocument/2006/relationships/hyperlink" Target="https://doi.org/10.1021/jacs.5c22412" TargetMode="External"/><Relationship Id="rId535" Type="http://schemas.openxmlformats.org/officeDocument/2006/relationships/hyperlink" Target="http://dx.doi.org/10.1021/jacs.5c22349" TargetMode="External"/><Relationship Id="rId536" Type="http://schemas.openxmlformats.org/officeDocument/2006/relationships/hyperlink" Target="https://doi.org/10.1021/jacs.5c22349" TargetMode="External"/><Relationship Id="rId537" Type="http://schemas.openxmlformats.org/officeDocument/2006/relationships/hyperlink" Target="http://dx.doi.org/10.1021/jacs.5c18179" TargetMode="External"/><Relationship Id="rId538" Type="http://schemas.openxmlformats.org/officeDocument/2006/relationships/hyperlink" Target="https://doi.org/10.1021/jacs.5c18179" TargetMode="External"/><Relationship Id="rId539" Type="http://schemas.openxmlformats.org/officeDocument/2006/relationships/hyperlink" Target="http://dx.doi.org/10.1021/jacs.5c22227" TargetMode="External"/><Relationship Id="rId540" Type="http://schemas.openxmlformats.org/officeDocument/2006/relationships/hyperlink" Target="https://doi.org/10.1021/jacs.5c22227" TargetMode="External"/><Relationship Id="rId541" Type="http://schemas.openxmlformats.org/officeDocument/2006/relationships/hyperlink" Target="http://dx.doi.org/10.1021/jacs.5c14658" TargetMode="External"/><Relationship Id="rId542" Type="http://schemas.openxmlformats.org/officeDocument/2006/relationships/hyperlink" Target="https://doi.org/10.1021/jacs.5c14658" TargetMode="External"/><Relationship Id="rId543" Type="http://schemas.openxmlformats.org/officeDocument/2006/relationships/hyperlink" Target="http://dx.doi.org/10.1021/jacs.5c21837" TargetMode="External"/><Relationship Id="rId544" Type="http://schemas.openxmlformats.org/officeDocument/2006/relationships/hyperlink" Target="https://doi.org/10.1021/jacs.5c21837" TargetMode="External"/><Relationship Id="rId545" Type="http://schemas.openxmlformats.org/officeDocument/2006/relationships/hyperlink" Target="http://dx.doi.org/10.1021/jacs.5c19863" TargetMode="External"/><Relationship Id="rId546" Type="http://schemas.openxmlformats.org/officeDocument/2006/relationships/hyperlink" Target="https://doi.org/10.1021/jacs.5c19863" TargetMode="External"/><Relationship Id="rId547" Type="http://schemas.openxmlformats.org/officeDocument/2006/relationships/hyperlink" Target="https://www.nature.com/articles/s41586-025-10077-z" TargetMode="External"/><Relationship Id="rId548" Type="http://schemas.openxmlformats.org/officeDocument/2006/relationships/hyperlink" Target="https://www.nature.com/articles/s41586-025-10068-0" TargetMode="External"/><Relationship Id="rId549" Type="http://schemas.openxmlformats.org/officeDocument/2006/relationships/hyperlink" Target="https://www.nature.com/articles/s41586-025-10050-w" TargetMode="External"/><Relationship Id="rId550" Type="http://schemas.openxmlformats.org/officeDocument/2006/relationships/hyperlink" Target="https://www.nature.com/articles/s41586-025-10016-y" TargetMode="External"/><Relationship Id="rId551" Type="http://schemas.openxmlformats.org/officeDocument/2006/relationships/hyperlink" Target="https://www.sciencedirect.com/science/article/pii/S0306261926001649?dgcid=rss_sd_all" TargetMode="External"/><Relationship Id="rId552" Type="http://schemas.openxmlformats.org/officeDocument/2006/relationships/hyperlink" Target="https://www.nature.com/articles/s41586-025-09941-9" TargetMode="External"/><Relationship Id="rId553" Type="http://schemas.openxmlformats.org/officeDocument/2006/relationships/hyperlink" Target="https://www.nature.com/articles/s41586-025-09927-7" TargetMode="External"/><Relationship Id="rId554" Type="http://schemas.openxmlformats.org/officeDocument/2006/relationships/hyperlink" Target="https://www.nature.com/articles/s41586-025-10083-1" TargetMode="External"/><Relationship Id="rId555" Type="http://schemas.openxmlformats.org/officeDocument/2006/relationships/hyperlink" Target="https://www.nature.com/articles/s41586-025-10086-y" TargetMode="External"/><Relationship Id="rId556" Type="http://schemas.openxmlformats.org/officeDocument/2006/relationships/hyperlink" Target="https://www.nature.com/articles/s41586-026-10111-8" TargetMode="External"/><Relationship Id="rId557" Type="http://schemas.openxmlformats.org/officeDocument/2006/relationships/hyperlink" Target="https://www.nature.com/articles/s41586-026-10106-5" TargetMode="External"/><Relationship Id="rId558" Type="http://schemas.openxmlformats.org/officeDocument/2006/relationships/hyperlink" Target="https://www.nature.com/articles/s41586-026-10107-4" TargetMode="External"/><Relationship Id="rId559" Type="http://schemas.openxmlformats.org/officeDocument/2006/relationships/hyperlink" Target="https://www.nature.com/articles/s44286-026-00354-7" TargetMode="External"/><Relationship Id="rId560" Type="http://schemas.openxmlformats.org/officeDocument/2006/relationships/hyperlink" Target="https://www.nature.com/articles/s41586-026-10114-5" TargetMode="External"/><Relationship Id="rId561" Type="http://schemas.openxmlformats.org/officeDocument/2006/relationships/hyperlink" Target="https://www.nature.com/articles/s41586-026-10115-4" TargetMode="External"/><Relationship Id="rId562" Type="http://schemas.openxmlformats.org/officeDocument/2006/relationships/hyperlink" Target="https://www.nature.com/articles/s41586-026-10122-5" TargetMode="External"/><Relationship Id="rId563" Type="http://schemas.openxmlformats.org/officeDocument/2006/relationships/hyperlink" Target="https://www.nature.com/articles/s41586-026-10124-3" TargetMode="External"/><Relationship Id="rId564" Type="http://schemas.openxmlformats.org/officeDocument/2006/relationships/hyperlink" Target="https://www.nature.com/articles/s41586-026-10133-2" TargetMode="External"/><Relationship Id="rId565" Type="http://schemas.openxmlformats.org/officeDocument/2006/relationships/hyperlink" Target="https://www.nature.com/articles/s41586-026-10134-1" TargetMode="External"/><Relationship Id="rId566" Type="http://schemas.openxmlformats.org/officeDocument/2006/relationships/hyperlink" Target="https://www.nature.com/articles/s41586-026-10139-w" TargetMode="External"/><Relationship Id="rId567" Type="http://schemas.openxmlformats.org/officeDocument/2006/relationships/hyperlink" Target="https://www.nature.com/articles/s41565-026-02132-1" TargetMode="External"/><Relationship Id="rId568" Type="http://schemas.openxmlformats.org/officeDocument/2006/relationships/hyperlink" Target="https://www.nature.com/articles/s41586-026-10152-z" TargetMode="External"/><Relationship Id="rId569" Type="http://schemas.openxmlformats.org/officeDocument/2006/relationships/hyperlink" Target="https://www.nature.com/articles/s41586-026-10239-7" TargetMode="External"/><Relationship Id="rId570" Type="http://schemas.openxmlformats.org/officeDocument/2006/relationships/hyperlink" Target="https://www.sciencedirect.com/science/article/pii/S0301421526000923?dgcid=rss_sd_all" TargetMode="External"/><Relationship Id="rId571" Type="http://schemas.openxmlformats.org/officeDocument/2006/relationships/hyperlink" Target="https://www.nature.com/articles/s41586-025-10096-w" TargetMode="External"/><Relationship Id="rId572" Type="http://schemas.openxmlformats.org/officeDocument/2006/relationships/hyperlink" Target="https://www.nature.com/articles/s41586-026-10144-z" TargetMode="External"/><Relationship Id="rId573" Type="http://schemas.openxmlformats.org/officeDocument/2006/relationships/hyperlink" Target="https://www.nature.com/articles/s41586-026-10129-y" TargetMode="External"/><Relationship Id="rId574" Type="http://schemas.openxmlformats.org/officeDocument/2006/relationships/hyperlink" Target="https://www.nature.com/articles/d41586-026-00452-9" TargetMode="External"/><Relationship Id="rId575" Type="http://schemas.openxmlformats.org/officeDocument/2006/relationships/hyperlink" Target="https://www.nature.com/articles/d41586-026-00456-5" TargetMode="External"/><Relationship Id="rId576" Type="http://schemas.openxmlformats.org/officeDocument/2006/relationships/hyperlink" Target="https://www.nature.com/articles/d41586-026-00443-w" TargetMode="External"/><Relationship Id="rId577" Type="http://schemas.openxmlformats.org/officeDocument/2006/relationships/hyperlink" Target="https://www.nature.com/articles/d41586-026-00440-z" TargetMode="External"/><Relationship Id="rId578" Type="http://schemas.openxmlformats.org/officeDocument/2006/relationships/hyperlink" Target="https://www.nature.com/articles/d41586-026-00413-2" TargetMode="External"/><Relationship Id="rId579" Type="http://schemas.openxmlformats.org/officeDocument/2006/relationships/hyperlink" Target="https://www.nature.com/articles/d41586-026-00396-0" TargetMode="External"/><Relationship Id="rId580" Type="http://schemas.openxmlformats.org/officeDocument/2006/relationships/hyperlink" Target="https://www.nature.com/articles/d41586-026-00391-5" TargetMode="External"/><Relationship Id="rId581" Type="http://schemas.openxmlformats.org/officeDocument/2006/relationships/hyperlink" Target="https://academic.oup.com/nsr/advance-article/doi/10.1093/nsr/nwag095/8472852?rss=1" TargetMode="External"/><Relationship Id="rId582" Type="http://schemas.openxmlformats.org/officeDocument/2006/relationships/hyperlink" Target="https://doi.org/10.1093/nsr/nwag095/8472852" TargetMode="External"/><Relationship Id="rId583" Type="http://schemas.openxmlformats.org/officeDocument/2006/relationships/hyperlink" Target="https://www.sciencedirect.com/science/article/pii/S0306261926001728?dgcid=rss_sd_all" TargetMode="External"/><Relationship Id="rId584" Type="http://schemas.openxmlformats.org/officeDocument/2006/relationships/hyperlink" Target="https://academic.oup.com/nsr/advance-article/doi/10.1093/nsr/nwag096/8472872?rss=1" TargetMode="External"/><Relationship Id="rId585" Type="http://schemas.openxmlformats.org/officeDocument/2006/relationships/hyperlink" Target="https://doi.org/10.1093/nsr/nwag096/8472872" TargetMode="External"/><Relationship Id="rId586" Type="http://schemas.openxmlformats.org/officeDocument/2006/relationships/hyperlink" Target="https://www.nature.com/articles/d41586-026-00382-6" TargetMode="External"/><Relationship Id="rId587" Type="http://schemas.openxmlformats.org/officeDocument/2006/relationships/hyperlink" Target="https://www.nature.com/articles/d41586-026-00381-7" TargetMode="External"/><Relationship Id="rId588" Type="http://schemas.openxmlformats.org/officeDocument/2006/relationships/hyperlink" Target="https://www.nature.com/articles/d41586-026-00351-z" TargetMode="External"/><Relationship Id="rId589" Type="http://schemas.openxmlformats.org/officeDocument/2006/relationships/hyperlink" Target="https://www.nature.com/articles/d41586-026-00332-2" TargetMode="External"/><Relationship Id="rId590" Type="http://schemas.openxmlformats.org/officeDocument/2006/relationships/hyperlink" Target="https://www.nature.com/articles/d41586-026-00331-3" TargetMode="External"/><Relationship Id="rId591" Type="http://schemas.openxmlformats.org/officeDocument/2006/relationships/hyperlink" Target="https://www.nature.com/articles/d41586-026-00321-5" TargetMode="External"/><Relationship Id="rId592" Type="http://schemas.openxmlformats.org/officeDocument/2006/relationships/hyperlink" Target="https://www.nature.com/articles/d41586-026-00252-1" TargetMode="External"/><Relationship Id="rId593" Type="http://schemas.openxmlformats.org/officeDocument/2006/relationships/hyperlink" Target="https://www.nature.com/articles/d41586-025-03490-x" TargetMode="External"/><Relationship Id="rId594" Type="http://schemas.openxmlformats.org/officeDocument/2006/relationships/hyperlink" Target="https://www.nature.com/articles/d41586-026-00021-0" TargetMode="External"/><Relationship Id="rId595" Type="http://schemas.openxmlformats.org/officeDocument/2006/relationships/hyperlink" Target="https://www.nature.com/articles/d41586-026-00136-4" TargetMode="External"/><Relationship Id="rId596" Type="http://schemas.openxmlformats.org/officeDocument/2006/relationships/hyperlink" Target="https://www.nature.com/articles/d41586-026-00172-0" TargetMode="External"/><Relationship Id="rId597" Type="http://schemas.openxmlformats.org/officeDocument/2006/relationships/hyperlink" Target="https://www.nature.com/articles/d41586-026-00176-w" TargetMode="External"/><Relationship Id="rId598" Type="http://schemas.openxmlformats.org/officeDocument/2006/relationships/hyperlink" Target="https://www.nature.com/articles/d41586-026-00173-z" TargetMode="External"/><Relationship Id="rId599" Type="http://schemas.openxmlformats.org/officeDocument/2006/relationships/hyperlink" Target="https://www.nature.com/articles/d41586-026-00174-y" TargetMode="External"/><Relationship Id="rId600" Type="http://schemas.openxmlformats.org/officeDocument/2006/relationships/hyperlink" Target="https://academic.oup.com/nsr/advance-article/doi/10.1093/nsr/nwag089/8472853?rss=1" TargetMode="External"/><Relationship Id="rId601" Type="http://schemas.openxmlformats.org/officeDocument/2006/relationships/hyperlink" Target="https://doi.org/10.1093/nsr/nwag089/8472853" TargetMode="External"/><Relationship Id="rId602" Type="http://schemas.openxmlformats.org/officeDocument/2006/relationships/hyperlink" Target="https://www.nature.com/articles/s41467-026-69091-y" TargetMode="External"/><Relationship Id="rId603" Type="http://schemas.openxmlformats.org/officeDocument/2006/relationships/hyperlink" Target="https://www.nature.com/articles/d41586-026-00175-x" TargetMode="External"/><Relationship Id="rId604" Type="http://schemas.openxmlformats.org/officeDocument/2006/relationships/hyperlink" Target="http://pubs.rsc.org/en/Content/ArticleLanding/2026/CS/D5CS01234A" TargetMode="External"/><Relationship Id="rId605" Type="http://schemas.openxmlformats.org/officeDocument/2006/relationships/hyperlink" Target="http://pubs.rsc.org/en/Content/ArticleLanding/2026/EE/D5EE06849E" TargetMode="External"/><Relationship Id="rId606" Type="http://schemas.openxmlformats.org/officeDocument/2006/relationships/hyperlink" Target="http://pubs.rsc.org/en/Content/ArticleLanding/2026/CS/D5CS00680E" TargetMode="External"/><Relationship Id="rId607" Type="http://schemas.openxmlformats.org/officeDocument/2006/relationships/hyperlink" Target="https://www.nature.com/articles/s41467-026-69494-x" TargetMode="External"/><Relationship Id="rId608" Type="http://schemas.openxmlformats.org/officeDocument/2006/relationships/hyperlink" Target="https://www.nature.com/articles/s41467-026-69146-0" TargetMode="External"/><Relationship Id="rId609" Type="http://schemas.openxmlformats.org/officeDocument/2006/relationships/hyperlink" Target="https://www.nature.com/articles/s41467-026-69568-w" TargetMode="External"/><Relationship Id="rId610" Type="http://schemas.openxmlformats.org/officeDocument/2006/relationships/hyperlink" Target="https://www.nature.com/articles/s41557-026-02073-1" TargetMode="External"/><Relationship Id="rId611" Type="http://schemas.openxmlformats.org/officeDocument/2006/relationships/hyperlink" Target="https://www.nature.com/articles/s41467-026-69397-x" TargetMode="External"/><Relationship Id="rId612" Type="http://schemas.openxmlformats.org/officeDocument/2006/relationships/hyperlink" Target="https://www.nature.com/articles/s41560-026-01979-x" TargetMode="External"/><Relationship Id="rId613" Type="http://schemas.openxmlformats.org/officeDocument/2006/relationships/hyperlink" Target="https://www.nature.com/articles/s41467-026-69256-9" TargetMode="External"/><Relationship Id="rId614" Type="http://schemas.openxmlformats.org/officeDocument/2006/relationships/hyperlink" Target="https://www.nature.com/articles/s41560-026-01983-1" TargetMode="External"/><Relationship Id="rId615" Type="http://schemas.openxmlformats.org/officeDocument/2006/relationships/hyperlink" Target="https://www.nature.com/articles/s41563-025-02478-2" TargetMode="External"/><Relationship Id="rId616" Type="http://schemas.openxmlformats.org/officeDocument/2006/relationships/hyperlink" Target="https://www.cell.com/one-earth/fulltext/S2590-3322(25)00391-4?rss=yes" TargetMode="External"/><Relationship Id="rId617" Type="http://schemas.openxmlformats.org/officeDocument/2006/relationships/hyperlink" Target="http://pubs.rsc.org/en/Content/ArticleLanding/2026/EE/D5EE06439B" TargetMode="External"/><Relationship Id="rId618" Type="http://schemas.openxmlformats.org/officeDocument/2006/relationships/hyperlink" Target="https://onlinelibrary.wiley.com/doi/10.1002/anie.202517407?af=R" TargetMode="External"/><Relationship Id="rId619" Type="http://schemas.openxmlformats.org/officeDocument/2006/relationships/hyperlink" Target="https://doi.org/10.1002/anie.202517407" TargetMode="External"/><Relationship Id="rId620" Type="http://schemas.openxmlformats.org/officeDocument/2006/relationships/hyperlink" Target="https://advanced.onlinelibrary.wiley.com/doi/10.1002/aenm.202506772?af=R" TargetMode="External"/><Relationship Id="rId621" Type="http://schemas.openxmlformats.org/officeDocument/2006/relationships/hyperlink" Target="https://doi.org/10.1002/aenm.202506772" TargetMode="External"/><Relationship Id="rId622" Type="http://schemas.openxmlformats.org/officeDocument/2006/relationships/hyperlink" Target="https://onlinelibrary.wiley.com/doi/10.1002/anie.202524218?af=R" TargetMode="External"/><Relationship Id="rId623" Type="http://schemas.openxmlformats.org/officeDocument/2006/relationships/hyperlink" Target="https://doi.org/10.1002/anie.202524218" TargetMode="External"/><Relationship Id="rId624" Type="http://schemas.openxmlformats.org/officeDocument/2006/relationships/hyperlink" Target="https://advanced.onlinelibrary.wiley.com/doi/10.1002/aenm.70750?af=R" TargetMode="External"/><Relationship Id="rId625" Type="http://schemas.openxmlformats.org/officeDocument/2006/relationships/hyperlink" Target="https://doi.org/10.1002/aenm.70750" TargetMode="External"/><Relationship Id="rId626" Type="http://schemas.openxmlformats.org/officeDocument/2006/relationships/hyperlink" Target="https://onlinelibrary.wiley.com/doi/10.1002/anie.2026-m0402120400?af=R" TargetMode="External"/><Relationship Id="rId627" Type="http://schemas.openxmlformats.org/officeDocument/2006/relationships/hyperlink" Target="https://doi.org/10.1002/anie.2026-m0402120400" TargetMode="External"/><Relationship Id="rId628" Type="http://schemas.openxmlformats.org/officeDocument/2006/relationships/hyperlink" Target="https://advanced.onlinelibrary.wiley.com/doi/10.1002/aenm.202506776?af=R" TargetMode="External"/><Relationship Id="rId629" Type="http://schemas.openxmlformats.org/officeDocument/2006/relationships/hyperlink" Target="https://doi.org/10.1002/aenm.202506776" TargetMode="External"/><Relationship Id="rId630" Type="http://schemas.openxmlformats.org/officeDocument/2006/relationships/hyperlink" Target="https://onlinelibrary.wiley.com/doi/10.1002/anie.202523890?af=R" TargetMode="External"/><Relationship Id="rId631" Type="http://schemas.openxmlformats.org/officeDocument/2006/relationships/hyperlink" Target="https://doi.org/10.1002/anie.202523890" TargetMode="External"/><Relationship Id="rId632" Type="http://schemas.openxmlformats.org/officeDocument/2006/relationships/hyperlink" Target="https://advanced.onlinelibrary.wiley.com/doi/10.1002/aenm.202506534?af=R" TargetMode="External"/><Relationship Id="rId633" Type="http://schemas.openxmlformats.org/officeDocument/2006/relationships/hyperlink" Target="https://doi.org/10.1002/aenm.202506534" TargetMode="External"/><Relationship Id="rId634" Type="http://schemas.openxmlformats.org/officeDocument/2006/relationships/hyperlink" Target="https://advanced.onlinelibrary.wiley.com/doi/10.1002/aenm.70729?af=R" TargetMode="External"/><Relationship Id="rId635" Type="http://schemas.openxmlformats.org/officeDocument/2006/relationships/hyperlink" Target="https://doi.org/10.1002/aenm.70729" TargetMode="External"/><Relationship Id="rId636" Type="http://schemas.openxmlformats.org/officeDocument/2006/relationships/hyperlink" Target="https://onlinelibrary.wiley.com/doi/10.1002/anie.202523010?af=R" TargetMode="External"/><Relationship Id="rId637" Type="http://schemas.openxmlformats.org/officeDocument/2006/relationships/hyperlink" Target="https://doi.org/10.1002/anie.202523010" TargetMode="External"/><Relationship Id="rId638" Type="http://schemas.openxmlformats.org/officeDocument/2006/relationships/hyperlink" Target="https://www.science.org/doi/abs/10.1126/sciadv.adx2596?af=R" TargetMode="External"/><Relationship Id="rId639" Type="http://schemas.openxmlformats.org/officeDocument/2006/relationships/hyperlink" Target="https://doi.org/10.1126/sciadv.adx2596" TargetMode="External"/><Relationship Id="rId640" Type="http://schemas.openxmlformats.org/officeDocument/2006/relationships/hyperlink" Target="https://www.science.org/doi/abs/10.1126/sciadv.adw7134?af=R" TargetMode="External"/><Relationship Id="rId641" Type="http://schemas.openxmlformats.org/officeDocument/2006/relationships/hyperlink" Target="https://doi.org/10.1126/sciadv.adw7134" TargetMode="External"/><Relationship Id="rId642" Type="http://schemas.openxmlformats.org/officeDocument/2006/relationships/hyperlink" Target="https://www.science.org/doi/abs/10.1126/sciadv.adx9159?af=R" TargetMode="External"/><Relationship Id="rId643" Type="http://schemas.openxmlformats.org/officeDocument/2006/relationships/hyperlink" Target="https://doi.org/10.1126/sciadv.adx9159" TargetMode="External"/><Relationship Id="rId644" Type="http://schemas.openxmlformats.org/officeDocument/2006/relationships/hyperlink" Target="https://www.science.org/doi/abs/10.1126/sciadv.adx7747?af=R" TargetMode="External"/><Relationship Id="rId645" Type="http://schemas.openxmlformats.org/officeDocument/2006/relationships/hyperlink" Target="https://doi.org/10.1126/sciadv.adx7747" TargetMode="External"/><Relationship Id="rId646" Type="http://schemas.openxmlformats.org/officeDocument/2006/relationships/hyperlink" Target="https://www.science.org/doi/abs/10.1126/sciadv.adw2109?af=R" TargetMode="External"/><Relationship Id="rId647" Type="http://schemas.openxmlformats.org/officeDocument/2006/relationships/hyperlink" Target="https://doi.org/10.1126/sciadv.adw2109" TargetMode="External"/><Relationship Id="rId648" Type="http://schemas.openxmlformats.org/officeDocument/2006/relationships/hyperlink" Target="https://www.science.org/doi/abs/10.1126/sciadv.ads7509?af=R" TargetMode="External"/><Relationship Id="rId649" Type="http://schemas.openxmlformats.org/officeDocument/2006/relationships/hyperlink" Target="https://doi.org/10.1126/sciadv.ads7509" TargetMode="External"/><Relationship Id="rId650" Type="http://schemas.openxmlformats.org/officeDocument/2006/relationships/hyperlink" Target="https://pubs.acs.org/doi/10.1021/acs.chemrev.5c01055?af=R" TargetMode="External"/><Relationship Id="rId651" Type="http://schemas.openxmlformats.org/officeDocument/2006/relationships/hyperlink" Target="https://doi.org/10.1021/acs.chemrev.5c01055" TargetMode="External"/><Relationship Id="rId652" Type="http://schemas.openxmlformats.org/officeDocument/2006/relationships/hyperlink" Target="https://www.science.org/doi/abs/10.1126/sciadv.adx7973?af=R" TargetMode="External"/><Relationship Id="rId653" Type="http://schemas.openxmlformats.org/officeDocument/2006/relationships/hyperlink" Target="https://doi.org/10.1126/sciadv.adx7973" TargetMode="External"/><Relationship Id="rId654" Type="http://schemas.openxmlformats.org/officeDocument/2006/relationships/hyperlink" Target="https://www.science.org/doi/abs/10.1126/sciadv.aec6957?af=R" TargetMode="External"/><Relationship Id="rId655" Type="http://schemas.openxmlformats.org/officeDocument/2006/relationships/hyperlink" Target="https://doi.org/10.1126/sciadv.aec6957" TargetMode="External"/><Relationship Id="rId656" Type="http://schemas.openxmlformats.org/officeDocument/2006/relationships/hyperlink" Target="https://www.science.org/doi/abs/10.1126/sciadv.adw3298?af=R" TargetMode="External"/><Relationship Id="rId657" Type="http://schemas.openxmlformats.org/officeDocument/2006/relationships/hyperlink" Target="https://doi.org/10.1126/sciadv.adw3298" TargetMode="External"/><Relationship Id="rId658" Type="http://schemas.openxmlformats.org/officeDocument/2006/relationships/hyperlink" Target="https://www.science.org/doi/abs/10.1126/sciadv.aec5937?af=R" TargetMode="External"/><Relationship Id="rId659" Type="http://schemas.openxmlformats.org/officeDocument/2006/relationships/hyperlink" Target="https://doi.org/10.1126/sciadv.aec5937" TargetMode="External"/><Relationship Id="rId660" Type="http://schemas.openxmlformats.org/officeDocument/2006/relationships/hyperlink" Target="https://www.science.org/doi/abs/10.1126/sciadv.adz3199?af=R" TargetMode="External"/><Relationship Id="rId661" Type="http://schemas.openxmlformats.org/officeDocument/2006/relationships/hyperlink" Target="https://doi.org/10.1126/sciadv.adz3199" TargetMode="External"/><Relationship Id="rId662" Type="http://schemas.openxmlformats.org/officeDocument/2006/relationships/hyperlink" Target="https://www.science.org/doi/abs/10.1126/sciadv.aeb2417?af=R" TargetMode="External"/><Relationship Id="rId663" Type="http://schemas.openxmlformats.org/officeDocument/2006/relationships/hyperlink" Target="https://doi.org/10.1126/sciadv.aeb2417" TargetMode="External"/><Relationship Id="rId664" Type="http://schemas.openxmlformats.org/officeDocument/2006/relationships/hyperlink" Target="https://www.science.org/doi/abs/10.1126/sciadv.aeb1323?af=R" TargetMode="External"/><Relationship Id="rId665" Type="http://schemas.openxmlformats.org/officeDocument/2006/relationships/hyperlink" Target="https://doi.org/10.1126/sciadv.aeb1323" TargetMode="External"/><Relationship Id="rId666" Type="http://schemas.openxmlformats.org/officeDocument/2006/relationships/hyperlink" Target="https://www.science.org/doi/abs/10.1126/sciadv.aeb0803?af=R" TargetMode="External"/><Relationship Id="rId667" Type="http://schemas.openxmlformats.org/officeDocument/2006/relationships/hyperlink" Target="https://doi.org/10.1126/sciadv.aeb0803" TargetMode="External"/><Relationship Id="rId668" Type="http://schemas.openxmlformats.org/officeDocument/2006/relationships/hyperlink" Target="https://www.science.org/doi/abs/10.1126/sciadv.aea9832?af=R" TargetMode="External"/><Relationship Id="rId669" Type="http://schemas.openxmlformats.org/officeDocument/2006/relationships/hyperlink" Target="https://doi.org/10.1126/sciadv.aea9832" TargetMode="External"/><Relationship Id="rId670" Type="http://schemas.openxmlformats.org/officeDocument/2006/relationships/hyperlink" Target="https://www.science.org/doi/abs/10.1126/sciadv.aea9491?af=R" TargetMode="External"/><Relationship Id="rId671" Type="http://schemas.openxmlformats.org/officeDocument/2006/relationships/hyperlink" Target="https://doi.org/10.1126/sciadv.aea9491" TargetMode="External"/><Relationship Id="rId672" Type="http://schemas.openxmlformats.org/officeDocument/2006/relationships/hyperlink" Target="https://www.science.org/doi/abs/10.1126/sciadv.aeb4171?af=R" TargetMode="External"/><Relationship Id="rId673" Type="http://schemas.openxmlformats.org/officeDocument/2006/relationships/hyperlink" Target="https://doi.org/10.1126/sciadv.aeb4171" TargetMode="External"/><Relationship Id="rId674" Type="http://schemas.openxmlformats.org/officeDocument/2006/relationships/hyperlink" Target="https://www.science.org/doi/abs/10.1126/sciadv.aea8433?af=R" TargetMode="External"/><Relationship Id="rId675" Type="http://schemas.openxmlformats.org/officeDocument/2006/relationships/hyperlink" Target="https://doi.org/10.1126/sciadv.aea8433" TargetMode="External"/><Relationship Id="rId676" Type="http://schemas.openxmlformats.org/officeDocument/2006/relationships/hyperlink" Target="https://www.science.org/doi/abs/10.1126/sciadv.aea4144?af=R" TargetMode="External"/><Relationship Id="rId677" Type="http://schemas.openxmlformats.org/officeDocument/2006/relationships/hyperlink" Target="https://doi.org/10.1126/sciadv.aea4144" TargetMode="External"/><Relationship Id="rId678" Type="http://schemas.openxmlformats.org/officeDocument/2006/relationships/hyperlink" Target="https://www.pnas.org/doi/abs/10.1073/pnas.2532302123?mi=eymic2&amp;af=R&amp;access=on&amp;content=articlesChapters&amp;publication=pnas&amp;sortBy=Earliest&amp;target=default" TargetMode="External"/><Relationship Id="rId679" Type="http://schemas.openxmlformats.org/officeDocument/2006/relationships/hyperlink" Target="https://doi.org/10.1073/pnas.2532302123" TargetMode="External"/><Relationship Id="rId680" Type="http://schemas.openxmlformats.org/officeDocument/2006/relationships/hyperlink" Target="https://www.science.org/doi/abs/10.1126/sciadv.aea2726?af=R" TargetMode="External"/><Relationship Id="rId681" Type="http://schemas.openxmlformats.org/officeDocument/2006/relationships/hyperlink" Target="https://doi.org/10.1126/sciadv.aea2726" TargetMode="External"/><Relationship Id="rId682" Type="http://schemas.openxmlformats.org/officeDocument/2006/relationships/hyperlink" Target="https://www.science.org/doi/abs/10.1126/sciadv.aeb4237?af=R" TargetMode="External"/><Relationship Id="rId683" Type="http://schemas.openxmlformats.org/officeDocument/2006/relationships/hyperlink" Target="https://doi.org/10.1126/sciadv.aeb4237" TargetMode="External"/><Relationship Id="rId684" Type="http://schemas.openxmlformats.org/officeDocument/2006/relationships/hyperlink" Target="https://www.science.org/doi/abs/10.1126/sciadv.aea1184?af=R" TargetMode="External"/><Relationship Id="rId685" Type="http://schemas.openxmlformats.org/officeDocument/2006/relationships/hyperlink" Target="https://doi.org/10.1126/sciadv.aea1184" TargetMode="External"/><Relationship Id="rId686" Type="http://schemas.openxmlformats.org/officeDocument/2006/relationships/hyperlink" Target="https://www.science.org/doi/abs/10.1126/sciadv.adz6970?af=R" TargetMode="External"/><Relationship Id="rId687" Type="http://schemas.openxmlformats.org/officeDocument/2006/relationships/hyperlink" Target="https://doi.org/10.1126/sciadv.adz6970" TargetMode="External"/><Relationship Id="rId688" Type="http://schemas.openxmlformats.org/officeDocument/2006/relationships/hyperlink" Target="https://www.science.org/doi/abs/10.1126/sciadv.aec3876?af=R" TargetMode="External"/><Relationship Id="rId689" Type="http://schemas.openxmlformats.org/officeDocument/2006/relationships/hyperlink" Target="https://doi.org/10.1126/sciadv.aec3876" TargetMode="External"/><Relationship Id="rId690" Type="http://schemas.openxmlformats.org/officeDocument/2006/relationships/hyperlink" Target="https://www.science.org/doi/abs/10.1126/sciadv.aec5225?af=R" TargetMode="External"/><Relationship Id="rId691" Type="http://schemas.openxmlformats.org/officeDocument/2006/relationships/hyperlink" Target="https://doi.org/10.1126/sciadv.aec5225" TargetMode="External"/><Relationship Id="rId692" Type="http://schemas.openxmlformats.org/officeDocument/2006/relationships/hyperlink" Target="https://www.science.org/doi/abs/10.1126/sciadv.adz5645?af=R" TargetMode="External"/><Relationship Id="rId693" Type="http://schemas.openxmlformats.org/officeDocument/2006/relationships/hyperlink" Target="https://doi.org/10.1126/sciadv.adz5645" TargetMode="External"/><Relationship Id="rId694" Type="http://schemas.openxmlformats.org/officeDocument/2006/relationships/hyperlink" Target="https://www.science.org/doi/abs/10.1126/sciadv.adz3323?af=R" TargetMode="External"/><Relationship Id="rId695" Type="http://schemas.openxmlformats.org/officeDocument/2006/relationships/hyperlink" Target="https://doi.org/10.1126/sciadv.adz3323" TargetMode="External"/><Relationship Id="rId696" Type="http://schemas.openxmlformats.org/officeDocument/2006/relationships/hyperlink" Target="https://www.science.org/doi/abs/10.1126/sciadv.ady9874?af=R" TargetMode="External"/><Relationship Id="rId697" Type="http://schemas.openxmlformats.org/officeDocument/2006/relationships/hyperlink" Target="https://doi.org/10.1126/sciadv.ady9874" TargetMode="External"/><Relationship Id="rId698" Type="http://schemas.openxmlformats.org/officeDocument/2006/relationships/hyperlink" Target="https://www.science.org/doi/abs/10.1126/sciadv.aeb2410?af=R" TargetMode="External"/><Relationship Id="rId699" Type="http://schemas.openxmlformats.org/officeDocument/2006/relationships/hyperlink" Target="https://doi.org/10.1126/sciadv.aeb2410" TargetMode="External"/><Relationship Id="rId700" Type="http://schemas.openxmlformats.org/officeDocument/2006/relationships/hyperlink" Target="https://www.pnas.org/doi/abs/10.1073/pnas.2520566123?mi=eymic2&amp;af=R&amp;access=on&amp;content=articlesChapters&amp;publication=pnas&amp;sortBy=Earliest&amp;target=default" TargetMode="External"/><Relationship Id="rId701" Type="http://schemas.openxmlformats.org/officeDocument/2006/relationships/hyperlink" Target="https://doi.org/10.1073/pnas.2520566123" TargetMode="External"/><Relationship Id="rId702" Type="http://schemas.openxmlformats.org/officeDocument/2006/relationships/hyperlink" Target="https://www.pnas.org/doi/abs/10.1073/pnas.2419694123?mi=eymic2&amp;af=R&amp;access=on&amp;content=articlesChapters&amp;publication=pnas&amp;sortBy=Earliest&amp;target=default" TargetMode="External"/><Relationship Id="rId703" Type="http://schemas.openxmlformats.org/officeDocument/2006/relationships/hyperlink" Target="https://doi.org/10.1073/pnas.2419694123" TargetMode="External"/><Relationship Id="rId704" Type="http://schemas.openxmlformats.org/officeDocument/2006/relationships/hyperlink" Target="https://www.pnas.org/doi/abs/10.1073/pnas.2529748123?mi=eymic2&amp;af=R&amp;access=on&amp;content=articlesChapters&amp;publication=pnas&amp;sortBy=Earliest&amp;target=default" TargetMode="External"/><Relationship Id="rId705" Type="http://schemas.openxmlformats.org/officeDocument/2006/relationships/hyperlink" Target="https://doi.org/10.1073/pnas.2529748123" TargetMode="External"/><Relationship Id="rId706" Type="http://schemas.openxmlformats.org/officeDocument/2006/relationships/hyperlink" Target="https://www.pnas.org/doi/abs/10.1073/pnas.2529376123?mi=eymic2&amp;af=R&amp;access=on&amp;content=articlesChapters&amp;publication=pnas&amp;sortBy=Earliest&amp;target=default" TargetMode="External"/><Relationship Id="rId707" Type="http://schemas.openxmlformats.org/officeDocument/2006/relationships/hyperlink" Target="https://doi.org/10.1073/pnas.2529376123" TargetMode="External"/><Relationship Id="rId708" Type="http://schemas.openxmlformats.org/officeDocument/2006/relationships/hyperlink" Target="https://www.pnas.org/doi/abs/10.1073/pnas.2511483123?mi=eymic2&amp;af=R&amp;access=on&amp;content=articlesChapters&amp;publication=pnas&amp;sortBy=Earliest&amp;target=default" TargetMode="External"/><Relationship Id="rId709" Type="http://schemas.openxmlformats.org/officeDocument/2006/relationships/hyperlink" Target="https://doi.org/10.1073/pnas.2511483123" TargetMode="External"/><Relationship Id="rId710" Type="http://schemas.openxmlformats.org/officeDocument/2006/relationships/hyperlink" Target="https://www.pnas.org/doi/abs/10.1073/pnas.2528453123?mi=eymic2&amp;af=R&amp;access=on&amp;content=articlesChapters&amp;publication=pnas&amp;sortBy=Earliest&amp;target=default" TargetMode="External"/><Relationship Id="rId711" Type="http://schemas.openxmlformats.org/officeDocument/2006/relationships/hyperlink" Target="https://doi.org/10.1073/pnas.2528453123" TargetMode="External"/><Relationship Id="rId712" Type="http://schemas.openxmlformats.org/officeDocument/2006/relationships/hyperlink" Target="https://www.pnas.org/doi/abs/10.1073/pnas.2527653123?mi=eymic2&amp;af=R&amp;access=on&amp;content=articlesChapters&amp;publication=pnas&amp;sortBy=Earliest&amp;target=default" TargetMode="External"/><Relationship Id="rId713" Type="http://schemas.openxmlformats.org/officeDocument/2006/relationships/hyperlink" Target="https://doi.org/10.1073/pnas.2527653123" TargetMode="External"/><Relationship Id="rId714" Type="http://schemas.openxmlformats.org/officeDocument/2006/relationships/hyperlink" Target="https://www.pnas.org/doi/abs/10.1073/pnas.2516594123?mi=eymic2&amp;af=R&amp;access=on&amp;content=articlesChapters&amp;publication=pnas&amp;sortBy=Earliest&amp;target=default" TargetMode="External"/><Relationship Id="rId715" Type="http://schemas.openxmlformats.org/officeDocument/2006/relationships/hyperlink" Target="https://doi.org/10.1073/pnas.2516594123" TargetMode="External"/><Relationship Id="rId716" Type="http://schemas.openxmlformats.org/officeDocument/2006/relationships/hyperlink" Target="https://www.pnas.org/doi/abs/10.1073/pnas.2517549123?mi=eymic2&amp;af=R&amp;access=on&amp;content=articlesChapters&amp;publication=pnas&amp;sortBy=Earliest&amp;target=default" TargetMode="External"/><Relationship Id="rId717" Type="http://schemas.openxmlformats.org/officeDocument/2006/relationships/hyperlink" Target="https://doi.org/10.1073/pnas.2517549123" TargetMode="External"/><Relationship Id="rId718" Type="http://schemas.openxmlformats.org/officeDocument/2006/relationships/hyperlink" Target="https://www.pnas.org/doi/abs/10.1073/pnas.2524141123?mi=eymic2&amp;af=R&amp;access=on&amp;content=articlesChapters&amp;publication=pnas&amp;sortBy=Earliest&amp;target=default" TargetMode="External"/><Relationship Id="rId719" Type="http://schemas.openxmlformats.org/officeDocument/2006/relationships/hyperlink" Target="https://doi.org/10.1073/pnas.2524141123" TargetMode="External"/><Relationship Id="rId720" Type="http://schemas.openxmlformats.org/officeDocument/2006/relationships/hyperlink" Target="https://www.pnas.org/doi/abs/10.1073/pnas.2523347123?mi=eymic2&amp;af=R&amp;access=on&amp;content=articlesChapters&amp;publication=pnas&amp;sortBy=Earliest&amp;target=default" TargetMode="External"/><Relationship Id="rId721" Type="http://schemas.openxmlformats.org/officeDocument/2006/relationships/hyperlink" Target="https://doi.org/10.1073/pnas.2523347123" TargetMode="External"/><Relationship Id="rId722" Type="http://schemas.openxmlformats.org/officeDocument/2006/relationships/hyperlink" Target="https://www.pnas.org/doi/abs/10.1073/pnas.2518969123?mi=eymic2&amp;af=R&amp;access=on&amp;content=articlesChapters&amp;publication=pnas&amp;sortBy=Earliest&amp;target=default" TargetMode="External"/><Relationship Id="rId723" Type="http://schemas.openxmlformats.org/officeDocument/2006/relationships/hyperlink" Target="https://doi.org/10.1073/pnas.2518969123" TargetMode="External"/><Relationship Id="rId724" Type="http://schemas.openxmlformats.org/officeDocument/2006/relationships/hyperlink" Target="https://www.pnas.org/doi/abs/10.1073/pnas.2520431123?mi=eymic2&amp;af=R&amp;access=on&amp;content=articlesChapters&amp;publication=pnas&amp;sortBy=Earliest&amp;target=default" TargetMode="External"/><Relationship Id="rId725" Type="http://schemas.openxmlformats.org/officeDocument/2006/relationships/hyperlink" Target="https://doi.org/10.1073/pnas.2520431123" TargetMode="External"/><Relationship Id="rId726" Type="http://schemas.openxmlformats.org/officeDocument/2006/relationships/hyperlink" Target="http://dx.doi.org/10.1021/acsenergylett.5c04204" TargetMode="External"/><Relationship Id="rId727" Type="http://schemas.openxmlformats.org/officeDocument/2006/relationships/hyperlink" Target="https://doi.org/10.1021/acsenergylett.5c04204" TargetMode="External"/><Relationship Id="rId728" Type="http://schemas.openxmlformats.org/officeDocument/2006/relationships/hyperlink" Target="http://dx.doi.org/10.1021/jacs.5c19421" TargetMode="External"/><Relationship Id="rId729" Type="http://schemas.openxmlformats.org/officeDocument/2006/relationships/hyperlink" Target="https://doi.org/10.1021/jacs.5c19421" TargetMode="External"/><Relationship Id="rId730" Type="http://schemas.openxmlformats.org/officeDocument/2006/relationships/hyperlink" Target="http://dx.doi.org/10.1021/jacs.5c18501" TargetMode="External"/><Relationship Id="rId731" Type="http://schemas.openxmlformats.org/officeDocument/2006/relationships/hyperlink" Target="https://doi.org/10.1021/jacs.5c18501" TargetMode="External"/><Relationship Id="rId732" Type="http://schemas.openxmlformats.org/officeDocument/2006/relationships/hyperlink" Target="http://dx.doi.org/10.1021/jacs.5c18880" TargetMode="External"/><Relationship Id="rId733" Type="http://schemas.openxmlformats.org/officeDocument/2006/relationships/hyperlink" Target="https://doi.org/10.1021/jacs.5c18880" TargetMode="External"/><Relationship Id="rId734" Type="http://schemas.openxmlformats.org/officeDocument/2006/relationships/hyperlink" Target="http://dx.doi.org/10.1021/jacs.5c18997" TargetMode="External"/><Relationship Id="rId735" Type="http://schemas.openxmlformats.org/officeDocument/2006/relationships/hyperlink" Target="https://doi.org/10.1021/jacs.5c18997" TargetMode="External"/><Relationship Id="rId736" Type="http://schemas.openxmlformats.org/officeDocument/2006/relationships/hyperlink" Target="http://dx.doi.org/10.1021/jacs.5c15908" TargetMode="External"/><Relationship Id="rId737" Type="http://schemas.openxmlformats.org/officeDocument/2006/relationships/hyperlink" Target="https://doi.org/10.1021/jacs.5c15908" TargetMode="External"/><Relationship Id="rId738" Type="http://schemas.openxmlformats.org/officeDocument/2006/relationships/hyperlink" Target="https://advanced.onlinelibrary.wiley.com/doi/10.1002/adma.202521525?af=R" TargetMode="External"/><Relationship Id="rId739" Type="http://schemas.openxmlformats.org/officeDocument/2006/relationships/hyperlink" Target="https://doi.org/10.1002/adma.202521525" TargetMode="External"/><Relationship Id="rId740" Type="http://schemas.openxmlformats.org/officeDocument/2006/relationships/hyperlink" Target="https://advanced.onlinelibrary.wiley.com/doi/10.1002/adma.202521444?af=R" TargetMode="External"/><Relationship Id="rId741" Type="http://schemas.openxmlformats.org/officeDocument/2006/relationships/hyperlink" Target="https://doi.org/10.1002/adma.202521444" TargetMode="External"/><Relationship Id="rId742" Type="http://schemas.openxmlformats.org/officeDocument/2006/relationships/hyperlink" Target="https://onlinelibrary.wiley.com/doi/10.1002/anie.202522851?af=R" TargetMode="External"/><Relationship Id="rId743" Type="http://schemas.openxmlformats.org/officeDocument/2006/relationships/hyperlink" Target="https://doi.org/10.1002/anie.202522851" TargetMode="External"/><Relationship Id="rId744" Type="http://schemas.openxmlformats.org/officeDocument/2006/relationships/hyperlink" Target="https://advanced.onlinelibrary.wiley.com/doi/10.1002/adma.202511363?af=R" TargetMode="External"/><Relationship Id="rId745" Type="http://schemas.openxmlformats.org/officeDocument/2006/relationships/hyperlink" Target="https://doi.org/10.1002/adma.202511363" TargetMode="External"/><Relationship Id="rId746" Type="http://schemas.openxmlformats.org/officeDocument/2006/relationships/hyperlink" Target="https://onlinelibrary.wiley.com/doi/10.1002/anie.202524711?af=R" TargetMode="External"/><Relationship Id="rId747" Type="http://schemas.openxmlformats.org/officeDocument/2006/relationships/hyperlink" Target="https://doi.org/10.1002/anie.202524711" TargetMode="External"/><Relationship Id="rId748" Type="http://schemas.openxmlformats.org/officeDocument/2006/relationships/hyperlink" Target="https://advanced.onlinelibrary.wiley.com/doi/10.1002/adma.202521655?af=R" TargetMode="External"/><Relationship Id="rId749" Type="http://schemas.openxmlformats.org/officeDocument/2006/relationships/hyperlink" Target="https://doi.org/10.1002/adma.202521655" TargetMode="External"/><Relationship Id="rId750" Type="http://schemas.openxmlformats.org/officeDocument/2006/relationships/hyperlink" Target="http://dx.doi.org/10.1021/jacs.5c20880" TargetMode="External"/><Relationship Id="rId751" Type="http://schemas.openxmlformats.org/officeDocument/2006/relationships/hyperlink" Target="https://doi.org/10.1021/jacs.5c20880" TargetMode="External"/><Relationship Id="rId752" Type="http://schemas.openxmlformats.org/officeDocument/2006/relationships/hyperlink" Target="https://advanced.onlinelibrary.wiley.com/doi/10.1002/adma.202521844?af=R" TargetMode="External"/><Relationship Id="rId753" Type="http://schemas.openxmlformats.org/officeDocument/2006/relationships/hyperlink" Target="https://doi.org/10.1002/adma.202521844" TargetMode="External"/><Relationship Id="rId754" Type="http://schemas.openxmlformats.org/officeDocument/2006/relationships/hyperlink" Target="https://advanced.onlinelibrary.wiley.com/doi/10.1002/adma.72545?af=R" TargetMode="External"/><Relationship Id="rId755" Type="http://schemas.openxmlformats.org/officeDocument/2006/relationships/hyperlink" Target="https://doi.org/10.1002/adma.72545" TargetMode="External"/><Relationship Id="rId756" Type="http://schemas.openxmlformats.org/officeDocument/2006/relationships/hyperlink" Target="https://advanced.onlinelibrary.wiley.com/doi/10.1002/adma.202523063?af=R" TargetMode="External"/><Relationship Id="rId757" Type="http://schemas.openxmlformats.org/officeDocument/2006/relationships/hyperlink" Target="https://doi.org/10.1002/adma.202523063" TargetMode="External"/><Relationship Id="rId758" Type="http://schemas.openxmlformats.org/officeDocument/2006/relationships/hyperlink" Target="https://advanced.onlinelibrary.wiley.com/doi/10.1002/adma.202523619?af=R" TargetMode="External"/><Relationship Id="rId759" Type="http://schemas.openxmlformats.org/officeDocument/2006/relationships/hyperlink" Target="https://doi.org/10.1002/adma.202523619" TargetMode="External"/><Relationship Id="rId760" Type="http://schemas.openxmlformats.org/officeDocument/2006/relationships/hyperlink" Target="https://advanced.onlinelibrary.wiley.com/doi/10.1002/adma.202512551?af=R" TargetMode="External"/><Relationship Id="rId761" Type="http://schemas.openxmlformats.org/officeDocument/2006/relationships/hyperlink" Target="https://doi.org/10.1002/adma.202512551" TargetMode="External"/><Relationship Id="rId762" Type="http://schemas.openxmlformats.org/officeDocument/2006/relationships/hyperlink" Target="https://advanced.onlinelibrary.wiley.com/doi/10.1002/adma.202522578?af=R" TargetMode="External"/><Relationship Id="rId763" Type="http://schemas.openxmlformats.org/officeDocument/2006/relationships/hyperlink" Target="https://doi.org/10.1002/adma.202522578" TargetMode="External"/><Relationship Id="rId764" Type="http://schemas.openxmlformats.org/officeDocument/2006/relationships/hyperlink" Target="https://advanced.onlinelibrary.wiley.com/doi/10.1002/adma.202514329?af=R" TargetMode="External"/><Relationship Id="rId765" Type="http://schemas.openxmlformats.org/officeDocument/2006/relationships/hyperlink" Target="https://doi.org/10.1002/adma.202514329" TargetMode="External"/><Relationship Id="rId766" Type="http://schemas.openxmlformats.org/officeDocument/2006/relationships/hyperlink" Target="https://advanced.onlinelibrary.wiley.com/doi/10.1002/adma.202518570?af=R" TargetMode="External"/><Relationship Id="rId767" Type="http://schemas.openxmlformats.org/officeDocument/2006/relationships/hyperlink" Target="https://doi.org/10.1002/adma.202518570" TargetMode="External"/><Relationship Id="rId768" Type="http://schemas.openxmlformats.org/officeDocument/2006/relationships/hyperlink" Target="https://advanced.onlinelibrary.wiley.com/doi/10.1002/adma.202517624?af=R" TargetMode="External"/><Relationship Id="rId769" Type="http://schemas.openxmlformats.org/officeDocument/2006/relationships/hyperlink" Target="https://doi.org/10.1002/adma.202517624" TargetMode="External"/><Relationship Id="rId770" Type="http://schemas.openxmlformats.org/officeDocument/2006/relationships/hyperlink" Target="https://advanced.onlinelibrary.wiley.com/doi/10.1002/adma.202520258?af=R" TargetMode="External"/><Relationship Id="rId771" Type="http://schemas.openxmlformats.org/officeDocument/2006/relationships/hyperlink" Target="https://doi.org/10.1002/adma.202520258" TargetMode="External"/><Relationship Id="rId772" Type="http://schemas.openxmlformats.org/officeDocument/2006/relationships/hyperlink" Target="http://dx.doi.org/10.1021/acsenergylett.5c04245" TargetMode="External"/><Relationship Id="rId773" Type="http://schemas.openxmlformats.org/officeDocument/2006/relationships/hyperlink" Target="https://doi.org/10.1021/acsenergylett.5c04245" TargetMode="External"/><Relationship Id="rId774" Type="http://schemas.openxmlformats.org/officeDocument/2006/relationships/hyperlink" Target="http://dx.doi.org/10.1021/jacs.5c20068" TargetMode="External"/><Relationship Id="rId775" Type="http://schemas.openxmlformats.org/officeDocument/2006/relationships/hyperlink" Target="https://doi.org/10.1021/jacs.5c20068" TargetMode="External"/><Relationship Id="rId776" Type="http://schemas.openxmlformats.org/officeDocument/2006/relationships/hyperlink" Target="http://dx.doi.org/10.1021/jacs.5c20698" TargetMode="External"/><Relationship Id="rId777" Type="http://schemas.openxmlformats.org/officeDocument/2006/relationships/hyperlink" Target="https://doi.org/10.1021/jacs.5c20698" TargetMode="External"/><Relationship Id="rId778" Type="http://schemas.openxmlformats.org/officeDocument/2006/relationships/hyperlink" Target="http://dx.doi.org/10.1021/jacs.5c18082" TargetMode="External"/><Relationship Id="rId779" Type="http://schemas.openxmlformats.org/officeDocument/2006/relationships/hyperlink" Target="https://doi.org/10.1021/jacs.5c18082" TargetMode="External"/><Relationship Id="rId780" Type="http://schemas.openxmlformats.org/officeDocument/2006/relationships/hyperlink" Target="http://dx.doi.org/10.1021/jacs.5c20244" TargetMode="External"/><Relationship Id="rId781" Type="http://schemas.openxmlformats.org/officeDocument/2006/relationships/hyperlink" Target="https://doi.org/10.1021/jacs.5c20244" TargetMode="External"/><Relationship Id="rId782" Type="http://schemas.openxmlformats.org/officeDocument/2006/relationships/hyperlink" Target="http://dx.doi.org/10.1021/jacs.5c18055" TargetMode="External"/><Relationship Id="rId783" Type="http://schemas.openxmlformats.org/officeDocument/2006/relationships/hyperlink" Target="https://doi.org/10.1021/jacs.5c18055" TargetMode="External"/><Relationship Id="rId784" Type="http://schemas.openxmlformats.org/officeDocument/2006/relationships/hyperlink" Target="http://dx.doi.org/10.1021/jacs.5c09088" TargetMode="External"/><Relationship Id="rId785" Type="http://schemas.openxmlformats.org/officeDocument/2006/relationships/hyperlink" Target="https://doi.org/10.1021/jacs.5c09088" TargetMode="External"/><Relationship Id="rId786" Type="http://schemas.openxmlformats.org/officeDocument/2006/relationships/hyperlink" Target="http://dx.doi.org/10.1021/jacs.5c20036" TargetMode="External"/><Relationship Id="rId787" Type="http://schemas.openxmlformats.org/officeDocument/2006/relationships/hyperlink" Target="https://doi.org/10.1021/jacs.5c20036" TargetMode="External"/><Relationship Id="rId788" Type="http://schemas.openxmlformats.org/officeDocument/2006/relationships/hyperlink" Target="http://dx.doi.org/10.1021/jacs.5c21627" TargetMode="External"/><Relationship Id="rId789" Type="http://schemas.openxmlformats.org/officeDocument/2006/relationships/hyperlink" Target="https://doi.org/10.1021/jacs.5c21627" TargetMode="External"/><Relationship Id="rId790" Type="http://schemas.openxmlformats.org/officeDocument/2006/relationships/hyperlink" Target="http://dx.doi.org/10.1021/jacs.6c00141" TargetMode="External"/><Relationship Id="rId791" Type="http://schemas.openxmlformats.org/officeDocument/2006/relationships/hyperlink" Target="https://doi.org/10.1021/jacs.6c00141" TargetMode="External"/><Relationship Id="rId792" Type="http://schemas.openxmlformats.org/officeDocument/2006/relationships/hyperlink" Target="http://dx.doi.org/10.1021/jacs.5c18594" TargetMode="External"/><Relationship Id="rId793" Type="http://schemas.openxmlformats.org/officeDocument/2006/relationships/hyperlink" Target="https://doi.org/10.1021/jacs.5c18594" TargetMode="External"/><Relationship Id="rId794" Type="http://schemas.openxmlformats.org/officeDocument/2006/relationships/hyperlink" Target="http://dx.doi.org/10.1021/jacs.5c21268" TargetMode="External"/><Relationship Id="rId795" Type="http://schemas.openxmlformats.org/officeDocument/2006/relationships/hyperlink" Target="https://doi.org/10.1021/jacs.5c21268" TargetMode="External"/><Relationship Id="rId796" Type="http://schemas.openxmlformats.org/officeDocument/2006/relationships/hyperlink" Target="https://www.nature.com/articles/s41467-026-69041-8" TargetMode="External"/><Relationship Id="rId797" Type="http://schemas.openxmlformats.org/officeDocument/2006/relationships/hyperlink" Target="https://academic.oup.com/nsr/advance-article/doi/10.1093/nsr/nwag086/8475378?rss=1" TargetMode="External"/><Relationship Id="rId798" Type="http://schemas.openxmlformats.org/officeDocument/2006/relationships/hyperlink" Target="https://doi.org/10.1093/nsr/nwag086/8475378" TargetMode="External"/><Relationship Id="rId799" Type="http://schemas.openxmlformats.org/officeDocument/2006/relationships/hyperlink" Target="https://www.nature.com/articles/s41893-026-01771-5" TargetMode="External"/><Relationship Id="rId800" Type="http://schemas.openxmlformats.org/officeDocument/2006/relationships/hyperlink" Target="https://www.nature.com/articles/s41928-026-01569-5" TargetMode="External"/><Relationship Id="rId801" Type="http://schemas.openxmlformats.org/officeDocument/2006/relationships/hyperlink" Target="https://www.nature.com/articles/s41467-025-65106-2" TargetMode="External"/><Relationship Id="rId802" Type="http://schemas.openxmlformats.org/officeDocument/2006/relationships/hyperlink" Target="https://www.nature.com/articles/d41586-026-00457-4" TargetMode="External"/><Relationship Id="rId803" Type="http://schemas.openxmlformats.org/officeDocument/2006/relationships/hyperlink" Target="https://www.nature.com/articles/d41586-026-00455-6" TargetMode="External"/><Relationship Id="rId804" Type="http://schemas.openxmlformats.org/officeDocument/2006/relationships/hyperlink" Target="https://www.nature.com/articles/d41586-026-00447-6" TargetMode="External"/><Relationship Id="rId805" Type="http://schemas.openxmlformats.org/officeDocument/2006/relationships/hyperlink" Target="https://www.nature.com/articles/s41563-026-02488-8" TargetMode="External"/><Relationship Id="rId806" Type="http://schemas.openxmlformats.org/officeDocument/2006/relationships/hyperlink" Target="https://www.nature.com/articles/d41586-026-00410-5" TargetMode="External"/><Relationship Id="rId807" Type="http://schemas.openxmlformats.org/officeDocument/2006/relationships/hyperlink" Target="https://www.nature.com/articles/d41586-026-00369-3" TargetMode="External"/><Relationship Id="rId808" Type="http://schemas.openxmlformats.org/officeDocument/2006/relationships/hyperlink" Target="https://academic.oup.com/nsr/advance-article/doi/10.1093/nsr/nwag097/8475377?rss=1" TargetMode="External"/><Relationship Id="rId809" Type="http://schemas.openxmlformats.org/officeDocument/2006/relationships/hyperlink" Target="https://doi.org/10.1093/nsr/nwag097/8475377" TargetMode="External"/><Relationship Id="rId810" Type="http://schemas.openxmlformats.org/officeDocument/2006/relationships/hyperlink" Target="https://academic.oup.com/nsr/advance-article/doi/10.1093/nsr/nwag102/8475376?rss=1" TargetMode="External"/><Relationship Id="rId811" Type="http://schemas.openxmlformats.org/officeDocument/2006/relationships/hyperlink" Target="https://doi.org/10.1093/nsr/nwag102/8475376" TargetMode="External"/><Relationship Id="rId812" Type="http://schemas.openxmlformats.org/officeDocument/2006/relationships/hyperlink" Target="https://www.nature.com/articles/d41586-026-00330-4" TargetMode="External"/><Relationship Id="rId813" Type="http://schemas.openxmlformats.org/officeDocument/2006/relationships/hyperlink" Target="https://www.nature.com/articles/d41586-026-00250-3" TargetMode="External"/><Relationship Id="rId814" Type="http://schemas.openxmlformats.org/officeDocument/2006/relationships/hyperlink" Target="https://www.nature.com/articles/d41586-026-00228-1" TargetMode="External"/><Relationship Id="rId815" Type="http://schemas.openxmlformats.org/officeDocument/2006/relationships/hyperlink" Target="https://www.nature.com/articles/s41586-026-10252-w" TargetMode="External"/><Relationship Id="rId816" Type="http://schemas.openxmlformats.org/officeDocument/2006/relationships/hyperlink" Target="https://www.nature.com/articles/d41586-026-00414-1" TargetMode="External"/><Relationship Id="rId817" Type="http://schemas.openxmlformats.org/officeDocument/2006/relationships/hyperlink" Target="http://pubs.rsc.org/en/Content/ArticleLanding/2026/EE/D6EE90013E" TargetMode="External"/><Relationship Id="rId818" Type="http://schemas.openxmlformats.org/officeDocument/2006/relationships/hyperlink" Target="http://pubs.rsc.org/en/Content/ArticleLanding/2026/EE/D5EE07451G" TargetMode="External"/><Relationship Id="rId819" Type="http://schemas.openxmlformats.org/officeDocument/2006/relationships/hyperlink" Target="https://www.sciencedirect.com/science/article/pii/S0306261926001716?dgcid=rss_sd_all" TargetMode="External"/><Relationship Id="rId820" Type="http://schemas.openxmlformats.org/officeDocument/2006/relationships/hyperlink" Target="https://www.sciencedirect.com/science/article/pii/S0306261926001674?dgcid=rss_sd_all" TargetMode="External"/><Relationship Id="rId821" Type="http://schemas.openxmlformats.org/officeDocument/2006/relationships/hyperlink" Target="https://www.nature.com/articles/s41563-026-02498-6" TargetMode="External"/><Relationship Id="rId822" Type="http://schemas.openxmlformats.org/officeDocument/2006/relationships/hyperlink" Target="https://www.sciencedirect.com/science/article/pii/S0306261926001601?dgcid=rss_sd_all" TargetMode="External"/><Relationship Id="rId823" Type="http://schemas.openxmlformats.org/officeDocument/2006/relationships/hyperlink" Target="https://www.sciencedirect.com/science/article/pii/S0306261926001571?dgcid=rss_sd_all" TargetMode="External"/><Relationship Id="rId824" Type="http://schemas.openxmlformats.org/officeDocument/2006/relationships/hyperlink" Target="https://www.sciencedirect.com/science/article/pii/S0306261926001558?dgcid=rss_sd_all" TargetMode="External"/><Relationship Id="rId825" Type="http://schemas.openxmlformats.org/officeDocument/2006/relationships/hyperlink" Target="https://www.nature.com/articles/s41565-026-02138-9" TargetMode="External"/><Relationship Id="rId826" Type="http://schemas.openxmlformats.org/officeDocument/2006/relationships/hyperlink" Target="https://www.nature.com/articles/s41467-026-69147-z" TargetMode="External"/><Relationship Id="rId827" Type="http://schemas.openxmlformats.org/officeDocument/2006/relationships/hyperlink" Target="https://www.sciencedirect.com/science/article/pii/S0306261926001479?dgcid=rss_sd_all" TargetMode="External"/><Relationship Id="rId828" Type="http://schemas.openxmlformats.org/officeDocument/2006/relationships/hyperlink" Target="https://www.nature.com/articles/s41467-026-69451-8" TargetMode="External"/><Relationship Id="rId829" Type="http://schemas.openxmlformats.org/officeDocument/2006/relationships/hyperlink" Target="https://www.nature.com/articles/s41467-026-69390-4" TargetMode="External"/><Relationship Id="rId830" Type="http://schemas.openxmlformats.org/officeDocument/2006/relationships/hyperlink" Target="https://www.nature.com/articles/s41467-026-69388-y" TargetMode="External"/><Relationship Id="rId831" Type="http://schemas.openxmlformats.org/officeDocument/2006/relationships/hyperlink" Target="http://pubs.rsc.org/en/Content/ArticleLanding/2026/CS/D5CS01328C" TargetMode="External"/><Relationship Id="rId832" Type="http://schemas.openxmlformats.org/officeDocument/2006/relationships/hyperlink" Target="http://pubs.rsc.org/en/Content/ArticleLanding/2026/EE/D5EE06034F" TargetMode="External"/><Relationship Id="rId833" Type="http://schemas.openxmlformats.org/officeDocument/2006/relationships/hyperlink" Target="http://pubs.rsc.org/en/Content/ArticleLanding/2026/EE/D5EE06170A" TargetMode="External"/><Relationship Id="rId834" Type="http://schemas.openxmlformats.org/officeDocument/2006/relationships/hyperlink" Target="http://pubs.rsc.org/en/Content/ArticleLanding/2026/EE/D5EE06512G" TargetMode="External"/><Relationship Id="rId835" Type="http://schemas.openxmlformats.org/officeDocument/2006/relationships/hyperlink" Target="https://www.nature.com/articles/s41578-026-00895-6" TargetMode="External"/><Relationship Id="rId836" Type="http://schemas.openxmlformats.org/officeDocument/2006/relationships/hyperlink" Target="https://www.sciencedirect.com/science/article/pii/S0301421526000959?dgcid=rss_sd_all" TargetMode="External"/><Relationship Id="rId837" Type="http://schemas.openxmlformats.org/officeDocument/2006/relationships/hyperlink" Target="https://www.sciencedirect.com/science/article/pii/S0306261926001959?dgcid=rss_sd_all" TargetMode="External"/><Relationship Id="rId838" Type="http://schemas.openxmlformats.org/officeDocument/2006/relationships/hyperlink" Target="https://www.sciencedirect.com/science/article/pii/S0301421526000856?dgcid=rss_sd_all" TargetMode="External"/><Relationship Id="rId839" Type="http://schemas.openxmlformats.org/officeDocument/2006/relationships/hyperlink" Target="https://academic.oup.com/nsr/advance-article/doi/10.1093/nsr/nwag104/8475370?rss=1" TargetMode="External"/><Relationship Id="rId840" Type="http://schemas.openxmlformats.org/officeDocument/2006/relationships/hyperlink" Target="https://doi.org/10.1093/nsr/nwag104/8475370" TargetMode="External"/><Relationship Id="rId841" Type="http://schemas.openxmlformats.org/officeDocument/2006/relationships/hyperlink" Target="https://academic.oup.com/nsr/advance-article/doi/10.1093/nsr/nwag105/8475386?rss=1" TargetMode="External"/><Relationship Id="rId842" Type="http://schemas.openxmlformats.org/officeDocument/2006/relationships/hyperlink" Target="https://doi.org/10.1093/nsr/nwag105/8475386" TargetMode="External"/><Relationship Id="rId843" Type="http://schemas.openxmlformats.org/officeDocument/2006/relationships/hyperlink" Target="https://advanced.onlinelibrary.wiley.com/doi/10.1002/aenm.70735?af=R" TargetMode="External"/><Relationship Id="rId844" Type="http://schemas.openxmlformats.org/officeDocument/2006/relationships/hyperlink" Target="https://doi.org/10.1002/aenm.70735" TargetMode="External"/><Relationship Id="rId845" Type="http://schemas.openxmlformats.org/officeDocument/2006/relationships/hyperlink" Target="https://advanced.onlinelibrary.wiley.com/doi/10.1002/adma.72508?af=R" TargetMode="External"/><Relationship Id="rId846" Type="http://schemas.openxmlformats.org/officeDocument/2006/relationships/hyperlink" Target="https://doi.org/10.1002/adma.72508" TargetMode="External"/><Relationship Id="rId847" Type="http://schemas.openxmlformats.org/officeDocument/2006/relationships/hyperlink" Target="https://advanced.onlinelibrary.wiley.com/doi/10.1002/adma.202518037?af=R" TargetMode="External"/><Relationship Id="rId848" Type="http://schemas.openxmlformats.org/officeDocument/2006/relationships/hyperlink" Target="https://doi.org/10.1002/adma.202518037" TargetMode="External"/><Relationship Id="rId849" Type="http://schemas.openxmlformats.org/officeDocument/2006/relationships/hyperlink" Target="https://onlinelibrary.wiley.com/doi/10.1002/anie.202512131?af=R" TargetMode="External"/><Relationship Id="rId850" Type="http://schemas.openxmlformats.org/officeDocument/2006/relationships/hyperlink" Target="https://doi.org/10.1002/anie.202512131" TargetMode="External"/><Relationship Id="rId851" Type="http://schemas.openxmlformats.org/officeDocument/2006/relationships/hyperlink" Target="https://onlinelibrary.wiley.com/doi/10.1002/anie.8806571?af=R" TargetMode="External"/><Relationship Id="rId852" Type="http://schemas.openxmlformats.org/officeDocument/2006/relationships/hyperlink" Target="https://doi.org/10.1002/anie.8806571" TargetMode="External"/><Relationship Id="rId853" Type="http://schemas.openxmlformats.org/officeDocument/2006/relationships/hyperlink" Target="https://onlinelibrary.wiley.com/doi/10.1002/anie.2333724?af=R" TargetMode="External"/><Relationship Id="rId854" Type="http://schemas.openxmlformats.org/officeDocument/2006/relationships/hyperlink" Target="https://doi.org/10.1002/anie.2333724" TargetMode="External"/><Relationship Id="rId855" Type="http://schemas.openxmlformats.org/officeDocument/2006/relationships/hyperlink" Target="https://onlinelibrary.wiley.com/doi/10.1002/anie.202525685?af=R" TargetMode="External"/><Relationship Id="rId856" Type="http://schemas.openxmlformats.org/officeDocument/2006/relationships/hyperlink" Target="https://doi.org/10.1002/anie.202525685" TargetMode="External"/><Relationship Id="rId857" Type="http://schemas.openxmlformats.org/officeDocument/2006/relationships/hyperlink" Target="https://onlinelibrary.wiley.com/doi/10.1002/anie.202523799?af=R" TargetMode="External"/><Relationship Id="rId858" Type="http://schemas.openxmlformats.org/officeDocument/2006/relationships/hyperlink" Target="https://doi.org/10.1002/anie.202523799" TargetMode="External"/><Relationship Id="rId859" Type="http://schemas.openxmlformats.org/officeDocument/2006/relationships/hyperlink" Target="https://onlinelibrary.wiley.com/doi/10.1002/anie.202520118?af=R" TargetMode="External"/><Relationship Id="rId860" Type="http://schemas.openxmlformats.org/officeDocument/2006/relationships/hyperlink" Target="https://doi.org/10.1002/anie.202520118" TargetMode="External"/><Relationship Id="rId861" Type="http://schemas.openxmlformats.org/officeDocument/2006/relationships/hyperlink" Target="https://www.science.org/doi/abs/10.1126/science.aec2352?af=R" TargetMode="External"/><Relationship Id="rId862" Type="http://schemas.openxmlformats.org/officeDocument/2006/relationships/hyperlink" Target="https://doi.org/10.1126/science.aec2352" TargetMode="External"/><Relationship Id="rId863" Type="http://schemas.openxmlformats.org/officeDocument/2006/relationships/hyperlink" Target="https://www.science.org/doi/abs/10.1126/science.aeg2379?af=R" TargetMode="External"/><Relationship Id="rId864" Type="http://schemas.openxmlformats.org/officeDocument/2006/relationships/hyperlink" Target="https://doi.org/10.1126/science.aeg2379" TargetMode="External"/><Relationship Id="rId865" Type="http://schemas.openxmlformats.org/officeDocument/2006/relationships/hyperlink" Target="https://www.science.org/doi/abs/10.1126/science.aeg1977?af=R" TargetMode="External"/><Relationship Id="rId866" Type="http://schemas.openxmlformats.org/officeDocument/2006/relationships/hyperlink" Target="https://doi.org/10.1126/science.aeg1977" TargetMode="External"/><Relationship Id="rId867" Type="http://schemas.openxmlformats.org/officeDocument/2006/relationships/hyperlink" Target="https://www.science.org/doi/abs/10.1126/science.adx8981?af=R" TargetMode="External"/><Relationship Id="rId868" Type="http://schemas.openxmlformats.org/officeDocument/2006/relationships/hyperlink" Target="https://doi.org/10.1126/science.adx8981" TargetMode="External"/><Relationship Id="rId869" Type="http://schemas.openxmlformats.org/officeDocument/2006/relationships/hyperlink" Target="https://www.science.org/doi/abs/10.1126/science.aef2173?af=R" TargetMode="External"/><Relationship Id="rId870" Type="http://schemas.openxmlformats.org/officeDocument/2006/relationships/hyperlink" Target="https://doi.org/10.1126/science.aef2173" TargetMode="External"/><Relationship Id="rId871" Type="http://schemas.openxmlformats.org/officeDocument/2006/relationships/hyperlink" Target="https://www.science.org/doi/abs/10.1126/science.aef0275?af=R" TargetMode="External"/><Relationship Id="rId872" Type="http://schemas.openxmlformats.org/officeDocument/2006/relationships/hyperlink" Target="https://doi.org/10.1126/science.aef0275" TargetMode="External"/><Relationship Id="rId873" Type="http://schemas.openxmlformats.org/officeDocument/2006/relationships/hyperlink" Target="https://www.science.org/doi/abs/10.1126/science.aee8977?af=R" TargetMode="External"/><Relationship Id="rId874" Type="http://schemas.openxmlformats.org/officeDocument/2006/relationships/hyperlink" Target="https://doi.org/10.1126/science.aee8977" TargetMode="External"/><Relationship Id="rId875" Type="http://schemas.openxmlformats.org/officeDocument/2006/relationships/hyperlink" Target="https://www.science.org/doi/abs/10.1126/science.aec8147?af=R" TargetMode="External"/><Relationship Id="rId876" Type="http://schemas.openxmlformats.org/officeDocument/2006/relationships/hyperlink" Target="https://doi.org/10.1126/science.aec8147" TargetMode="External"/><Relationship Id="rId877" Type="http://schemas.openxmlformats.org/officeDocument/2006/relationships/hyperlink" Target="https://www.science.org/doi/abs/10.1126/science.aee7910?af=R" TargetMode="External"/><Relationship Id="rId878" Type="http://schemas.openxmlformats.org/officeDocument/2006/relationships/hyperlink" Target="https://doi.org/10.1126/science.aee7910" TargetMode="External"/><Relationship Id="rId879" Type="http://schemas.openxmlformats.org/officeDocument/2006/relationships/hyperlink" Target="https://www.science.org/doi/abs/10.1126/science.aee7442?af=R" TargetMode="External"/><Relationship Id="rId880" Type="http://schemas.openxmlformats.org/officeDocument/2006/relationships/hyperlink" Target="https://doi.org/10.1126/science.aee7442" TargetMode="External"/><Relationship Id="rId881" Type="http://schemas.openxmlformats.org/officeDocument/2006/relationships/hyperlink" Target="https://www.science.org/doi/abs/10.1126/science.aee4748?af=R" TargetMode="External"/><Relationship Id="rId882" Type="http://schemas.openxmlformats.org/officeDocument/2006/relationships/hyperlink" Target="https://doi.org/10.1126/science.aee4748" TargetMode="External"/><Relationship Id="rId883" Type="http://schemas.openxmlformats.org/officeDocument/2006/relationships/hyperlink" Target="https://www.science.org/doi/abs/10.1126/science.aec9443?af=R" TargetMode="External"/><Relationship Id="rId884" Type="http://schemas.openxmlformats.org/officeDocument/2006/relationships/hyperlink" Target="https://doi.org/10.1126/science.aec9443" TargetMode="External"/><Relationship Id="rId885" Type="http://schemas.openxmlformats.org/officeDocument/2006/relationships/hyperlink" Target="https://www.science.org/doi/abs/10.1126/science.aea7431?af=R" TargetMode="External"/><Relationship Id="rId886" Type="http://schemas.openxmlformats.org/officeDocument/2006/relationships/hyperlink" Target="https://doi.org/10.1126/science.aea7431" TargetMode="External"/><Relationship Id="rId887" Type="http://schemas.openxmlformats.org/officeDocument/2006/relationships/hyperlink" Target="https://www.science.org/doi/abs/10.1126/science.aef0057?af=R" TargetMode="External"/><Relationship Id="rId888" Type="http://schemas.openxmlformats.org/officeDocument/2006/relationships/hyperlink" Target="https://doi.org/10.1126/science.aef0057" TargetMode="External"/><Relationship Id="rId889" Type="http://schemas.openxmlformats.org/officeDocument/2006/relationships/hyperlink" Target="https://www.science.org/doi/abs/10.1126/science.aee6886?af=R" TargetMode="External"/><Relationship Id="rId890" Type="http://schemas.openxmlformats.org/officeDocument/2006/relationships/hyperlink" Target="https://doi.org/10.1126/science.aee6886" TargetMode="External"/><Relationship Id="rId891" Type="http://schemas.openxmlformats.org/officeDocument/2006/relationships/hyperlink" Target="https://www.science.org/doi/abs/10.1126/science.aeg3195?af=R" TargetMode="External"/><Relationship Id="rId892" Type="http://schemas.openxmlformats.org/officeDocument/2006/relationships/hyperlink" Target="https://doi.org/10.1126/science.aeg3195" TargetMode="External"/><Relationship Id="rId893" Type="http://schemas.openxmlformats.org/officeDocument/2006/relationships/hyperlink" Target="https://www.science.org/doi/abs/10.1126/science.aeg3196?af=R" TargetMode="External"/><Relationship Id="rId894" Type="http://schemas.openxmlformats.org/officeDocument/2006/relationships/hyperlink" Target="https://doi.org/10.1126/science.aeg3196" TargetMode="External"/><Relationship Id="rId895" Type="http://schemas.openxmlformats.org/officeDocument/2006/relationships/hyperlink" Target="https://www.science.org/doi/abs/10.1126/science.ads4361?af=R" TargetMode="External"/><Relationship Id="rId896" Type="http://schemas.openxmlformats.org/officeDocument/2006/relationships/hyperlink" Target="https://doi.org/10.1126/science.ads4361" TargetMode="External"/><Relationship Id="rId897" Type="http://schemas.openxmlformats.org/officeDocument/2006/relationships/hyperlink" Target="https://www.science.org/doi/abs/10.1126/science.adx2867?af=R" TargetMode="External"/><Relationship Id="rId898" Type="http://schemas.openxmlformats.org/officeDocument/2006/relationships/hyperlink" Target="https://doi.org/10.1126/science.adx2867" TargetMode="External"/><Relationship Id="rId899" Type="http://schemas.openxmlformats.org/officeDocument/2006/relationships/hyperlink" Target="https://www.science.org/doi/abs/10.1126/science.adu5160?af=R" TargetMode="External"/><Relationship Id="rId900" Type="http://schemas.openxmlformats.org/officeDocument/2006/relationships/hyperlink" Target="https://doi.org/10.1126/science.adu5160" TargetMode="External"/><Relationship Id="rId901" Type="http://schemas.openxmlformats.org/officeDocument/2006/relationships/hyperlink" Target="https://www.science.org/doi/abs/10.1126/science.adw3225?af=R" TargetMode="External"/><Relationship Id="rId902" Type="http://schemas.openxmlformats.org/officeDocument/2006/relationships/hyperlink" Target="https://doi.org/10.1126/science.adw3225" TargetMode="External"/><Relationship Id="rId903" Type="http://schemas.openxmlformats.org/officeDocument/2006/relationships/hyperlink" Target="https://www.science.org/doi/abs/10.1126/science.adt4853?af=R" TargetMode="External"/><Relationship Id="rId904" Type="http://schemas.openxmlformats.org/officeDocument/2006/relationships/hyperlink" Target="https://doi.org/10.1126/science.adt4853" TargetMode="External"/><Relationship Id="rId905" Type="http://schemas.openxmlformats.org/officeDocument/2006/relationships/hyperlink" Target="https://www.science.org/doi/abs/10.1126/science.aeg3561?af=R" TargetMode="External"/><Relationship Id="rId906" Type="http://schemas.openxmlformats.org/officeDocument/2006/relationships/hyperlink" Target="https://doi.org/10.1126/science.aeg3561" TargetMode="External"/><Relationship Id="rId907" Type="http://schemas.openxmlformats.org/officeDocument/2006/relationships/hyperlink" Target="https://www.science.org/doi/abs/10.1126/science.aeg3560?af=R" TargetMode="External"/><Relationship Id="rId908" Type="http://schemas.openxmlformats.org/officeDocument/2006/relationships/hyperlink" Target="https://doi.org/10.1126/science.aeg3560" TargetMode="External"/><Relationship Id="rId909" Type="http://schemas.openxmlformats.org/officeDocument/2006/relationships/hyperlink" Target="https://www.science.org/doi/abs/10.1126/science.aeg3559?af=R" TargetMode="External"/><Relationship Id="rId910" Type="http://schemas.openxmlformats.org/officeDocument/2006/relationships/hyperlink" Target="https://doi.org/10.1126/science.aeg3559" TargetMode="External"/><Relationship Id="rId911" Type="http://schemas.openxmlformats.org/officeDocument/2006/relationships/hyperlink" Target="https://www.science.org/doi/abs/10.1126/science.adw5462?af=R" TargetMode="External"/><Relationship Id="rId912" Type="http://schemas.openxmlformats.org/officeDocument/2006/relationships/hyperlink" Target="https://doi.org/10.1126/science.adw5462" TargetMode="External"/><Relationship Id="rId913" Type="http://schemas.openxmlformats.org/officeDocument/2006/relationships/hyperlink" Target="https://www.science.org/doi/abs/10.1126/science.aeg3558?af=R" TargetMode="External"/><Relationship Id="rId914" Type="http://schemas.openxmlformats.org/officeDocument/2006/relationships/hyperlink" Target="https://doi.org/10.1126/science.aeg3558" TargetMode="External"/><Relationship Id="rId915" Type="http://schemas.openxmlformats.org/officeDocument/2006/relationships/hyperlink" Target="https://www.science.org/doi/abs/10.1126/science.aeg3197?af=R" TargetMode="External"/><Relationship Id="rId916" Type="http://schemas.openxmlformats.org/officeDocument/2006/relationships/hyperlink" Target="https://doi.org/10.1126/science.aeg3197" TargetMode="External"/><Relationship Id="rId917" Type="http://schemas.openxmlformats.org/officeDocument/2006/relationships/hyperlink" Target="https://www.science.org/doi/abs/10.1126/science.aeg3557?af=R" TargetMode="External"/><Relationship Id="rId918" Type="http://schemas.openxmlformats.org/officeDocument/2006/relationships/hyperlink" Target="https://doi.org/10.1126/science.aeg3557" TargetMode="External"/><Relationship Id="rId919" Type="http://schemas.openxmlformats.org/officeDocument/2006/relationships/hyperlink" Target="https://www.science.org/doi/abs/10.1126/science.aeg3198?af=R" TargetMode="External"/><Relationship Id="rId920" Type="http://schemas.openxmlformats.org/officeDocument/2006/relationships/hyperlink" Target="https://doi.org/10.1126/science.aeg3198" TargetMode="External"/><Relationship Id="rId921" Type="http://schemas.openxmlformats.org/officeDocument/2006/relationships/hyperlink" Target="https://www.science.org/doi/abs/10.1126/science.ady5192?af=R" TargetMode="External"/><Relationship Id="rId922" Type="http://schemas.openxmlformats.org/officeDocument/2006/relationships/hyperlink" Target="https://doi.org/10.1126/science.ady5192" TargetMode="External"/><Relationship Id="rId923" Type="http://schemas.openxmlformats.org/officeDocument/2006/relationships/hyperlink" Target="https://www.science.org/doi/abs/10.1126/science.ady5532?af=R" TargetMode="External"/><Relationship Id="rId924" Type="http://schemas.openxmlformats.org/officeDocument/2006/relationships/hyperlink" Target="https://doi.org/10.1126/science.ady5532" TargetMode="External"/><Relationship Id="rId925" Type="http://schemas.openxmlformats.org/officeDocument/2006/relationships/hyperlink" Target="https://www.science.org/doi/abs/10.1126/science.aea1272?af=R" TargetMode="External"/><Relationship Id="rId926" Type="http://schemas.openxmlformats.org/officeDocument/2006/relationships/hyperlink" Target="https://doi.org/10.1126/science.aea1272" TargetMode="External"/><Relationship Id="rId927" Type="http://schemas.openxmlformats.org/officeDocument/2006/relationships/hyperlink" Target="https://www.science.org/doi/abs/10.1126/science.ads1246?af=R" TargetMode="External"/><Relationship Id="rId928" Type="http://schemas.openxmlformats.org/officeDocument/2006/relationships/hyperlink" Target="https://doi.org/10.1126/science.ads1246" TargetMode="External"/><Relationship Id="rId929" Type="http://schemas.openxmlformats.org/officeDocument/2006/relationships/hyperlink" Target="https://www.science.org/doi/abs/10.1126/science.adr4661?af=R" TargetMode="External"/><Relationship Id="rId930" Type="http://schemas.openxmlformats.org/officeDocument/2006/relationships/hyperlink" Target="https://doi.org/10.1126/science.adr4661" TargetMode="External"/><Relationship Id="rId931" Type="http://schemas.openxmlformats.org/officeDocument/2006/relationships/hyperlink" Target="https://www.science.org/doi/abs/10.1126/science.adx6931?af=R" TargetMode="External"/><Relationship Id="rId932" Type="http://schemas.openxmlformats.org/officeDocument/2006/relationships/hyperlink" Target="https://doi.org/10.1126/science.adx6931" TargetMode="External"/><Relationship Id="rId933" Type="http://schemas.openxmlformats.org/officeDocument/2006/relationships/hyperlink" Target="https://www.science.org/doi/abs/10.1126/science.aeg0713?af=R" TargetMode="External"/><Relationship Id="rId934" Type="http://schemas.openxmlformats.org/officeDocument/2006/relationships/hyperlink" Target="https://doi.org/10.1126/science.aeg0713" TargetMode="External"/><Relationship Id="rId935" Type="http://schemas.openxmlformats.org/officeDocument/2006/relationships/hyperlink" Target="https://www.science.org/doi/abs/10.1126/science.adw4937?af=R" TargetMode="External"/><Relationship Id="rId936" Type="http://schemas.openxmlformats.org/officeDocument/2006/relationships/hyperlink" Target="https://doi.org/10.1126/science.adw4937" TargetMode="External"/><Relationship Id="rId937" Type="http://schemas.openxmlformats.org/officeDocument/2006/relationships/hyperlink" Target="https://www.science.org/doi/abs/10.1126/science.aef7764?af=R" TargetMode="External"/><Relationship Id="rId938" Type="http://schemas.openxmlformats.org/officeDocument/2006/relationships/hyperlink" Target="https://doi.org/10.1126/science.aef7764" TargetMode="External"/><Relationship Id="rId939" Type="http://schemas.openxmlformats.org/officeDocument/2006/relationships/hyperlink" Target="https://www.science.org/doi/abs/10.1126/science.aef0964?af=R" TargetMode="External"/><Relationship Id="rId940" Type="http://schemas.openxmlformats.org/officeDocument/2006/relationships/hyperlink" Target="https://doi.org/10.1126/science.aef0964" TargetMode="External"/><Relationship Id="rId941" Type="http://schemas.openxmlformats.org/officeDocument/2006/relationships/hyperlink" Target="http://dx.doi.org/10.1021/jacs.5c20093" TargetMode="External"/><Relationship Id="rId942" Type="http://schemas.openxmlformats.org/officeDocument/2006/relationships/hyperlink" Target="https://doi.org/10.1021/jacs.5c20093" TargetMode="External"/><Relationship Id="rId943" Type="http://schemas.openxmlformats.org/officeDocument/2006/relationships/hyperlink" Target="http://dx.doi.org/10.1021/jacs.5c20300" TargetMode="External"/><Relationship Id="rId944" Type="http://schemas.openxmlformats.org/officeDocument/2006/relationships/hyperlink" Target="https://doi.org/10.1021/jacs.5c20300" TargetMode="External"/><Relationship Id="rId945" Type="http://schemas.openxmlformats.org/officeDocument/2006/relationships/hyperlink" Target="http://dx.doi.org/10.1021/acsenergylett.6c00040" TargetMode="External"/><Relationship Id="rId946" Type="http://schemas.openxmlformats.org/officeDocument/2006/relationships/hyperlink" Target="https://doi.org/10.1021/acsenergylett.6c0004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